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b/>
          <w:sz w:val="28"/>
        </w:rPr>
      </w:pPr>
      <w:r>
        <w:rPr>
          <w:b/>
          <w:sz w:val="28"/>
        </w:rPr>
        <w:t>前</w:t>
      </w:r>
      <w:r>
        <w:rPr>
          <w:rFonts w:hint="eastAsia"/>
          <w:b/>
          <w:sz w:val="28"/>
        </w:rPr>
        <w:t xml:space="preserve"> </w:t>
      </w:r>
      <w:r>
        <w:rPr>
          <w:b/>
          <w:sz w:val="28"/>
        </w:rPr>
        <w:t>言</w:t>
      </w:r>
    </w:p>
    <w:p>
      <w:pPr>
        <w:pStyle w:val="111"/>
        <w:rPr>
          <w:rFonts w:hint="default" w:eastAsia="宋体"/>
          <w:lang w:val="en-US" w:eastAsia="zh-CN"/>
        </w:rPr>
      </w:pPr>
      <w:r>
        <w:rPr>
          <w:rFonts w:hint="eastAsia"/>
        </w:rPr>
        <w:t>安徽都邦电器有限公司汽车零部件及家电配件生产项目选址位于宁国经济技术开发区南山园区环形通道(飞鹰公司后侧)，厂区总占地面积为17283. 3m，可年产橡胶管1900万米，硅橡胶管163万米，硅橡胶电线310万米，电加热带350万只，PVC 管280万米，编织软管147 万米，铝箔管175万米。2016年，都邦电器公司委托安徽显闰环境工程有限公司编制了《安徽都邦电器有限公司汽车零部件及家电配件生产项目环境影响报告书》，2017 年3月20日，</w:t>
      </w:r>
      <w:r>
        <w:rPr>
          <w:rFonts w:hint="eastAsia"/>
          <w:lang w:val="en-US" w:eastAsia="zh-CN"/>
        </w:rPr>
        <w:t>取得</w:t>
      </w:r>
      <w:r>
        <w:rPr>
          <w:rFonts w:hint="eastAsia"/>
        </w:rPr>
        <w:t>宁国市环境保护局</w:t>
      </w:r>
      <w:r>
        <w:rPr>
          <w:rFonts w:hint="eastAsia"/>
          <w:lang w:val="en-US" w:eastAsia="zh-CN"/>
        </w:rPr>
        <w:t>批复</w:t>
      </w:r>
      <w:r>
        <w:rPr>
          <w:rFonts w:hint="eastAsia"/>
        </w:rPr>
        <w:t>《关于安徽都邦电器有限公司汽车零部件及家电配件生产项目环境影响报告书的复函》</w:t>
      </w:r>
      <w:r>
        <w:rPr>
          <w:rFonts w:hint="eastAsia"/>
          <w:lang w:eastAsia="zh-CN"/>
        </w:rPr>
        <w:t>（</w:t>
      </w:r>
      <w:r>
        <w:rPr>
          <w:rFonts w:hint="eastAsia"/>
        </w:rPr>
        <w:t>宁环审批[2017] 35号文</w:t>
      </w:r>
      <w:r>
        <w:rPr>
          <w:rFonts w:hint="eastAsia"/>
          <w:lang w:eastAsia="zh-CN"/>
        </w:rPr>
        <w:t>）</w:t>
      </w:r>
      <w:r>
        <w:rPr>
          <w:rFonts w:hint="eastAsia"/>
        </w:rPr>
        <w:t>。</w:t>
      </w:r>
      <w:r>
        <w:rPr>
          <w:rFonts w:hint="eastAsia"/>
          <w:lang w:val="en-US" w:eastAsia="zh-CN"/>
        </w:rPr>
        <w:t>2018年2月6日，项目主体工程通过竣工环保自主验收。</w:t>
      </w:r>
    </w:p>
    <w:p>
      <w:pPr>
        <w:pStyle w:val="111"/>
        <w:rPr>
          <w:rFonts w:hint="default" w:eastAsia="宋体"/>
          <w:lang w:val="en-US" w:eastAsia="zh-CN"/>
        </w:rPr>
      </w:pPr>
      <w:r>
        <w:rPr>
          <w:rFonts w:hint="eastAsia"/>
          <w:lang w:val="en-US" w:eastAsia="zh-CN"/>
        </w:rPr>
        <w:t>2018年由于项目硫化方式由烘箱加热硫化变更为硫化罐蒸汽加热硫化，变更后增加2t/h蒸汽锅炉1台，项目主体工艺不变。</w:t>
      </w:r>
      <w:r>
        <w:rPr>
          <w:rFonts w:hint="eastAsia"/>
        </w:rPr>
        <w:t>安徽都邦电器有限公司</w:t>
      </w:r>
      <w:r>
        <w:rPr>
          <w:rFonts w:hint="eastAsia"/>
          <w:lang w:val="en-US" w:eastAsia="zh-CN"/>
        </w:rPr>
        <w:t>于2018年委托安徽显闰环境工程有限公司编制《</w:t>
      </w:r>
      <w:r>
        <w:rPr>
          <w:rFonts w:hint="eastAsia"/>
        </w:rPr>
        <w:t>安徽都邦电器有限公司汽车零部件及家电配件生产项目</w:t>
      </w:r>
      <w:r>
        <w:rPr>
          <w:rFonts w:hint="eastAsia"/>
          <w:lang w:val="en-US" w:eastAsia="zh-CN"/>
        </w:rPr>
        <w:t>硫化工艺变更环境影响说明》，并于2019年1月24日取得宁国市环境保护局文件《关于安徽都邦电器有限公司汽车零部件及家电配件生产项目硫化工艺变更环境影响说明的复函》（宁环[2019]34号）。</w:t>
      </w:r>
    </w:p>
    <w:p>
      <w:pPr>
        <w:pStyle w:val="111"/>
      </w:pPr>
      <w:r>
        <w:t>根据</w:t>
      </w:r>
      <w:r>
        <w:rPr>
          <w:rFonts w:hint="eastAsia"/>
        </w:rPr>
        <w:t>《建设项目竣工环境保护验收暂行办法》和</w:t>
      </w:r>
      <w:r>
        <w:t>《国务院关于修改&lt;建设项目环境保护管理条例&gt;的决定》（国务院令第682号）号）第十七条，</w:t>
      </w:r>
      <w:r>
        <w:rPr>
          <w:rFonts w:hint="eastAsia"/>
        </w:rPr>
        <w:t>“</w:t>
      </w:r>
      <w:r>
        <w:t>编制环境影响报告书、环境影响报告表的建设项目竣工后，建设单位应当按照国务院环境保护行政主管部门规定的标准和程序，对配套建设的环境保护设施进行验收，编制验收报告。</w:t>
      </w:r>
      <w:r>
        <w:rPr>
          <w:rFonts w:hint="eastAsia"/>
        </w:rPr>
        <w:t>”</w:t>
      </w:r>
      <w:r>
        <w:t>为此，</w:t>
      </w:r>
      <w:r>
        <w:rPr>
          <w:rFonts w:hint="eastAsia"/>
        </w:rPr>
        <w:t>安徽都邦电器有限公司</w:t>
      </w:r>
      <w:r>
        <w:t>编制本建设项目竣工环境保护验收监测报告</w:t>
      </w:r>
      <w:r>
        <w:rPr>
          <w:rFonts w:hint="eastAsia"/>
        </w:rPr>
        <w:t>。</w:t>
      </w:r>
    </w:p>
    <w:p>
      <w:pPr>
        <w:spacing w:line="360" w:lineRule="auto"/>
        <w:ind w:firstLine="482" w:firstLineChars="200"/>
        <w:rPr>
          <w:b/>
          <w:sz w:val="24"/>
          <w:szCs w:val="24"/>
        </w:rPr>
      </w:pPr>
    </w:p>
    <w:p>
      <w:pPr>
        <w:rPr>
          <w:b/>
          <w:sz w:val="32"/>
        </w:rPr>
        <w:sectPr>
          <w:headerReference r:id="rId4" w:type="first"/>
          <w:footerReference r:id="rId6" w:type="first"/>
          <w:headerReference r:id="rId3" w:type="default"/>
          <w:footerReference r:id="rId5" w:type="default"/>
          <w:pgSz w:w="11907" w:h="16840"/>
          <w:pgMar w:top="1440" w:right="1418" w:bottom="1440" w:left="1418" w:header="851" w:footer="992" w:gutter="0"/>
          <w:pgNumType w:start="1"/>
          <w:cols w:space="720" w:num="1"/>
          <w:titlePg/>
          <w:docGrid w:type="lines" w:linePitch="312" w:charSpace="0"/>
        </w:sectPr>
      </w:pPr>
    </w:p>
    <w:p>
      <w:pPr>
        <w:pStyle w:val="72"/>
        <w:keepNext w:val="0"/>
        <w:keepLines w:val="0"/>
        <w:spacing w:line="240" w:lineRule="auto"/>
        <w:outlineLvl w:val="0"/>
        <w:rPr>
          <w:rFonts w:ascii="Times New Roman" w:hAnsi="Times New Roman"/>
          <w:sz w:val="28"/>
        </w:rPr>
      </w:pPr>
      <w:r>
        <w:rPr>
          <w:rFonts w:hint="eastAsia" w:ascii="Times New Roman" w:hAnsi="Times New Roman"/>
          <w:sz w:val="28"/>
        </w:rPr>
        <w:t>表一 项目基本概况及依据</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2310"/>
        <w:gridCol w:w="1554"/>
        <w:gridCol w:w="1590"/>
        <w:gridCol w:w="1075"/>
        <w:gridCol w:w="9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建设项目名称</w:t>
            </w:r>
          </w:p>
        </w:tc>
        <w:tc>
          <w:tcPr>
            <w:tcW w:w="4050" w:type="pct"/>
            <w:gridSpan w:val="5"/>
            <w:tcBorders>
              <w:top w:val="single" w:color="auto" w:sz="8" w:space="0"/>
              <w:left w:val="single" w:color="auto" w:sz="4" w:space="0"/>
              <w:bottom w:val="single" w:color="auto" w:sz="4" w:space="0"/>
              <w:right w:val="single" w:color="auto" w:sz="8" w:space="0"/>
            </w:tcBorders>
            <w:vAlign w:val="center"/>
          </w:tcPr>
          <w:p>
            <w:pPr>
              <w:adjustRightInd w:val="0"/>
              <w:snapToGrid w:val="0"/>
              <w:rPr>
                <w:sz w:val="24"/>
                <w:szCs w:val="24"/>
              </w:rPr>
            </w:pPr>
            <w:r>
              <w:rPr>
                <w:rFonts w:hint="eastAsia"/>
                <w:sz w:val="24"/>
                <w:szCs w:val="24"/>
                <w:lang w:val="en-US" w:eastAsia="zh-CN"/>
              </w:rPr>
              <w:t>安徽都邦电器有限公司汽车零部件及家电配件生产项目硫化工艺变更环境影响说明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建设单位名称</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adjustRightInd w:val="0"/>
              <w:snapToGrid w:val="0"/>
              <w:rPr>
                <w:sz w:val="24"/>
                <w:szCs w:val="24"/>
              </w:rPr>
            </w:pPr>
            <w:r>
              <w:rPr>
                <w:rFonts w:hint="eastAsia"/>
                <w:sz w:val="24"/>
                <w:szCs w:val="24"/>
                <w:lang w:val="en-US" w:eastAsia="zh-CN"/>
              </w:rPr>
              <w:t>安徽都邦电器有限公司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建设项目性质</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adjustRightInd w:val="0"/>
              <w:snapToGrid w:val="0"/>
              <w:rPr>
                <w:sz w:val="24"/>
                <w:szCs w:val="24"/>
              </w:rPr>
            </w:pPr>
            <w:r>
              <w:rPr>
                <w:rFonts w:hint="eastAsia"/>
                <w:sz w:val="24"/>
                <w:szCs w:val="24"/>
              </w:rPr>
              <w:t>新建</w:t>
            </w:r>
            <w:r>
              <w:rPr>
                <w:sz w:val="24"/>
                <w:szCs w:val="24"/>
              </w:rPr>
              <w:t xml:space="preserve">  </w:t>
            </w:r>
            <w:r>
              <w:rPr>
                <w:rFonts w:hint="eastAsia"/>
                <w:sz w:val="24"/>
                <w:szCs w:val="24"/>
              </w:rPr>
              <w:t>改扩建</w:t>
            </w:r>
            <w:r>
              <w:rPr>
                <w:sz w:val="24"/>
                <w:szCs w:val="24"/>
              </w:rPr>
              <w:t xml:space="preserve">  </w:t>
            </w:r>
            <w:r>
              <w:rPr>
                <w:rFonts w:hint="eastAsia"/>
                <w:sz w:val="24"/>
                <w:szCs w:val="24"/>
              </w:rPr>
              <w:t>技改</w:t>
            </w:r>
            <w:r>
              <w:rPr>
                <w:sz w:val="24"/>
                <w:szCs w:val="24"/>
              </w:rPr>
              <w:t xml:space="preserve">√  </w:t>
            </w:r>
            <w:r>
              <w:rPr>
                <w:rFonts w:hint="eastAsia"/>
                <w:sz w:val="24"/>
                <w:szCs w:val="24"/>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建设地点</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adjustRightInd w:val="0"/>
              <w:snapToGrid w:val="0"/>
              <w:rPr>
                <w:rFonts w:hint="default" w:eastAsia="宋体"/>
                <w:sz w:val="24"/>
                <w:szCs w:val="24"/>
                <w:lang w:val="en-US" w:eastAsia="zh-CN"/>
              </w:rPr>
            </w:pPr>
            <w:r>
              <w:rPr>
                <w:sz w:val="24"/>
                <w:szCs w:val="24"/>
              </w:rPr>
              <w:t>安徽省宣城市宁国市宁国经济开发区</w:t>
            </w:r>
            <w:r>
              <w:rPr>
                <w:rFonts w:hint="eastAsia"/>
                <w:sz w:val="24"/>
                <w:szCs w:val="24"/>
                <w:lang w:val="en-US" w:eastAsia="zh-CN"/>
              </w:rPr>
              <w:t>南山园区环形通道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主要产品名称</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adjustRightInd w:val="0"/>
              <w:snapToGrid w:val="0"/>
              <w:rPr>
                <w:rFonts w:hint="default" w:eastAsia="宋体"/>
                <w:sz w:val="24"/>
                <w:szCs w:val="24"/>
                <w:lang w:val="en-US" w:eastAsia="zh-CN"/>
              </w:rPr>
            </w:pPr>
            <w:r>
              <w:rPr>
                <w:rFonts w:hint="eastAsia"/>
                <w:sz w:val="24"/>
                <w:szCs w:val="24"/>
                <w:lang w:val="en-US" w:eastAsia="zh-CN"/>
              </w:rPr>
              <w:t>橡胶管、硅橡胶管、硅橡胶电线、电加热带、PVC管、铝箔管、编织软管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设计生产能力</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adjustRightInd w:val="0"/>
              <w:snapToGrid w:val="0"/>
              <w:rPr>
                <w:sz w:val="24"/>
                <w:szCs w:val="24"/>
              </w:rPr>
            </w:pPr>
            <w:r>
              <w:rPr>
                <w:rFonts w:hint="eastAsia"/>
                <w:sz w:val="24"/>
                <w:szCs w:val="24"/>
                <w:lang w:val="en-US" w:eastAsia="zh-CN"/>
              </w:rPr>
              <w:t>产品方案不变，</w:t>
            </w:r>
            <w:r>
              <w:rPr>
                <w:rFonts w:hint="eastAsia"/>
                <w:sz w:val="24"/>
                <w:szCs w:val="24"/>
              </w:rPr>
              <w:t>年产橡胶管1900万米，硅橡胶管163万米，硅橡胶电线310万米，电加热带350万只，PVC管280万米，编织软管147万米，铝箝管175万米。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实际生产能力</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adjustRightInd w:val="0"/>
              <w:snapToGrid w:val="0"/>
              <w:rPr>
                <w:sz w:val="24"/>
                <w:szCs w:val="24"/>
              </w:rPr>
            </w:pPr>
            <w:r>
              <w:rPr>
                <w:rFonts w:hint="eastAsia"/>
                <w:sz w:val="24"/>
                <w:szCs w:val="24"/>
                <w:lang w:val="en-US" w:eastAsia="zh-CN"/>
              </w:rPr>
              <w:t>产品方案不变，</w:t>
            </w:r>
            <w:r>
              <w:rPr>
                <w:rFonts w:hint="eastAsia"/>
                <w:sz w:val="24"/>
                <w:szCs w:val="24"/>
              </w:rPr>
              <w:t>年产橡胶管1900万米，硅橡胶管163万米，硅橡胶电线310万米，电加热带350万只，PVC管280万米，编织软管147万米，铝箝管175万米。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建设项目</w:t>
            </w:r>
          </w:p>
          <w:p>
            <w:pPr>
              <w:adjustRightInd w:val="0"/>
              <w:snapToGrid w:val="0"/>
              <w:jc w:val="center"/>
              <w:rPr>
                <w:sz w:val="24"/>
                <w:szCs w:val="24"/>
              </w:rPr>
            </w:pPr>
            <w:r>
              <w:rPr>
                <w:rFonts w:hint="eastAsia"/>
                <w:sz w:val="24"/>
                <w:szCs w:val="24"/>
              </w:rPr>
              <w:t>环评时间</w:t>
            </w:r>
          </w:p>
        </w:tc>
        <w:tc>
          <w:tcPr>
            <w:tcW w:w="12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sz w:val="24"/>
                <w:szCs w:val="24"/>
              </w:rPr>
              <w:t>20</w:t>
            </w:r>
            <w:r>
              <w:rPr>
                <w:rFonts w:hint="eastAsia"/>
                <w:sz w:val="24"/>
                <w:szCs w:val="24"/>
                <w:lang w:val="en-US" w:eastAsia="zh-CN"/>
              </w:rPr>
              <w:t>18</w:t>
            </w:r>
            <w:r>
              <w:rPr>
                <w:rFonts w:hint="eastAsia" w:hAnsi="宋体"/>
                <w:sz w:val="24"/>
                <w:szCs w:val="24"/>
              </w:rPr>
              <w:t>年</w:t>
            </w:r>
            <w:r>
              <w:rPr>
                <w:rFonts w:hint="eastAsia"/>
                <w:sz w:val="24"/>
                <w:szCs w:val="24"/>
                <w:lang w:val="en-US" w:eastAsia="zh-CN"/>
              </w:rPr>
              <w:t>12</w:t>
            </w:r>
            <w:r>
              <w:rPr>
                <w:rFonts w:hint="eastAsia" w:hAnsi="宋体"/>
                <w:sz w:val="24"/>
                <w:szCs w:val="24"/>
              </w:rPr>
              <w:t>月</w:t>
            </w:r>
          </w:p>
        </w:tc>
        <w:tc>
          <w:tcPr>
            <w:tcW w:w="8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开工建设</w:t>
            </w:r>
          </w:p>
          <w:p>
            <w:pPr>
              <w:adjustRightInd w:val="0"/>
              <w:snapToGrid w:val="0"/>
              <w:jc w:val="center"/>
              <w:rPr>
                <w:sz w:val="24"/>
                <w:szCs w:val="24"/>
              </w:rPr>
            </w:pPr>
            <w:r>
              <w:rPr>
                <w:rFonts w:hint="eastAsia"/>
                <w:sz w:val="24"/>
                <w:szCs w:val="24"/>
              </w:rPr>
              <w:t>时间</w:t>
            </w:r>
          </w:p>
        </w:tc>
        <w:tc>
          <w:tcPr>
            <w:tcW w:w="1968" w:type="pct"/>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rPr>
            </w:pPr>
            <w:r>
              <w:rPr>
                <w:sz w:val="24"/>
                <w:szCs w:val="24"/>
              </w:rPr>
              <w:t>20</w:t>
            </w:r>
            <w:r>
              <w:rPr>
                <w:rFonts w:hint="eastAsia"/>
                <w:sz w:val="24"/>
                <w:szCs w:val="24"/>
                <w:lang w:val="en-US" w:eastAsia="zh-CN"/>
              </w:rPr>
              <w:t>19</w:t>
            </w:r>
            <w:r>
              <w:rPr>
                <w:rFonts w:hint="eastAsia"/>
                <w:sz w:val="24"/>
                <w:szCs w:val="24"/>
              </w:rPr>
              <w:t>年</w:t>
            </w:r>
            <w:r>
              <w:rPr>
                <w:rFonts w:hint="eastAsia"/>
                <w:sz w:val="24"/>
                <w:szCs w:val="24"/>
                <w:lang w:val="en-US" w:eastAsia="zh-CN"/>
              </w:rPr>
              <w:t>1</w:t>
            </w:r>
            <w:r>
              <w:rPr>
                <w:rFonts w:hint="eastAsia"/>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调试时间</w:t>
            </w:r>
          </w:p>
        </w:tc>
        <w:tc>
          <w:tcPr>
            <w:tcW w:w="12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2</w:t>
            </w:r>
            <w:r>
              <w:rPr>
                <w:sz w:val="24"/>
                <w:szCs w:val="24"/>
              </w:rPr>
              <w:t>02</w:t>
            </w:r>
            <w:r>
              <w:rPr>
                <w:rFonts w:hint="eastAsia"/>
                <w:sz w:val="24"/>
                <w:szCs w:val="24"/>
                <w:lang w:val="en-US" w:eastAsia="zh-CN"/>
              </w:rPr>
              <w:t>2</w:t>
            </w:r>
            <w:r>
              <w:rPr>
                <w:rFonts w:hint="eastAsia"/>
                <w:sz w:val="24"/>
                <w:szCs w:val="24"/>
              </w:rPr>
              <w:t>年</w:t>
            </w:r>
            <w:r>
              <w:rPr>
                <w:rFonts w:hint="eastAsia"/>
                <w:sz w:val="24"/>
                <w:szCs w:val="24"/>
                <w:lang w:val="en-US" w:eastAsia="zh-CN"/>
              </w:rPr>
              <w:t>8</w:t>
            </w:r>
            <w:r>
              <w:rPr>
                <w:rFonts w:hint="eastAsia"/>
                <w:sz w:val="24"/>
                <w:szCs w:val="24"/>
              </w:rPr>
              <w:t>月</w:t>
            </w:r>
          </w:p>
        </w:tc>
        <w:tc>
          <w:tcPr>
            <w:tcW w:w="837" w:type="pct"/>
            <w:tcBorders>
              <w:top w:val="single" w:color="auto" w:sz="4" w:space="0"/>
              <w:left w:val="single" w:color="auto" w:sz="4" w:space="0"/>
              <w:bottom w:val="single" w:color="auto" w:sz="4" w:space="0"/>
              <w:right w:val="single" w:color="auto" w:sz="4" w:space="0"/>
            </w:tcBorders>
            <w:vAlign w:val="center"/>
          </w:tcPr>
          <w:p>
            <w:pPr>
              <w:jc w:val="center"/>
              <w:rPr>
                <w:sz w:val="24"/>
                <w:szCs w:val="24"/>
                <w:highlight w:val="none"/>
              </w:rPr>
            </w:pPr>
            <w:r>
              <w:rPr>
                <w:rFonts w:hint="eastAsia"/>
                <w:sz w:val="24"/>
                <w:szCs w:val="24"/>
                <w:highlight w:val="none"/>
              </w:rPr>
              <w:t>验收现场</w:t>
            </w:r>
          </w:p>
          <w:p>
            <w:pPr>
              <w:adjustRightInd w:val="0"/>
              <w:snapToGrid w:val="0"/>
              <w:jc w:val="center"/>
              <w:rPr>
                <w:sz w:val="24"/>
                <w:szCs w:val="24"/>
                <w:highlight w:val="none"/>
              </w:rPr>
            </w:pPr>
            <w:r>
              <w:rPr>
                <w:rFonts w:hint="eastAsia"/>
                <w:sz w:val="24"/>
                <w:szCs w:val="24"/>
                <w:highlight w:val="none"/>
              </w:rPr>
              <w:t>监测时间</w:t>
            </w:r>
          </w:p>
        </w:tc>
        <w:tc>
          <w:tcPr>
            <w:tcW w:w="1968" w:type="pct"/>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highlight w:val="none"/>
              </w:rPr>
            </w:pPr>
            <w:r>
              <w:rPr>
                <w:rFonts w:hint="eastAsia"/>
                <w:sz w:val="24"/>
                <w:szCs w:val="24"/>
                <w:highlight w:val="none"/>
              </w:rPr>
              <w:t>202</w:t>
            </w:r>
            <w:r>
              <w:rPr>
                <w:rFonts w:hint="eastAsia"/>
                <w:sz w:val="24"/>
                <w:szCs w:val="24"/>
                <w:highlight w:val="none"/>
                <w:lang w:val="en-US" w:eastAsia="zh-CN"/>
              </w:rPr>
              <w:t>2</w:t>
            </w:r>
            <w:r>
              <w:rPr>
                <w:rFonts w:hint="eastAsia"/>
                <w:sz w:val="24"/>
                <w:szCs w:val="24"/>
                <w:highlight w:val="none"/>
              </w:rPr>
              <w:t>年</w:t>
            </w:r>
            <w:r>
              <w:rPr>
                <w:rFonts w:hint="eastAsia"/>
                <w:sz w:val="24"/>
                <w:szCs w:val="24"/>
                <w:highlight w:val="none"/>
                <w:lang w:val="en-US" w:eastAsia="zh-CN"/>
              </w:rPr>
              <w:t>9</w:t>
            </w:r>
            <w:r>
              <w:rPr>
                <w:rFonts w:hint="eastAsia"/>
                <w:sz w:val="24"/>
                <w:szCs w:val="24"/>
                <w:highlight w:val="none"/>
              </w:rPr>
              <w:t>月</w:t>
            </w:r>
            <w:r>
              <w:rPr>
                <w:rFonts w:hint="eastAsia"/>
                <w:sz w:val="24"/>
                <w:szCs w:val="24"/>
                <w:highlight w:val="none"/>
                <w:lang w:val="en-US" w:eastAsia="zh-CN"/>
              </w:rPr>
              <w:t>22</w:t>
            </w:r>
            <w:r>
              <w:rPr>
                <w:rFonts w:hint="eastAsia"/>
                <w:sz w:val="24"/>
                <w:szCs w:val="24"/>
                <w:highlight w:val="none"/>
              </w:rPr>
              <w:t>日~</w:t>
            </w:r>
            <w:r>
              <w:rPr>
                <w:rFonts w:hint="eastAsia"/>
                <w:sz w:val="24"/>
                <w:szCs w:val="24"/>
                <w:highlight w:val="none"/>
                <w:lang w:val="en-US" w:eastAsia="zh-CN"/>
              </w:rPr>
              <w:t>9</w:t>
            </w:r>
            <w:r>
              <w:rPr>
                <w:rFonts w:hint="eastAsia"/>
                <w:sz w:val="24"/>
                <w:szCs w:val="24"/>
                <w:highlight w:val="none"/>
              </w:rPr>
              <w:t>月</w:t>
            </w:r>
            <w:r>
              <w:rPr>
                <w:rFonts w:hint="eastAsia"/>
                <w:sz w:val="24"/>
                <w:szCs w:val="24"/>
                <w:highlight w:val="none"/>
                <w:lang w:val="en-US" w:eastAsia="zh-CN"/>
              </w:rPr>
              <w:t>23</w:t>
            </w:r>
            <w:r>
              <w:rPr>
                <w:rFonts w:hint="eastAsia"/>
                <w:sz w:val="24"/>
                <w:szCs w:val="24"/>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jc w:val="center"/>
              <w:rPr>
                <w:sz w:val="24"/>
                <w:szCs w:val="24"/>
              </w:rPr>
            </w:pPr>
            <w:r>
              <w:rPr>
                <w:rFonts w:hint="eastAsia"/>
                <w:sz w:val="24"/>
                <w:szCs w:val="24"/>
              </w:rPr>
              <w:t>环评报告表</w:t>
            </w:r>
          </w:p>
          <w:p>
            <w:pPr>
              <w:adjustRightInd w:val="0"/>
              <w:snapToGrid w:val="0"/>
              <w:jc w:val="center"/>
              <w:rPr>
                <w:sz w:val="24"/>
                <w:szCs w:val="24"/>
              </w:rPr>
            </w:pPr>
            <w:r>
              <w:rPr>
                <w:rFonts w:hint="eastAsia"/>
                <w:sz w:val="24"/>
                <w:szCs w:val="24"/>
              </w:rPr>
              <w:t>审批部门</w:t>
            </w:r>
          </w:p>
        </w:tc>
        <w:tc>
          <w:tcPr>
            <w:tcW w:w="12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sz w:val="24"/>
                <w:szCs w:val="24"/>
                <w:lang w:val="en-US" w:eastAsia="zh-CN"/>
              </w:rPr>
            </w:pPr>
            <w:r>
              <w:rPr>
                <w:rFonts w:hint="eastAsia"/>
                <w:sz w:val="24"/>
                <w:szCs w:val="24"/>
                <w:lang w:val="en-US" w:eastAsia="zh-CN"/>
              </w:rPr>
              <w:t>宁国市环境保护局</w:t>
            </w:r>
          </w:p>
        </w:tc>
        <w:tc>
          <w:tcPr>
            <w:tcW w:w="837" w:type="pc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环评报告表编制单位</w:t>
            </w:r>
          </w:p>
        </w:tc>
        <w:tc>
          <w:tcPr>
            <w:tcW w:w="1968" w:type="pct"/>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rPr>
            </w:pPr>
            <w:r>
              <w:rPr>
                <w:rFonts w:hint="eastAsia"/>
                <w:sz w:val="24"/>
                <w:szCs w:val="24"/>
              </w:rPr>
              <w:t>安徽</w:t>
            </w:r>
            <w:r>
              <w:rPr>
                <w:rFonts w:hint="eastAsia"/>
                <w:sz w:val="24"/>
                <w:szCs w:val="24"/>
                <w:lang w:val="en-US" w:eastAsia="zh-CN"/>
              </w:rPr>
              <w:t>显闰</w:t>
            </w:r>
            <w:r>
              <w:rPr>
                <w:rFonts w:hint="eastAsia"/>
                <w:sz w:val="24"/>
                <w:szCs w:val="24"/>
              </w:rPr>
              <w:t>环境工程有限公司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bookmarkStart w:id="0" w:name="_Hlk1656568"/>
            <w:r>
              <w:rPr>
                <w:rFonts w:hint="eastAsia"/>
                <w:sz w:val="24"/>
                <w:szCs w:val="24"/>
              </w:rPr>
              <w:t>环保设施</w:t>
            </w:r>
          </w:p>
          <w:p>
            <w:pPr>
              <w:adjustRightInd w:val="0"/>
              <w:snapToGrid w:val="0"/>
              <w:jc w:val="center"/>
              <w:rPr>
                <w:sz w:val="24"/>
                <w:szCs w:val="24"/>
              </w:rPr>
            </w:pPr>
            <w:r>
              <w:rPr>
                <w:rFonts w:hint="eastAsia"/>
                <w:sz w:val="24"/>
                <w:szCs w:val="24"/>
              </w:rPr>
              <w:t>设计单位</w:t>
            </w:r>
            <w:bookmarkEnd w:id="0"/>
          </w:p>
        </w:tc>
        <w:tc>
          <w:tcPr>
            <w:tcW w:w="12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w:t>
            </w:r>
          </w:p>
        </w:tc>
        <w:tc>
          <w:tcPr>
            <w:tcW w:w="8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环保设施</w:t>
            </w:r>
          </w:p>
          <w:p>
            <w:pPr>
              <w:adjustRightInd w:val="0"/>
              <w:snapToGrid w:val="0"/>
              <w:jc w:val="center"/>
              <w:rPr>
                <w:sz w:val="24"/>
                <w:szCs w:val="24"/>
              </w:rPr>
            </w:pPr>
            <w:r>
              <w:rPr>
                <w:rFonts w:hint="eastAsia"/>
                <w:sz w:val="24"/>
                <w:szCs w:val="24"/>
              </w:rPr>
              <w:t>施工单位</w:t>
            </w:r>
          </w:p>
        </w:tc>
        <w:tc>
          <w:tcPr>
            <w:tcW w:w="1968" w:type="pct"/>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rPr>
            </w:pPr>
            <w:r>
              <w:rPr>
                <w:rFonts w:hint="eastAsia"/>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投资总概算</w:t>
            </w:r>
          </w:p>
        </w:tc>
        <w:tc>
          <w:tcPr>
            <w:tcW w:w="12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w:t>
            </w:r>
          </w:p>
        </w:tc>
        <w:tc>
          <w:tcPr>
            <w:tcW w:w="8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环保投资</w:t>
            </w:r>
          </w:p>
          <w:p>
            <w:pPr>
              <w:adjustRightInd w:val="0"/>
              <w:snapToGrid w:val="0"/>
              <w:jc w:val="center"/>
              <w:rPr>
                <w:sz w:val="24"/>
                <w:szCs w:val="24"/>
              </w:rPr>
            </w:pPr>
            <w:r>
              <w:rPr>
                <w:rFonts w:hint="eastAsia"/>
                <w:sz w:val="24"/>
                <w:szCs w:val="24"/>
              </w:rPr>
              <w:t>总概算</w:t>
            </w:r>
          </w:p>
        </w:tc>
        <w:tc>
          <w:tcPr>
            <w:tcW w:w="8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w:t>
            </w:r>
          </w:p>
        </w:tc>
        <w:tc>
          <w:tcPr>
            <w:tcW w:w="5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比例</w:t>
            </w:r>
          </w:p>
        </w:tc>
        <w:tc>
          <w:tcPr>
            <w:tcW w:w="532" w:type="pct"/>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rPr>
            </w:pPr>
            <w:r>
              <w:rPr>
                <w:rFonts w:hint="eastAsia"/>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实际总概算</w:t>
            </w:r>
          </w:p>
        </w:tc>
        <w:tc>
          <w:tcPr>
            <w:tcW w:w="12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sz w:val="24"/>
                <w:szCs w:val="24"/>
                <w:lang w:val="en-US" w:eastAsia="zh-CN"/>
              </w:rPr>
            </w:pPr>
            <w:r>
              <w:rPr>
                <w:rFonts w:hint="eastAsia"/>
                <w:sz w:val="24"/>
                <w:szCs w:val="24"/>
                <w:lang w:val="en-US" w:eastAsia="zh-CN"/>
              </w:rPr>
              <w:t>150</w:t>
            </w:r>
          </w:p>
        </w:tc>
        <w:tc>
          <w:tcPr>
            <w:tcW w:w="8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环保投资</w:t>
            </w:r>
          </w:p>
        </w:tc>
        <w:tc>
          <w:tcPr>
            <w:tcW w:w="8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lang w:val="en-US" w:eastAsia="zh-CN"/>
              </w:rPr>
              <w:t>20</w:t>
            </w:r>
            <w:r>
              <w:rPr>
                <w:rFonts w:hint="eastAsia"/>
                <w:sz w:val="24"/>
                <w:szCs w:val="24"/>
              </w:rPr>
              <w:t>万元</w:t>
            </w:r>
          </w:p>
        </w:tc>
        <w:tc>
          <w:tcPr>
            <w:tcW w:w="5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比例</w:t>
            </w:r>
          </w:p>
        </w:tc>
        <w:tc>
          <w:tcPr>
            <w:tcW w:w="532" w:type="pct"/>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hint="default" w:eastAsia="宋体"/>
                <w:sz w:val="24"/>
                <w:szCs w:val="24"/>
                <w:lang w:val="en-US" w:eastAsia="zh-CN"/>
              </w:rPr>
            </w:pPr>
            <w:r>
              <w:rPr>
                <w:rFonts w:hint="eastAsia"/>
                <w:sz w:val="24"/>
                <w:szCs w:val="24"/>
                <w:lang w:val="en-US" w:eastAsia="zh-CN"/>
              </w:rPr>
              <w:t>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sz w:val="24"/>
                <w:szCs w:val="24"/>
              </w:rPr>
            </w:pPr>
            <w:r>
              <w:rPr>
                <w:rFonts w:hint="eastAsia"/>
                <w:b/>
                <w:sz w:val="24"/>
                <w:szCs w:val="24"/>
              </w:rPr>
              <w:t>验收监测依据</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pStyle w:val="4"/>
              <w:spacing w:line="360" w:lineRule="auto"/>
              <w:jc w:val="both"/>
              <w:rPr>
                <w:rFonts w:ascii="Times New Roman" w:hAnsi="Times New Roman"/>
                <w:bCs w:val="0"/>
                <w:kern w:val="2"/>
                <w:sz w:val="24"/>
                <w:szCs w:val="24"/>
              </w:rPr>
            </w:pPr>
            <w:bookmarkStart w:id="1" w:name="_Toc505687156"/>
            <w:bookmarkStart w:id="2" w:name="_Toc513559084"/>
            <w:r>
              <w:rPr>
                <w:rFonts w:ascii="Times New Roman" w:hAnsi="Times New Roman"/>
                <w:bCs w:val="0"/>
                <w:kern w:val="2"/>
                <w:sz w:val="24"/>
                <w:szCs w:val="24"/>
              </w:rPr>
              <w:t>1</w:t>
            </w:r>
            <w:r>
              <w:rPr>
                <w:rFonts w:hint="eastAsia" w:ascii="Times New Roman" w:hAnsi="Times New Roman"/>
                <w:bCs w:val="0"/>
                <w:kern w:val="2"/>
                <w:sz w:val="24"/>
                <w:szCs w:val="24"/>
                <w:lang w:eastAsia="zh-CN"/>
              </w:rPr>
              <w:t>、</w:t>
            </w:r>
            <w:r>
              <w:rPr>
                <w:rFonts w:ascii="Times New Roman" w:hAnsi="Times New Roman"/>
                <w:bCs w:val="0"/>
                <w:kern w:val="2"/>
                <w:sz w:val="24"/>
                <w:szCs w:val="24"/>
              </w:rPr>
              <w:t>法律、法规</w:t>
            </w:r>
            <w:bookmarkEnd w:id="1"/>
            <w:bookmarkEnd w:id="2"/>
          </w:p>
          <w:p>
            <w:pPr>
              <w:pStyle w:val="111"/>
            </w:pPr>
            <w:r>
              <w:t>（1）《中华人民共和国环境保护法》（2015年1月1日起施行）；</w:t>
            </w:r>
          </w:p>
          <w:p>
            <w:pPr>
              <w:pStyle w:val="111"/>
            </w:pPr>
            <w:r>
              <w:t>（2）《中华人民共和国环境影响评价法》（2018年</w:t>
            </w:r>
            <w:r>
              <w:rPr>
                <w:rFonts w:hint="eastAsia"/>
              </w:rPr>
              <w:t>1</w:t>
            </w:r>
            <w:r>
              <w:t>2月</w:t>
            </w:r>
            <w:r>
              <w:rPr>
                <w:rFonts w:hint="eastAsia"/>
              </w:rPr>
              <w:t>2</w:t>
            </w:r>
            <w:r>
              <w:t>9日起施行）；</w:t>
            </w:r>
          </w:p>
          <w:p>
            <w:pPr>
              <w:pStyle w:val="111"/>
            </w:pPr>
            <w:r>
              <w:t>（3）《中华人民共和国水污染防治法》（2018年</w:t>
            </w:r>
            <w:r>
              <w:rPr>
                <w:rFonts w:hint="eastAsia"/>
              </w:rPr>
              <w:t>1</w:t>
            </w:r>
            <w:r>
              <w:t>月</w:t>
            </w:r>
            <w:r>
              <w:rPr>
                <w:rFonts w:hint="eastAsia"/>
              </w:rPr>
              <w:t>1</w:t>
            </w:r>
            <w:r>
              <w:t>日起施行）；</w:t>
            </w:r>
          </w:p>
          <w:p>
            <w:pPr>
              <w:pStyle w:val="111"/>
            </w:pPr>
            <w:r>
              <w:t>（4）《中华人民共和国大气污染防治法》（2018年10月</w:t>
            </w:r>
            <w:r>
              <w:rPr>
                <w:rFonts w:hint="eastAsia"/>
              </w:rPr>
              <w:t>2</w:t>
            </w:r>
            <w:r>
              <w:t>6日施行）；</w:t>
            </w:r>
          </w:p>
          <w:p>
            <w:pPr>
              <w:pStyle w:val="111"/>
            </w:pPr>
            <w:r>
              <w:t>（5）《中华人民共和国环境噪声污染防治法》（</w:t>
            </w:r>
            <w:r>
              <w:rPr>
                <w:rFonts w:hint="eastAsia"/>
              </w:rPr>
              <w:t>2018年12月29日起施行</w:t>
            </w:r>
            <w:r>
              <w:t>）；</w:t>
            </w:r>
          </w:p>
          <w:p>
            <w:pPr>
              <w:pStyle w:val="111"/>
            </w:pPr>
            <w:r>
              <w:t>（6）《中华人民共和国固体废物污染环境防治法》（2016年11月7日</w:t>
            </w:r>
            <w:r>
              <w:rPr>
                <w:rFonts w:hint="eastAsia"/>
              </w:rPr>
              <w:t>起施行</w:t>
            </w:r>
            <w:r>
              <w:t>）；</w:t>
            </w:r>
          </w:p>
          <w:p>
            <w:pPr>
              <w:pStyle w:val="111"/>
            </w:pPr>
            <w:r>
              <w:t>（7）《建设项目环境保护管理条例》（2017年10月1日起施行）；</w:t>
            </w:r>
          </w:p>
          <w:p>
            <w:pPr>
              <w:pStyle w:val="111"/>
            </w:pPr>
            <w:r>
              <w:t>（8）《安徽省环境保护条例》（2017年11月17日修订，2018年1月1日起施行）。</w:t>
            </w:r>
          </w:p>
          <w:p>
            <w:pPr>
              <w:pStyle w:val="4"/>
              <w:spacing w:line="360" w:lineRule="auto"/>
              <w:jc w:val="both"/>
              <w:rPr>
                <w:rFonts w:ascii="Times New Roman" w:hAnsi="Times New Roman"/>
                <w:bCs w:val="0"/>
                <w:kern w:val="2"/>
                <w:sz w:val="24"/>
                <w:szCs w:val="24"/>
              </w:rPr>
            </w:pPr>
            <w:r>
              <w:rPr>
                <w:rFonts w:ascii="Times New Roman" w:hAnsi="Times New Roman"/>
                <w:bCs w:val="0"/>
                <w:kern w:val="2"/>
                <w:sz w:val="24"/>
                <w:szCs w:val="24"/>
              </w:rPr>
              <w:t>2</w:t>
            </w:r>
            <w:r>
              <w:rPr>
                <w:rFonts w:hint="eastAsia" w:ascii="Times New Roman" w:hAnsi="Times New Roman"/>
                <w:bCs w:val="0"/>
                <w:kern w:val="2"/>
                <w:sz w:val="24"/>
                <w:szCs w:val="24"/>
                <w:lang w:eastAsia="zh-CN"/>
              </w:rPr>
              <w:t>、</w:t>
            </w:r>
            <w:r>
              <w:rPr>
                <w:rFonts w:ascii="Times New Roman" w:hAnsi="Times New Roman"/>
                <w:bCs w:val="0"/>
                <w:kern w:val="2"/>
                <w:sz w:val="24"/>
                <w:szCs w:val="24"/>
              </w:rPr>
              <w:t>验收技术规范</w:t>
            </w:r>
          </w:p>
          <w:p>
            <w:pPr>
              <w:pStyle w:val="111"/>
            </w:pPr>
            <w:r>
              <w:t>（1）《建设项目环境影响评价技术导则  总纲》（HJ2.1-2016）；</w:t>
            </w:r>
          </w:p>
          <w:p>
            <w:pPr>
              <w:pStyle w:val="111"/>
            </w:pPr>
            <w:r>
              <w:t>（2）《环境影响评价技术导则  大气环境》（HJ2.2-2018）；</w:t>
            </w:r>
          </w:p>
          <w:p>
            <w:pPr>
              <w:pStyle w:val="111"/>
            </w:pPr>
            <w:r>
              <w:t>（3）《环境影响评价技术导则  地</w:t>
            </w:r>
            <w:r>
              <w:rPr>
                <w:rFonts w:hint="eastAsia"/>
              </w:rPr>
              <w:t>表</w:t>
            </w:r>
            <w:r>
              <w:t>水环境》（HJ2.3-2018）；</w:t>
            </w:r>
          </w:p>
          <w:p>
            <w:pPr>
              <w:pStyle w:val="111"/>
            </w:pPr>
            <w:r>
              <w:t>（4）《环境影响评价技术导则  地下水环境》（HJ610-2016）；</w:t>
            </w:r>
          </w:p>
          <w:p>
            <w:pPr>
              <w:pStyle w:val="111"/>
            </w:pPr>
            <w:r>
              <w:t>（5）《环境影响评价技术导则  声环境》（HJ2.4-2009）；</w:t>
            </w:r>
          </w:p>
          <w:p>
            <w:pPr>
              <w:pStyle w:val="111"/>
            </w:pPr>
            <w:r>
              <w:t>（6）《环境影响评价技术导则  生态影响》（HJ19-2011）；</w:t>
            </w:r>
          </w:p>
          <w:p>
            <w:pPr>
              <w:pStyle w:val="111"/>
            </w:pPr>
            <w:r>
              <w:rPr>
                <w:rFonts w:hint="eastAsia"/>
              </w:rPr>
              <w:t>（7）</w:t>
            </w:r>
            <w:r>
              <w:t>《建设项目竣工环境保护验收技术指南—污染影响类》生态环境部2018年第9号公告；</w:t>
            </w:r>
          </w:p>
          <w:p>
            <w:pPr>
              <w:pStyle w:val="111"/>
            </w:pPr>
            <w:r>
              <w:t>（</w:t>
            </w:r>
            <w:r>
              <w:rPr>
                <w:rFonts w:hint="eastAsia"/>
              </w:rPr>
              <w:t>8</w:t>
            </w:r>
            <w:r>
              <w:t>）《环境空气质量标准》（GB3095-2012）；</w:t>
            </w:r>
          </w:p>
          <w:p>
            <w:pPr>
              <w:pStyle w:val="111"/>
            </w:pPr>
            <w:r>
              <w:t>（</w:t>
            </w:r>
            <w:r>
              <w:rPr>
                <w:rFonts w:hint="eastAsia"/>
              </w:rPr>
              <w:t>9</w:t>
            </w:r>
            <w:r>
              <w:t>）《声环境质量标准》（GB3096-2008）；</w:t>
            </w:r>
          </w:p>
          <w:p>
            <w:pPr>
              <w:pStyle w:val="111"/>
            </w:pPr>
            <w:r>
              <w:t>（</w:t>
            </w:r>
            <w:r>
              <w:rPr>
                <w:rFonts w:hint="eastAsia"/>
              </w:rPr>
              <w:t>10</w:t>
            </w:r>
            <w:r>
              <w:t>）《地表水环境质量标准》（GB3838-2002）；</w:t>
            </w:r>
          </w:p>
          <w:p>
            <w:pPr>
              <w:pStyle w:val="111"/>
            </w:pPr>
            <w:r>
              <w:t>（1</w:t>
            </w:r>
            <w:r>
              <w:rPr>
                <w:rFonts w:hint="eastAsia"/>
              </w:rPr>
              <w:t>1</w:t>
            </w:r>
            <w:r>
              <w:t>）《污水综合排放标准》（GB8978-1996）；</w:t>
            </w:r>
          </w:p>
          <w:p>
            <w:pPr>
              <w:pStyle w:val="111"/>
            </w:pPr>
            <w:r>
              <w:t>（1</w:t>
            </w:r>
            <w:r>
              <w:rPr>
                <w:rFonts w:hint="eastAsia"/>
              </w:rPr>
              <w:t>2</w:t>
            </w:r>
            <w:r>
              <w:t>）《大气污染物综合排放标准》（GB16297-1996）；</w:t>
            </w:r>
          </w:p>
          <w:p>
            <w:pPr>
              <w:pStyle w:val="111"/>
            </w:pPr>
            <w:r>
              <w:rPr>
                <w:rFonts w:hint="eastAsia"/>
              </w:rPr>
              <w:t>（13）</w:t>
            </w:r>
            <w:r>
              <w:t>《工业企业厂界环境噪声排放标准》（GB12348-2008）；</w:t>
            </w:r>
          </w:p>
          <w:p>
            <w:pPr>
              <w:pStyle w:val="111"/>
            </w:pPr>
            <w:r>
              <w:rPr>
                <w:rFonts w:hint="eastAsia"/>
              </w:rPr>
              <w:t>（14）《危险废物贮存污染控制标准》（GB18597-2001，2</w:t>
            </w:r>
            <w:r>
              <w:t>013</w:t>
            </w:r>
            <w:r>
              <w:rPr>
                <w:rFonts w:hint="eastAsia"/>
              </w:rPr>
              <w:t>年修订）。</w:t>
            </w:r>
          </w:p>
          <w:p>
            <w:pPr>
              <w:pStyle w:val="4"/>
              <w:spacing w:line="360" w:lineRule="auto"/>
              <w:jc w:val="both"/>
              <w:rPr>
                <w:rFonts w:ascii="Times New Roman" w:hAnsi="Times New Roman"/>
                <w:bCs w:val="0"/>
                <w:kern w:val="2"/>
                <w:sz w:val="24"/>
                <w:szCs w:val="24"/>
              </w:rPr>
            </w:pPr>
            <w:bookmarkStart w:id="3" w:name="_Toc505687158"/>
            <w:bookmarkStart w:id="4" w:name="_Toc513559086"/>
            <w:r>
              <w:rPr>
                <w:rFonts w:ascii="Times New Roman" w:hAnsi="Times New Roman"/>
                <w:bCs w:val="0"/>
                <w:kern w:val="2"/>
                <w:sz w:val="24"/>
                <w:szCs w:val="24"/>
              </w:rPr>
              <w:t>3</w:t>
            </w:r>
            <w:r>
              <w:rPr>
                <w:rFonts w:hint="eastAsia" w:ascii="Times New Roman" w:hAnsi="Times New Roman"/>
                <w:bCs w:val="0"/>
                <w:kern w:val="2"/>
                <w:sz w:val="24"/>
                <w:szCs w:val="24"/>
                <w:lang w:eastAsia="zh-CN"/>
              </w:rPr>
              <w:t>、</w:t>
            </w:r>
            <w:r>
              <w:rPr>
                <w:rFonts w:ascii="Times New Roman" w:hAnsi="Times New Roman"/>
                <w:bCs w:val="0"/>
                <w:kern w:val="2"/>
                <w:sz w:val="24"/>
                <w:szCs w:val="24"/>
              </w:rPr>
              <w:t>工程技术文件及批复文件</w:t>
            </w:r>
            <w:bookmarkEnd w:id="3"/>
            <w:bookmarkEnd w:id="4"/>
          </w:p>
          <w:p>
            <w:pPr>
              <w:pStyle w:val="111"/>
            </w:pPr>
            <w:r>
              <w:t>（1）《</w:t>
            </w:r>
            <w:r>
              <w:rPr>
                <w:rFonts w:hint="eastAsia"/>
                <w:lang w:val="en-US" w:eastAsia="zh-CN"/>
              </w:rPr>
              <w:t>安徽的都邦电器有限公司汽车零部件及家电配件生产项目硫化工艺变更环境影响说明</w:t>
            </w:r>
            <w:r>
              <w:t>》</w:t>
            </w:r>
            <w:r>
              <w:rPr>
                <w:rFonts w:hint="eastAsia"/>
              </w:rPr>
              <w:t>，</w:t>
            </w:r>
            <w:r>
              <w:rPr>
                <w:rFonts w:hint="eastAsia"/>
                <w:lang w:val="en-US" w:eastAsia="zh-CN"/>
              </w:rPr>
              <w:t>安徽显闰环境工程有限公司</w:t>
            </w:r>
            <w:r>
              <w:t>；</w:t>
            </w:r>
          </w:p>
          <w:p>
            <w:pPr>
              <w:pStyle w:val="111"/>
            </w:pPr>
            <w:r>
              <w:t>（2）</w:t>
            </w:r>
            <w:r>
              <w:rPr>
                <w:rFonts w:hint="eastAsia"/>
              </w:rPr>
              <w:t>“关于</w:t>
            </w:r>
            <w:r>
              <w:rPr>
                <w:rFonts w:hint="eastAsia"/>
                <w:lang w:val="en-US" w:eastAsia="zh-CN"/>
              </w:rPr>
              <w:t>安徽都邦电器有限公司汽车零部件及家电配件生产项目硫化工艺变更环境影响说明的复函</w:t>
            </w:r>
            <w:r>
              <w:rPr>
                <w:rFonts w:hint="eastAsia"/>
              </w:rPr>
              <w:t>（宁环[20</w:t>
            </w:r>
            <w:r>
              <w:rPr>
                <w:rFonts w:hint="eastAsia"/>
                <w:lang w:val="en-US" w:eastAsia="zh-CN"/>
              </w:rPr>
              <w:t>19</w:t>
            </w:r>
            <w:r>
              <w:rPr>
                <w:rFonts w:hint="eastAsia"/>
              </w:rPr>
              <w:t>]</w:t>
            </w:r>
            <w:r>
              <w:rPr>
                <w:rFonts w:hint="eastAsia"/>
                <w:lang w:val="en-US" w:eastAsia="zh-CN"/>
              </w:rPr>
              <w:t>34</w:t>
            </w:r>
            <w:r>
              <w:rPr>
                <w:rFonts w:hint="eastAsia"/>
              </w:rPr>
              <w:t>号）”，</w:t>
            </w:r>
            <w:r>
              <w:rPr>
                <w:rFonts w:hint="eastAsia"/>
                <w:lang w:val="en-US" w:eastAsia="zh-CN"/>
              </w:rPr>
              <w:t>宁国市环境保护局</w:t>
            </w:r>
            <w:r>
              <w:rPr>
                <w:rFonts w:hint="eastAsia"/>
              </w:rPr>
              <w:t>；</w:t>
            </w:r>
          </w:p>
          <w:p>
            <w:pPr>
              <w:pStyle w:val="111"/>
              <w:rPr>
                <w:rFonts w:hAnsi="宋体"/>
              </w:rPr>
            </w:pPr>
            <w:r>
              <w:t>（3）</w:t>
            </w:r>
            <w:r>
              <w:rPr>
                <w:rFonts w:hint="eastAsia"/>
                <w:lang w:val="en-US" w:eastAsia="zh-CN"/>
              </w:rPr>
              <w:t>安徽都邦电器有限公司</w:t>
            </w:r>
            <w:r>
              <w:t>环保设计资料、工程竣工资料等其它相关资料。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6" w:hRule="atLeast"/>
          <w:jc w:val="center"/>
        </w:trPr>
        <w:tc>
          <w:tcPr>
            <w:tcW w:w="94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sz w:val="24"/>
                <w:szCs w:val="24"/>
              </w:rPr>
            </w:pPr>
            <w:r>
              <w:rPr>
                <w:b/>
                <w:sz w:val="24"/>
                <w:szCs w:val="24"/>
              </w:rPr>
              <w:t>验收监测</w:t>
            </w:r>
          </w:p>
          <w:p>
            <w:pPr>
              <w:adjustRightInd w:val="0"/>
              <w:snapToGrid w:val="0"/>
              <w:jc w:val="center"/>
              <w:rPr>
                <w:b/>
                <w:sz w:val="24"/>
                <w:szCs w:val="24"/>
              </w:rPr>
            </w:pPr>
            <w:r>
              <w:rPr>
                <w:b/>
                <w:sz w:val="24"/>
                <w:szCs w:val="24"/>
              </w:rPr>
              <w:t>评价标准</w:t>
            </w:r>
          </w:p>
        </w:tc>
        <w:tc>
          <w:tcPr>
            <w:tcW w:w="4050" w:type="pct"/>
            <w:gridSpan w:val="5"/>
            <w:tcBorders>
              <w:top w:val="single" w:color="auto" w:sz="4" w:space="0"/>
              <w:left w:val="single" w:color="auto" w:sz="4" w:space="0"/>
              <w:bottom w:val="single" w:color="auto" w:sz="4" w:space="0"/>
              <w:right w:val="single" w:color="auto" w:sz="8" w:space="0"/>
            </w:tcBorders>
            <w:vAlign w:val="center"/>
          </w:tcPr>
          <w:p>
            <w:pPr>
              <w:pStyle w:val="111"/>
            </w:pPr>
            <w:r>
              <w:t>验收执行标准引用</w:t>
            </w:r>
            <w:r>
              <w:rPr>
                <w:rFonts w:hint="eastAsia"/>
                <w:lang w:val="en-US" w:eastAsia="zh-CN"/>
              </w:rPr>
              <w:t>环境影响说明</w:t>
            </w:r>
            <w:r>
              <w:t>中相关标准，具体如下：</w:t>
            </w:r>
          </w:p>
          <w:p>
            <w:pPr>
              <w:pStyle w:val="111"/>
            </w:pPr>
            <w:r>
              <w:rPr>
                <w:rFonts w:hint="eastAsia"/>
              </w:rPr>
              <w:t>（1）废气</w:t>
            </w:r>
          </w:p>
          <w:p>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jc w:val="left"/>
              <w:textAlignment w:val="auto"/>
              <w:rPr>
                <w:rFonts w:hint="eastAsia" w:ascii="宋体" w:hAnsi="宋体"/>
                <w:kern w:val="0"/>
                <w:sz w:val="24"/>
                <w:szCs w:val="24"/>
                <w:lang w:val="en-US" w:eastAsia="zh-CN"/>
              </w:rPr>
            </w:pPr>
            <w:r>
              <w:rPr>
                <w:rFonts w:hint="default" w:ascii="Times New Roman" w:hAnsi="Times New Roman" w:cs="Times New Roman"/>
                <w:kern w:val="0"/>
                <w:sz w:val="24"/>
                <w:szCs w:val="24"/>
                <w:lang w:val="en-US" w:eastAsia="zh-CN"/>
              </w:rPr>
              <w:t>项目工艺废气排放执行《橡胶制品工业污染物排放标准》(GB27632-2011)新建企业大气污染物排放限值；硫化氢废气排放须执行《恶臭污染物排放标准》(GB14554-93) 中二级标准</w:t>
            </w: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锅炉废气排放执行《锅炉大气污染物排放标准》(GB13271-2014)中表3的特别品排放限值标准</w:t>
            </w: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 xml:space="preserve">食堂油烟排放须满足《饮食业油烟排放标准》(GB18483-2001) </w:t>
            </w:r>
            <w:r>
              <w:rPr>
                <w:rFonts w:hint="eastAsia" w:ascii="宋体" w:hAnsi="宋体"/>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b/>
                <w:bCs w:val="0"/>
                <w:color w:val="auto"/>
                <w:kern w:val="2"/>
                <w:sz w:val="24"/>
                <w:szCs w:val="24"/>
                <w:lang w:val="en-US" w:eastAsia="zh-CN" w:bidi="ar-SA"/>
              </w:rPr>
            </w:pPr>
            <w:r>
              <w:rPr>
                <w:rFonts w:hint="default" w:ascii="Times New Roman" w:hAnsi="Times New Roman" w:cs="Times New Roman"/>
                <w:b/>
                <w:bCs w:val="0"/>
                <w:color w:val="auto"/>
                <w:kern w:val="2"/>
                <w:sz w:val="21"/>
                <w:szCs w:val="21"/>
                <w:lang w:val="en-US" w:eastAsia="zh-CN" w:bidi="ar-SA"/>
              </w:rPr>
              <w:t>表</w:t>
            </w:r>
            <w:r>
              <w:rPr>
                <w:rFonts w:hint="eastAsia" w:cs="Times New Roman"/>
                <w:b/>
                <w:bCs w:val="0"/>
                <w:color w:val="auto"/>
                <w:kern w:val="2"/>
                <w:sz w:val="21"/>
                <w:szCs w:val="21"/>
                <w:lang w:val="en-US" w:eastAsia="zh-CN" w:bidi="ar-SA"/>
              </w:rPr>
              <w:t>1</w:t>
            </w:r>
            <w:r>
              <w:rPr>
                <w:rFonts w:hint="default" w:ascii="Times New Roman" w:hAnsi="Times New Roman" w:cs="Times New Roman"/>
                <w:b/>
                <w:bCs w:val="0"/>
                <w:color w:val="auto"/>
                <w:kern w:val="2"/>
                <w:sz w:val="21"/>
                <w:szCs w:val="21"/>
                <w:lang w:val="en-US" w:eastAsia="zh-CN" w:bidi="ar-SA"/>
              </w:rPr>
              <w:t>-</w:t>
            </w:r>
            <w:r>
              <w:rPr>
                <w:rFonts w:hint="eastAsia" w:cs="Times New Roman"/>
                <w:b/>
                <w:bCs w:val="0"/>
                <w:color w:val="auto"/>
                <w:kern w:val="2"/>
                <w:sz w:val="21"/>
                <w:szCs w:val="21"/>
                <w:lang w:val="en-US" w:eastAsia="zh-CN" w:bidi="ar-SA"/>
              </w:rPr>
              <w:t>1</w:t>
            </w:r>
            <w:r>
              <w:rPr>
                <w:rFonts w:hint="default" w:ascii="Times New Roman" w:hAnsi="Times New Roman" w:cs="Times New Roman"/>
                <w:b/>
                <w:bCs w:val="0"/>
                <w:color w:val="auto"/>
                <w:kern w:val="2"/>
                <w:sz w:val="21"/>
                <w:szCs w:val="21"/>
                <w:lang w:val="en-US" w:eastAsia="zh-CN" w:bidi="ar-SA"/>
              </w:rPr>
              <w:t xml:space="preserve"> </w:t>
            </w:r>
            <w:r>
              <w:rPr>
                <w:rFonts w:hint="eastAsia" w:ascii="宋体" w:hAnsi="宋体"/>
                <w:b/>
                <w:bCs w:val="0"/>
                <w:color w:val="auto"/>
                <w:kern w:val="2"/>
                <w:sz w:val="21"/>
                <w:szCs w:val="21"/>
                <w:lang w:val="en-US" w:eastAsia="zh-CN" w:bidi="ar-SA"/>
              </w:rPr>
              <w:t>大气污染物排放标准限值</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17"/>
              <w:gridCol w:w="759"/>
              <w:gridCol w:w="835"/>
              <w:gridCol w:w="861"/>
              <w:gridCol w:w="762"/>
              <w:gridCol w:w="650"/>
              <w:gridCol w:w="711"/>
              <w:gridCol w:w="1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48" w:hRule="exact"/>
                <w:jc w:val="center"/>
              </w:trPr>
              <w:tc>
                <w:tcPr>
                  <w:tcW w:w="491" w:type="pct"/>
                  <w:vMerge w:val="restart"/>
                  <w:noWrap w:val="0"/>
                  <w:vAlign w:val="center"/>
                </w:tcPr>
                <w:p>
                  <w:pPr>
                    <w:widowControl/>
                    <w:adjustRightInd w:val="0"/>
                    <w:snapToGrid w:val="0"/>
                    <w:jc w:val="center"/>
                    <w:rPr>
                      <w:rFonts w:hint="eastAsia" w:eastAsia="宋体"/>
                      <w:b/>
                      <w:bCs/>
                      <w:color w:val="auto"/>
                      <w:kern w:val="0"/>
                      <w:sz w:val="21"/>
                      <w:szCs w:val="21"/>
                      <w:lang w:eastAsia="zh-CN"/>
                    </w:rPr>
                  </w:pPr>
                  <w:r>
                    <w:rPr>
                      <w:rFonts w:hint="eastAsia"/>
                      <w:b/>
                      <w:bCs/>
                      <w:color w:val="auto"/>
                      <w:kern w:val="0"/>
                      <w:sz w:val="21"/>
                      <w:szCs w:val="21"/>
                      <w:lang w:eastAsia="zh-CN"/>
                    </w:rPr>
                    <w:t>工艺设施</w:t>
                  </w:r>
                </w:p>
              </w:tc>
              <w:tc>
                <w:tcPr>
                  <w:tcW w:w="520" w:type="pct"/>
                  <w:vMerge w:val="restart"/>
                  <w:noWrap w:val="0"/>
                  <w:vAlign w:val="center"/>
                </w:tcPr>
                <w:p>
                  <w:pPr>
                    <w:widowControl/>
                    <w:adjustRightInd w:val="0"/>
                    <w:snapToGrid w:val="0"/>
                    <w:jc w:val="center"/>
                    <w:rPr>
                      <w:rFonts w:hint="eastAsia" w:eastAsia="宋体"/>
                      <w:b/>
                      <w:bCs/>
                      <w:color w:val="auto"/>
                      <w:sz w:val="21"/>
                      <w:szCs w:val="21"/>
                      <w:lang w:val="en-US" w:eastAsia="zh-CN"/>
                    </w:rPr>
                  </w:pPr>
                  <w:r>
                    <w:rPr>
                      <w:b/>
                      <w:bCs/>
                      <w:color w:val="auto"/>
                      <w:kern w:val="0"/>
                      <w:sz w:val="21"/>
                      <w:szCs w:val="21"/>
                    </w:rPr>
                    <w:t>污染物</w:t>
                  </w:r>
                </w:p>
              </w:tc>
              <w:tc>
                <w:tcPr>
                  <w:tcW w:w="572" w:type="pct"/>
                  <w:vMerge w:val="restart"/>
                  <w:noWrap w:val="0"/>
                  <w:vAlign w:val="center"/>
                </w:tcPr>
                <w:p>
                  <w:pPr>
                    <w:widowControl/>
                    <w:adjustRightInd w:val="0"/>
                    <w:snapToGrid w:val="0"/>
                    <w:jc w:val="center"/>
                    <w:rPr>
                      <w:b/>
                      <w:bCs/>
                      <w:color w:val="auto"/>
                    </w:rPr>
                  </w:pPr>
                  <w:r>
                    <w:rPr>
                      <w:b/>
                      <w:bCs/>
                      <w:color w:val="auto"/>
                      <w:kern w:val="0"/>
                      <w:sz w:val="21"/>
                      <w:szCs w:val="21"/>
                    </w:rPr>
                    <w:t>最高允许排放浓度mg/m</w:t>
                  </w:r>
                  <w:r>
                    <w:rPr>
                      <w:b/>
                      <w:bCs/>
                      <w:color w:val="auto"/>
                      <w:kern w:val="0"/>
                      <w:sz w:val="21"/>
                      <w:szCs w:val="21"/>
                      <w:vertAlign w:val="superscript"/>
                    </w:rPr>
                    <w:t>3</w:t>
                  </w:r>
                </w:p>
              </w:tc>
              <w:tc>
                <w:tcPr>
                  <w:tcW w:w="590" w:type="pct"/>
                  <w:vMerge w:val="restart"/>
                  <w:noWrap w:val="0"/>
                  <w:vAlign w:val="center"/>
                </w:tcPr>
                <w:p>
                  <w:pPr>
                    <w:widowControl/>
                    <w:adjustRightInd w:val="0"/>
                    <w:snapToGrid w:val="0"/>
                    <w:jc w:val="center"/>
                    <w:rPr>
                      <w:b/>
                      <w:bCs/>
                      <w:color w:val="auto"/>
                      <w:kern w:val="0"/>
                      <w:sz w:val="21"/>
                      <w:szCs w:val="21"/>
                    </w:rPr>
                  </w:pPr>
                  <w:r>
                    <w:rPr>
                      <w:b/>
                      <w:bCs/>
                      <w:color w:val="auto"/>
                      <w:kern w:val="0"/>
                      <w:sz w:val="21"/>
                      <w:szCs w:val="21"/>
                    </w:rPr>
                    <w:t>最高允许排放速率（kg/h）</w:t>
                  </w:r>
                </w:p>
              </w:tc>
              <w:tc>
                <w:tcPr>
                  <w:tcW w:w="522" w:type="pct"/>
                  <w:vMerge w:val="restart"/>
                  <w:noWrap w:val="0"/>
                  <w:vAlign w:val="center"/>
                </w:tcPr>
                <w:p>
                  <w:pPr>
                    <w:widowControl/>
                    <w:adjustRightInd w:val="0"/>
                    <w:snapToGrid w:val="0"/>
                    <w:jc w:val="center"/>
                    <w:rPr>
                      <w:rFonts w:hint="eastAsia" w:eastAsia="宋体"/>
                      <w:b/>
                      <w:bCs/>
                      <w:color w:val="auto"/>
                      <w:kern w:val="0"/>
                      <w:sz w:val="21"/>
                      <w:szCs w:val="21"/>
                      <w:lang w:eastAsia="zh-CN"/>
                    </w:rPr>
                  </w:pPr>
                  <w:r>
                    <w:rPr>
                      <w:rFonts w:hint="eastAsia"/>
                      <w:b/>
                      <w:bCs/>
                      <w:color w:val="auto"/>
                      <w:kern w:val="0"/>
                      <w:sz w:val="21"/>
                      <w:szCs w:val="21"/>
                      <w:lang w:eastAsia="zh-CN"/>
                    </w:rPr>
                    <w:t>基准排气量</w:t>
                  </w:r>
                  <w:r>
                    <w:rPr>
                      <w:b/>
                      <w:bCs/>
                      <w:color w:val="auto"/>
                      <w:kern w:val="0"/>
                      <w:sz w:val="21"/>
                      <w:szCs w:val="21"/>
                    </w:rPr>
                    <w:t>（</w:t>
                  </w:r>
                  <w:r>
                    <w:rPr>
                      <w:rFonts w:hint="eastAsia"/>
                      <w:b/>
                      <w:bCs/>
                      <w:color w:val="auto"/>
                      <w:kern w:val="0"/>
                      <w:sz w:val="21"/>
                      <w:szCs w:val="21"/>
                      <w:lang w:val="en-US" w:eastAsia="zh-CN"/>
                    </w:rPr>
                    <w:t>m</w:t>
                  </w:r>
                  <w:r>
                    <w:rPr>
                      <w:rFonts w:hint="eastAsia"/>
                      <w:b/>
                      <w:bCs/>
                      <w:color w:val="auto"/>
                      <w:kern w:val="0"/>
                      <w:sz w:val="21"/>
                      <w:szCs w:val="21"/>
                      <w:vertAlign w:val="superscript"/>
                      <w:lang w:val="en-US" w:eastAsia="zh-CN"/>
                    </w:rPr>
                    <w:t>3</w:t>
                  </w:r>
                  <w:r>
                    <w:rPr>
                      <w:b/>
                      <w:bCs/>
                      <w:color w:val="auto"/>
                      <w:kern w:val="0"/>
                      <w:sz w:val="21"/>
                      <w:szCs w:val="21"/>
                    </w:rPr>
                    <w:t>/</w:t>
                  </w:r>
                  <w:r>
                    <w:rPr>
                      <w:rFonts w:hint="eastAsia"/>
                      <w:b/>
                      <w:bCs/>
                      <w:color w:val="auto"/>
                      <w:kern w:val="0"/>
                      <w:sz w:val="21"/>
                      <w:szCs w:val="21"/>
                      <w:lang w:val="en-US" w:eastAsia="zh-CN"/>
                    </w:rPr>
                    <w:t>t胶</w:t>
                  </w:r>
                  <w:r>
                    <w:rPr>
                      <w:b/>
                      <w:bCs/>
                      <w:color w:val="auto"/>
                      <w:kern w:val="0"/>
                      <w:sz w:val="21"/>
                      <w:szCs w:val="21"/>
                    </w:rPr>
                    <w:t>）</w:t>
                  </w:r>
                </w:p>
              </w:tc>
              <w:tc>
                <w:tcPr>
                  <w:tcW w:w="932" w:type="pct"/>
                  <w:gridSpan w:val="2"/>
                  <w:noWrap w:val="0"/>
                  <w:vAlign w:val="center"/>
                </w:tcPr>
                <w:p>
                  <w:pPr>
                    <w:widowControl/>
                    <w:adjustRightInd w:val="0"/>
                    <w:snapToGrid w:val="0"/>
                    <w:jc w:val="center"/>
                    <w:rPr>
                      <w:b/>
                      <w:bCs/>
                      <w:color w:val="auto"/>
                      <w:kern w:val="0"/>
                      <w:sz w:val="21"/>
                      <w:szCs w:val="21"/>
                    </w:rPr>
                  </w:pPr>
                  <w:r>
                    <w:rPr>
                      <w:b/>
                      <w:bCs/>
                      <w:color w:val="auto"/>
                      <w:kern w:val="0"/>
                      <w:sz w:val="21"/>
                      <w:szCs w:val="21"/>
                    </w:rPr>
                    <w:t>无组织排放监控浓度限值</w:t>
                  </w:r>
                </w:p>
              </w:tc>
              <w:tc>
                <w:tcPr>
                  <w:tcW w:w="1370" w:type="pct"/>
                  <w:vMerge w:val="restart"/>
                  <w:noWrap w:val="0"/>
                  <w:vAlign w:val="center"/>
                </w:tcPr>
                <w:p>
                  <w:pPr>
                    <w:adjustRightInd w:val="0"/>
                    <w:snapToGrid w:val="0"/>
                    <w:jc w:val="center"/>
                    <w:rPr>
                      <w:rFonts w:hint="eastAsia" w:eastAsia="宋体"/>
                      <w:color w:val="auto"/>
                      <w:kern w:val="0"/>
                      <w:sz w:val="21"/>
                      <w:szCs w:val="21"/>
                      <w:lang w:eastAsia="zh-CN"/>
                    </w:rPr>
                  </w:pPr>
                  <w:r>
                    <w:rPr>
                      <w:rFonts w:hint="eastAsia"/>
                      <w:b/>
                      <w:bCs/>
                      <w:color w:val="auto"/>
                      <w:kern w:val="0"/>
                      <w:sz w:val="21"/>
                      <w:szCs w:val="21"/>
                      <w:lang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86" w:hRule="exact"/>
                <w:jc w:val="center"/>
              </w:trPr>
              <w:tc>
                <w:tcPr>
                  <w:tcW w:w="491" w:type="pct"/>
                  <w:vMerge w:val="continue"/>
                  <w:noWrap w:val="0"/>
                  <w:vAlign w:val="center"/>
                </w:tcPr>
                <w:p>
                  <w:pPr>
                    <w:widowControl/>
                    <w:adjustRightInd w:val="0"/>
                    <w:snapToGrid w:val="0"/>
                    <w:jc w:val="center"/>
                    <w:rPr>
                      <w:b/>
                      <w:bCs/>
                      <w:color w:val="auto"/>
                      <w:kern w:val="0"/>
                      <w:sz w:val="21"/>
                      <w:szCs w:val="21"/>
                    </w:rPr>
                  </w:pPr>
                </w:p>
              </w:tc>
              <w:tc>
                <w:tcPr>
                  <w:tcW w:w="520" w:type="pct"/>
                  <w:vMerge w:val="continue"/>
                  <w:noWrap w:val="0"/>
                  <w:vAlign w:val="center"/>
                </w:tcPr>
                <w:p>
                  <w:pPr>
                    <w:adjustRightInd w:val="0"/>
                    <w:snapToGrid w:val="0"/>
                    <w:jc w:val="center"/>
                    <w:rPr>
                      <w:b/>
                      <w:bCs/>
                      <w:color w:val="auto"/>
                      <w:kern w:val="0"/>
                      <w:sz w:val="21"/>
                      <w:szCs w:val="21"/>
                    </w:rPr>
                  </w:pPr>
                </w:p>
              </w:tc>
              <w:tc>
                <w:tcPr>
                  <w:tcW w:w="572" w:type="pct"/>
                  <w:vMerge w:val="continue"/>
                  <w:noWrap w:val="0"/>
                  <w:vAlign w:val="center"/>
                </w:tcPr>
                <w:p>
                  <w:pPr>
                    <w:adjustRightInd w:val="0"/>
                    <w:snapToGrid w:val="0"/>
                    <w:jc w:val="center"/>
                    <w:rPr>
                      <w:b/>
                      <w:bCs/>
                      <w:color w:val="auto"/>
                    </w:rPr>
                  </w:pPr>
                </w:p>
              </w:tc>
              <w:tc>
                <w:tcPr>
                  <w:tcW w:w="590" w:type="pct"/>
                  <w:vMerge w:val="continue"/>
                  <w:noWrap w:val="0"/>
                  <w:vAlign w:val="center"/>
                </w:tcPr>
                <w:p>
                  <w:pPr>
                    <w:widowControl/>
                    <w:adjustRightInd w:val="0"/>
                    <w:snapToGrid w:val="0"/>
                    <w:jc w:val="center"/>
                    <w:rPr>
                      <w:b/>
                      <w:bCs/>
                      <w:color w:val="auto"/>
                      <w:kern w:val="0"/>
                      <w:sz w:val="21"/>
                      <w:szCs w:val="21"/>
                    </w:rPr>
                  </w:pPr>
                </w:p>
              </w:tc>
              <w:tc>
                <w:tcPr>
                  <w:tcW w:w="522" w:type="pct"/>
                  <w:vMerge w:val="continue"/>
                  <w:noWrap w:val="0"/>
                  <w:vAlign w:val="center"/>
                </w:tcPr>
                <w:p>
                  <w:pPr>
                    <w:widowControl/>
                    <w:adjustRightInd w:val="0"/>
                    <w:snapToGrid w:val="0"/>
                    <w:jc w:val="center"/>
                    <w:rPr>
                      <w:b/>
                      <w:bCs/>
                      <w:color w:val="auto"/>
                      <w:kern w:val="0"/>
                      <w:sz w:val="21"/>
                      <w:szCs w:val="21"/>
                    </w:rPr>
                  </w:pPr>
                </w:p>
              </w:tc>
              <w:tc>
                <w:tcPr>
                  <w:tcW w:w="445" w:type="pct"/>
                  <w:noWrap w:val="0"/>
                  <w:vAlign w:val="center"/>
                </w:tcPr>
                <w:p>
                  <w:pPr>
                    <w:widowControl/>
                    <w:adjustRightInd w:val="0"/>
                    <w:snapToGrid w:val="0"/>
                    <w:jc w:val="center"/>
                    <w:rPr>
                      <w:b/>
                      <w:bCs/>
                      <w:color w:val="auto"/>
                      <w:kern w:val="0"/>
                      <w:sz w:val="21"/>
                      <w:szCs w:val="21"/>
                    </w:rPr>
                  </w:pPr>
                  <w:r>
                    <w:rPr>
                      <w:b/>
                      <w:bCs/>
                      <w:color w:val="auto"/>
                      <w:kern w:val="0"/>
                      <w:sz w:val="21"/>
                      <w:szCs w:val="21"/>
                    </w:rPr>
                    <w:t>监控点</w:t>
                  </w:r>
                </w:p>
              </w:tc>
              <w:tc>
                <w:tcPr>
                  <w:tcW w:w="487" w:type="pct"/>
                  <w:noWrap w:val="0"/>
                  <w:vAlign w:val="center"/>
                </w:tcPr>
                <w:p>
                  <w:pPr>
                    <w:adjustRightInd w:val="0"/>
                    <w:snapToGrid w:val="0"/>
                    <w:jc w:val="center"/>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1370" w:type="pct"/>
                  <w:vMerge w:val="continue"/>
                  <w:noWrap w:val="0"/>
                  <w:vAlign w:val="center"/>
                </w:tcPr>
                <w:p>
                  <w:pPr>
                    <w:adjustRightInd w:val="0"/>
                    <w:snapToGrid w:val="0"/>
                    <w:jc w:val="center"/>
                    <w:rPr>
                      <w:rFonts w:hint="eastAsia" w:eastAsia="宋体"/>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98" w:hRule="exact"/>
                <w:jc w:val="center"/>
              </w:trPr>
              <w:tc>
                <w:tcPr>
                  <w:tcW w:w="491" w:type="pct"/>
                  <w:vMerge w:val="restart"/>
                  <w:noWrap w:val="0"/>
                  <w:vAlign w:val="center"/>
                </w:tcPr>
                <w:p>
                  <w:pPr>
                    <w:widowControl/>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硫化设备</w:t>
                  </w:r>
                </w:p>
              </w:tc>
              <w:tc>
                <w:tcPr>
                  <w:tcW w:w="520" w:type="pct"/>
                  <w:noWrap w:val="0"/>
                  <w:vAlign w:val="center"/>
                </w:tcPr>
                <w:p>
                  <w:pPr>
                    <w:widowControl/>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非甲烷总烃</w:t>
                  </w:r>
                </w:p>
              </w:tc>
              <w:tc>
                <w:tcPr>
                  <w:tcW w:w="572" w:type="pct"/>
                  <w:noWrap w:val="0"/>
                  <w:vAlign w:val="center"/>
                </w:tcPr>
                <w:p>
                  <w:pPr>
                    <w:widowControl/>
                    <w:adjustRightInd w:val="0"/>
                    <w:snapToGrid w:val="0"/>
                    <w:jc w:val="center"/>
                    <w:rPr>
                      <w:rFonts w:hint="default" w:eastAsia="宋体"/>
                      <w:color w:val="auto"/>
                      <w:lang w:val="en-US" w:eastAsia="zh-CN"/>
                    </w:rPr>
                  </w:pPr>
                  <w:r>
                    <w:rPr>
                      <w:rFonts w:hint="eastAsia" w:eastAsia="宋体"/>
                      <w:color w:val="auto"/>
                      <w:lang w:val="en-US" w:eastAsia="zh-CN"/>
                    </w:rPr>
                    <w:t>10</w:t>
                  </w:r>
                </w:p>
              </w:tc>
              <w:tc>
                <w:tcPr>
                  <w:tcW w:w="590" w:type="pct"/>
                  <w:noWrap w:val="0"/>
                  <w:vAlign w:val="center"/>
                </w:tcPr>
                <w:p>
                  <w:pPr>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w:t>
                  </w:r>
                </w:p>
              </w:tc>
              <w:tc>
                <w:tcPr>
                  <w:tcW w:w="522" w:type="pct"/>
                  <w:noWrap w:val="0"/>
                  <w:vAlign w:val="center"/>
                </w:tcPr>
                <w:p>
                  <w:pPr>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2000</w:t>
                  </w:r>
                </w:p>
              </w:tc>
              <w:tc>
                <w:tcPr>
                  <w:tcW w:w="445" w:type="pct"/>
                  <w:vMerge w:val="restart"/>
                  <w:noWrap w:val="0"/>
                  <w:vAlign w:val="center"/>
                </w:tcPr>
                <w:p>
                  <w:pPr>
                    <w:widowControl/>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厂界</w:t>
                  </w:r>
                </w:p>
              </w:tc>
              <w:tc>
                <w:tcPr>
                  <w:tcW w:w="487" w:type="pct"/>
                  <w:noWrap w:val="0"/>
                  <w:vAlign w:val="center"/>
                </w:tcPr>
                <w:p>
                  <w:pPr>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4.0</w:t>
                  </w:r>
                </w:p>
              </w:tc>
              <w:tc>
                <w:tcPr>
                  <w:tcW w:w="1370" w:type="pct"/>
                  <w:noWrap w:val="0"/>
                  <w:vAlign w:val="center"/>
                </w:tcPr>
                <w:p>
                  <w:pPr>
                    <w:adjustRightInd w:val="0"/>
                    <w:snapToGrid w:val="0"/>
                    <w:jc w:val="center"/>
                    <w:rPr>
                      <w:rFonts w:hint="eastAsia"/>
                      <w:color w:val="auto"/>
                      <w:kern w:val="0"/>
                      <w:sz w:val="21"/>
                      <w:szCs w:val="21"/>
                      <w:lang w:val="en-US" w:eastAsia="zh-CN"/>
                    </w:rPr>
                  </w:pPr>
                  <w:r>
                    <w:rPr>
                      <w:rFonts w:hint="eastAsia" w:ascii="Times New Roman" w:hAnsi="Times New Roman" w:cs="Times New Roman"/>
                      <w:bCs/>
                      <w:color w:val="auto"/>
                      <w:kern w:val="2"/>
                      <w:sz w:val="21"/>
                      <w:szCs w:val="21"/>
                      <w:lang w:val="en-US" w:eastAsia="zh-CN" w:bidi="ar-SA"/>
                    </w:rPr>
                    <w:t>《橡胶制品工业污染物排放标准》（GB27632-2011）表5及表6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4" w:hRule="exact"/>
                <w:jc w:val="center"/>
              </w:trPr>
              <w:tc>
                <w:tcPr>
                  <w:tcW w:w="491" w:type="pct"/>
                  <w:vMerge w:val="continue"/>
                  <w:noWrap w:val="0"/>
                  <w:vAlign w:val="center"/>
                </w:tcPr>
                <w:p>
                  <w:pPr>
                    <w:widowControl/>
                    <w:adjustRightInd w:val="0"/>
                    <w:snapToGrid w:val="0"/>
                    <w:jc w:val="center"/>
                    <w:rPr>
                      <w:rFonts w:hint="eastAsia" w:eastAsia="宋体"/>
                      <w:color w:val="auto"/>
                      <w:kern w:val="0"/>
                      <w:sz w:val="21"/>
                      <w:szCs w:val="21"/>
                      <w:lang w:val="en-US" w:eastAsia="zh-CN"/>
                    </w:rPr>
                  </w:pPr>
                </w:p>
              </w:tc>
              <w:tc>
                <w:tcPr>
                  <w:tcW w:w="520" w:type="pct"/>
                  <w:noWrap w:val="0"/>
                  <w:vAlign w:val="center"/>
                </w:tcPr>
                <w:p>
                  <w:pPr>
                    <w:widowControl/>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H</w:t>
                  </w:r>
                  <w:r>
                    <w:rPr>
                      <w:rFonts w:hint="eastAsia" w:eastAsia="宋体"/>
                      <w:color w:val="auto"/>
                      <w:kern w:val="0"/>
                      <w:sz w:val="21"/>
                      <w:szCs w:val="21"/>
                      <w:vertAlign w:val="subscript"/>
                      <w:lang w:val="en-US" w:eastAsia="zh-CN"/>
                    </w:rPr>
                    <w:t>2</w:t>
                  </w:r>
                  <w:r>
                    <w:rPr>
                      <w:rFonts w:hint="eastAsia" w:eastAsia="宋体"/>
                      <w:color w:val="auto"/>
                      <w:kern w:val="0"/>
                      <w:sz w:val="21"/>
                      <w:szCs w:val="21"/>
                      <w:lang w:val="en-US" w:eastAsia="zh-CN"/>
                    </w:rPr>
                    <w:t>S</w:t>
                  </w:r>
                </w:p>
              </w:tc>
              <w:tc>
                <w:tcPr>
                  <w:tcW w:w="572" w:type="pct"/>
                  <w:noWrap w:val="0"/>
                  <w:vAlign w:val="center"/>
                </w:tcPr>
                <w:p>
                  <w:pPr>
                    <w:widowControl/>
                    <w:adjustRightInd w:val="0"/>
                    <w:snapToGrid w:val="0"/>
                    <w:jc w:val="center"/>
                    <w:rPr>
                      <w:rFonts w:hint="default" w:eastAsia="宋体"/>
                      <w:color w:val="auto"/>
                      <w:lang w:val="en-US" w:eastAsia="zh-CN"/>
                    </w:rPr>
                  </w:pPr>
                  <w:r>
                    <w:rPr>
                      <w:rFonts w:hint="eastAsia" w:eastAsia="宋体"/>
                      <w:color w:val="auto"/>
                      <w:lang w:val="en-US" w:eastAsia="zh-CN"/>
                    </w:rPr>
                    <w:t>/</w:t>
                  </w:r>
                </w:p>
              </w:tc>
              <w:tc>
                <w:tcPr>
                  <w:tcW w:w="590" w:type="pct"/>
                  <w:noWrap w:val="0"/>
                  <w:vAlign w:val="center"/>
                </w:tcPr>
                <w:p>
                  <w:pPr>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0.33</w:t>
                  </w:r>
                </w:p>
              </w:tc>
              <w:tc>
                <w:tcPr>
                  <w:tcW w:w="522" w:type="pct"/>
                  <w:noWrap w:val="0"/>
                  <w:vAlign w:val="center"/>
                </w:tcPr>
                <w:p>
                  <w:pPr>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w:t>
                  </w:r>
                </w:p>
              </w:tc>
              <w:tc>
                <w:tcPr>
                  <w:tcW w:w="445" w:type="pct"/>
                  <w:vMerge w:val="continue"/>
                  <w:noWrap w:val="0"/>
                  <w:vAlign w:val="center"/>
                </w:tcPr>
                <w:p>
                  <w:pPr>
                    <w:widowControl/>
                    <w:adjustRightInd w:val="0"/>
                    <w:snapToGrid w:val="0"/>
                    <w:jc w:val="center"/>
                    <w:rPr>
                      <w:rFonts w:hint="eastAsia"/>
                      <w:color w:val="auto"/>
                      <w:kern w:val="0"/>
                      <w:sz w:val="21"/>
                      <w:szCs w:val="21"/>
                    </w:rPr>
                  </w:pPr>
                </w:p>
              </w:tc>
              <w:tc>
                <w:tcPr>
                  <w:tcW w:w="487" w:type="pct"/>
                  <w:noWrap w:val="0"/>
                  <w:vAlign w:val="center"/>
                </w:tcPr>
                <w:p>
                  <w:pPr>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1370" w:type="pct"/>
                  <w:vMerge w:val="restart"/>
                  <w:noWrap w:val="0"/>
                  <w:vAlign w:val="center"/>
                </w:tcPr>
                <w:p>
                  <w:pPr>
                    <w:adjustRightInd w:val="0"/>
                    <w:snapToGrid w:val="0"/>
                    <w:jc w:val="center"/>
                    <w:rPr>
                      <w:rFonts w:hint="default" w:eastAsia="宋体"/>
                      <w:color w:val="auto"/>
                      <w:kern w:val="0"/>
                      <w:sz w:val="21"/>
                      <w:szCs w:val="21"/>
                      <w:lang w:val="en-US" w:eastAsia="zh-CN"/>
                    </w:rPr>
                  </w:pPr>
                  <w:r>
                    <w:rPr>
                      <w:color w:val="auto"/>
                      <w:szCs w:val="21"/>
                    </w:rPr>
                    <w:t>《恶臭污染物排放标准》（GB14554-93）</w:t>
                  </w:r>
                  <w:r>
                    <w:rPr>
                      <w:rFonts w:hint="eastAsia"/>
                      <w:color w:val="auto"/>
                      <w:szCs w:val="21"/>
                      <w:lang w:eastAsia="zh-CN"/>
                    </w:rPr>
                    <w:t>表</w:t>
                  </w:r>
                  <w:r>
                    <w:rPr>
                      <w:rFonts w:hint="eastAsia"/>
                      <w:color w:val="auto"/>
                      <w:szCs w:val="21"/>
                      <w:lang w:val="en-US" w:eastAsia="zh-CN"/>
                    </w:rPr>
                    <w:t>1及表2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7" w:hRule="exact"/>
                <w:jc w:val="center"/>
              </w:trPr>
              <w:tc>
                <w:tcPr>
                  <w:tcW w:w="491" w:type="pct"/>
                  <w:vMerge w:val="continue"/>
                  <w:noWrap w:val="0"/>
                  <w:vAlign w:val="center"/>
                </w:tcPr>
                <w:p>
                  <w:pPr>
                    <w:widowControl/>
                    <w:adjustRightInd w:val="0"/>
                    <w:snapToGrid w:val="0"/>
                    <w:jc w:val="center"/>
                    <w:rPr>
                      <w:rFonts w:hint="eastAsia" w:eastAsia="宋体"/>
                      <w:color w:val="auto"/>
                      <w:kern w:val="0"/>
                      <w:sz w:val="21"/>
                      <w:szCs w:val="21"/>
                      <w:lang w:val="en-US" w:eastAsia="zh-CN"/>
                    </w:rPr>
                  </w:pPr>
                </w:p>
              </w:tc>
              <w:tc>
                <w:tcPr>
                  <w:tcW w:w="520" w:type="pct"/>
                  <w:noWrap w:val="0"/>
                  <w:vAlign w:val="center"/>
                </w:tcPr>
                <w:p>
                  <w:pPr>
                    <w:widowControl/>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臭气浓度</w:t>
                  </w:r>
                </w:p>
              </w:tc>
              <w:tc>
                <w:tcPr>
                  <w:tcW w:w="572" w:type="pct"/>
                  <w:noWrap w:val="0"/>
                  <w:vAlign w:val="center"/>
                </w:tcPr>
                <w:p>
                  <w:pPr>
                    <w:widowControl/>
                    <w:adjustRightInd w:val="0"/>
                    <w:snapToGrid w:val="0"/>
                    <w:jc w:val="center"/>
                    <w:rPr>
                      <w:rFonts w:hint="default" w:eastAsia="宋体"/>
                      <w:color w:val="auto"/>
                      <w:lang w:val="en-US" w:eastAsia="zh-CN"/>
                    </w:rPr>
                  </w:pPr>
                  <w:r>
                    <w:rPr>
                      <w:rFonts w:hint="eastAsia" w:eastAsia="宋体"/>
                      <w:color w:val="auto"/>
                      <w:lang w:val="en-US" w:eastAsia="zh-CN"/>
                    </w:rPr>
                    <w:t>/</w:t>
                  </w:r>
                </w:p>
              </w:tc>
              <w:tc>
                <w:tcPr>
                  <w:tcW w:w="590" w:type="pct"/>
                  <w:noWrap w:val="0"/>
                  <w:vAlign w:val="center"/>
                </w:tcPr>
                <w:p>
                  <w:pPr>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2000（无量纲）</w:t>
                  </w:r>
                </w:p>
              </w:tc>
              <w:tc>
                <w:tcPr>
                  <w:tcW w:w="522" w:type="pct"/>
                  <w:noWrap w:val="0"/>
                  <w:vAlign w:val="center"/>
                </w:tcPr>
                <w:p>
                  <w:pPr>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w:t>
                  </w:r>
                </w:p>
              </w:tc>
              <w:tc>
                <w:tcPr>
                  <w:tcW w:w="445" w:type="pct"/>
                  <w:vMerge w:val="continue"/>
                  <w:noWrap w:val="0"/>
                  <w:vAlign w:val="center"/>
                </w:tcPr>
                <w:p>
                  <w:pPr>
                    <w:widowControl/>
                    <w:adjustRightInd w:val="0"/>
                    <w:snapToGrid w:val="0"/>
                    <w:jc w:val="center"/>
                    <w:rPr>
                      <w:rFonts w:hint="eastAsia"/>
                      <w:color w:val="auto"/>
                      <w:kern w:val="0"/>
                      <w:sz w:val="21"/>
                      <w:szCs w:val="21"/>
                    </w:rPr>
                  </w:pPr>
                </w:p>
              </w:tc>
              <w:tc>
                <w:tcPr>
                  <w:tcW w:w="487" w:type="pct"/>
                  <w:noWrap w:val="0"/>
                  <w:vAlign w:val="center"/>
                </w:tcPr>
                <w:p>
                  <w:pPr>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20（无量纲）</w:t>
                  </w:r>
                </w:p>
              </w:tc>
              <w:tc>
                <w:tcPr>
                  <w:tcW w:w="1370" w:type="pct"/>
                  <w:vMerge w:val="continue"/>
                  <w:noWrap w:val="0"/>
                  <w:vAlign w:val="center"/>
                </w:tcPr>
                <w:p>
                  <w:pPr>
                    <w:adjustRightInd w:val="0"/>
                    <w:snapToGrid w:val="0"/>
                    <w:jc w:val="center"/>
                    <w:rPr>
                      <w:rFonts w:hint="default" w:eastAsia="宋体"/>
                      <w:color w:val="FF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9" w:hRule="atLeast"/>
                <w:jc w:val="center"/>
              </w:trPr>
              <w:tc>
                <w:tcPr>
                  <w:tcW w:w="491" w:type="pct"/>
                  <w:vMerge w:val="restart"/>
                  <w:noWrap w:val="0"/>
                  <w:vAlign w:val="center"/>
                </w:tcPr>
                <w:p>
                  <w:pPr>
                    <w:widowControl/>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锅炉废气</w:t>
                  </w:r>
                </w:p>
              </w:tc>
              <w:tc>
                <w:tcPr>
                  <w:tcW w:w="520" w:type="pct"/>
                  <w:noWrap w:val="0"/>
                  <w:vAlign w:val="center"/>
                </w:tcPr>
                <w:p>
                  <w:pPr>
                    <w:widowControl/>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SO</w:t>
                  </w:r>
                  <w:r>
                    <w:rPr>
                      <w:rFonts w:hint="eastAsia"/>
                      <w:color w:val="auto"/>
                      <w:kern w:val="0"/>
                      <w:sz w:val="21"/>
                      <w:szCs w:val="21"/>
                      <w:vertAlign w:val="subscript"/>
                      <w:lang w:val="en-US" w:eastAsia="zh-CN"/>
                    </w:rPr>
                    <w:t>2</w:t>
                  </w:r>
                </w:p>
              </w:tc>
              <w:tc>
                <w:tcPr>
                  <w:tcW w:w="572" w:type="pct"/>
                  <w:noWrap w:val="0"/>
                  <w:vAlign w:val="center"/>
                </w:tcPr>
                <w:p>
                  <w:pPr>
                    <w:widowControl/>
                    <w:adjustRightInd w:val="0"/>
                    <w:snapToGrid w:val="0"/>
                    <w:jc w:val="center"/>
                    <w:rPr>
                      <w:rFonts w:hint="default" w:eastAsia="宋体"/>
                      <w:color w:val="auto"/>
                      <w:lang w:val="en-US" w:eastAsia="zh-CN"/>
                    </w:rPr>
                  </w:pPr>
                  <w:r>
                    <w:rPr>
                      <w:rFonts w:hint="eastAsia"/>
                      <w:color w:val="auto"/>
                      <w:lang w:val="en-US" w:eastAsia="zh-CN"/>
                    </w:rPr>
                    <w:t>50</w:t>
                  </w:r>
                </w:p>
              </w:tc>
              <w:tc>
                <w:tcPr>
                  <w:tcW w:w="590"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522"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445" w:type="pct"/>
                  <w:noWrap w:val="0"/>
                  <w:vAlign w:val="center"/>
                </w:tcPr>
                <w:p>
                  <w:pPr>
                    <w:widowControl/>
                    <w:adjustRightInd w:val="0"/>
                    <w:snapToGrid w:val="0"/>
                    <w:jc w:val="center"/>
                    <w:rPr>
                      <w:rFonts w:hint="eastAsia"/>
                      <w:color w:val="auto"/>
                      <w:kern w:val="0"/>
                      <w:sz w:val="21"/>
                      <w:szCs w:val="21"/>
                    </w:rPr>
                  </w:pPr>
                  <w:r>
                    <w:rPr>
                      <w:rFonts w:hint="eastAsia" w:eastAsia="宋体"/>
                      <w:color w:val="auto"/>
                      <w:kern w:val="0"/>
                      <w:sz w:val="21"/>
                      <w:szCs w:val="21"/>
                      <w:lang w:val="en-US" w:eastAsia="zh-CN"/>
                    </w:rPr>
                    <w:t>/</w:t>
                  </w:r>
                </w:p>
              </w:tc>
              <w:tc>
                <w:tcPr>
                  <w:tcW w:w="487" w:type="pct"/>
                  <w:noWrap w:val="0"/>
                  <w:vAlign w:val="center"/>
                </w:tcPr>
                <w:p>
                  <w:pPr>
                    <w:adjustRightInd w:val="0"/>
                    <w:snapToGrid w:val="0"/>
                    <w:jc w:val="center"/>
                    <w:rPr>
                      <w:rFonts w:hint="eastAsia"/>
                      <w:color w:val="auto"/>
                      <w:kern w:val="0"/>
                      <w:sz w:val="21"/>
                      <w:szCs w:val="21"/>
                      <w:lang w:val="en-US" w:eastAsia="zh-CN"/>
                    </w:rPr>
                  </w:pPr>
                  <w:r>
                    <w:rPr>
                      <w:rFonts w:hint="eastAsia" w:eastAsia="宋体"/>
                      <w:color w:val="auto"/>
                      <w:kern w:val="0"/>
                      <w:sz w:val="21"/>
                      <w:szCs w:val="21"/>
                      <w:lang w:val="en-US" w:eastAsia="zh-CN"/>
                    </w:rPr>
                    <w:t>/</w:t>
                  </w:r>
                </w:p>
              </w:tc>
              <w:tc>
                <w:tcPr>
                  <w:tcW w:w="1370" w:type="pct"/>
                  <w:vMerge w:val="restart"/>
                  <w:noWrap w:val="0"/>
                  <w:vAlign w:val="center"/>
                </w:tcPr>
                <w:p>
                  <w:pPr>
                    <w:adjustRightInd w:val="0"/>
                    <w:snapToGrid w:val="0"/>
                    <w:jc w:val="center"/>
                    <w:rPr>
                      <w:rFonts w:hint="default" w:eastAsia="宋体"/>
                      <w:color w:val="FF0000"/>
                      <w:kern w:val="0"/>
                      <w:sz w:val="21"/>
                      <w:szCs w:val="21"/>
                      <w:lang w:val="en-US" w:eastAsia="zh-CN"/>
                    </w:rPr>
                  </w:pPr>
                  <w:r>
                    <w:rPr>
                      <w:rFonts w:hint="default" w:eastAsia="宋体"/>
                      <w:color w:val="FF0000"/>
                      <w:kern w:val="0"/>
                      <w:sz w:val="21"/>
                      <w:szCs w:val="21"/>
                      <w:lang w:val="en-US" w:eastAsia="zh-CN"/>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9" w:hRule="atLeast"/>
                <w:jc w:val="center"/>
              </w:trPr>
              <w:tc>
                <w:tcPr>
                  <w:tcW w:w="491" w:type="pct"/>
                  <w:vMerge w:val="continue"/>
                  <w:noWrap w:val="0"/>
                  <w:vAlign w:val="center"/>
                </w:tcPr>
                <w:p>
                  <w:pPr>
                    <w:adjustRightInd w:val="0"/>
                    <w:snapToGrid w:val="0"/>
                    <w:jc w:val="center"/>
                  </w:pPr>
                </w:p>
              </w:tc>
              <w:tc>
                <w:tcPr>
                  <w:tcW w:w="520" w:type="pct"/>
                  <w:noWrap w:val="0"/>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NOx</w:t>
                  </w:r>
                </w:p>
              </w:tc>
              <w:tc>
                <w:tcPr>
                  <w:tcW w:w="572" w:type="pct"/>
                  <w:noWrap w:val="0"/>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150</w:t>
                  </w:r>
                </w:p>
              </w:tc>
              <w:tc>
                <w:tcPr>
                  <w:tcW w:w="590"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522"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445"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487"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1370" w:type="pct"/>
                  <w:vMerge w:val="continue"/>
                  <w:noWrap w:val="0"/>
                  <w:vAlign w:val="center"/>
                </w:tcPr>
                <w:p>
                  <w:pPr>
                    <w:adjustRightInd w:val="0"/>
                    <w:snapToGrid w:val="0"/>
                    <w:jc w:val="center"/>
                    <w:rPr>
                      <w:rFonts w:hint="eastAsia" w:eastAsia="宋体"/>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9" w:hRule="atLeast"/>
                <w:jc w:val="center"/>
              </w:trPr>
              <w:tc>
                <w:tcPr>
                  <w:tcW w:w="491" w:type="pct"/>
                  <w:vMerge w:val="continue"/>
                  <w:noWrap w:val="0"/>
                  <w:vAlign w:val="center"/>
                </w:tcPr>
                <w:p>
                  <w:pPr>
                    <w:adjustRightInd w:val="0"/>
                    <w:snapToGrid w:val="0"/>
                    <w:jc w:val="center"/>
                    <w:rPr>
                      <w:rFonts w:hint="eastAsia" w:eastAsia="宋体"/>
                      <w:color w:val="auto"/>
                      <w:kern w:val="0"/>
                      <w:sz w:val="21"/>
                      <w:szCs w:val="21"/>
                      <w:lang w:val="en-US" w:eastAsia="zh-CN"/>
                    </w:rPr>
                  </w:pPr>
                </w:p>
              </w:tc>
              <w:tc>
                <w:tcPr>
                  <w:tcW w:w="520" w:type="pct"/>
                  <w:noWrap w:val="0"/>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颗粒物</w:t>
                  </w:r>
                </w:p>
              </w:tc>
              <w:tc>
                <w:tcPr>
                  <w:tcW w:w="572" w:type="pct"/>
                  <w:noWrap w:val="0"/>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590"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522"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445"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487" w:type="pct"/>
                  <w:noWrap w:val="0"/>
                  <w:vAlign w:val="center"/>
                </w:tcPr>
                <w:p>
                  <w:pPr>
                    <w:adjustRightInd w:val="0"/>
                    <w:snapToGrid w:val="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w:t>
                  </w:r>
                </w:p>
              </w:tc>
              <w:tc>
                <w:tcPr>
                  <w:tcW w:w="1370" w:type="pct"/>
                  <w:vMerge w:val="continue"/>
                  <w:noWrap w:val="0"/>
                  <w:vAlign w:val="center"/>
                </w:tcPr>
                <w:p>
                  <w:pPr>
                    <w:adjustRightInd w:val="0"/>
                    <w:snapToGrid w:val="0"/>
                    <w:jc w:val="center"/>
                    <w:rPr>
                      <w:rFonts w:hint="eastAsia" w:eastAsia="宋体"/>
                      <w:color w:val="auto"/>
                      <w:kern w:val="0"/>
                      <w:sz w:val="21"/>
                      <w:szCs w:val="21"/>
                      <w:lang w:val="en-US" w:eastAsia="zh-CN"/>
                    </w:rPr>
                  </w:pPr>
                </w:p>
              </w:tc>
            </w:tr>
          </w:tbl>
          <w:p>
            <w:pPr>
              <w:pStyle w:val="111"/>
            </w:pPr>
            <w:r>
              <w:rPr>
                <w:rFonts w:hint="eastAsia"/>
              </w:rPr>
              <w:t>（</w:t>
            </w:r>
            <w:r>
              <w:t>2</w:t>
            </w:r>
            <w:r>
              <w:rPr>
                <w:rFonts w:hint="eastAsia"/>
              </w:rPr>
              <w:t>）</w:t>
            </w:r>
            <w:r>
              <w:t>废水</w:t>
            </w:r>
          </w:p>
          <w:p>
            <w:pPr>
              <w:pStyle w:val="111"/>
            </w:pPr>
            <w:r>
              <w:t>本项目</w:t>
            </w:r>
            <w:r>
              <w:rPr>
                <w:rFonts w:hint="eastAsia"/>
              </w:rPr>
              <w:t>生产废</w:t>
            </w:r>
            <w:r>
              <w:t>水</w:t>
            </w:r>
            <w:r>
              <w:rPr>
                <w:rFonts w:hint="eastAsia"/>
                <w:lang w:val="en-US" w:eastAsia="zh-CN"/>
              </w:rPr>
              <w:t>执行</w:t>
            </w:r>
            <w:r>
              <w:rPr>
                <w:rFonts w:hint="default" w:ascii="Times New Roman" w:hAnsi="Times New Roman" w:cs="Times New Roman"/>
                <w:kern w:val="0"/>
                <w:sz w:val="24"/>
                <w:szCs w:val="24"/>
                <w:lang w:val="en-US" w:eastAsia="zh-CN"/>
              </w:rPr>
              <w:t>《橡胶制品工业污染物排放标准》(GB27632-2011)</w:t>
            </w:r>
            <w:r>
              <w:rPr>
                <w:rFonts w:hint="eastAsia" w:ascii="Times New Roman" w:hAnsi="Times New Roman" w:cs="Times New Roman"/>
                <w:kern w:val="0"/>
                <w:sz w:val="24"/>
                <w:szCs w:val="24"/>
                <w:lang w:val="en-US" w:eastAsia="zh-CN"/>
              </w:rPr>
              <w:t>表2中新建企业水污染物间接排放标准限值和南山园区</w:t>
            </w:r>
            <w:r>
              <w:t>污水接管标准</w:t>
            </w:r>
            <w:r>
              <w:rPr>
                <w:rFonts w:hint="eastAsia"/>
                <w:lang w:eastAsia="zh-CN"/>
              </w:rPr>
              <w:t>，</w:t>
            </w:r>
            <w:r>
              <w:rPr>
                <w:rFonts w:hint="eastAsia"/>
              </w:rPr>
              <w:t>具体限值见表</w:t>
            </w:r>
            <w:r>
              <w:t>1</w:t>
            </w:r>
            <w:r>
              <w:rPr>
                <w:rFonts w:hint="eastAsia"/>
              </w:rPr>
              <w:t>-</w:t>
            </w:r>
            <w:r>
              <w:rPr>
                <w:rFonts w:hint="eastAsia"/>
                <w:lang w:val="en-US" w:eastAsia="zh-CN"/>
              </w:rPr>
              <w:t>2</w:t>
            </w:r>
            <w: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1</w:t>
            </w:r>
            <w:r>
              <w:rPr>
                <w:rFonts w:hint="default" w:ascii="Times New Roman" w:hAnsi="Times New Roman" w:cs="Times New Roman"/>
                <w:b/>
                <w:color w:val="auto"/>
                <w:sz w:val="21"/>
                <w:szCs w:val="21"/>
                <w:lang w:val="en-US" w:eastAsia="zh-CN"/>
              </w:rPr>
              <w:t>-</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项目废水</w:t>
            </w:r>
            <w:r>
              <w:rPr>
                <w:rFonts w:hint="default" w:ascii="Times New Roman" w:hAnsi="Times New Roman" w:cs="Times New Roman"/>
                <w:b/>
                <w:color w:val="auto"/>
                <w:sz w:val="21"/>
                <w:szCs w:val="21"/>
              </w:rPr>
              <w:t xml:space="preserve">排放标准 </w:t>
            </w:r>
            <w:r>
              <w:rPr>
                <w:rFonts w:hint="default" w:ascii="Times New Roman" w:hAnsi="Times New Roman" w:eastAsia="黑体" w:cs="Times New Roman"/>
                <w:b/>
                <w:bCs/>
                <w:color w:val="auto"/>
                <w:sz w:val="21"/>
                <w:szCs w:val="21"/>
              </w:rPr>
              <w:t>（单位：</w:t>
            </w:r>
            <w:r>
              <w:rPr>
                <w:rFonts w:hint="default" w:ascii="Times New Roman" w:hAnsi="Times New Roman" w:cs="Times New Roman"/>
                <w:b/>
                <w:bCs/>
                <w:color w:val="auto"/>
                <w:sz w:val="21"/>
                <w:szCs w:val="21"/>
              </w:rPr>
              <w:t>mg/L</w:t>
            </w: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pH无量纲</w:t>
            </w:r>
            <w:r>
              <w:rPr>
                <w:rFonts w:hint="default" w:ascii="Times New Roman" w:hAnsi="Times New Roman" w:cs="Times New Roman"/>
                <w:b/>
                <w:bCs/>
                <w:color w:val="auto"/>
                <w:sz w:val="21"/>
                <w:szCs w:val="21"/>
              </w:rPr>
              <w:t>）</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917"/>
              <w:gridCol w:w="624"/>
              <w:gridCol w:w="718"/>
              <w:gridCol w:w="667"/>
              <w:gridCol w:w="642"/>
              <w:gridCol w:w="686"/>
              <w:gridCol w:w="693"/>
              <w:gridCol w:w="565"/>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315" w:type="pct"/>
                  <w:tcBorders>
                    <w:tl2br w:val="nil"/>
                    <w:tr2bl w:val="nil"/>
                  </w:tcBorders>
                  <w:noWrap w:val="0"/>
                  <w:vAlign w:val="center"/>
                </w:tcPr>
                <w:p>
                  <w:pPr>
                    <w:pStyle w:val="125"/>
                    <w:spacing w:line="240" w:lineRule="auto"/>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428" w:type="pct"/>
                  <w:tcBorders>
                    <w:tl2br w:val="nil"/>
                    <w:tr2bl w:val="nil"/>
                  </w:tcBorders>
                  <w:noWrap w:val="0"/>
                  <w:vAlign w:val="center"/>
                </w:tcPr>
                <w:p>
                  <w:pPr>
                    <w:pStyle w:val="125"/>
                    <w:spacing w:line="240" w:lineRule="auto"/>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pH</w:t>
                  </w:r>
                </w:p>
              </w:tc>
              <w:tc>
                <w:tcPr>
                  <w:tcW w:w="492" w:type="pct"/>
                  <w:tcBorders>
                    <w:tl2br w:val="nil"/>
                    <w:tr2bl w:val="nil"/>
                  </w:tcBorders>
                  <w:noWrap w:val="0"/>
                  <w:vAlign w:val="center"/>
                </w:tcPr>
                <w:p>
                  <w:pPr>
                    <w:pStyle w:val="125"/>
                    <w:spacing w:line="240" w:lineRule="auto"/>
                    <w:rPr>
                      <w:rFonts w:hint="default" w:eastAsia="宋体"/>
                      <w:b/>
                      <w:bCs/>
                      <w:color w:val="auto"/>
                      <w:lang w:val="en-US" w:eastAsia="zh-CN"/>
                    </w:rPr>
                  </w:pPr>
                  <w:r>
                    <w:rPr>
                      <w:rFonts w:hint="default" w:ascii="Times New Roman" w:hAnsi="Times New Roman" w:cs="Times New Roman"/>
                      <w:b/>
                      <w:bCs/>
                      <w:color w:val="auto"/>
                    </w:rPr>
                    <w:t>COD</w:t>
                  </w:r>
                  <w:r>
                    <w:rPr>
                      <w:rFonts w:hint="eastAsia" w:ascii="Times New Roman" w:hAnsi="Times New Roman" w:cs="Times New Roman"/>
                      <w:b/>
                      <w:bCs/>
                      <w:color w:val="auto"/>
                      <w:vertAlign w:val="subscript"/>
                      <w:lang w:val="en-US" w:eastAsia="zh-CN"/>
                    </w:rPr>
                    <w:t>cr</w:t>
                  </w:r>
                </w:p>
              </w:tc>
              <w:tc>
                <w:tcPr>
                  <w:tcW w:w="457" w:type="pct"/>
                  <w:tcBorders>
                    <w:tl2br w:val="nil"/>
                    <w:tr2bl w:val="nil"/>
                  </w:tcBorders>
                  <w:noWrap w:val="0"/>
                  <w:vAlign w:val="center"/>
                </w:tcPr>
                <w:p>
                  <w:pPr>
                    <w:pStyle w:val="125"/>
                    <w:spacing w:line="240" w:lineRule="auto"/>
                    <w:rPr>
                      <w:rFonts w:hint="default" w:ascii="Times New Roman" w:hAnsi="Times New Roman" w:cs="Times New Roman"/>
                      <w:b/>
                      <w:bCs/>
                      <w:color w:val="auto"/>
                    </w:rPr>
                  </w:pPr>
                  <w:r>
                    <w:rPr>
                      <w:rFonts w:hint="default" w:ascii="Times New Roman" w:hAnsi="Times New Roman" w:cs="Times New Roman"/>
                      <w:b/>
                      <w:bCs/>
                      <w:color w:val="auto"/>
                    </w:rPr>
                    <w:t>BOD</w:t>
                  </w:r>
                  <w:r>
                    <w:rPr>
                      <w:rFonts w:hint="default" w:ascii="Times New Roman" w:hAnsi="Times New Roman" w:cs="Times New Roman"/>
                      <w:b/>
                      <w:bCs/>
                      <w:color w:val="auto"/>
                      <w:vertAlign w:val="subscript"/>
                    </w:rPr>
                    <w:t>5</w:t>
                  </w:r>
                </w:p>
              </w:tc>
              <w:tc>
                <w:tcPr>
                  <w:tcW w:w="440" w:type="pct"/>
                  <w:tcBorders>
                    <w:tl2br w:val="nil"/>
                    <w:tr2bl w:val="nil"/>
                  </w:tcBorders>
                  <w:noWrap w:val="0"/>
                  <w:vAlign w:val="center"/>
                </w:tcPr>
                <w:p>
                  <w:pPr>
                    <w:pStyle w:val="125"/>
                    <w:spacing w:line="240" w:lineRule="auto"/>
                    <w:rPr>
                      <w:b/>
                      <w:bCs/>
                      <w:color w:val="auto"/>
                    </w:rPr>
                  </w:pPr>
                  <w:r>
                    <w:rPr>
                      <w:rFonts w:hint="default" w:ascii="Times New Roman" w:hAnsi="Times New Roman" w:cs="Times New Roman"/>
                      <w:b/>
                      <w:bCs/>
                      <w:color w:val="auto"/>
                    </w:rPr>
                    <w:t>氨氮</w:t>
                  </w:r>
                </w:p>
              </w:tc>
              <w:tc>
                <w:tcPr>
                  <w:tcW w:w="470" w:type="pct"/>
                  <w:tcBorders>
                    <w:tl2br w:val="nil"/>
                    <w:tr2bl w:val="nil"/>
                  </w:tcBorders>
                  <w:noWrap w:val="0"/>
                  <w:vAlign w:val="center"/>
                </w:tcPr>
                <w:p>
                  <w:pPr>
                    <w:pStyle w:val="125"/>
                    <w:spacing w:line="240" w:lineRule="auto"/>
                    <w:rPr>
                      <w:b/>
                      <w:bCs/>
                      <w:color w:val="auto"/>
                    </w:rPr>
                  </w:pPr>
                  <w:r>
                    <w:rPr>
                      <w:rFonts w:hint="default" w:ascii="Times New Roman" w:hAnsi="Times New Roman" w:cs="Times New Roman"/>
                      <w:b/>
                      <w:bCs/>
                      <w:color w:val="auto"/>
                    </w:rPr>
                    <w:t>SS</w:t>
                  </w:r>
                </w:p>
              </w:tc>
              <w:tc>
                <w:tcPr>
                  <w:tcW w:w="475" w:type="pct"/>
                  <w:tcBorders>
                    <w:tl2br w:val="nil"/>
                    <w:tr2bl w:val="nil"/>
                  </w:tcBorders>
                  <w:noWrap w:val="0"/>
                  <w:vAlign w:val="center"/>
                </w:tcPr>
                <w:p>
                  <w:pPr>
                    <w:pStyle w:val="125"/>
                    <w:spacing w:line="240" w:lineRule="auto"/>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TP</w:t>
                  </w:r>
                </w:p>
              </w:tc>
              <w:tc>
                <w:tcPr>
                  <w:tcW w:w="387" w:type="pct"/>
                  <w:tcBorders>
                    <w:tl2br w:val="nil"/>
                    <w:tr2bl w:val="nil"/>
                  </w:tcBorders>
                  <w:noWrap w:val="0"/>
                  <w:vAlign w:val="center"/>
                </w:tcPr>
                <w:p>
                  <w:pPr>
                    <w:pStyle w:val="125"/>
                    <w:spacing w:line="240" w:lineRule="auto"/>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TN</w:t>
                  </w:r>
                </w:p>
              </w:tc>
              <w:tc>
                <w:tcPr>
                  <w:tcW w:w="533" w:type="pct"/>
                  <w:tcBorders>
                    <w:tl2br w:val="nil"/>
                    <w:tr2bl w:val="nil"/>
                  </w:tcBorders>
                  <w:noWrap w:val="0"/>
                  <w:vAlign w:val="center"/>
                </w:tcPr>
                <w:p>
                  <w:pPr>
                    <w:pStyle w:val="125"/>
                    <w:spacing w:line="240" w:lineRule="auto"/>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315" w:type="pct"/>
                  <w:tcBorders>
                    <w:tl2br w:val="nil"/>
                    <w:tr2bl w:val="nil"/>
                  </w:tcBorders>
                  <w:noWrap w:val="0"/>
                  <w:vAlign w:val="center"/>
                </w:tcPr>
                <w:p>
                  <w:pPr>
                    <w:pStyle w:val="125"/>
                    <w:spacing w:line="240" w:lineRule="auto"/>
                    <w:jc w:val="center"/>
                    <w:rPr>
                      <w:rFonts w:hint="default" w:ascii="Times New Roman" w:hAnsi="Times New Roman" w:cs="Times New Roman"/>
                      <w:b w:val="0"/>
                      <w:bCs w:val="0"/>
                      <w:color w:val="auto"/>
                      <w:lang w:val="en-US"/>
                    </w:rPr>
                  </w:pPr>
                  <w:r>
                    <w:rPr>
                      <w:rFonts w:hint="default" w:ascii="Times New Roman" w:hAnsi="Times New Roman" w:cs="Times New Roman"/>
                      <w:b w:val="0"/>
                      <w:bCs w:val="0"/>
                      <w:color w:val="auto"/>
                      <w:lang w:val="en-US" w:eastAsia="zh-CN"/>
                    </w:rPr>
                    <w:t>GB27632-201</w:t>
                  </w:r>
                  <w:r>
                    <w:rPr>
                      <w:rFonts w:hint="eastAsia" w:ascii="Times New Roman" w:hAnsi="Times New Roman" w:cs="Times New Roman"/>
                      <w:b w:val="0"/>
                      <w:bCs w:val="0"/>
                      <w:color w:val="auto"/>
                      <w:lang w:val="en-US" w:eastAsia="zh-CN"/>
                    </w:rPr>
                    <w:t>1间接排放标准</w:t>
                  </w:r>
                </w:p>
              </w:tc>
              <w:tc>
                <w:tcPr>
                  <w:tcW w:w="428"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6～9</w:t>
                  </w:r>
                </w:p>
              </w:tc>
              <w:tc>
                <w:tcPr>
                  <w:tcW w:w="492" w:type="pct"/>
                  <w:tcBorders>
                    <w:tl2br w:val="nil"/>
                    <w:tr2bl w:val="nil"/>
                  </w:tcBorders>
                  <w:noWrap w:val="0"/>
                  <w:vAlign w:val="center"/>
                </w:tcPr>
                <w:p>
                  <w:pPr>
                    <w:pStyle w:val="125"/>
                    <w:spacing w:line="240" w:lineRule="auto"/>
                    <w:rPr>
                      <w:rFonts w:hint="default"/>
                      <w:b w:val="0"/>
                      <w:bCs w:val="0"/>
                      <w:color w:val="auto"/>
                      <w:lang w:val="en-US"/>
                    </w:rPr>
                  </w:pPr>
                  <w:r>
                    <w:rPr>
                      <w:rFonts w:hint="eastAsia" w:ascii="Times New Roman" w:hAnsi="Times New Roman" w:cs="Times New Roman"/>
                      <w:b w:val="0"/>
                      <w:bCs w:val="0"/>
                      <w:color w:val="auto"/>
                      <w:lang w:val="en-US" w:eastAsia="zh-CN"/>
                    </w:rPr>
                    <w:t>300</w:t>
                  </w:r>
                </w:p>
              </w:tc>
              <w:tc>
                <w:tcPr>
                  <w:tcW w:w="457" w:type="pct"/>
                  <w:tcBorders>
                    <w:tl2br w:val="nil"/>
                    <w:tr2bl w:val="nil"/>
                  </w:tcBorders>
                  <w:noWrap w:val="0"/>
                  <w:vAlign w:val="center"/>
                </w:tcPr>
                <w:p>
                  <w:pPr>
                    <w:pStyle w:val="125"/>
                    <w:spacing w:line="240" w:lineRule="auto"/>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80</w:t>
                  </w:r>
                </w:p>
              </w:tc>
              <w:tc>
                <w:tcPr>
                  <w:tcW w:w="440" w:type="pct"/>
                  <w:tcBorders>
                    <w:tl2br w:val="nil"/>
                    <w:tr2bl w:val="nil"/>
                  </w:tcBorders>
                  <w:noWrap w:val="0"/>
                  <w:vAlign w:val="center"/>
                </w:tcPr>
                <w:p>
                  <w:pPr>
                    <w:pStyle w:val="125"/>
                    <w:spacing w:line="240" w:lineRule="auto"/>
                    <w:rPr>
                      <w:rFonts w:hint="default"/>
                      <w:b w:val="0"/>
                      <w:bCs w:val="0"/>
                      <w:color w:val="auto"/>
                      <w:lang w:val="en-US"/>
                    </w:rPr>
                  </w:pPr>
                  <w:r>
                    <w:rPr>
                      <w:rFonts w:hint="eastAsia" w:ascii="Times New Roman" w:hAnsi="Times New Roman" w:cs="Times New Roman"/>
                      <w:b w:val="0"/>
                      <w:bCs w:val="0"/>
                      <w:color w:val="auto"/>
                      <w:lang w:val="en-US" w:eastAsia="zh-CN"/>
                    </w:rPr>
                    <w:t>30</w:t>
                  </w:r>
                </w:p>
              </w:tc>
              <w:tc>
                <w:tcPr>
                  <w:tcW w:w="470" w:type="pct"/>
                  <w:tcBorders>
                    <w:tl2br w:val="nil"/>
                    <w:tr2bl w:val="nil"/>
                  </w:tcBorders>
                  <w:noWrap w:val="0"/>
                  <w:vAlign w:val="center"/>
                </w:tcPr>
                <w:p>
                  <w:pPr>
                    <w:pStyle w:val="125"/>
                    <w:spacing w:line="240" w:lineRule="auto"/>
                    <w:rPr>
                      <w:rFonts w:hint="default"/>
                      <w:b w:val="0"/>
                      <w:bCs w:val="0"/>
                      <w:color w:val="auto"/>
                      <w:lang w:val="en-US"/>
                    </w:rPr>
                  </w:pPr>
                  <w:r>
                    <w:rPr>
                      <w:rFonts w:hint="eastAsia" w:ascii="Times New Roman" w:hAnsi="Times New Roman" w:cs="Times New Roman"/>
                      <w:b w:val="0"/>
                      <w:bCs w:val="0"/>
                      <w:color w:val="auto"/>
                      <w:lang w:val="en-US" w:eastAsia="zh-CN"/>
                    </w:rPr>
                    <w:t>150</w:t>
                  </w:r>
                </w:p>
              </w:tc>
              <w:tc>
                <w:tcPr>
                  <w:tcW w:w="475"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1.0</w:t>
                  </w:r>
                </w:p>
              </w:tc>
              <w:tc>
                <w:tcPr>
                  <w:tcW w:w="387"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40</w:t>
                  </w:r>
                </w:p>
              </w:tc>
              <w:tc>
                <w:tcPr>
                  <w:tcW w:w="533"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南山污水处理厂接管标准</w:t>
                  </w:r>
                </w:p>
              </w:tc>
              <w:tc>
                <w:tcPr>
                  <w:tcW w:w="428"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6</w:t>
                  </w:r>
                  <w:r>
                    <w:rPr>
                      <w:rFonts w:hint="default" w:ascii="Times New Roman" w:hAnsi="Times New Roman" w:cs="Times New Roman"/>
                      <w:b w:val="0"/>
                      <w:bCs w:val="0"/>
                      <w:color w:val="auto"/>
                    </w:rPr>
                    <w:t>～</w:t>
                  </w:r>
                  <w:r>
                    <w:rPr>
                      <w:rFonts w:hint="default" w:ascii="Times New Roman" w:hAnsi="Times New Roman" w:cs="Times New Roman"/>
                      <w:b w:val="0"/>
                      <w:bCs w:val="0"/>
                      <w:color w:val="auto"/>
                      <w:sz w:val="21"/>
                      <w:szCs w:val="21"/>
                    </w:rPr>
                    <w:t>9</w:t>
                  </w:r>
                </w:p>
              </w:tc>
              <w:tc>
                <w:tcPr>
                  <w:tcW w:w="492" w:type="pct"/>
                  <w:tcBorders>
                    <w:tl2br w:val="nil"/>
                    <w:tr2bl w:val="nil"/>
                  </w:tcBorders>
                  <w:noWrap w:val="0"/>
                  <w:vAlign w:val="center"/>
                </w:tcPr>
                <w:p>
                  <w:pPr>
                    <w:pStyle w:val="125"/>
                    <w:spacing w:line="240" w:lineRule="auto"/>
                    <w:rPr>
                      <w:rFonts w:hint="default"/>
                      <w:b w:val="0"/>
                      <w:bCs w:val="0"/>
                      <w:color w:val="auto"/>
                      <w:lang w:val="en-US"/>
                    </w:rPr>
                  </w:pPr>
                  <w:r>
                    <w:rPr>
                      <w:rFonts w:hint="eastAsia" w:ascii="Times New Roman" w:hAnsi="Times New Roman" w:cs="Times New Roman"/>
                      <w:b w:val="0"/>
                      <w:bCs w:val="0"/>
                      <w:color w:val="auto"/>
                      <w:sz w:val="21"/>
                      <w:szCs w:val="21"/>
                      <w:lang w:val="en-US" w:eastAsia="zh-CN"/>
                    </w:rPr>
                    <w:t>500</w:t>
                  </w:r>
                </w:p>
              </w:tc>
              <w:tc>
                <w:tcPr>
                  <w:tcW w:w="457"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200</w:t>
                  </w:r>
                </w:p>
              </w:tc>
              <w:tc>
                <w:tcPr>
                  <w:tcW w:w="440"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lang w:val="en-US" w:eastAsia="zh-CN"/>
                    </w:rPr>
                    <w:t>35</w:t>
                  </w:r>
                </w:p>
              </w:tc>
              <w:tc>
                <w:tcPr>
                  <w:tcW w:w="470"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350</w:t>
                  </w:r>
                </w:p>
              </w:tc>
              <w:tc>
                <w:tcPr>
                  <w:tcW w:w="475"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5.5</w:t>
                  </w:r>
                </w:p>
              </w:tc>
              <w:tc>
                <w:tcPr>
                  <w:tcW w:w="387"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50</w:t>
                  </w:r>
                </w:p>
              </w:tc>
              <w:tc>
                <w:tcPr>
                  <w:tcW w:w="533"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本项目废水排放标准</w:t>
                  </w:r>
                </w:p>
              </w:tc>
              <w:tc>
                <w:tcPr>
                  <w:tcW w:w="428"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6</w:t>
                  </w:r>
                  <w:r>
                    <w:rPr>
                      <w:rFonts w:hint="default" w:ascii="Times New Roman" w:hAnsi="Times New Roman" w:cs="Times New Roman"/>
                      <w:b w:val="0"/>
                      <w:bCs w:val="0"/>
                      <w:color w:val="auto"/>
                    </w:rPr>
                    <w:t>～</w:t>
                  </w:r>
                  <w:r>
                    <w:rPr>
                      <w:rFonts w:hint="default" w:ascii="Times New Roman" w:hAnsi="Times New Roman" w:cs="Times New Roman"/>
                      <w:b w:val="0"/>
                      <w:bCs w:val="0"/>
                      <w:color w:val="auto"/>
                      <w:sz w:val="21"/>
                      <w:szCs w:val="21"/>
                    </w:rPr>
                    <w:t>9</w:t>
                  </w:r>
                </w:p>
              </w:tc>
              <w:tc>
                <w:tcPr>
                  <w:tcW w:w="492"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300</w:t>
                  </w:r>
                </w:p>
              </w:tc>
              <w:tc>
                <w:tcPr>
                  <w:tcW w:w="457"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80</w:t>
                  </w:r>
                </w:p>
              </w:tc>
              <w:tc>
                <w:tcPr>
                  <w:tcW w:w="440"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30</w:t>
                  </w:r>
                </w:p>
              </w:tc>
              <w:tc>
                <w:tcPr>
                  <w:tcW w:w="470"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150</w:t>
                  </w:r>
                </w:p>
              </w:tc>
              <w:tc>
                <w:tcPr>
                  <w:tcW w:w="475"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387"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40</w:t>
                  </w:r>
                </w:p>
              </w:tc>
              <w:tc>
                <w:tcPr>
                  <w:tcW w:w="533" w:type="pct"/>
                  <w:tcBorders>
                    <w:tl2br w:val="nil"/>
                    <w:tr2bl w:val="nil"/>
                  </w:tcBorders>
                  <w:noWrap w:val="0"/>
                  <w:vAlign w:val="center"/>
                </w:tcPr>
                <w:p>
                  <w:pPr>
                    <w:pStyle w:val="125"/>
                    <w:spacing w:line="240" w:lineRule="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000" w:type="pct"/>
                  <w:gridSpan w:val="9"/>
                  <w:tcBorders>
                    <w:tl2br w:val="nil"/>
                    <w:tr2bl w:val="nil"/>
                  </w:tcBorders>
                  <w:noWrap w:val="0"/>
                  <w:vAlign w:val="center"/>
                </w:tcPr>
                <w:p>
                  <w:pPr>
                    <w:pStyle w:val="125"/>
                    <w:spacing w:line="240" w:lineRule="auto"/>
                    <w:jc w:val="both"/>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0"/>
                      <w:szCs w:val="20"/>
                      <w:lang w:val="en-US" w:eastAsia="zh-CN"/>
                    </w:rPr>
                    <w:t>基准排水量为80m</w:t>
                  </w:r>
                  <w:r>
                    <w:rPr>
                      <w:rFonts w:hint="eastAsia" w:ascii="Times New Roman" w:hAnsi="Times New Roman" w:cs="Times New Roman"/>
                      <w:b w:val="0"/>
                      <w:bCs w:val="0"/>
                      <w:color w:val="auto"/>
                      <w:sz w:val="20"/>
                      <w:szCs w:val="20"/>
                      <w:vertAlign w:val="superscript"/>
                      <w:lang w:val="en-US" w:eastAsia="zh-CN"/>
                    </w:rPr>
                    <w:t>3</w:t>
                  </w:r>
                  <w:r>
                    <w:rPr>
                      <w:rFonts w:hint="eastAsia" w:ascii="Times New Roman" w:hAnsi="Times New Roman" w:cs="Times New Roman"/>
                      <w:b w:val="0"/>
                      <w:bCs w:val="0"/>
                      <w:color w:val="auto"/>
                      <w:sz w:val="20"/>
                      <w:szCs w:val="20"/>
                      <w:lang w:val="en-US" w:eastAsia="zh-CN"/>
                    </w:rPr>
                    <w:t>/t胶</w:t>
                  </w:r>
                </w:p>
              </w:tc>
            </w:tr>
          </w:tbl>
          <w:p>
            <w:pPr>
              <w:pStyle w:val="111"/>
            </w:pPr>
            <w:r>
              <w:rPr>
                <w:rFonts w:hint="eastAsia"/>
              </w:rPr>
              <w:t>（</w:t>
            </w:r>
            <w:r>
              <w:t>3</w:t>
            </w:r>
            <w:r>
              <w:rPr>
                <w:rFonts w:hint="eastAsia"/>
              </w:rPr>
              <w:t>）</w:t>
            </w:r>
            <w:r>
              <w:t>噪声</w:t>
            </w:r>
          </w:p>
          <w:p>
            <w:pPr>
              <w:pStyle w:val="111"/>
              <w:rPr>
                <w:rFonts w:hint="eastAsia" w:eastAsia="宋体"/>
                <w:lang w:val="en-US" w:eastAsia="zh-CN"/>
              </w:rPr>
            </w:pPr>
            <w:r>
              <w:rPr>
                <w:rFonts w:hint="eastAsia"/>
              </w:rPr>
              <w:t>营运期项目厂界噪声执行《工业企业厂界环境噪声排放标准》（GB12348-2008）中3类标准</w:t>
            </w:r>
            <w:r>
              <w:t>。</w:t>
            </w:r>
            <w:r>
              <w:rPr>
                <w:rFonts w:hint="eastAsia"/>
                <w:lang w:val="en-US" w:eastAsia="zh-CN"/>
              </w:rPr>
              <w:t>声环境敏感点环境质量满足</w:t>
            </w:r>
            <w:r>
              <w:rPr>
                <w:rFonts w:hint="default" w:ascii="Times New Roman" w:hAnsi="Times New Roman" w:cs="Times New Roman"/>
                <w:color w:val="auto"/>
                <w:kern w:val="0"/>
                <w:sz w:val="24"/>
              </w:rPr>
              <w:t>《声环境质量标准》（GB3096-2008）中的2类标准</w:t>
            </w:r>
            <w:r>
              <w:rPr>
                <w:rFonts w:hint="eastAsia" w:cs="Times New Roman"/>
                <w:color w:val="auto"/>
                <w:kern w:val="0"/>
                <w:sz w:val="24"/>
                <w:lang w:eastAsia="zh-CN"/>
              </w:rPr>
              <w:t>。</w:t>
            </w:r>
          </w:p>
          <w:p>
            <w:pPr>
              <w:pStyle w:val="113"/>
            </w:pPr>
            <w:r>
              <w:rPr>
                <w:rFonts w:hint="eastAsia"/>
              </w:rPr>
              <w:t>表1</w:t>
            </w:r>
            <w:r>
              <w:t>-</w:t>
            </w:r>
            <w:r>
              <w:rPr>
                <w:rFonts w:hint="eastAsia"/>
                <w:lang w:val="en-US" w:eastAsia="zh-CN"/>
              </w:rPr>
              <w:t>3</w:t>
            </w:r>
            <w:r>
              <w:rPr>
                <w:rFonts w:hint="eastAsia"/>
              </w:rPr>
              <w:t xml:space="preserve"> 营运期噪声排放标准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369"/>
              <w:gridCol w:w="1371"/>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839" w:type="pct"/>
                  <w:vMerge w:val="restart"/>
                  <w:vAlign w:val="center"/>
                </w:tcPr>
                <w:p>
                  <w:pPr>
                    <w:adjustRightInd w:val="0"/>
                    <w:snapToGrid w:val="0"/>
                    <w:jc w:val="center"/>
                    <w:rPr>
                      <w:szCs w:val="21"/>
                    </w:rPr>
                  </w:pPr>
                  <w:r>
                    <w:rPr>
                      <w:szCs w:val="21"/>
                    </w:rPr>
                    <w:t>标准类别</w:t>
                  </w:r>
                </w:p>
              </w:tc>
              <w:tc>
                <w:tcPr>
                  <w:tcW w:w="1877" w:type="pct"/>
                  <w:gridSpan w:val="2"/>
                  <w:vAlign w:val="center"/>
                </w:tcPr>
                <w:p>
                  <w:pPr>
                    <w:pStyle w:val="74"/>
                    <w:adjustRightInd w:val="0"/>
                    <w:snapToGrid w:val="0"/>
                    <w:spacing w:line="240" w:lineRule="auto"/>
                    <w:rPr>
                      <w:szCs w:val="21"/>
                    </w:rPr>
                  </w:pPr>
                  <w:r>
                    <w:rPr>
                      <w:szCs w:val="21"/>
                    </w:rPr>
                    <w:t>标准限值</w:t>
                  </w:r>
                </w:p>
              </w:tc>
              <w:tc>
                <w:tcPr>
                  <w:tcW w:w="2283" w:type="pct"/>
                  <w:vAlign w:val="center"/>
                </w:tcPr>
                <w:p>
                  <w:pPr>
                    <w:adjustRightInd w:val="0"/>
                    <w:snapToGrid w:val="0"/>
                    <w:jc w:val="center"/>
                    <w:rPr>
                      <w:szCs w:val="21"/>
                    </w:rPr>
                  </w:pPr>
                  <w:r>
                    <w:rPr>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839" w:type="pct"/>
                  <w:vMerge w:val="continue"/>
                  <w:vAlign w:val="center"/>
                </w:tcPr>
                <w:p>
                  <w:pPr>
                    <w:adjustRightInd w:val="0"/>
                    <w:snapToGrid w:val="0"/>
                    <w:jc w:val="center"/>
                    <w:rPr>
                      <w:szCs w:val="21"/>
                    </w:rPr>
                  </w:pPr>
                </w:p>
              </w:tc>
              <w:tc>
                <w:tcPr>
                  <w:tcW w:w="938" w:type="pct"/>
                  <w:vAlign w:val="center"/>
                </w:tcPr>
                <w:p>
                  <w:pPr>
                    <w:pStyle w:val="74"/>
                    <w:adjustRightInd w:val="0"/>
                    <w:snapToGrid w:val="0"/>
                    <w:spacing w:line="240" w:lineRule="auto"/>
                    <w:rPr>
                      <w:szCs w:val="21"/>
                    </w:rPr>
                  </w:pPr>
                  <w:r>
                    <w:rPr>
                      <w:szCs w:val="21"/>
                    </w:rPr>
                    <w:t>昼间</w:t>
                  </w:r>
                </w:p>
              </w:tc>
              <w:tc>
                <w:tcPr>
                  <w:tcW w:w="938" w:type="pct"/>
                  <w:vAlign w:val="center"/>
                </w:tcPr>
                <w:p>
                  <w:pPr>
                    <w:pStyle w:val="74"/>
                    <w:adjustRightInd w:val="0"/>
                    <w:snapToGrid w:val="0"/>
                    <w:spacing w:line="240" w:lineRule="auto"/>
                    <w:rPr>
                      <w:szCs w:val="21"/>
                    </w:rPr>
                  </w:pPr>
                  <w:r>
                    <w:rPr>
                      <w:szCs w:val="21"/>
                    </w:rPr>
                    <w:t>夜间</w:t>
                  </w:r>
                </w:p>
              </w:tc>
              <w:tc>
                <w:tcPr>
                  <w:tcW w:w="2283" w:type="pct"/>
                  <w:vMerge w:val="restart"/>
                  <w:vAlign w:val="center"/>
                </w:tcPr>
                <w:p>
                  <w:pPr>
                    <w:adjustRightInd w:val="0"/>
                    <w:snapToGrid w:val="0"/>
                    <w:jc w:val="center"/>
                    <w:rPr>
                      <w:szCs w:val="21"/>
                    </w:rPr>
                  </w:pPr>
                  <w:r>
                    <w:rPr>
                      <w:szCs w:val="21"/>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839" w:type="pct"/>
                  <w:vAlign w:val="center"/>
                </w:tcPr>
                <w:p>
                  <w:pPr>
                    <w:adjustRightInd w:val="0"/>
                    <w:snapToGrid w:val="0"/>
                    <w:jc w:val="center"/>
                    <w:rPr>
                      <w:szCs w:val="21"/>
                    </w:rPr>
                  </w:pPr>
                  <w:r>
                    <w:rPr>
                      <w:rFonts w:hint="eastAsia"/>
                      <w:szCs w:val="21"/>
                    </w:rPr>
                    <w:t>3</w:t>
                  </w:r>
                  <w:r>
                    <w:rPr>
                      <w:szCs w:val="21"/>
                    </w:rPr>
                    <w:t>类</w:t>
                  </w:r>
                </w:p>
              </w:tc>
              <w:tc>
                <w:tcPr>
                  <w:tcW w:w="938" w:type="pct"/>
                  <w:vAlign w:val="center"/>
                </w:tcPr>
                <w:p>
                  <w:pPr>
                    <w:pStyle w:val="74"/>
                    <w:adjustRightInd w:val="0"/>
                    <w:snapToGrid w:val="0"/>
                    <w:spacing w:line="240" w:lineRule="auto"/>
                    <w:rPr>
                      <w:szCs w:val="21"/>
                    </w:rPr>
                  </w:pPr>
                  <w:r>
                    <w:rPr>
                      <w:szCs w:val="21"/>
                    </w:rPr>
                    <w:t>65</w:t>
                  </w:r>
                </w:p>
              </w:tc>
              <w:tc>
                <w:tcPr>
                  <w:tcW w:w="938" w:type="pct"/>
                  <w:vAlign w:val="center"/>
                </w:tcPr>
                <w:p>
                  <w:pPr>
                    <w:pStyle w:val="74"/>
                    <w:adjustRightInd w:val="0"/>
                    <w:snapToGrid w:val="0"/>
                    <w:spacing w:line="240" w:lineRule="auto"/>
                    <w:rPr>
                      <w:szCs w:val="21"/>
                    </w:rPr>
                  </w:pPr>
                  <w:r>
                    <w:rPr>
                      <w:szCs w:val="21"/>
                    </w:rPr>
                    <w:t>55</w:t>
                  </w:r>
                </w:p>
              </w:tc>
              <w:tc>
                <w:tcPr>
                  <w:tcW w:w="228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839" w:type="pct"/>
                  <w:vAlign w:val="center"/>
                </w:tcPr>
                <w:p>
                  <w:pPr>
                    <w:adjustRightInd w:val="0"/>
                    <w:snapToGrid w:val="0"/>
                    <w:jc w:val="center"/>
                    <w:rPr>
                      <w:rFonts w:hint="default" w:eastAsia="宋体"/>
                      <w:szCs w:val="21"/>
                      <w:lang w:val="en-US" w:eastAsia="zh-CN"/>
                    </w:rPr>
                  </w:pPr>
                  <w:r>
                    <w:rPr>
                      <w:rFonts w:hint="eastAsia"/>
                      <w:szCs w:val="21"/>
                      <w:lang w:val="en-US" w:eastAsia="zh-CN"/>
                    </w:rPr>
                    <w:t>2类</w:t>
                  </w:r>
                </w:p>
              </w:tc>
              <w:tc>
                <w:tcPr>
                  <w:tcW w:w="938" w:type="pct"/>
                  <w:vAlign w:val="center"/>
                </w:tcPr>
                <w:p>
                  <w:pPr>
                    <w:pStyle w:val="74"/>
                    <w:adjustRightInd w:val="0"/>
                    <w:snapToGrid w:val="0"/>
                    <w:spacing w:line="240" w:lineRule="auto"/>
                    <w:rPr>
                      <w:rFonts w:hint="default" w:eastAsia="宋体"/>
                      <w:szCs w:val="21"/>
                      <w:lang w:val="en-US" w:eastAsia="zh-CN"/>
                    </w:rPr>
                  </w:pPr>
                  <w:r>
                    <w:rPr>
                      <w:rFonts w:hint="eastAsia"/>
                      <w:szCs w:val="21"/>
                      <w:lang w:val="en-US" w:eastAsia="zh-CN"/>
                    </w:rPr>
                    <w:t>60</w:t>
                  </w:r>
                </w:p>
              </w:tc>
              <w:tc>
                <w:tcPr>
                  <w:tcW w:w="938" w:type="pct"/>
                  <w:vAlign w:val="center"/>
                </w:tcPr>
                <w:p>
                  <w:pPr>
                    <w:pStyle w:val="74"/>
                    <w:adjustRightInd w:val="0"/>
                    <w:snapToGrid w:val="0"/>
                    <w:spacing w:line="240" w:lineRule="auto"/>
                    <w:rPr>
                      <w:rFonts w:hint="default" w:eastAsia="宋体"/>
                      <w:szCs w:val="21"/>
                      <w:lang w:val="en-US" w:eastAsia="zh-CN"/>
                    </w:rPr>
                  </w:pPr>
                  <w:r>
                    <w:rPr>
                      <w:rFonts w:hint="eastAsia"/>
                      <w:szCs w:val="21"/>
                      <w:lang w:val="en-US" w:eastAsia="zh-CN"/>
                    </w:rPr>
                    <w:t>50</w:t>
                  </w:r>
                </w:p>
              </w:tc>
              <w:tc>
                <w:tcPr>
                  <w:tcW w:w="2283" w:type="pct"/>
                  <w:vAlign w:val="center"/>
                </w:tcPr>
                <w:p>
                  <w:pPr>
                    <w:adjustRightInd w:val="0"/>
                    <w:snapToGrid w:val="0"/>
                    <w:jc w:val="center"/>
                    <w:rPr>
                      <w:szCs w:val="21"/>
                    </w:rPr>
                  </w:pPr>
                  <w:r>
                    <w:rPr>
                      <w:rFonts w:hint="default"/>
                      <w:szCs w:val="21"/>
                    </w:rPr>
                    <w:t>《声环境质量标准》（GB3096-2008）</w:t>
                  </w:r>
                </w:p>
              </w:tc>
            </w:tr>
          </w:tbl>
          <w:p>
            <w:pPr>
              <w:pStyle w:val="111"/>
            </w:pPr>
            <w:r>
              <w:rPr>
                <w:rFonts w:hint="eastAsia"/>
              </w:rPr>
              <w:t>（4）固体废弃物：一般固体废物处理处置执行《一般工业固体废物贮存和填埋污染控制标准》（GB18599-2020）中的相关规定。危险废物执行《危险废物贮存污染控制标准》（GB18596-2001）及其2013年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op w:val="single" w:color="auto" w:sz="4" w:space="0"/>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snapToGrid/>
              <w:spacing w:line="480" w:lineRule="exact"/>
              <w:rPr>
                <w:b/>
                <w:sz w:val="24"/>
                <w:szCs w:val="24"/>
              </w:rPr>
            </w:pPr>
            <w:r>
              <w:rPr>
                <w:rFonts w:hint="eastAsia"/>
                <w:b/>
                <w:sz w:val="24"/>
                <w:szCs w:val="24"/>
              </w:rPr>
              <w:t>主要环境保护目标（列出名单及保护级别）：</w:t>
            </w:r>
          </w:p>
          <w:p>
            <w:pPr>
              <w:keepNext w:val="0"/>
              <w:keepLines w:val="0"/>
              <w:pageBreakBefore w:val="0"/>
              <w:widowControl w:val="0"/>
              <w:kinsoku/>
              <w:wordWrap/>
              <w:overflowPunct/>
              <w:topLinePunct w:val="0"/>
              <w:autoSpaceDE/>
              <w:autoSpaceDN/>
              <w:bidi w:val="0"/>
              <w:snapToGrid/>
              <w:spacing w:line="480" w:lineRule="exact"/>
              <w:rPr>
                <w:b/>
                <w:bCs/>
                <w:sz w:val="24"/>
                <w:szCs w:val="24"/>
              </w:rPr>
            </w:pPr>
            <w:r>
              <w:rPr>
                <w:rFonts w:hint="eastAsia"/>
                <w:b/>
                <w:bCs/>
                <w:sz w:val="24"/>
                <w:szCs w:val="24"/>
              </w:rPr>
              <w:t>1</w:t>
            </w:r>
            <w:r>
              <w:rPr>
                <w:rFonts w:hint="eastAsia" w:ascii="宋体" w:hAnsi="宋体"/>
                <w:b/>
                <w:bCs/>
                <w:sz w:val="24"/>
                <w:szCs w:val="24"/>
              </w:rPr>
              <w:t>、大气环境</w:t>
            </w:r>
          </w:p>
          <w:p>
            <w:pPr>
              <w:keepNext w:val="0"/>
              <w:keepLines w:val="0"/>
              <w:pageBreakBefore w:val="0"/>
              <w:widowControl w:val="0"/>
              <w:kinsoku/>
              <w:wordWrap/>
              <w:overflowPunct/>
              <w:topLinePunct w:val="0"/>
              <w:autoSpaceDE/>
              <w:autoSpaceDN/>
              <w:bidi w:val="0"/>
              <w:snapToGrid/>
              <w:spacing w:line="480" w:lineRule="exact"/>
              <w:ind w:firstLine="480" w:firstLineChars="200"/>
              <w:rPr>
                <w:sz w:val="24"/>
                <w:szCs w:val="24"/>
              </w:rPr>
            </w:pPr>
            <w:r>
              <w:rPr>
                <w:rFonts w:hint="eastAsia"/>
                <w:sz w:val="24"/>
                <w:szCs w:val="24"/>
                <w:lang w:val="en-US" w:eastAsia="zh-CN"/>
              </w:rPr>
              <w:t>安徽都邦电器有限公司</w:t>
            </w:r>
            <w:r>
              <w:rPr>
                <w:sz w:val="24"/>
                <w:szCs w:val="24"/>
              </w:rPr>
              <w:t>厂区位于安徽省宣城市宁国市宁国经济开发区</w:t>
            </w:r>
            <w:r>
              <w:rPr>
                <w:rFonts w:hint="eastAsia"/>
                <w:sz w:val="24"/>
                <w:szCs w:val="24"/>
                <w:lang w:val="en-US" w:eastAsia="zh-CN"/>
              </w:rPr>
              <w:t>南山园区环形通道</w:t>
            </w:r>
            <w:r>
              <w:rPr>
                <w:sz w:val="24"/>
                <w:szCs w:val="24"/>
              </w:rPr>
              <w:t>，项目厂区四周均为工业企业和市政道路，</w:t>
            </w:r>
            <w:r>
              <w:rPr>
                <w:rFonts w:hint="eastAsia"/>
                <w:sz w:val="24"/>
                <w:szCs w:val="24"/>
                <w:lang w:val="en-US" w:eastAsia="zh-CN"/>
              </w:rPr>
              <w:t>由于原变更说明未明确厂界外周边环境保护目标情况，本次验收补充列出周边500m范围敏感点分布情况；</w:t>
            </w:r>
            <w:r>
              <w:rPr>
                <w:sz w:val="24"/>
                <w:szCs w:val="24"/>
                <w:highlight w:val="none"/>
              </w:rPr>
              <w:t>厂界外500米范围内无自然保护区、风景名胜区、居住区、文化区等保护目标，但500米范围内有</w:t>
            </w:r>
            <w:r>
              <w:rPr>
                <w:rFonts w:hint="eastAsia"/>
                <w:sz w:val="24"/>
                <w:szCs w:val="24"/>
                <w:highlight w:val="none"/>
              </w:rPr>
              <w:t>一个</w:t>
            </w:r>
            <w:r>
              <w:rPr>
                <w:sz w:val="24"/>
                <w:szCs w:val="24"/>
                <w:highlight w:val="none"/>
              </w:rPr>
              <w:t>居民点，</w:t>
            </w:r>
            <w:r>
              <w:rPr>
                <w:color w:val="FF0000"/>
                <w:sz w:val="24"/>
                <w:szCs w:val="24"/>
                <w:highlight w:val="yellow"/>
              </w:rPr>
              <w:t>详见附图</w:t>
            </w:r>
            <w:r>
              <w:rPr>
                <w:rFonts w:hint="eastAsia"/>
                <w:color w:val="FF0000"/>
                <w:sz w:val="24"/>
                <w:szCs w:val="24"/>
                <w:highlight w:val="yellow"/>
              </w:rPr>
              <w:t>4</w:t>
            </w:r>
            <w:r>
              <w:rPr>
                <w:sz w:val="24"/>
                <w:szCs w:val="24"/>
                <w:highlight w:val="none"/>
              </w:rPr>
              <w:t>项目周边主要大气环境保护目标分布图；</w:t>
            </w:r>
            <w:r>
              <w:rPr>
                <w:rFonts w:hint="eastAsia"/>
                <w:sz w:val="24"/>
                <w:szCs w:val="24"/>
                <w:highlight w:val="none"/>
              </w:rPr>
              <w:t>本</w:t>
            </w:r>
            <w:r>
              <w:rPr>
                <w:rFonts w:hint="eastAsia"/>
                <w:sz w:val="24"/>
                <w:szCs w:val="24"/>
              </w:rPr>
              <w:t>项目具体的大气环境保护目标详见下表。</w:t>
            </w:r>
          </w:p>
          <w:p>
            <w:pPr>
              <w:pStyle w:val="113"/>
              <w:keepNext w:val="0"/>
              <w:keepLines w:val="0"/>
              <w:pageBreakBefore w:val="0"/>
              <w:widowControl w:val="0"/>
              <w:kinsoku/>
              <w:wordWrap/>
              <w:overflowPunct/>
              <w:topLinePunct w:val="0"/>
              <w:autoSpaceDE/>
              <w:autoSpaceDN/>
              <w:bidi w:val="0"/>
              <w:snapToGrid/>
              <w:spacing w:before="0" w:beforeLines="0" w:line="480" w:lineRule="exact"/>
            </w:pPr>
            <w:r>
              <w:t>表1-</w:t>
            </w:r>
            <w:r>
              <w:rPr>
                <w:rFonts w:hint="eastAsia"/>
                <w:lang w:val="en-US" w:eastAsia="zh-CN"/>
              </w:rPr>
              <w:t>5</w:t>
            </w:r>
            <w:r>
              <w:rPr>
                <w:rFonts w:hint="eastAsia"/>
              </w:rPr>
              <w:t xml:space="preserve"> 环境空气</w:t>
            </w:r>
            <w:r>
              <w:t>保护目标</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1"/>
              <w:gridCol w:w="884"/>
              <w:gridCol w:w="1051"/>
              <w:gridCol w:w="1424"/>
              <w:gridCol w:w="2595"/>
              <w:gridCol w:w="1120"/>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20" w:type="pct"/>
                  <w:vMerge w:val="restart"/>
                  <w:vAlign w:val="center"/>
                </w:tcPr>
                <w:p>
                  <w:pPr>
                    <w:spacing w:line="240" w:lineRule="auto"/>
                    <w:jc w:val="center"/>
                  </w:pPr>
                  <w:r>
                    <w:t>序号</w:t>
                  </w:r>
                </w:p>
              </w:tc>
              <w:tc>
                <w:tcPr>
                  <w:tcW w:w="488" w:type="pct"/>
                  <w:vMerge w:val="restart"/>
                  <w:vAlign w:val="center"/>
                </w:tcPr>
                <w:p>
                  <w:pPr>
                    <w:spacing w:line="240" w:lineRule="auto"/>
                    <w:jc w:val="center"/>
                  </w:pPr>
                  <w:r>
                    <w:t>名称</w:t>
                  </w:r>
                </w:p>
              </w:tc>
              <w:tc>
                <w:tcPr>
                  <w:tcW w:w="580" w:type="pct"/>
                  <w:vMerge w:val="restart"/>
                  <w:vAlign w:val="center"/>
                </w:tcPr>
                <w:p>
                  <w:pPr>
                    <w:spacing w:line="240" w:lineRule="auto"/>
                    <w:jc w:val="center"/>
                  </w:pPr>
                  <w:r>
                    <w:t>保护对象</w:t>
                  </w:r>
                </w:p>
              </w:tc>
              <w:tc>
                <w:tcPr>
                  <w:tcW w:w="786" w:type="pct"/>
                  <w:vMerge w:val="restart"/>
                  <w:vAlign w:val="center"/>
                </w:tcPr>
                <w:p>
                  <w:pPr>
                    <w:spacing w:line="240" w:lineRule="auto"/>
                    <w:jc w:val="center"/>
                  </w:pPr>
                  <w:r>
                    <w:t>保护内容</w:t>
                  </w:r>
                </w:p>
              </w:tc>
              <w:tc>
                <w:tcPr>
                  <w:tcW w:w="1432" w:type="pct"/>
                  <w:vMerge w:val="restart"/>
                  <w:vAlign w:val="center"/>
                </w:tcPr>
                <w:p>
                  <w:pPr>
                    <w:spacing w:line="240" w:lineRule="auto"/>
                    <w:jc w:val="center"/>
                  </w:pPr>
                  <w:r>
                    <w:t>环境功能区</w:t>
                  </w:r>
                </w:p>
              </w:tc>
              <w:tc>
                <w:tcPr>
                  <w:tcW w:w="618" w:type="pct"/>
                  <w:vMerge w:val="restart"/>
                  <w:vAlign w:val="center"/>
                </w:tcPr>
                <w:p>
                  <w:pPr>
                    <w:spacing w:line="240" w:lineRule="auto"/>
                    <w:jc w:val="center"/>
                  </w:pPr>
                  <w:r>
                    <w:t>相对厂址方位</w:t>
                  </w:r>
                </w:p>
              </w:tc>
              <w:tc>
                <w:tcPr>
                  <w:tcW w:w="673" w:type="pct"/>
                  <w:vMerge w:val="restart"/>
                  <w:vAlign w:val="center"/>
                </w:tcPr>
                <w:p>
                  <w:pPr>
                    <w:spacing w:line="240" w:lineRule="auto"/>
                    <w:jc w:val="center"/>
                  </w:pPr>
                  <w:r>
                    <w:t>相对</w:t>
                  </w:r>
                  <w:r>
                    <w:rPr>
                      <w:rFonts w:hint="eastAsia"/>
                    </w:rPr>
                    <w:t>厂区边界</w:t>
                  </w:r>
                  <w: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20" w:type="pct"/>
                  <w:vMerge w:val="continue"/>
                  <w:vAlign w:val="center"/>
                </w:tcPr>
                <w:p>
                  <w:pPr>
                    <w:widowControl/>
                    <w:jc w:val="left"/>
                    <w:rPr>
                      <w:szCs w:val="21"/>
                    </w:rPr>
                  </w:pPr>
                </w:p>
              </w:tc>
              <w:tc>
                <w:tcPr>
                  <w:tcW w:w="488" w:type="pct"/>
                  <w:vMerge w:val="continue"/>
                  <w:vAlign w:val="center"/>
                </w:tcPr>
                <w:p>
                  <w:pPr>
                    <w:widowControl/>
                    <w:jc w:val="left"/>
                    <w:rPr>
                      <w:szCs w:val="21"/>
                    </w:rPr>
                  </w:pPr>
                </w:p>
              </w:tc>
              <w:tc>
                <w:tcPr>
                  <w:tcW w:w="580" w:type="pct"/>
                  <w:vMerge w:val="continue"/>
                  <w:vAlign w:val="center"/>
                </w:tcPr>
                <w:p>
                  <w:pPr>
                    <w:widowControl/>
                    <w:jc w:val="left"/>
                    <w:rPr>
                      <w:szCs w:val="21"/>
                    </w:rPr>
                  </w:pPr>
                </w:p>
              </w:tc>
              <w:tc>
                <w:tcPr>
                  <w:tcW w:w="786" w:type="pct"/>
                  <w:vMerge w:val="continue"/>
                  <w:vAlign w:val="center"/>
                </w:tcPr>
                <w:p>
                  <w:pPr>
                    <w:widowControl/>
                    <w:jc w:val="left"/>
                    <w:rPr>
                      <w:szCs w:val="21"/>
                    </w:rPr>
                  </w:pPr>
                </w:p>
              </w:tc>
              <w:tc>
                <w:tcPr>
                  <w:tcW w:w="1432" w:type="pct"/>
                  <w:vMerge w:val="continue"/>
                  <w:vAlign w:val="center"/>
                </w:tcPr>
                <w:p>
                  <w:pPr>
                    <w:widowControl/>
                    <w:jc w:val="left"/>
                    <w:rPr>
                      <w:szCs w:val="21"/>
                    </w:rPr>
                  </w:pPr>
                </w:p>
              </w:tc>
              <w:tc>
                <w:tcPr>
                  <w:tcW w:w="618" w:type="pct"/>
                  <w:vMerge w:val="continue"/>
                  <w:vAlign w:val="center"/>
                </w:tcPr>
                <w:p>
                  <w:pPr>
                    <w:widowControl/>
                    <w:jc w:val="left"/>
                    <w:rPr>
                      <w:szCs w:val="21"/>
                    </w:rPr>
                  </w:pPr>
                </w:p>
              </w:tc>
              <w:tc>
                <w:tcPr>
                  <w:tcW w:w="673" w:type="pct"/>
                  <w:vMerge w:val="continue"/>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0" w:type="pct"/>
                  <w:vAlign w:val="center"/>
                </w:tcPr>
                <w:p>
                  <w:pPr>
                    <w:jc w:val="center"/>
                    <w:rPr>
                      <w:szCs w:val="21"/>
                    </w:rPr>
                  </w:pPr>
                  <w:bookmarkStart w:id="5" w:name="OLE_LINK37"/>
                  <w:bookmarkEnd w:id="5"/>
                  <w:r>
                    <w:t>1</w:t>
                  </w:r>
                </w:p>
              </w:tc>
              <w:tc>
                <w:tcPr>
                  <w:tcW w:w="488" w:type="pct"/>
                  <w:vAlign w:val="center"/>
                </w:tcPr>
                <w:p>
                  <w:pPr>
                    <w:jc w:val="center"/>
                    <w:rPr>
                      <w:rFonts w:hint="eastAsia" w:eastAsia="宋体"/>
                      <w:lang w:eastAsia="zh-CN"/>
                    </w:rPr>
                  </w:pPr>
                  <w:r>
                    <w:rPr>
                      <w:rFonts w:hint="eastAsia"/>
                      <w:lang w:val="en-US" w:eastAsia="zh-CN"/>
                    </w:rPr>
                    <w:t>上杨村</w:t>
                  </w:r>
                </w:p>
              </w:tc>
              <w:tc>
                <w:tcPr>
                  <w:tcW w:w="580" w:type="pct"/>
                  <w:vAlign w:val="center"/>
                </w:tcPr>
                <w:p>
                  <w:pPr>
                    <w:jc w:val="center"/>
                  </w:pPr>
                  <w:r>
                    <w:t>居民</w:t>
                  </w:r>
                </w:p>
              </w:tc>
              <w:tc>
                <w:tcPr>
                  <w:tcW w:w="786" w:type="pct"/>
                  <w:vAlign w:val="center"/>
                </w:tcPr>
                <w:p>
                  <w:pPr>
                    <w:jc w:val="center"/>
                  </w:pPr>
                  <w:r>
                    <w:rPr>
                      <w:rFonts w:hint="eastAsia"/>
                      <w:lang w:val="en-US" w:eastAsia="zh-CN"/>
                    </w:rPr>
                    <w:t>46</w:t>
                  </w:r>
                  <w:r>
                    <w:t>户</w:t>
                  </w:r>
                  <w:r>
                    <w:rPr>
                      <w:rFonts w:hint="eastAsia"/>
                      <w:lang w:val="en-US" w:eastAsia="zh-CN"/>
                    </w:rPr>
                    <w:t>138</w:t>
                  </w:r>
                  <w:r>
                    <w:t>人</w:t>
                  </w:r>
                </w:p>
              </w:tc>
              <w:tc>
                <w:tcPr>
                  <w:tcW w:w="1432" w:type="pct"/>
                  <w:vAlign w:val="center"/>
                </w:tcPr>
                <w:p>
                  <w:pPr>
                    <w:jc w:val="center"/>
                  </w:pPr>
                  <w:r>
                    <w:t>二类区，质量满足（GB3095-1996</w:t>
                  </w:r>
                  <w:r>
                    <w:rPr>
                      <w:rFonts w:ascii="宋体" w:hAnsi="宋体"/>
                    </w:rPr>
                    <w:t>）二级标准</w:t>
                  </w:r>
                </w:p>
              </w:tc>
              <w:tc>
                <w:tcPr>
                  <w:tcW w:w="618" w:type="pct"/>
                  <w:vAlign w:val="center"/>
                </w:tcPr>
                <w:p>
                  <w:pPr>
                    <w:jc w:val="center"/>
                    <w:rPr>
                      <w:rFonts w:hint="eastAsia" w:eastAsia="宋体"/>
                      <w:lang w:val="en-US" w:eastAsia="zh-CN"/>
                    </w:rPr>
                  </w:pPr>
                  <w:r>
                    <w:rPr>
                      <w:rFonts w:hint="eastAsia"/>
                    </w:rPr>
                    <w:t>S</w:t>
                  </w:r>
                  <w:r>
                    <w:rPr>
                      <w:rFonts w:hint="eastAsia"/>
                      <w:lang w:val="en-US" w:eastAsia="zh-CN"/>
                    </w:rPr>
                    <w:t>W</w:t>
                  </w:r>
                </w:p>
              </w:tc>
              <w:tc>
                <w:tcPr>
                  <w:tcW w:w="673" w:type="pct"/>
                  <w:vAlign w:val="center"/>
                </w:tcPr>
                <w:p>
                  <w:pPr>
                    <w:jc w:val="center"/>
                  </w:pPr>
                  <w:r>
                    <w:rPr>
                      <w:rFonts w:hint="eastAsia"/>
                      <w:lang w:val="en-US" w:eastAsia="zh-CN"/>
                    </w:rPr>
                    <w:t>115</w:t>
                  </w:r>
                  <w:r>
                    <w:rPr>
                      <w:rFonts w:hint="eastAsia"/>
                    </w:rPr>
                    <w:t>m</w:t>
                  </w:r>
                </w:p>
              </w:tc>
            </w:tr>
          </w:tbl>
          <w:p>
            <w:pPr>
              <w:keepNext w:val="0"/>
              <w:keepLines w:val="0"/>
              <w:pageBreakBefore w:val="0"/>
              <w:widowControl w:val="0"/>
              <w:kinsoku/>
              <w:wordWrap/>
              <w:overflowPunct/>
              <w:topLinePunct w:val="0"/>
              <w:autoSpaceDE w:val="0"/>
              <w:autoSpaceDN/>
              <w:bidi w:val="0"/>
              <w:adjustRightInd w:val="0"/>
              <w:snapToGrid w:val="0"/>
              <w:spacing w:line="480" w:lineRule="exact"/>
              <w:textAlignment w:val="auto"/>
              <w:rPr>
                <w:b/>
                <w:bCs/>
                <w:spacing w:val="4"/>
                <w:sz w:val="24"/>
                <w:szCs w:val="24"/>
              </w:rPr>
            </w:pPr>
            <w:r>
              <w:rPr>
                <w:b/>
                <w:bCs/>
                <w:spacing w:val="4"/>
                <w:sz w:val="24"/>
                <w:szCs w:val="24"/>
              </w:rPr>
              <w:t>2</w:t>
            </w:r>
            <w:r>
              <w:rPr>
                <w:rFonts w:ascii="宋体" w:hAnsi="宋体"/>
                <w:b/>
                <w:bCs/>
                <w:spacing w:val="4"/>
                <w:sz w:val="24"/>
                <w:szCs w:val="24"/>
              </w:rPr>
              <w:t>、声环境</w:t>
            </w:r>
          </w:p>
          <w:p>
            <w:pPr>
              <w:keepNext w:val="0"/>
              <w:keepLines w:val="0"/>
              <w:pageBreakBefore w:val="0"/>
              <w:widowControl w:val="0"/>
              <w:kinsoku/>
              <w:wordWrap/>
              <w:overflowPunct/>
              <w:topLinePunct w:val="0"/>
              <w:autoSpaceDE w:val="0"/>
              <w:autoSpaceDN/>
              <w:bidi w:val="0"/>
              <w:spacing w:line="480" w:lineRule="exact"/>
              <w:ind w:firstLine="480" w:firstLineChars="200"/>
              <w:textAlignment w:val="auto"/>
              <w:rPr>
                <w:kern w:val="0"/>
                <w:sz w:val="24"/>
                <w:szCs w:val="24"/>
              </w:rPr>
            </w:pPr>
            <w:r>
              <w:rPr>
                <w:rFonts w:hint="eastAsia"/>
                <w:sz w:val="24"/>
                <w:szCs w:val="24"/>
                <w:lang w:val="en-US" w:eastAsia="zh-CN"/>
              </w:rPr>
              <w:t>安徽都邦电器有限公司</w:t>
            </w:r>
            <w:r>
              <w:rPr>
                <w:sz w:val="24"/>
                <w:szCs w:val="24"/>
              </w:rPr>
              <w:t>厂区位于安徽省宣城市宁国市宁国经济开发区</w:t>
            </w:r>
            <w:r>
              <w:rPr>
                <w:rFonts w:hint="eastAsia"/>
                <w:sz w:val="24"/>
                <w:szCs w:val="24"/>
                <w:lang w:val="en-US" w:eastAsia="zh-CN"/>
              </w:rPr>
              <w:t>南山园区环形通道</w:t>
            </w:r>
            <w:r>
              <w:rPr>
                <w:sz w:val="24"/>
                <w:szCs w:val="24"/>
              </w:rPr>
              <w:t>，项目厂区四周均为工业企业和市政道路</w:t>
            </w:r>
            <w:r>
              <w:rPr>
                <w:kern w:val="0"/>
                <w:sz w:val="24"/>
                <w:szCs w:val="24"/>
              </w:rPr>
              <w:t>，厂界外50米范围内无声环境保护目标。</w:t>
            </w:r>
          </w:p>
          <w:p>
            <w:pPr>
              <w:keepNext w:val="0"/>
              <w:keepLines w:val="0"/>
              <w:pageBreakBefore w:val="0"/>
              <w:widowControl w:val="0"/>
              <w:kinsoku/>
              <w:wordWrap/>
              <w:overflowPunct/>
              <w:topLinePunct w:val="0"/>
              <w:autoSpaceDE w:val="0"/>
              <w:autoSpaceDN/>
              <w:bidi w:val="0"/>
              <w:adjustRightInd w:val="0"/>
              <w:snapToGrid w:val="0"/>
              <w:spacing w:line="480" w:lineRule="exact"/>
              <w:textAlignment w:val="auto"/>
              <w:rPr>
                <w:b/>
                <w:bCs/>
                <w:spacing w:val="4"/>
                <w:sz w:val="24"/>
                <w:szCs w:val="24"/>
              </w:rPr>
            </w:pPr>
            <w:r>
              <w:rPr>
                <w:b/>
                <w:bCs/>
                <w:spacing w:val="4"/>
                <w:sz w:val="24"/>
                <w:szCs w:val="24"/>
              </w:rPr>
              <w:t>3、地下水环境</w:t>
            </w:r>
          </w:p>
          <w:p>
            <w:pPr>
              <w:keepNext w:val="0"/>
              <w:keepLines w:val="0"/>
              <w:pageBreakBefore w:val="0"/>
              <w:widowControl w:val="0"/>
              <w:kinsoku/>
              <w:wordWrap/>
              <w:overflowPunct/>
              <w:topLinePunct w:val="0"/>
              <w:autoSpaceDE w:val="0"/>
              <w:autoSpaceDN/>
              <w:bidi w:val="0"/>
              <w:spacing w:line="480" w:lineRule="exact"/>
              <w:ind w:firstLine="480" w:firstLineChars="200"/>
              <w:textAlignment w:val="auto"/>
            </w:pPr>
            <w:r>
              <w:rPr>
                <w:rFonts w:hint="eastAsia"/>
                <w:sz w:val="24"/>
                <w:szCs w:val="24"/>
                <w:lang w:val="en-US" w:eastAsia="zh-CN"/>
              </w:rPr>
              <w:t>安徽都邦电器有限公司</w:t>
            </w:r>
            <w:r>
              <w:rPr>
                <w:sz w:val="24"/>
                <w:szCs w:val="24"/>
              </w:rPr>
              <w:t>厂区位于安徽省宣城市宁国市宁国经济开发区</w:t>
            </w:r>
            <w:r>
              <w:rPr>
                <w:rFonts w:hint="eastAsia"/>
                <w:sz w:val="24"/>
                <w:szCs w:val="24"/>
                <w:lang w:val="en-US" w:eastAsia="zh-CN"/>
              </w:rPr>
              <w:t>南山园区环形通道</w:t>
            </w:r>
            <w:r>
              <w:rPr>
                <w:sz w:val="24"/>
                <w:szCs w:val="24"/>
              </w:rPr>
              <w:t>，项目厂区四周均为工业企业和市政道路，厂界外500米范围内没有地下水集中式饮用水源和其他特殊地下水资源，项目周边500米范围内没有地下水环境保护目标。</w:t>
            </w:r>
          </w:p>
        </w:tc>
      </w:tr>
    </w:tbl>
    <w:p>
      <w:pPr>
        <w:sectPr>
          <w:headerReference r:id="rId7" w:type="default"/>
          <w:footerReference r:id="rId8" w:type="default"/>
          <w:pgSz w:w="11906" w:h="16838"/>
          <w:pgMar w:top="1440" w:right="1418" w:bottom="1440" w:left="1418" w:header="851" w:footer="992" w:gutter="0"/>
          <w:cols w:space="425" w:num="1"/>
          <w:docGrid w:type="lines" w:linePitch="312" w:charSpace="0"/>
        </w:sectPr>
      </w:pPr>
    </w:p>
    <w:p>
      <w:pPr>
        <w:outlineLvl w:val="0"/>
        <w:rPr>
          <w:b/>
          <w:bCs/>
          <w:sz w:val="28"/>
          <w:szCs w:val="28"/>
        </w:rPr>
      </w:pPr>
      <w:r>
        <w:rPr>
          <w:rFonts w:hint="eastAsia"/>
          <w:b/>
          <w:bCs/>
          <w:sz w:val="28"/>
          <w:szCs w:val="28"/>
        </w:rPr>
        <w:t>表二 工程建设情况</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5" w:hRule="atLeast"/>
          <w:jc w:val="center"/>
        </w:trPr>
        <w:tc>
          <w:tcPr>
            <w:tcW w:w="5000" w:type="pct"/>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2.1工程建设内容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1、项目地理位置及平面布置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lang w:val="en-US" w:eastAsia="zh-CN"/>
              </w:rPr>
              <w:t>安徽都邦电器有限公司</w:t>
            </w:r>
            <w:r>
              <w:rPr>
                <w:sz w:val="24"/>
                <w:szCs w:val="24"/>
              </w:rPr>
              <w:t>厂区位于安徽省宣城市宁国市宁国经济开发区</w:t>
            </w:r>
            <w:r>
              <w:rPr>
                <w:rFonts w:hint="eastAsia"/>
                <w:sz w:val="24"/>
                <w:szCs w:val="24"/>
                <w:lang w:val="en-US" w:eastAsia="zh-CN"/>
              </w:rPr>
              <w:t>南山园区环形通道</w:t>
            </w:r>
            <w:r>
              <w:rPr>
                <w:rFonts w:hint="eastAsia"/>
                <w:sz w:val="24"/>
                <w:szCs w:val="24"/>
              </w:rPr>
              <w:t>，地理坐标：东经118°55′56.9148″，北纬30°35′27.3543″。</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项目地理位置见附图1，项目平面布置见附图2。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2、建设内容概况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lang w:val="en-US" w:eastAsia="zh-CN"/>
              </w:rPr>
              <w:t>安徽都邦电器有限公司总</w:t>
            </w:r>
            <w:r>
              <w:rPr>
                <w:rFonts w:hint="eastAsia"/>
                <w:sz w:val="24"/>
                <w:szCs w:val="24"/>
              </w:rPr>
              <w:t>占地约</w:t>
            </w:r>
            <w:r>
              <w:rPr>
                <w:rFonts w:hint="eastAsia"/>
                <w:sz w:val="24"/>
                <w:szCs w:val="24"/>
                <w:lang w:val="en-US" w:eastAsia="zh-CN"/>
              </w:rPr>
              <w:t>27.38</w:t>
            </w:r>
            <w:r>
              <w:rPr>
                <w:rFonts w:hint="eastAsia"/>
                <w:sz w:val="24"/>
                <w:szCs w:val="24"/>
              </w:rPr>
              <w:t>亩（约</w:t>
            </w:r>
            <w:r>
              <w:rPr>
                <w:rFonts w:hint="eastAsia"/>
                <w:sz w:val="24"/>
                <w:szCs w:val="24"/>
                <w:lang w:val="en-US" w:eastAsia="zh-CN"/>
              </w:rPr>
              <w:t>18255</w:t>
            </w:r>
            <w:r>
              <w:rPr>
                <w:rFonts w:hint="eastAsia"/>
                <w:sz w:val="24"/>
                <w:szCs w:val="24"/>
              </w:rPr>
              <w:t>m</w:t>
            </w:r>
            <w:r>
              <w:rPr>
                <w:rFonts w:hint="eastAsia"/>
                <w:sz w:val="24"/>
                <w:szCs w:val="24"/>
                <w:vertAlign w:val="superscript"/>
              </w:rPr>
              <w:t>2</w:t>
            </w:r>
            <w:r>
              <w:rPr>
                <w:rFonts w:hint="eastAsia"/>
                <w:sz w:val="24"/>
                <w:szCs w:val="24"/>
              </w:rPr>
              <w:t>），</w:t>
            </w:r>
            <w:r>
              <w:rPr>
                <w:rFonts w:hint="eastAsia"/>
                <w:sz w:val="24"/>
                <w:szCs w:val="24"/>
                <w:lang w:val="en-US" w:eastAsia="zh-CN"/>
              </w:rPr>
              <w:t>已建成2栋生产车间</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sz w:val="24"/>
                <w:szCs w:val="24"/>
              </w:rPr>
            </w:pPr>
            <w:r>
              <w:rPr>
                <w:rFonts w:hint="eastAsia"/>
                <w:sz w:val="24"/>
                <w:szCs w:val="24"/>
              </w:rPr>
              <w:t>本项目建设内容及规模为：</w:t>
            </w:r>
            <w:r>
              <w:rPr>
                <w:rFonts w:hint="eastAsia"/>
                <w:sz w:val="24"/>
                <w:szCs w:val="24"/>
                <w:lang w:val="en-US" w:eastAsia="zh-CN"/>
              </w:rPr>
              <w:t>在现有厂房西侧新增3#生产车间，将变更后硫化工序调整至3#生产车间内。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项目环评要求与实际建设内容对照见表2-1。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sz w:val="21"/>
                <w:szCs w:val="21"/>
              </w:rPr>
            </w:pPr>
            <w:r>
              <w:rPr>
                <w:rFonts w:hint="eastAsia"/>
                <w:b/>
                <w:bCs/>
                <w:sz w:val="21"/>
                <w:szCs w:val="21"/>
              </w:rPr>
              <w:t>表2-1  项目环评及批复要求与实际建设内容对照一览表</w:t>
            </w:r>
          </w:p>
          <w:tbl>
            <w:tblPr>
              <w:tblStyle w:val="32"/>
              <w:tblW w:w="492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596"/>
              <w:gridCol w:w="611"/>
              <w:gridCol w:w="685"/>
              <w:gridCol w:w="2931"/>
              <w:gridCol w:w="2974"/>
              <w:gridCol w:w="1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Align w:val="center"/>
                </w:tcPr>
                <w:p>
                  <w:pPr>
                    <w:jc w:val="center"/>
                    <w:rPr>
                      <w:bCs/>
                      <w:szCs w:val="21"/>
                    </w:rPr>
                  </w:pPr>
                  <w:r>
                    <w:rPr>
                      <w:bCs/>
                      <w:szCs w:val="21"/>
                    </w:rPr>
                    <w:t>项目名称</w:t>
                  </w:r>
                </w:p>
              </w:tc>
              <w:tc>
                <w:tcPr>
                  <w:tcW w:w="725" w:type="pct"/>
                  <w:gridSpan w:val="2"/>
                  <w:vAlign w:val="center"/>
                </w:tcPr>
                <w:p>
                  <w:pPr>
                    <w:jc w:val="center"/>
                    <w:rPr>
                      <w:bCs/>
                      <w:szCs w:val="21"/>
                    </w:rPr>
                  </w:pPr>
                  <w:r>
                    <w:rPr>
                      <w:bCs/>
                      <w:szCs w:val="21"/>
                    </w:rPr>
                    <w:t>单项工程名称</w:t>
                  </w:r>
                </w:p>
              </w:tc>
              <w:tc>
                <w:tcPr>
                  <w:tcW w:w="1640" w:type="pct"/>
                  <w:vAlign w:val="center"/>
                </w:tcPr>
                <w:p>
                  <w:pPr>
                    <w:jc w:val="center"/>
                    <w:rPr>
                      <w:bCs/>
                      <w:szCs w:val="21"/>
                    </w:rPr>
                  </w:pPr>
                  <w:r>
                    <w:rPr>
                      <w:bCs/>
                      <w:szCs w:val="21"/>
                    </w:rPr>
                    <w:t>环评要求工程内容及规模</w:t>
                  </w:r>
                </w:p>
              </w:tc>
              <w:tc>
                <w:tcPr>
                  <w:tcW w:w="1664" w:type="pct"/>
                  <w:vAlign w:val="center"/>
                </w:tcPr>
                <w:p>
                  <w:pPr>
                    <w:jc w:val="center"/>
                    <w:rPr>
                      <w:bCs/>
                      <w:szCs w:val="21"/>
                    </w:rPr>
                  </w:pPr>
                  <w:r>
                    <w:rPr>
                      <w:rFonts w:hint="eastAsia"/>
                      <w:bCs/>
                      <w:szCs w:val="21"/>
                    </w:rPr>
                    <w:t>实际</w:t>
                  </w:r>
                  <w:r>
                    <w:rPr>
                      <w:bCs/>
                      <w:szCs w:val="21"/>
                    </w:rPr>
                    <w:t>工程内容及规模</w:t>
                  </w:r>
                </w:p>
              </w:tc>
              <w:tc>
                <w:tcPr>
                  <w:tcW w:w="634" w:type="pct"/>
                  <w:vAlign w:val="center"/>
                </w:tcPr>
                <w:p>
                  <w:pPr>
                    <w:jc w:val="center"/>
                    <w:rPr>
                      <w:bCs/>
                      <w:szCs w:val="21"/>
                    </w:rPr>
                  </w:pPr>
                  <w:r>
                    <w:rPr>
                      <w:rFonts w:hint="eastAsia"/>
                      <w:bCs/>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1346" w:hRule="atLeast"/>
                <w:tblHeader/>
                <w:jc w:val="center"/>
              </w:trPr>
              <w:tc>
                <w:tcPr>
                  <w:tcW w:w="333" w:type="pct"/>
                  <w:vAlign w:val="center"/>
                </w:tcPr>
                <w:p>
                  <w:pPr>
                    <w:jc w:val="center"/>
                    <w:rPr>
                      <w:bCs/>
                      <w:szCs w:val="21"/>
                    </w:rPr>
                  </w:pPr>
                  <w:r>
                    <w:rPr>
                      <w:bCs/>
                      <w:szCs w:val="21"/>
                    </w:rPr>
                    <w:t>主体工程</w:t>
                  </w:r>
                </w:p>
              </w:tc>
              <w:tc>
                <w:tcPr>
                  <w:tcW w:w="725" w:type="pct"/>
                  <w:gridSpan w:val="2"/>
                  <w:vAlign w:val="center"/>
                </w:tcPr>
                <w:p>
                  <w:pPr>
                    <w:jc w:val="center"/>
                    <w:rPr>
                      <w:bCs/>
                      <w:szCs w:val="21"/>
                    </w:rPr>
                  </w:pPr>
                  <w:r>
                    <w:rPr>
                      <w:rFonts w:hint="eastAsia"/>
                      <w:bCs/>
                      <w:szCs w:val="21"/>
                      <w:lang w:val="en-US" w:eastAsia="zh-CN"/>
                    </w:rPr>
                    <w:t>3#</w:t>
                  </w:r>
                  <w:r>
                    <w:rPr>
                      <w:bCs/>
                      <w:szCs w:val="21"/>
                    </w:rPr>
                    <w:t>生产车间</w:t>
                  </w:r>
                </w:p>
              </w:tc>
              <w:tc>
                <w:tcPr>
                  <w:tcW w:w="1640" w:type="pct"/>
                  <w:vAlign w:val="center"/>
                </w:tcPr>
                <w:p>
                  <w:pPr>
                    <w:jc w:val="center"/>
                    <w:rPr>
                      <w:rFonts w:hint="default" w:ascii="宋体" w:hAnsi="宋体" w:eastAsia="宋体" w:cs="宋体"/>
                      <w:bCs/>
                      <w:szCs w:val="21"/>
                      <w:lang w:val="en-US"/>
                    </w:rPr>
                  </w:pPr>
                  <w:r>
                    <w:rPr>
                      <w:rFonts w:hint="eastAsia" w:cs="Times New Roman"/>
                      <w:color w:val="auto"/>
                      <w:sz w:val="21"/>
                      <w:szCs w:val="21"/>
                      <w:lang w:val="en-US" w:eastAsia="zh-CN"/>
                    </w:rPr>
                    <w:t>新建3#生产车间，作为硫化车间，新增4台硫化罐，每只型号为</w:t>
                  </w:r>
                  <w:r>
                    <w:rPr>
                      <w:rFonts w:hint="default" w:ascii="Times New Roman" w:hAnsi="Times New Roman" w:eastAsia="宋体" w:cs="Times New Roman"/>
                      <w:color w:val="auto"/>
                      <w:sz w:val="21"/>
                      <w:szCs w:val="21"/>
                      <w:lang w:val="en-US" w:eastAsia="zh-CN"/>
                    </w:rPr>
                    <w:t>Φ</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1.5m，对橡胶弯管进行硫化；</w:t>
                  </w:r>
                </w:p>
              </w:tc>
              <w:tc>
                <w:tcPr>
                  <w:tcW w:w="1664" w:type="pct"/>
                  <w:vAlign w:val="center"/>
                </w:tcPr>
                <w:p>
                  <w:pPr>
                    <w:keepNext w:val="0"/>
                    <w:keepLines w:val="0"/>
                    <w:widowControl/>
                    <w:suppressLineNumbers w:val="0"/>
                    <w:jc w:val="both"/>
                    <w:rPr>
                      <w:bCs/>
                      <w:szCs w:val="21"/>
                    </w:rPr>
                  </w:pPr>
                  <w:r>
                    <w:rPr>
                      <w:rFonts w:hint="eastAsia" w:cs="Times New Roman"/>
                      <w:color w:val="auto"/>
                      <w:sz w:val="21"/>
                      <w:szCs w:val="21"/>
                      <w:lang w:val="en-US" w:eastAsia="zh-CN"/>
                    </w:rPr>
                    <w:t>新建3#生产车间，作为硫化车间，新增4台硫化罐，每只型号为</w:t>
                  </w:r>
                  <w:r>
                    <w:rPr>
                      <w:rFonts w:hint="default" w:ascii="Times New Roman" w:hAnsi="Times New Roman" w:eastAsia="宋体" w:cs="Times New Roman"/>
                      <w:color w:val="auto"/>
                      <w:sz w:val="21"/>
                      <w:szCs w:val="21"/>
                      <w:lang w:val="en-US" w:eastAsia="zh-CN"/>
                    </w:rPr>
                    <w:t>Φ</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1.5m，对橡胶弯管进行硫化；</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restart"/>
                  <w:vAlign w:val="center"/>
                </w:tcPr>
                <w:p>
                  <w:pPr>
                    <w:jc w:val="center"/>
                    <w:rPr>
                      <w:bCs/>
                      <w:szCs w:val="21"/>
                    </w:rPr>
                  </w:pPr>
                  <w:r>
                    <w:rPr>
                      <w:bCs/>
                      <w:szCs w:val="21"/>
                    </w:rPr>
                    <w:t>辅助工程</w:t>
                  </w:r>
                </w:p>
              </w:tc>
              <w:tc>
                <w:tcPr>
                  <w:tcW w:w="725" w:type="pct"/>
                  <w:gridSpan w:val="2"/>
                  <w:vAlign w:val="center"/>
                </w:tcPr>
                <w:p>
                  <w:pPr>
                    <w:jc w:val="center"/>
                    <w:rPr>
                      <w:rFonts w:hint="eastAsia" w:eastAsia="宋体"/>
                      <w:szCs w:val="21"/>
                      <w:lang w:eastAsia="zh-CN"/>
                    </w:rPr>
                  </w:pPr>
                  <w:r>
                    <w:rPr>
                      <w:rFonts w:hint="eastAsia" w:ascii="宋体" w:hAnsi="宋体"/>
                      <w:szCs w:val="21"/>
                    </w:rPr>
                    <w:t>办公</w:t>
                  </w:r>
                  <w:r>
                    <w:rPr>
                      <w:rFonts w:hint="eastAsia" w:ascii="宋体" w:hAnsi="宋体"/>
                      <w:szCs w:val="21"/>
                      <w:lang w:val="en-US" w:eastAsia="zh-CN"/>
                    </w:rPr>
                    <w:t>区</w:t>
                  </w:r>
                </w:p>
              </w:tc>
              <w:tc>
                <w:tcPr>
                  <w:tcW w:w="1640" w:type="pct"/>
                  <w:vAlign w:val="center"/>
                </w:tcPr>
                <w:p>
                  <w:pPr>
                    <w:jc w:val="center"/>
                    <w:rPr>
                      <w:szCs w:val="21"/>
                    </w:rPr>
                  </w:pPr>
                  <w:r>
                    <w:rPr>
                      <w:rFonts w:hint="eastAsia" w:ascii="Times New Roman" w:hAnsi="Times New Roman" w:eastAsia="宋体" w:cs="Times New Roman"/>
                      <w:color w:val="auto"/>
                      <w:kern w:val="2"/>
                      <w:sz w:val="21"/>
                      <w:szCs w:val="21"/>
                      <w:lang w:val="en-US" w:eastAsia="zh-CN" w:bidi="ar"/>
                    </w:rPr>
                    <w:t>依托现有</w:t>
                  </w:r>
                </w:p>
              </w:tc>
              <w:tc>
                <w:tcPr>
                  <w:tcW w:w="1664" w:type="pct"/>
                  <w:vAlign w:val="center"/>
                </w:tcPr>
                <w:p>
                  <w:pPr>
                    <w:jc w:val="center"/>
                    <w:rPr>
                      <w:szCs w:val="21"/>
                    </w:rPr>
                  </w:pPr>
                  <w:r>
                    <w:rPr>
                      <w:rFonts w:hint="eastAsia" w:ascii="Times New Roman" w:hAnsi="Times New Roman" w:eastAsia="宋体" w:cs="Times New Roman"/>
                      <w:color w:val="auto"/>
                      <w:kern w:val="2"/>
                      <w:sz w:val="21"/>
                      <w:szCs w:val="21"/>
                      <w:lang w:val="en-US" w:eastAsia="zh-CN" w:bidi="ar"/>
                    </w:rPr>
                    <w:t>依托现有</w:t>
                  </w:r>
                </w:p>
              </w:tc>
              <w:tc>
                <w:tcPr>
                  <w:tcW w:w="634" w:type="pct"/>
                  <w:vAlign w:val="center"/>
                </w:tcPr>
                <w:p>
                  <w:pPr>
                    <w:jc w:val="center"/>
                    <w:rPr>
                      <w:rFonts w:hint="default" w:eastAsia="宋体"/>
                      <w:szCs w:val="21"/>
                      <w:lang w:val="en-US" w:eastAsia="zh-CN"/>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continue"/>
                  <w:vAlign w:val="center"/>
                </w:tcPr>
                <w:p>
                  <w:pPr>
                    <w:jc w:val="center"/>
                    <w:rPr>
                      <w:bCs/>
                      <w:szCs w:val="21"/>
                    </w:rPr>
                  </w:pPr>
                </w:p>
              </w:tc>
              <w:tc>
                <w:tcPr>
                  <w:tcW w:w="725" w:type="pct"/>
                  <w:gridSpan w:val="2"/>
                  <w:vAlign w:val="center"/>
                </w:tcPr>
                <w:p>
                  <w:pPr>
                    <w:jc w:val="center"/>
                    <w:rPr>
                      <w:rFonts w:ascii="宋体" w:hAnsi="宋体"/>
                      <w:szCs w:val="21"/>
                    </w:rPr>
                  </w:pPr>
                  <w:r>
                    <w:rPr>
                      <w:rFonts w:hint="eastAsia" w:ascii="宋体" w:hAnsi="宋体"/>
                      <w:szCs w:val="21"/>
                    </w:rPr>
                    <w:t>门卫</w:t>
                  </w:r>
                  <w:r>
                    <w:rPr>
                      <w:rFonts w:ascii="宋体" w:hAnsi="宋体"/>
                      <w:szCs w:val="21"/>
                    </w:rPr>
                    <w:t>室</w:t>
                  </w:r>
                </w:p>
              </w:tc>
              <w:tc>
                <w:tcPr>
                  <w:tcW w:w="1640" w:type="pct"/>
                  <w:vAlign w:val="center"/>
                </w:tcPr>
                <w:p>
                  <w:pPr>
                    <w:jc w:val="center"/>
                    <w:rPr>
                      <w:rFonts w:ascii="宋体" w:hAnsi="宋体"/>
                      <w:szCs w:val="21"/>
                    </w:rPr>
                  </w:pPr>
                  <w:r>
                    <w:rPr>
                      <w:rFonts w:hint="eastAsia" w:cs="Times New Roman"/>
                      <w:color w:val="auto"/>
                      <w:szCs w:val="21"/>
                      <w:lang w:val="en-US" w:eastAsia="zh-CN"/>
                    </w:rPr>
                    <w:t>依托现有，厂区现有共</w:t>
                  </w:r>
                  <w:r>
                    <w:rPr>
                      <w:rFonts w:hint="default" w:ascii="Times New Roman" w:hAnsi="Times New Roman" w:cs="Times New Roman"/>
                      <w:color w:val="auto"/>
                      <w:szCs w:val="21"/>
                      <w:lang w:val="en-US" w:eastAsia="zh-CN"/>
                    </w:rPr>
                    <w:t>设</w:t>
                  </w:r>
                  <w:r>
                    <w:rPr>
                      <w:rFonts w:hint="eastAsia" w:cs="Times New Roman"/>
                      <w:color w:val="auto"/>
                      <w:szCs w:val="21"/>
                      <w:lang w:val="en-US" w:eastAsia="zh-CN"/>
                    </w:rPr>
                    <w:t>1</w:t>
                  </w:r>
                  <w:r>
                    <w:rPr>
                      <w:rFonts w:hint="default" w:ascii="Times New Roman" w:hAnsi="Times New Roman" w:cs="Times New Roman"/>
                      <w:color w:val="auto"/>
                      <w:szCs w:val="21"/>
                      <w:lang w:val="en-US" w:eastAsia="zh-CN"/>
                    </w:rPr>
                    <w:t>个门卫室</w:t>
                  </w:r>
                </w:p>
              </w:tc>
              <w:tc>
                <w:tcPr>
                  <w:tcW w:w="1664" w:type="pct"/>
                  <w:vAlign w:val="center"/>
                </w:tcPr>
                <w:p>
                  <w:pPr>
                    <w:jc w:val="center"/>
                    <w:rPr>
                      <w:szCs w:val="21"/>
                    </w:rPr>
                  </w:pPr>
                  <w:r>
                    <w:rPr>
                      <w:rFonts w:hint="eastAsia" w:cs="Times New Roman"/>
                      <w:color w:val="auto"/>
                      <w:szCs w:val="21"/>
                      <w:lang w:val="en-US" w:eastAsia="zh-CN"/>
                    </w:rPr>
                    <w:t>依托现有，厂区现有共</w:t>
                  </w:r>
                  <w:r>
                    <w:rPr>
                      <w:rFonts w:hint="default" w:ascii="Times New Roman" w:hAnsi="Times New Roman" w:cs="Times New Roman"/>
                      <w:color w:val="auto"/>
                      <w:szCs w:val="21"/>
                      <w:lang w:val="en-US" w:eastAsia="zh-CN"/>
                    </w:rPr>
                    <w:t>设</w:t>
                  </w:r>
                  <w:r>
                    <w:rPr>
                      <w:rFonts w:hint="eastAsia" w:cs="Times New Roman"/>
                      <w:color w:val="auto"/>
                      <w:szCs w:val="21"/>
                      <w:lang w:val="en-US" w:eastAsia="zh-CN"/>
                    </w:rPr>
                    <w:t>1</w:t>
                  </w:r>
                  <w:r>
                    <w:rPr>
                      <w:rFonts w:hint="default" w:ascii="Times New Roman" w:hAnsi="Times New Roman" w:cs="Times New Roman"/>
                      <w:color w:val="auto"/>
                      <w:szCs w:val="21"/>
                      <w:lang w:val="en-US" w:eastAsia="zh-CN"/>
                    </w:rPr>
                    <w:t>个门卫室</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restart"/>
                  <w:vAlign w:val="center"/>
                </w:tcPr>
                <w:p>
                  <w:pPr>
                    <w:jc w:val="center"/>
                    <w:rPr>
                      <w:bCs/>
                      <w:szCs w:val="21"/>
                    </w:rPr>
                  </w:pPr>
                  <w:r>
                    <w:rPr>
                      <w:rFonts w:hint="eastAsia"/>
                      <w:bCs/>
                      <w:szCs w:val="21"/>
                    </w:rPr>
                    <w:t>储运工程</w:t>
                  </w:r>
                </w:p>
              </w:tc>
              <w:tc>
                <w:tcPr>
                  <w:tcW w:w="725" w:type="pct"/>
                  <w:gridSpan w:val="2"/>
                  <w:vAlign w:val="center"/>
                </w:tcPr>
                <w:p>
                  <w:pPr>
                    <w:jc w:val="center"/>
                    <w:rPr>
                      <w:rFonts w:hint="default" w:eastAsia="宋体"/>
                      <w:szCs w:val="21"/>
                      <w:lang w:val="en-US" w:eastAsia="zh-CN"/>
                    </w:rPr>
                  </w:pPr>
                  <w:r>
                    <w:rPr>
                      <w:rFonts w:hint="eastAsia" w:ascii="宋体" w:hAnsi="宋体"/>
                      <w:szCs w:val="21"/>
                      <w:lang w:val="en-US" w:eastAsia="zh-CN"/>
                    </w:rPr>
                    <w:t>危废暂存间</w:t>
                  </w:r>
                </w:p>
              </w:tc>
              <w:tc>
                <w:tcPr>
                  <w:tcW w:w="2931" w:type="dxa"/>
                  <w:vAlign w:val="center"/>
                </w:tcPr>
                <w:p>
                  <w:pPr>
                    <w:jc w:val="center"/>
                    <w:rPr>
                      <w:rFonts w:hint="default" w:eastAsia="宋体"/>
                      <w:szCs w:val="21"/>
                      <w:lang w:val="en-US" w:eastAsia="zh-CN"/>
                    </w:rPr>
                  </w:pPr>
                  <w:r>
                    <w:rPr>
                      <w:rFonts w:hint="eastAsia"/>
                      <w:szCs w:val="21"/>
                      <w:lang w:val="en-US" w:eastAsia="zh-CN"/>
                    </w:rPr>
                    <w:t>建设占地10m</w:t>
                  </w:r>
                  <w:r>
                    <w:rPr>
                      <w:rFonts w:hint="eastAsia"/>
                      <w:szCs w:val="21"/>
                      <w:vertAlign w:val="superscript"/>
                      <w:lang w:val="en-US" w:eastAsia="zh-CN"/>
                    </w:rPr>
                    <w:t>2</w:t>
                  </w:r>
                  <w:r>
                    <w:rPr>
                      <w:rFonts w:hint="eastAsia"/>
                      <w:szCs w:val="21"/>
                      <w:lang w:val="en-US" w:eastAsia="zh-CN"/>
                    </w:rPr>
                    <w:t>危废间1座，位于厂区南侧库房区域</w:t>
                  </w:r>
                </w:p>
              </w:tc>
              <w:tc>
                <w:tcPr>
                  <w:tcW w:w="1664" w:type="pct"/>
                  <w:vAlign w:val="center"/>
                </w:tcPr>
                <w:p>
                  <w:pPr>
                    <w:jc w:val="center"/>
                    <w:rPr>
                      <w:rFonts w:hint="default" w:eastAsia="宋体"/>
                      <w:szCs w:val="21"/>
                      <w:lang w:val="en-US" w:eastAsia="zh-CN"/>
                    </w:rPr>
                  </w:pPr>
                  <w:r>
                    <w:rPr>
                      <w:rFonts w:hint="eastAsia"/>
                      <w:szCs w:val="21"/>
                      <w:lang w:val="en-US" w:eastAsia="zh-CN"/>
                    </w:rPr>
                    <w:t>建设占地10m</w:t>
                  </w:r>
                  <w:r>
                    <w:rPr>
                      <w:rFonts w:hint="eastAsia"/>
                      <w:szCs w:val="21"/>
                      <w:vertAlign w:val="superscript"/>
                      <w:lang w:val="en-US" w:eastAsia="zh-CN"/>
                    </w:rPr>
                    <w:t>2</w:t>
                  </w:r>
                  <w:r>
                    <w:rPr>
                      <w:rFonts w:hint="eastAsia"/>
                      <w:szCs w:val="21"/>
                      <w:lang w:val="en-US" w:eastAsia="zh-CN"/>
                    </w:rPr>
                    <w:t>危废间1座，位于厂区南侧库房区域</w:t>
                  </w:r>
                </w:p>
              </w:tc>
              <w:tc>
                <w:tcPr>
                  <w:tcW w:w="634" w:type="pct"/>
                  <w:vAlign w:val="center"/>
                </w:tcPr>
                <w:p>
                  <w:pPr>
                    <w:jc w:val="center"/>
                    <w:rPr>
                      <w:rFonts w:hint="default" w:eastAsia="宋体"/>
                      <w:szCs w:val="21"/>
                      <w:lang w:val="en-US" w:eastAsia="zh-CN"/>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784" w:hRule="atLeast"/>
                <w:tblHeader/>
                <w:jc w:val="center"/>
              </w:trPr>
              <w:tc>
                <w:tcPr>
                  <w:tcW w:w="333" w:type="pct"/>
                  <w:vMerge w:val="continue"/>
                  <w:vAlign w:val="center"/>
                </w:tcPr>
                <w:p>
                  <w:pPr>
                    <w:jc w:val="center"/>
                    <w:rPr>
                      <w:bCs/>
                      <w:szCs w:val="21"/>
                    </w:rPr>
                  </w:pPr>
                </w:p>
              </w:tc>
              <w:tc>
                <w:tcPr>
                  <w:tcW w:w="725" w:type="pct"/>
                  <w:gridSpan w:val="2"/>
                  <w:vAlign w:val="center"/>
                </w:tcPr>
                <w:p>
                  <w:pPr>
                    <w:ind w:left="-73" w:leftChars="-35" w:right="-63" w:rightChars="-30"/>
                    <w:jc w:val="center"/>
                    <w:rPr>
                      <w:rFonts w:hint="default" w:eastAsia="宋体"/>
                      <w:szCs w:val="21"/>
                      <w:lang w:val="en-US" w:eastAsia="zh-CN"/>
                    </w:rPr>
                  </w:pPr>
                  <w:r>
                    <w:rPr>
                      <w:rFonts w:hint="eastAsia"/>
                      <w:szCs w:val="21"/>
                      <w:lang w:val="en-US" w:eastAsia="zh-CN"/>
                    </w:rPr>
                    <w:t>一般固废暂存间</w:t>
                  </w:r>
                </w:p>
              </w:tc>
              <w:tc>
                <w:tcPr>
                  <w:tcW w:w="2931" w:type="dxa"/>
                  <w:vAlign w:val="center"/>
                </w:tcPr>
                <w:p>
                  <w:pPr>
                    <w:jc w:val="center"/>
                    <w:rPr>
                      <w:szCs w:val="21"/>
                    </w:rPr>
                  </w:pPr>
                  <w:r>
                    <w:rPr>
                      <w:rFonts w:hint="eastAsia"/>
                      <w:szCs w:val="21"/>
                      <w:lang w:val="en-US" w:eastAsia="zh-CN"/>
                    </w:rPr>
                    <w:t>建设占地20m</w:t>
                  </w:r>
                  <w:r>
                    <w:rPr>
                      <w:rFonts w:hint="eastAsia"/>
                      <w:szCs w:val="21"/>
                      <w:vertAlign w:val="superscript"/>
                      <w:lang w:val="en-US" w:eastAsia="zh-CN"/>
                    </w:rPr>
                    <w:t>2</w:t>
                  </w:r>
                  <w:r>
                    <w:rPr>
                      <w:rFonts w:hint="eastAsia"/>
                      <w:szCs w:val="21"/>
                      <w:vertAlign w:val="baseline"/>
                      <w:lang w:val="en-US" w:eastAsia="zh-CN"/>
                    </w:rPr>
                    <w:t>一般固废暂存间</w:t>
                  </w:r>
                  <w:r>
                    <w:rPr>
                      <w:rFonts w:hint="eastAsia"/>
                      <w:szCs w:val="21"/>
                      <w:lang w:val="en-US" w:eastAsia="zh-CN"/>
                    </w:rPr>
                    <w:t>1座，位于厂区南侧库房区域</w:t>
                  </w:r>
                </w:p>
              </w:tc>
              <w:tc>
                <w:tcPr>
                  <w:tcW w:w="1664" w:type="pct"/>
                  <w:vAlign w:val="center"/>
                </w:tcPr>
                <w:p>
                  <w:pPr>
                    <w:jc w:val="center"/>
                    <w:rPr>
                      <w:rFonts w:hint="default" w:eastAsia="宋体"/>
                      <w:szCs w:val="21"/>
                      <w:lang w:val="en-US" w:eastAsia="zh-CN"/>
                    </w:rPr>
                  </w:pPr>
                  <w:r>
                    <w:rPr>
                      <w:rFonts w:hint="eastAsia"/>
                      <w:szCs w:val="21"/>
                      <w:lang w:val="en-US" w:eastAsia="zh-CN"/>
                    </w:rPr>
                    <w:t>建设占地20m</w:t>
                  </w:r>
                  <w:r>
                    <w:rPr>
                      <w:rFonts w:hint="eastAsia"/>
                      <w:szCs w:val="21"/>
                      <w:vertAlign w:val="superscript"/>
                      <w:lang w:val="en-US" w:eastAsia="zh-CN"/>
                    </w:rPr>
                    <w:t>2</w:t>
                  </w:r>
                  <w:r>
                    <w:rPr>
                      <w:rFonts w:hint="eastAsia"/>
                      <w:szCs w:val="21"/>
                      <w:vertAlign w:val="baseline"/>
                      <w:lang w:val="en-US" w:eastAsia="zh-CN"/>
                    </w:rPr>
                    <w:t>一般固废暂存间</w:t>
                  </w:r>
                  <w:r>
                    <w:rPr>
                      <w:rFonts w:hint="eastAsia"/>
                      <w:szCs w:val="21"/>
                      <w:lang w:val="en-US" w:eastAsia="zh-CN"/>
                    </w:rPr>
                    <w:t>1座，位于厂区南侧库房区域</w:t>
                  </w:r>
                </w:p>
              </w:tc>
              <w:tc>
                <w:tcPr>
                  <w:tcW w:w="634" w:type="pct"/>
                  <w:vAlign w:val="center"/>
                </w:tcPr>
                <w:p>
                  <w:pPr>
                    <w:jc w:val="center"/>
                    <w:rPr>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restart"/>
                  <w:vAlign w:val="center"/>
                </w:tcPr>
                <w:p>
                  <w:pPr>
                    <w:jc w:val="center"/>
                    <w:rPr>
                      <w:bCs/>
                      <w:szCs w:val="21"/>
                    </w:rPr>
                  </w:pPr>
                  <w:r>
                    <w:rPr>
                      <w:bCs/>
                      <w:szCs w:val="21"/>
                    </w:rPr>
                    <w:t>公用工程</w:t>
                  </w:r>
                </w:p>
              </w:tc>
              <w:tc>
                <w:tcPr>
                  <w:tcW w:w="725" w:type="pct"/>
                  <w:gridSpan w:val="2"/>
                  <w:vAlign w:val="center"/>
                </w:tcPr>
                <w:p>
                  <w:pPr>
                    <w:jc w:val="center"/>
                    <w:rPr>
                      <w:kern w:val="0"/>
                    </w:rPr>
                  </w:pPr>
                  <w:r>
                    <w:rPr>
                      <w:rFonts w:ascii="宋体" w:hAnsi="宋体"/>
                      <w:szCs w:val="21"/>
                    </w:rPr>
                    <w:t>供水</w:t>
                  </w:r>
                </w:p>
              </w:tc>
              <w:tc>
                <w:tcPr>
                  <w:tcW w:w="1640" w:type="pct"/>
                  <w:vAlign w:val="center"/>
                </w:tcPr>
                <w:p>
                  <w:pPr>
                    <w:jc w:val="center"/>
                    <w:rPr>
                      <w:bCs/>
                      <w:szCs w:val="21"/>
                    </w:rPr>
                  </w:pPr>
                  <w:r>
                    <w:rPr>
                      <w:szCs w:val="21"/>
                    </w:rPr>
                    <w:t>依托区域市政供水系统，由市政供水管网供给</w:t>
                  </w:r>
                </w:p>
              </w:tc>
              <w:tc>
                <w:tcPr>
                  <w:tcW w:w="1664" w:type="pct"/>
                  <w:vAlign w:val="center"/>
                </w:tcPr>
                <w:p>
                  <w:pPr>
                    <w:jc w:val="center"/>
                    <w:rPr>
                      <w:bCs/>
                      <w:szCs w:val="21"/>
                    </w:rPr>
                  </w:pPr>
                  <w:r>
                    <w:rPr>
                      <w:szCs w:val="21"/>
                    </w:rPr>
                    <w:t>依托区域市政供水系统，由市政供水管网供给</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continue"/>
                  <w:vAlign w:val="center"/>
                </w:tcPr>
                <w:p>
                  <w:pPr>
                    <w:jc w:val="center"/>
                    <w:rPr>
                      <w:bCs/>
                      <w:szCs w:val="21"/>
                    </w:rPr>
                  </w:pPr>
                </w:p>
              </w:tc>
              <w:tc>
                <w:tcPr>
                  <w:tcW w:w="725" w:type="pct"/>
                  <w:gridSpan w:val="2"/>
                  <w:vAlign w:val="center"/>
                </w:tcPr>
                <w:p>
                  <w:pPr>
                    <w:jc w:val="center"/>
                    <w:rPr>
                      <w:kern w:val="0"/>
                    </w:rPr>
                  </w:pPr>
                  <w:r>
                    <w:rPr>
                      <w:rFonts w:ascii="宋体" w:hAnsi="宋体"/>
                      <w:szCs w:val="21"/>
                    </w:rPr>
                    <w:t>排水</w:t>
                  </w:r>
                </w:p>
              </w:tc>
              <w:tc>
                <w:tcPr>
                  <w:tcW w:w="1640" w:type="pct"/>
                  <w:vAlign w:val="center"/>
                </w:tcPr>
                <w:p>
                  <w:pPr>
                    <w:jc w:val="center"/>
                    <w:rPr>
                      <w:bCs/>
                      <w:szCs w:val="21"/>
                    </w:rPr>
                  </w:pPr>
                  <w:r>
                    <w:rPr>
                      <w:rFonts w:hint="eastAsia" w:ascii="宋体" w:hAnsi="宋体"/>
                      <w:szCs w:val="21"/>
                    </w:rPr>
                    <w:t>雨污分流；</w:t>
                  </w:r>
                </w:p>
              </w:tc>
              <w:tc>
                <w:tcPr>
                  <w:tcW w:w="1664" w:type="pct"/>
                  <w:vAlign w:val="center"/>
                </w:tcPr>
                <w:p>
                  <w:pPr>
                    <w:jc w:val="center"/>
                    <w:rPr>
                      <w:bCs/>
                      <w:szCs w:val="21"/>
                    </w:rPr>
                  </w:pPr>
                  <w:r>
                    <w:rPr>
                      <w:rFonts w:hint="eastAsia" w:ascii="宋体" w:hAnsi="宋体"/>
                      <w:szCs w:val="21"/>
                    </w:rPr>
                    <w:t>雨污分流；</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continue"/>
                  <w:vAlign w:val="center"/>
                </w:tcPr>
                <w:p>
                  <w:pPr>
                    <w:jc w:val="center"/>
                    <w:rPr>
                      <w:bCs/>
                      <w:szCs w:val="21"/>
                    </w:rPr>
                  </w:pPr>
                </w:p>
              </w:tc>
              <w:tc>
                <w:tcPr>
                  <w:tcW w:w="725" w:type="pct"/>
                  <w:gridSpan w:val="2"/>
                  <w:vAlign w:val="center"/>
                </w:tcPr>
                <w:p>
                  <w:pPr>
                    <w:jc w:val="center"/>
                    <w:rPr>
                      <w:kern w:val="0"/>
                    </w:rPr>
                  </w:pPr>
                  <w:r>
                    <w:rPr>
                      <w:rFonts w:ascii="宋体" w:hAnsi="宋体"/>
                      <w:szCs w:val="21"/>
                    </w:rPr>
                    <w:t>供电</w:t>
                  </w:r>
                </w:p>
              </w:tc>
              <w:tc>
                <w:tcPr>
                  <w:tcW w:w="1640" w:type="pct"/>
                  <w:vAlign w:val="center"/>
                </w:tcPr>
                <w:p>
                  <w:pPr>
                    <w:jc w:val="center"/>
                    <w:rPr>
                      <w:bCs/>
                      <w:szCs w:val="21"/>
                    </w:rPr>
                  </w:pPr>
                  <w:r>
                    <w:rPr>
                      <w:szCs w:val="21"/>
                    </w:rPr>
                    <w:t>依托区域市政供电系统，由市政电网供给</w:t>
                  </w:r>
                </w:p>
              </w:tc>
              <w:tc>
                <w:tcPr>
                  <w:tcW w:w="1664" w:type="pct"/>
                  <w:vAlign w:val="center"/>
                </w:tcPr>
                <w:p>
                  <w:pPr>
                    <w:jc w:val="center"/>
                    <w:rPr>
                      <w:bCs/>
                      <w:szCs w:val="21"/>
                    </w:rPr>
                  </w:pPr>
                  <w:r>
                    <w:rPr>
                      <w:szCs w:val="21"/>
                    </w:rPr>
                    <w:t>依托区域市政供电系统，由市政电网供给</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restart"/>
                  <w:vAlign w:val="center"/>
                </w:tcPr>
                <w:p>
                  <w:pPr>
                    <w:jc w:val="center"/>
                    <w:rPr>
                      <w:bCs/>
                      <w:szCs w:val="21"/>
                    </w:rPr>
                  </w:pPr>
                  <w:r>
                    <w:rPr>
                      <w:bCs/>
                      <w:szCs w:val="21"/>
                    </w:rPr>
                    <w:t>环保工程</w:t>
                  </w:r>
                </w:p>
              </w:tc>
              <w:tc>
                <w:tcPr>
                  <w:tcW w:w="342" w:type="pct"/>
                  <w:vAlign w:val="center"/>
                </w:tcPr>
                <w:p>
                  <w:pPr>
                    <w:jc w:val="center"/>
                    <w:rPr>
                      <w:bCs/>
                      <w:szCs w:val="21"/>
                    </w:rPr>
                  </w:pPr>
                  <w:r>
                    <w:rPr>
                      <w:bCs/>
                      <w:szCs w:val="21"/>
                    </w:rPr>
                    <w:t>废气治理</w:t>
                  </w:r>
                </w:p>
              </w:tc>
              <w:tc>
                <w:tcPr>
                  <w:tcW w:w="383" w:type="pct"/>
                  <w:vAlign w:val="center"/>
                </w:tcPr>
                <w:p>
                  <w:pPr>
                    <w:jc w:val="center"/>
                    <w:rPr>
                      <w:bCs/>
                      <w:szCs w:val="21"/>
                    </w:rPr>
                  </w:pPr>
                  <w:r>
                    <w:rPr>
                      <w:rFonts w:hint="eastAsia" w:ascii="宋体" w:hAnsi="宋体"/>
                      <w:szCs w:val="21"/>
                    </w:rPr>
                    <w:t>生产废气</w:t>
                  </w:r>
                </w:p>
              </w:tc>
              <w:tc>
                <w:tcPr>
                  <w:tcW w:w="1640" w:type="pct"/>
                  <w:vAlign w:val="center"/>
                </w:tcPr>
                <w:p>
                  <w:pPr>
                    <w:widowControl/>
                    <w:jc w:val="left"/>
                    <w:rPr>
                      <w:rFonts w:hint="eastAsia"/>
                      <w:bCs/>
                      <w:szCs w:val="21"/>
                      <w:lang w:val="en-US" w:eastAsia="zh-CN"/>
                    </w:rPr>
                  </w:pPr>
                  <w:r>
                    <w:rPr>
                      <w:rFonts w:hint="eastAsia"/>
                      <w:bCs/>
                      <w:szCs w:val="21"/>
                      <w:lang w:val="en-US" w:eastAsia="zh-CN"/>
                    </w:rPr>
                    <w:t>①3#车间硫化工段废气经收集后，采用“工业油烟净化器+光催化氧化工艺”处理后经过1根15m高排气筒排放；</w:t>
                  </w:r>
                </w:p>
                <w:p>
                  <w:pPr>
                    <w:widowControl/>
                    <w:jc w:val="left"/>
                    <w:rPr>
                      <w:rFonts w:hint="default" w:eastAsia="宋体"/>
                      <w:bCs/>
                      <w:szCs w:val="21"/>
                      <w:lang w:val="en-US" w:eastAsia="zh-CN"/>
                    </w:rPr>
                  </w:pPr>
                  <w:r>
                    <w:rPr>
                      <w:rFonts w:hint="eastAsia" w:ascii="Times New Roman" w:hAnsi="Times New Roman" w:eastAsia="宋体" w:cs="Times New Roman"/>
                      <w:kern w:val="2"/>
                      <w:sz w:val="21"/>
                      <w:lang w:val="en-US" w:eastAsia="zh-CN" w:bidi="ar-SA"/>
                    </w:rPr>
                    <w:t>②天然气燃烧，安装低氮燃烧器，尾气经过1根15m高排气筒排放；</w:t>
                  </w:r>
                </w:p>
              </w:tc>
              <w:tc>
                <w:tcPr>
                  <w:tcW w:w="1664" w:type="pct"/>
                  <w:vAlign w:val="center"/>
                </w:tcPr>
                <w:p>
                  <w:pPr>
                    <w:spacing w:line="240" w:lineRule="auto"/>
                    <w:jc w:val="left"/>
                    <w:rPr>
                      <w:rFonts w:hint="eastAsia"/>
                      <w:lang w:val="en-US" w:eastAsia="zh-CN"/>
                    </w:rPr>
                  </w:pPr>
                  <w:r>
                    <w:rPr>
                      <w:rFonts w:hint="eastAsia"/>
                      <w:lang w:val="en-US" w:eastAsia="zh-CN"/>
                    </w:rPr>
                    <w:t>①3#车间硫化工段废气经收集后，采用“两级活性炭吸附”处理后经过1根15m高排气筒排放；</w:t>
                  </w:r>
                </w:p>
                <w:p>
                  <w:pPr>
                    <w:pStyle w:val="18"/>
                    <w:keepNext w:val="0"/>
                    <w:keepLines w:val="0"/>
                    <w:pageBreakBefore w:val="0"/>
                    <w:widowControl w:val="0"/>
                    <w:kinsoku/>
                    <w:wordWrap/>
                    <w:overflowPunct/>
                    <w:topLinePunct w:val="0"/>
                    <w:autoSpaceDE/>
                    <w:autoSpaceDN/>
                    <w:bidi w:val="0"/>
                    <w:adjustRightInd/>
                    <w:snapToGrid/>
                    <w:spacing w:line="240" w:lineRule="auto"/>
                    <w:ind w:left="0" w:firstLine="0"/>
                    <w:textAlignment w:val="auto"/>
                    <w:rPr>
                      <w:rFonts w:hint="default"/>
                      <w:lang w:val="en-US"/>
                    </w:rPr>
                  </w:pPr>
                  <w:r>
                    <w:rPr>
                      <w:rFonts w:hint="eastAsia" w:ascii="Times New Roman" w:hAnsi="Times New Roman" w:eastAsia="宋体" w:cs="Times New Roman"/>
                      <w:kern w:val="2"/>
                      <w:sz w:val="21"/>
                      <w:lang w:val="en-US" w:eastAsia="zh-CN" w:bidi="ar-SA"/>
                    </w:rPr>
                    <w:t>②天然气燃烧，安装低氮燃烧器，尾气经过1根15m高排气筒排放；</w:t>
                  </w:r>
                </w:p>
              </w:tc>
              <w:tc>
                <w:tcPr>
                  <w:tcW w:w="634" w:type="pct"/>
                  <w:vAlign w:val="center"/>
                </w:tcPr>
                <w:p>
                  <w:pPr>
                    <w:jc w:val="center"/>
                    <w:rPr>
                      <w:rFonts w:hint="default" w:eastAsia="宋体"/>
                      <w:bCs/>
                      <w:szCs w:val="21"/>
                      <w:lang w:val="en-US" w:eastAsia="zh-CN"/>
                    </w:rPr>
                  </w:pPr>
                  <w:r>
                    <w:rPr>
                      <w:rFonts w:hint="eastAsia"/>
                      <w:bCs/>
                      <w:szCs w:val="21"/>
                      <w:lang w:val="en-US" w:eastAsia="zh-CN"/>
                    </w:rPr>
                    <w:t>尾气处理工艺有变化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06" w:hRule="atLeast"/>
                <w:tblHeader/>
                <w:jc w:val="center"/>
              </w:trPr>
              <w:tc>
                <w:tcPr>
                  <w:tcW w:w="333" w:type="pct"/>
                  <w:vMerge w:val="continue"/>
                  <w:vAlign w:val="center"/>
                </w:tcPr>
                <w:p>
                  <w:pPr>
                    <w:jc w:val="center"/>
                    <w:rPr>
                      <w:bCs/>
                      <w:szCs w:val="21"/>
                    </w:rPr>
                  </w:pPr>
                </w:p>
              </w:tc>
              <w:tc>
                <w:tcPr>
                  <w:tcW w:w="342" w:type="pct"/>
                  <w:vMerge w:val="restart"/>
                  <w:vAlign w:val="center"/>
                </w:tcPr>
                <w:p>
                  <w:pPr>
                    <w:jc w:val="center"/>
                    <w:rPr>
                      <w:bCs/>
                      <w:szCs w:val="21"/>
                    </w:rPr>
                  </w:pPr>
                  <w:r>
                    <w:rPr>
                      <w:bCs/>
                      <w:szCs w:val="21"/>
                    </w:rPr>
                    <w:t>废水治理</w:t>
                  </w:r>
                </w:p>
              </w:tc>
              <w:tc>
                <w:tcPr>
                  <w:tcW w:w="383" w:type="pct"/>
                  <w:vAlign w:val="center"/>
                </w:tcPr>
                <w:p>
                  <w:pPr>
                    <w:jc w:val="center"/>
                    <w:rPr>
                      <w:bCs/>
                      <w:szCs w:val="21"/>
                    </w:rPr>
                  </w:pPr>
                  <w:r>
                    <w:rPr>
                      <w:rFonts w:hint="eastAsia" w:ascii="宋体" w:hAnsi="宋体"/>
                      <w:szCs w:val="21"/>
                    </w:rPr>
                    <w:t>生活污水</w:t>
                  </w:r>
                </w:p>
              </w:tc>
              <w:tc>
                <w:tcPr>
                  <w:tcW w:w="1640" w:type="pct"/>
                  <w:vAlign w:val="center"/>
                </w:tcPr>
                <w:p>
                  <w:pPr>
                    <w:widowControl/>
                    <w:jc w:val="center"/>
                    <w:rPr>
                      <w:szCs w:val="21"/>
                    </w:rPr>
                  </w:pPr>
                  <w:r>
                    <w:rPr>
                      <w:rFonts w:hint="eastAsia" w:ascii="宋体" w:hAnsi="宋体" w:cs="宋体"/>
                      <w:color w:val="auto"/>
                      <w:kern w:val="0"/>
                      <w:sz w:val="20"/>
                      <w:szCs w:val="20"/>
                      <w:highlight w:val="none"/>
                      <w:lang w:val="en-US" w:eastAsia="zh-CN" w:bidi="ar"/>
                    </w:rPr>
                    <w:t>生活污水进入</w:t>
                  </w:r>
                  <w:r>
                    <w:rPr>
                      <w:rFonts w:hint="eastAsia" w:ascii="宋体" w:hAnsi="宋体" w:eastAsia="宋体" w:cs="宋体"/>
                      <w:color w:val="auto"/>
                      <w:kern w:val="0"/>
                      <w:sz w:val="20"/>
                      <w:szCs w:val="20"/>
                      <w:highlight w:val="none"/>
                      <w:lang w:val="en-US" w:eastAsia="zh-CN" w:bidi="ar"/>
                    </w:rPr>
                    <w:t>化粪池</w:t>
                  </w:r>
                  <w:r>
                    <w:rPr>
                      <w:rFonts w:hint="eastAsia" w:ascii="宋体" w:hAnsi="宋体" w:cs="宋体"/>
                      <w:color w:val="auto"/>
                      <w:kern w:val="0"/>
                      <w:sz w:val="20"/>
                      <w:szCs w:val="20"/>
                      <w:highlight w:val="none"/>
                      <w:lang w:val="en-US" w:eastAsia="zh-CN" w:bidi="ar"/>
                    </w:rPr>
                    <w:t>处理，尾水经过</w:t>
                  </w:r>
                  <w:r>
                    <w:rPr>
                      <w:rFonts w:hint="eastAsia"/>
                      <w:color w:val="auto"/>
                      <w:highlight w:val="none"/>
                      <w:vertAlign w:val="baseline"/>
                      <w:lang w:val="en-US" w:eastAsia="zh-CN"/>
                    </w:rPr>
                    <w:t>预处理后经厂区总排口(DW001)汇入市政污水管网；</w:t>
                  </w:r>
                </w:p>
              </w:tc>
              <w:tc>
                <w:tcPr>
                  <w:tcW w:w="1664" w:type="pct"/>
                  <w:vAlign w:val="center"/>
                </w:tcPr>
                <w:p>
                  <w:pPr>
                    <w:widowControl/>
                    <w:jc w:val="center"/>
                    <w:rPr>
                      <w:szCs w:val="21"/>
                    </w:rPr>
                  </w:pPr>
                  <w:r>
                    <w:rPr>
                      <w:rFonts w:hint="eastAsia" w:ascii="宋体" w:hAnsi="宋体" w:cs="宋体"/>
                      <w:color w:val="auto"/>
                      <w:kern w:val="0"/>
                      <w:sz w:val="20"/>
                      <w:szCs w:val="20"/>
                      <w:highlight w:val="none"/>
                      <w:lang w:val="en-US" w:eastAsia="zh-CN" w:bidi="ar"/>
                    </w:rPr>
                    <w:t>生活污水进入</w:t>
                  </w:r>
                  <w:r>
                    <w:rPr>
                      <w:rFonts w:hint="eastAsia" w:ascii="宋体" w:hAnsi="宋体" w:eastAsia="宋体" w:cs="宋体"/>
                      <w:color w:val="auto"/>
                      <w:kern w:val="0"/>
                      <w:sz w:val="20"/>
                      <w:szCs w:val="20"/>
                      <w:highlight w:val="none"/>
                      <w:lang w:val="en-US" w:eastAsia="zh-CN" w:bidi="ar"/>
                    </w:rPr>
                    <w:t>化粪池</w:t>
                  </w:r>
                  <w:r>
                    <w:rPr>
                      <w:rFonts w:hint="eastAsia" w:ascii="宋体" w:hAnsi="宋体" w:cs="宋体"/>
                      <w:color w:val="auto"/>
                      <w:kern w:val="0"/>
                      <w:sz w:val="20"/>
                      <w:szCs w:val="20"/>
                      <w:highlight w:val="none"/>
                      <w:lang w:val="en-US" w:eastAsia="zh-CN" w:bidi="ar"/>
                    </w:rPr>
                    <w:t>处理，尾水经过</w:t>
                  </w:r>
                  <w:r>
                    <w:rPr>
                      <w:rFonts w:hint="eastAsia"/>
                      <w:color w:val="auto"/>
                      <w:highlight w:val="none"/>
                      <w:vertAlign w:val="baseline"/>
                      <w:lang w:val="en-US" w:eastAsia="zh-CN"/>
                    </w:rPr>
                    <w:t>预处理后经厂区总排口(DW001)汇入市政污水管网；</w:t>
                  </w:r>
                </w:p>
              </w:tc>
              <w:tc>
                <w:tcPr>
                  <w:tcW w:w="634" w:type="pct"/>
                  <w:vAlign w:val="center"/>
                </w:tcPr>
                <w:p>
                  <w:pPr>
                    <w:jc w:val="center"/>
                    <w:rPr>
                      <w:bCs/>
                      <w:szCs w:val="21"/>
                    </w:rPr>
                  </w:pPr>
                  <w:r>
                    <w:rPr>
                      <w:rFonts w:hint="eastAsia"/>
                      <w:bCs/>
                      <w:szCs w:val="21"/>
                    </w:rPr>
                    <w:t>与环评一致</w:t>
                  </w:r>
                  <w:r>
                    <w:rPr>
                      <w:rFonts w:hint="eastAsia"/>
                      <w:bCs/>
                      <w:szCs w:val="21"/>
                      <w:highlight w:val="yellow"/>
                    </w:rPr>
                    <w:t>（食堂暂未建设）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1346" w:hRule="atLeast"/>
                <w:tblHeader/>
                <w:jc w:val="center"/>
              </w:trPr>
              <w:tc>
                <w:tcPr>
                  <w:tcW w:w="333" w:type="pct"/>
                  <w:vMerge w:val="continue"/>
                  <w:vAlign w:val="center"/>
                </w:tcPr>
                <w:p>
                  <w:pPr>
                    <w:jc w:val="center"/>
                    <w:rPr>
                      <w:bCs/>
                      <w:szCs w:val="21"/>
                    </w:rPr>
                  </w:pPr>
                </w:p>
              </w:tc>
              <w:tc>
                <w:tcPr>
                  <w:tcW w:w="342" w:type="pct"/>
                  <w:vMerge w:val="continue"/>
                  <w:vAlign w:val="center"/>
                </w:tcPr>
                <w:p>
                  <w:pPr>
                    <w:jc w:val="center"/>
                    <w:rPr>
                      <w:bCs/>
                      <w:szCs w:val="21"/>
                    </w:rPr>
                  </w:pPr>
                </w:p>
              </w:tc>
              <w:tc>
                <w:tcPr>
                  <w:tcW w:w="383" w:type="pct"/>
                  <w:vAlign w:val="center"/>
                </w:tcPr>
                <w:p>
                  <w:pPr>
                    <w:jc w:val="center"/>
                    <w:rPr>
                      <w:bCs/>
                      <w:szCs w:val="21"/>
                    </w:rPr>
                  </w:pPr>
                  <w:r>
                    <w:rPr>
                      <w:rFonts w:hint="eastAsia" w:ascii="宋体" w:hAnsi="宋体"/>
                      <w:szCs w:val="21"/>
                    </w:rPr>
                    <w:t>生产废水</w:t>
                  </w:r>
                </w:p>
              </w:tc>
              <w:tc>
                <w:tcPr>
                  <w:tcW w:w="1640" w:type="pct"/>
                  <w:vAlign w:val="center"/>
                </w:tcPr>
                <w:p>
                  <w:pPr>
                    <w:widowControl/>
                    <w:jc w:val="center"/>
                    <w:rPr>
                      <w:szCs w:val="21"/>
                    </w:rPr>
                  </w:pPr>
                  <w:r>
                    <w:rPr>
                      <w:rFonts w:hint="eastAsia"/>
                      <w:color w:val="auto"/>
                      <w:sz w:val="21"/>
                      <w:szCs w:val="21"/>
                      <w:highlight w:val="none"/>
                      <w:lang w:val="en-US" w:eastAsia="zh-CN"/>
                    </w:rPr>
                    <w:t>废水依托现有已建污水处理设施进行处理，</w:t>
                  </w:r>
                  <w:r>
                    <w:rPr>
                      <w:rFonts w:hint="default" w:ascii="Times New Roman" w:hAnsi="Times New Roman" w:cs="Times New Roman"/>
                      <w:color w:val="auto"/>
                      <w:sz w:val="21"/>
                      <w:szCs w:val="21"/>
                      <w:highlight w:val="none"/>
                      <w:lang w:val="en-US" w:eastAsia="zh-CN"/>
                    </w:rPr>
                    <w:t>一体式生化反应器</w:t>
                  </w:r>
                  <w:r>
                    <w:rPr>
                      <w:rFonts w:hint="default" w:ascii="Times New Roman" w:hAnsi="Times New Roman" w:cs="Times New Roman"/>
                      <w:color w:val="auto"/>
                      <w:sz w:val="21"/>
                      <w:szCs w:val="21"/>
                      <w:highlight w:val="none"/>
                      <w:vertAlign w:val="baseline"/>
                      <w:lang w:val="en-US" w:eastAsia="zh-CN"/>
                    </w:rPr>
                    <w:t>预处理后经厂区总排口（DW001）汇入市政污水管网</w:t>
                  </w:r>
                  <w:r>
                    <w:rPr>
                      <w:rFonts w:hint="default" w:ascii="Times New Roman" w:hAnsi="Times New Roman" w:eastAsia="宋体" w:cs="Times New Roman"/>
                      <w:color w:val="auto"/>
                      <w:kern w:val="0"/>
                      <w:sz w:val="21"/>
                      <w:szCs w:val="21"/>
                      <w:highlight w:val="none"/>
                      <w:lang w:val="en-US" w:eastAsia="zh-CN" w:bidi="ar"/>
                    </w:rPr>
                    <w:t>，设计处理规模约</w:t>
                  </w:r>
                  <w:r>
                    <w:rPr>
                      <w:rFonts w:hint="eastAsia"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0t/d</w:t>
                  </w:r>
                  <w:r>
                    <w:rPr>
                      <w:rFonts w:hint="default" w:ascii="Times New Roman" w:hAnsi="Times New Roman" w:cs="Times New Roman"/>
                      <w:color w:val="auto"/>
                      <w:kern w:val="0"/>
                      <w:sz w:val="21"/>
                      <w:szCs w:val="21"/>
                      <w:highlight w:val="none"/>
                      <w:lang w:val="en-US" w:eastAsia="zh-CN" w:bidi="ar"/>
                    </w:rPr>
                    <w:t>；</w:t>
                  </w:r>
                </w:p>
              </w:tc>
              <w:tc>
                <w:tcPr>
                  <w:tcW w:w="1664" w:type="pct"/>
                  <w:vAlign w:val="center"/>
                </w:tcPr>
                <w:p>
                  <w:pPr>
                    <w:widowControl/>
                    <w:jc w:val="center"/>
                    <w:rPr>
                      <w:bCs/>
                      <w:szCs w:val="21"/>
                    </w:rPr>
                  </w:pPr>
                  <w:r>
                    <w:rPr>
                      <w:rFonts w:hint="eastAsia"/>
                      <w:color w:val="auto"/>
                      <w:sz w:val="21"/>
                      <w:szCs w:val="21"/>
                      <w:highlight w:val="none"/>
                      <w:lang w:val="en-US" w:eastAsia="zh-CN"/>
                    </w:rPr>
                    <w:t>废水依托现有已建污水处理设施进行处理，</w:t>
                  </w:r>
                  <w:r>
                    <w:rPr>
                      <w:rFonts w:hint="default" w:ascii="Times New Roman" w:hAnsi="Times New Roman" w:cs="Times New Roman"/>
                      <w:color w:val="auto"/>
                      <w:sz w:val="21"/>
                      <w:szCs w:val="21"/>
                      <w:highlight w:val="none"/>
                      <w:lang w:val="en-US" w:eastAsia="zh-CN"/>
                    </w:rPr>
                    <w:t>一体式生化反应器</w:t>
                  </w:r>
                  <w:r>
                    <w:rPr>
                      <w:rFonts w:hint="default" w:ascii="Times New Roman" w:hAnsi="Times New Roman" w:cs="Times New Roman"/>
                      <w:color w:val="auto"/>
                      <w:sz w:val="21"/>
                      <w:szCs w:val="21"/>
                      <w:highlight w:val="none"/>
                      <w:vertAlign w:val="baseline"/>
                      <w:lang w:val="en-US" w:eastAsia="zh-CN"/>
                    </w:rPr>
                    <w:t>预处理后经厂区总排口（DW001）汇入市政污水管网</w:t>
                  </w:r>
                  <w:r>
                    <w:rPr>
                      <w:rFonts w:hint="default" w:ascii="Times New Roman" w:hAnsi="Times New Roman" w:eastAsia="宋体" w:cs="Times New Roman"/>
                      <w:color w:val="auto"/>
                      <w:kern w:val="0"/>
                      <w:sz w:val="21"/>
                      <w:szCs w:val="21"/>
                      <w:highlight w:val="none"/>
                      <w:lang w:val="en-US" w:eastAsia="zh-CN" w:bidi="ar"/>
                    </w:rPr>
                    <w:t>，设计处理规模约</w:t>
                  </w:r>
                  <w:r>
                    <w:rPr>
                      <w:rFonts w:hint="eastAsia"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0t/d</w:t>
                  </w:r>
                  <w:r>
                    <w:rPr>
                      <w:rFonts w:hint="default" w:ascii="Times New Roman" w:hAnsi="Times New Roman" w:cs="Times New Roman"/>
                      <w:color w:val="auto"/>
                      <w:kern w:val="0"/>
                      <w:sz w:val="21"/>
                      <w:szCs w:val="21"/>
                      <w:highlight w:val="none"/>
                      <w:lang w:val="en-US" w:eastAsia="zh-CN" w:bidi="ar"/>
                    </w:rPr>
                    <w:t>；</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continue"/>
                  <w:vAlign w:val="center"/>
                </w:tcPr>
                <w:p>
                  <w:pPr>
                    <w:jc w:val="center"/>
                    <w:rPr>
                      <w:bCs/>
                      <w:szCs w:val="21"/>
                    </w:rPr>
                  </w:pPr>
                </w:p>
              </w:tc>
              <w:tc>
                <w:tcPr>
                  <w:tcW w:w="725" w:type="pct"/>
                  <w:gridSpan w:val="2"/>
                  <w:vAlign w:val="center"/>
                </w:tcPr>
                <w:p>
                  <w:pPr>
                    <w:jc w:val="center"/>
                    <w:rPr>
                      <w:bCs/>
                      <w:szCs w:val="21"/>
                    </w:rPr>
                  </w:pPr>
                  <w:r>
                    <w:rPr>
                      <w:bCs/>
                      <w:szCs w:val="21"/>
                    </w:rPr>
                    <w:t>噪声治理</w:t>
                  </w:r>
                </w:p>
              </w:tc>
              <w:tc>
                <w:tcPr>
                  <w:tcW w:w="1640" w:type="pct"/>
                  <w:vAlign w:val="center"/>
                </w:tcPr>
                <w:p>
                  <w:pPr>
                    <w:jc w:val="center"/>
                    <w:rPr>
                      <w:bCs/>
                      <w:szCs w:val="21"/>
                    </w:rPr>
                  </w:pPr>
                  <w:r>
                    <w:rPr>
                      <w:rFonts w:hint="eastAsia"/>
                      <w:bCs/>
                      <w:szCs w:val="21"/>
                    </w:rPr>
                    <w:t>隔声减震、厂房隔声</w:t>
                  </w:r>
                </w:p>
              </w:tc>
              <w:tc>
                <w:tcPr>
                  <w:tcW w:w="1664" w:type="pct"/>
                  <w:vAlign w:val="center"/>
                </w:tcPr>
                <w:p>
                  <w:pPr>
                    <w:jc w:val="center"/>
                    <w:rPr>
                      <w:bCs/>
                      <w:szCs w:val="21"/>
                    </w:rPr>
                  </w:pPr>
                  <w:r>
                    <w:rPr>
                      <w:rFonts w:hint="eastAsia"/>
                      <w:bCs/>
                      <w:szCs w:val="21"/>
                    </w:rPr>
                    <w:t>隔声减震、厂房隔声</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continue"/>
                  <w:vAlign w:val="center"/>
                </w:tcPr>
                <w:p>
                  <w:pPr>
                    <w:jc w:val="center"/>
                    <w:rPr>
                      <w:bCs/>
                      <w:szCs w:val="21"/>
                    </w:rPr>
                  </w:pPr>
                </w:p>
              </w:tc>
              <w:tc>
                <w:tcPr>
                  <w:tcW w:w="342" w:type="pct"/>
                  <w:vMerge w:val="restart"/>
                  <w:vAlign w:val="center"/>
                </w:tcPr>
                <w:p>
                  <w:pPr>
                    <w:jc w:val="center"/>
                    <w:rPr>
                      <w:bCs/>
                      <w:szCs w:val="21"/>
                    </w:rPr>
                  </w:pPr>
                  <w:r>
                    <w:rPr>
                      <w:bCs/>
                      <w:szCs w:val="21"/>
                    </w:rPr>
                    <w:t>固废治理</w:t>
                  </w:r>
                </w:p>
              </w:tc>
              <w:tc>
                <w:tcPr>
                  <w:tcW w:w="383" w:type="pct"/>
                  <w:vAlign w:val="center"/>
                </w:tcPr>
                <w:p>
                  <w:pPr>
                    <w:jc w:val="center"/>
                    <w:rPr>
                      <w:bCs/>
                      <w:szCs w:val="21"/>
                    </w:rPr>
                  </w:pPr>
                  <w:r>
                    <w:rPr>
                      <w:rFonts w:hint="eastAsia"/>
                      <w:bCs/>
                      <w:szCs w:val="21"/>
                    </w:rPr>
                    <w:t>一般固废</w:t>
                  </w:r>
                </w:p>
              </w:tc>
              <w:tc>
                <w:tcPr>
                  <w:tcW w:w="1640" w:type="pct"/>
                  <w:vAlign w:val="center"/>
                </w:tcPr>
                <w:p>
                  <w:pPr>
                    <w:widowControl/>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建设占地10m</w:t>
                  </w:r>
                  <w:r>
                    <w:rPr>
                      <w:rFonts w:hint="eastAsia"/>
                      <w:szCs w:val="21"/>
                      <w:vertAlign w:val="superscript"/>
                      <w:lang w:val="en-US" w:eastAsia="zh-CN"/>
                    </w:rPr>
                    <w:t>2</w:t>
                  </w:r>
                  <w:r>
                    <w:rPr>
                      <w:rFonts w:hint="eastAsia"/>
                      <w:szCs w:val="21"/>
                      <w:lang w:val="en-US" w:eastAsia="zh-CN"/>
                    </w:rPr>
                    <w:t>危废间1座，位于厂区南侧库房区域</w:t>
                  </w:r>
                </w:p>
              </w:tc>
              <w:tc>
                <w:tcPr>
                  <w:tcW w:w="1664"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建设占地10m</w:t>
                  </w:r>
                  <w:r>
                    <w:rPr>
                      <w:rFonts w:hint="eastAsia"/>
                      <w:szCs w:val="21"/>
                      <w:vertAlign w:val="superscript"/>
                      <w:lang w:val="en-US" w:eastAsia="zh-CN"/>
                    </w:rPr>
                    <w:t>2</w:t>
                  </w:r>
                  <w:r>
                    <w:rPr>
                      <w:rFonts w:hint="eastAsia"/>
                      <w:szCs w:val="21"/>
                      <w:lang w:val="en-US" w:eastAsia="zh-CN"/>
                    </w:rPr>
                    <w:t>危废间1座，位于厂区南侧库房区域</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continue"/>
                  <w:vAlign w:val="center"/>
                </w:tcPr>
                <w:p>
                  <w:pPr>
                    <w:jc w:val="center"/>
                    <w:rPr>
                      <w:bCs/>
                      <w:szCs w:val="21"/>
                    </w:rPr>
                  </w:pPr>
                </w:p>
              </w:tc>
              <w:tc>
                <w:tcPr>
                  <w:tcW w:w="342" w:type="pct"/>
                  <w:vMerge w:val="continue"/>
                  <w:vAlign w:val="center"/>
                </w:tcPr>
                <w:p>
                  <w:pPr>
                    <w:jc w:val="center"/>
                    <w:rPr>
                      <w:bCs/>
                      <w:szCs w:val="21"/>
                    </w:rPr>
                  </w:pPr>
                </w:p>
              </w:tc>
              <w:tc>
                <w:tcPr>
                  <w:tcW w:w="383" w:type="pct"/>
                  <w:vAlign w:val="center"/>
                </w:tcPr>
                <w:p>
                  <w:pPr>
                    <w:jc w:val="center"/>
                    <w:rPr>
                      <w:bCs/>
                      <w:szCs w:val="21"/>
                    </w:rPr>
                  </w:pPr>
                  <w:r>
                    <w:rPr>
                      <w:rFonts w:hint="eastAsia"/>
                      <w:bCs/>
                      <w:szCs w:val="21"/>
                    </w:rPr>
                    <w:t>危险废物</w:t>
                  </w:r>
                </w:p>
              </w:tc>
              <w:tc>
                <w:tcPr>
                  <w:tcW w:w="1640"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建设占地20m</w:t>
                  </w:r>
                  <w:r>
                    <w:rPr>
                      <w:rFonts w:hint="eastAsia"/>
                      <w:szCs w:val="21"/>
                      <w:vertAlign w:val="superscript"/>
                      <w:lang w:val="en-US" w:eastAsia="zh-CN"/>
                    </w:rPr>
                    <w:t>2</w:t>
                  </w:r>
                  <w:r>
                    <w:rPr>
                      <w:rFonts w:hint="eastAsia"/>
                      <w:szCs w:val="21"/>
                      <w:vertAlign w:val="baseline"/>
                      <w:lang w:val="en-US" w:eastAsia="zh-CN"/>
                    </w:rPr>
                    <w:t>一般固废暂存间</w:t>
                  </w:r>
                  <w:r>
                    <w:rPr>
                      <w:rFonts w:hint="eastAsia"/>
                      <w:szCs w:val="21"/>
                      <w:lang w:val="en-US" w:eastAsia="zh-CN"/>
                    </w:rPr>
                    <w:t>1座，位于厂区南侧库房区域</w:t>
                  </w:r>
                </w:p>
              </w:tc>
              <w:tc>
                <w:tcPr>
                  <w:tcW w:w="1664" w:type="pct"/>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建设占地20m</w:t>
                  </w:r>
                  <w:r>
                    <w:rPr>
                      <w:rFonts w:hint="eastAsia"/>
                      <w:szCs w:val="21"/>
                      <w:vertAlign w:val="superscript"/>
                      <w:lang w:val="en-US" w:eastAsia="zh-CN"/>
                    </w:rPr>
                    <w:t>2</w:t>
                  </w:r>
                  <w:r>
                    <w:rPr>
                      <w:rFonts w:hint="eastAsia"/>
                      <w:szCs w:val="21"/>
                      <w:vertAlign w:val="baseline"/>
                      <w:lang w:val="en-US" w:eastAsia="zh-CN"/>
                    </w:rPr>
                    <w:t>一般固废暂存间</w:t>
                  </w:r>
                  <w:r>
                    <w:rPr>
                      <w:rFonts w:hint="eastAsia"/>
                      <w:szCs w:val="21"/>
                      <w:lang w:val="en-US" w:eastAsia="zh-CN"/>
                    </w:rPr>
                    <w:t>1座，位于厂区南侧库房区域</w:t>
                  </w:r>
                </w:p>
              </w:tc>
              <w:tc>
                <w:tcPr>
                  <w:tcW w:w="634" w:type="pct"/>
                  <w:vAlign w:val="center"/>
                </w:tcPr>
                <w:p>
                  <w:pPr>
                    <w:jc w:val="center"/>
                    <w:rPr>
                      <w:bCs/>
                      <w:szCs w:val="21"/>
                    </w:rPr>
                  </w:pPr>
                  <w:r>
                    <w:rPr>
                      <w:rFonts w:hint="eastAsia"/>
                      <w:bCs/>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0" w:hRule="atLeast"/>
                <w:tblHeader/>
                <w:jc w:val="center"/>
              </w:trPr>
              <w:tc>
                <w:tcPr>
                  <w:tcW w:w="333" w:type="pct"/>
                  <w:vMerge w:val="continue"/>
                  <w:vAlign w:val="center"/>
                </w:tcPr>
                <w:p>
                  <w:pPr>
                    <w:jc w:val="center"/>
                    <w:rPr>
                      <w:bCs/>
                      <w:szCs w:val="21"/>
                    </w:rPr>
                  </w:pPr>
                </w:p>
              </w:tc>
              <w:tc>
                <w:tcPr>
                  <w:tcW w:w="725" w:type="pct"/>
                  <w:gridSpan w:val="2"/>
                  <w:vAlign w:val="center"/>
                </w:tcPr>
                <w:p>
                  <w:pPr>
                    <w:jc w:val="center"/>
                    <w:rPr>
                      <w:rFonts w:ascii="宋体" w:hAnsi="宋体"/>
                      <w:szCs w:val="21"/>
                    </w:rPr>
                  </w:pPr>
                  <w:r>
                    <w:rPr>
                      <w:rFonts w:ascii="宋体" w:hAnsi="宋体"/>
                      <w:szCs w:val="21"/>
                    </w:rPr>
                    <w:t>风险措施</w:t>
                  </w:r>
                </w:p>
              </w:tc>
              <w:tc>
                <w:tcPr>
                  <w:tcW w:w="1640" w:type="pct"/>
                  <w:vAlign w:val="center"/>
                </w:tcPr>
                <w:p>
                  <w:pPr>
                    <w:jc w:val="center"/>
                    <w:rPr>
                      <w:rFonts w:ascii="宋体" w:hAnsi="宋体"/>
                      <w:szCs w:val="21"/>
                    </w:rPr>
                  </w:pPr>
                  <w:r>
                    <w:rPr>
                      <w:rFonts w:hint="eastAsia" w:ascii="宋体" w:hAnsi="宋体"/>
                      <w:color w:val="auto"/>
                      <w:szCs w:val="21"/>
                      <w:highlight w:val="none"/>
                      <w:lang w:val="en-US" w:eastAsia="zh-CN"/>
                    </w:rPr>
                    <w:t>依托现有设</w:t>
                  </w:r>
                  <w:r>
                    <w:rPr>
                      <w:rFonts w:hint="default" w:ascii="Times New Roman" w:hAnsi="Times New Roman" w:cs="Times New Roman"/>
                      <w:color w:val="auto"/>
                      <w:szCs w:val="21"/>
                      <w:highlight w:val="none"/>
                      <w:lang w:val="en-US" w:eastAsia="zh-CN"/>
                    </w:rPr>
                    <w:t>置1座事故应急池（容积</w:t>
                  </w: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1664" w:type="pct"/>
                  <w:vAlign w:val="center"/>
                </w:tcPr>
                <w:p>
                  <w:pPr>
                    <w:jc w:val="center"/>
                    <w:rPr>
                      <w:bCs/>
                      <w:szCs w:val="21"/>
                    </w:rPr>
                  </w:pPr>
                  <w:r>
                    <w:rPr>
                      <w:rFonts w:hint="eastAsia" w:ascii="宋体" w:hAnsi="宋体"/>
                      <w:color w:val="auto"/>
                      <w:szCs w:val="21"/>
                      <w:highlight w:val="none"/>
                      <w:lang w:val="en-US" w:eastAsia="zh-CN"/>
                    </w:rPr>
                    <w:t>依托现有设</w:t>
                  </w:r>
                  <w:r>
                    <w:rPr>
                      <w:rFonts w:hint="default" w:ascii="Times New Roman" w:hAnsi="Times New Roman" w:cs="Times New Roman"/>
                      <w:color w:val="auto"/>
                      <w:szCs w:val="21"/>
                      <w:highlight w:val="none"/>
                      <w:lang w:val="en-US" w:eastAsia="zh-CN"/>
                    </w:rPr>
                    <w:t>置1座事故应急池（容积</w:t>
                  </w: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634" w:type="pct"/>
                  <w:vAlign w:val="center"/>
                </w:tcPr>
                <w:p>
                  <w:pPr>
                    <w:jc w:val="center"/>
                    <w:rPr>
                      <w:bCs/>
                      <w:szCs w:val="21"/>
                    </w:rPr>
                  </w:pPr>
                  <w:r>
                    <w:rPr>
                      <w:rFonts w:hint="eastAsia"/>
                      <w:bCs/>
                      <w:szCs w:val="21"/>
                    </w:rPr>
                    <w:t>与环评一致</w:t>
                  </w:r>
                </w:p>
              </w:tc>
            </w:tr>
          </w:tbl>
          <w:p>
            <w:pPr>
              <w:spacing w:line="360" w:lineRule="auto"/>
              <w:jc w:val="center"/>
              <w:rPr>
                <w:b/>
                <w:szCs w:val="24"/>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31"/>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5" w:hRule="exact"/>
                <w:jc w:val="center"/>
              </w:trPr>
              <w:tc>
                <w:tcPr>
                  <w:tcW w:w="2500" w:type="pct"/>
                  <w:shd w:val="clear" w:color="auto" w:fill="auto"/>
                  <w:vAlign w:val="center"/>
                </w:tcPr>
                <w:p>
                  <w:pPr>
                    <w:autoSpaceDE w:val="0"/>
                    <w:autoSpaceDN w:val="0"/>
                    <w:jc w:val="both"/>
                    <w:rPr>
                      <w:rFonts w:hint="eastAsia" w:eastAsia="宋体"/>
                      <w:kern w:val="0"/>
                      <w:szCs w:val="24"/>
                      <w:lang w:eastAsia="zh-CN"/>
                    </w:rPr>
                  </w:pPr>
                  <w:r>
                    <w:rPr>
                      <w:rFonts w:hint="eastAsia" w:eastAsia="宋体"/>
                      <w:kern w:val="0"/>
                      <w:szCs w:val="24"/>
                      <w:lang w:eastAsia="zh-CN"/>
                    </w:rPr>
                    <w:pict>
                      <v:shape id="_x0000_i1025" o:spt="75" alt="IMG_20220902_145435" type="#_x0000_t75" style="height:138.25pt;width:221.7pt;" filled="f" o:preferrelative="t" stroked="f" coordsize="21600,21600">
                        <v:path/>
                        <v:fill on="f" focussize="0,0"/>
                        <v:stroke on="f"/>
                        <v:imagedata r:id="rId10" cropbottom="11070f" o:title="IMG_20220902_145435"/>
                        <o:lock v:ext="edit" aspectratio="t"/>
                        <w10:wrap type="none"/>
                        <w10:anchorlock/>
                      </v:shape>
                    </w:pict>
                  </w:r>
                </w:p>
              </w:tc>
              <w:tc>
                <w:tcPr>
                  <w:tcW w:w="2500" w:type="pct"/>
                  <w:shd w:val="clear" w:color="auto" w:fill="auto"/>
                  <w:vAlign w:val="center"/>
                </w:tcPr>
                <w:p>
                  <w:pPr>
                    <w:autoSpaceDE w:val="0"/>
                    <w:autoSpaceDN w:val="0"/>
                    <w:jc w:val="center"/>
                    <w:rPr>
                      <w:rFonts w:hint="eastAsia" w:eastAsia="宋体"/>
                      <w:kern w:val="0"/>
                      <w:szCs w:val="24"/>
                      <w:lang w:eastAsia="zh-CN"/>
                    </w:rPr>
                  </w:pPr>
                  <w:r>
                    <w:rPr>
                      <w:rFonts w:hint="eastAsia" w:eastAsia="宋体"/>
                      <w:kern w:val="0"/>
                      <w:szCs w:val="24"/>
                      <w:lang w:eastAsia="zh-CN"/>
                    </w:rPr>
                    <w:pict>
                      <v:shape id="_x0000_i1026" o:spt="75" alt="568a1635066daaa033f171dc725b077" type="#_x0000_t75" style="height:135.65pt;width:225.95pt;" filled="f" o:preferrelative="t" stroked="f" coordsize="21600,21600">
                        <v:path/>
                        <v:fill on="f" focussize="0,0"/>
                        <v:stroke on="f"/>
                        <v:imagedata r:id="rId11" cropbottom="13088f" o:title="568a1635066daaa033f171dc725b077"/>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kern w:val="0"/>
                      <w:szCs w:val="24"/>
                    </w:rPr>
                  </w:pPr>
                  <w:r>
                    <w:rPr>
                      <w:rFonts w:hint="eastAsia"/>
                      <w:kern w:val="0"/>
                      <w:szCs w:val="24"/>
                      <w:lang w:val="en-US" w:eastAsia="zh-CN"/>
                    </w:rPr>
                    <w:t>3#生产</w:t>
                  </w:r>
                  <w:r>
                    <w:rPr>
                      <w:rFonts w:hint="eastAsia"/>
                      <w:kern w:val="0"/>
                      <w:szCs w:val="24"/>
                    </w:rPr>
                    <w:t>车间</w:t>
                  </w:r>
                </w:p>
              </w:tc>
              <w:tc>
                <w:tcPr>
                  <w:tcW w:w="2500" w:type="pct"/>
                  <w:shd w:val="clear" w:color="auto" w:fill="auto"/>
                  <w:vAlign w:val="center"/>
                </w:tcPr>
                <w:p>
                  <w:pPr>
                    <w:autoSpaceDE w:val="0"/>
                    <w:autoSpaceDN w:val="0"/>
                    <w:jc w:val="center"/>
                    <w:rPr>
                      <w:rFonts w:hint="default" w:eastAsia="宋体"/>
                      <w:kern w:val="0"/>
                      <w:szCs w:val="24"/>
                      <w:lang w:val="en-US" w:eastAsia="zh-CN"/>
                    </w:rPr>
                  </w:pPr>
                  <w:r>
                    <w:rPr>
                      <w:rFonts w:hint="eastAsia"/>
                      <w:kern w:val="0"/>
                      <w:szCs w:val="24"/>
                      <w:lang w:val="en-US" w:eastAsia="zh-CN"/>
                    </w:rPr>
                    <w:t>1#~2#生产车间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05" w:hRule="exact"/>
                <w:jc w:val="center"/>
              </w:trPr>
              <w:tc>
                <w:tcPr>
                  <w:tcW w:w="2500" w:type="pct"/>
                  <w:shd w:val="clear" w:color="auto" w:fill="auto"/>
                  <w:vAlign w:val="center"/>
                </w:tcPr>
                <w:p>
                  <w:pPr>
                    <w:autoSpaceDE w:val="0"/>
                    <w:autoSpaceDN w:val="0"/>
                    <w:jc w:val="center"/>
                    <w:rPr>
                      <w:rFonts w:hint="eastAsia" w:eastAsia="宋体"/>
                      <w:kern w:val="0"/>
                      <w:szCs w:val="24"/>
                      <w:lang w:eastAsia="zh-CN"/>
                    </w:rPr>
                  </w:pPr>
                  <w:r>
                    <w:rPr>
                      <w:rFonts w:hint="eastAsia" w:eastAsia="宋体"/>
                      <w:kern w:val="0"/>
                      <w:szCs w:val="24"/>
                      <w:lang w:eastAsia="zh-CN"/>
                    </w:rPr>
                    <w:pict>
                      <v:shape id="_x0000_i1027" o:spt="75" alt="IMG_20220902_145653" type="#_x0000_t75" style="height:146.65pt;width:205.05pt;" filled="f" o:preferrelative="t" stroked="f" coordsize="21600,21600">
                        <v:path/>
                        <v:fill on="f" focussize="0,0"/>
                        <v:stroke on="f"/>
                        <v:imagedata r:id="rId12" cropbottom="3047f" o:title="IMG_20220902_145653"/>
                        <o:lock v:ext="edit" aspectratio="t"/>
                        <w10:wrap type="none"/>
                        <w10:anchorlock/>
                      </v:shape>
                    </w:pict>
                  </w:r>
                </w:p>
              </w:tc>
              <w:tc>
                <w:tcPr>
                  <w:tcW w:w="2500" w:type="pct"/>
                  <w:shd w:val="clear" w:color="auto" w:fill="auto"/>
                  <w:vAlign w:val="center"/>
                </w:tcPr>
                <w:p>
                  <w:pPr>
                    <w:autoSpaceDE w:val="0"/>
                    <w:autoSpaceDN w:val="0"/>
                    <w:jc w:val="center"/>
                    <w:rPr>
                      <w:kern w:val="0"/>
                      <w:szCs w:val="24"/>
                    </w:rPr>
                  </w:pPr>
                  <w:r>
                    <w:rPr>
                      <w:rFonts w:hint="eastAsia" w:eastAsia="宋体"/>
                      <w:kern w:val="0"/>
                      <w:szCs w:val="24"/>
                      <w:lang w:eastAsia="zh-CN"/>
                    </w:rPr>
                    <w:pict>
                      <v:shape id="_x0000_i1028" o:spt="75" alt="IMG_20220902_145147" type="#_x0000_t75" style="height:145.95pt;width:222.55pt;" filled="f" o:preferrelative="t" stroked="f" coordsize="21600,21600">
                        <v:path/>
                        <v:fill on="f" focussize="0,0"/>
                        <v:stroke on="f"/>
                        <v:imagedata r:id="rId13" cropbottom="8226f" o:title="IMG_20220902_145147"/>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rFonts w:hint="default" w:eastAsia="宋体"/>
                      <w:kern w:val="0"/>
                      <w:szCs w:val="24"/>
                      <w:lang w:val="en-US" w:eastAsia="zh-CN"/>
                    </w:rPr>
                  </w:pPr>
                  <w:r>
                    <w:rPr>
                      <w:rFonts w:hint="eastAsia"/>
                      <w:kern w:val="0"/>
                      <w:szCs w:val="24"/>
                      <w:lang w:val="en-US" w:eastAsia="zh-CN"/>
                    </w:rPr>
                    <w:t>一般固废暂存间</w:t>
                  </w:r>
                </w:p>
              </w:tc>
              <w:tc>
                <w:tcPr>
                  <w:tcW w:w="2500" w:type="pct"/>
                  <w:shd w:val="clear" w:color="auto" w:fill="auto"/>
                  <w:vAlign w:val="center"/>
                </w:tcPr>
                <w:p>
                  <w:pPr>
                    <w:autoSpaceDE w:val="0"/>
                    <w:autoSpaceDN w:val="0"/>
                    <w:jc w:val="center"/>
                    <w:rPr>
                      <w:kern w:val="0"/>
                      <w:szCs w:val="24"/>
                    </w:rPr>
                  </w:pPr>
                  <w:r>
                    <w:rPr>
                      <w:rFonts w:hint="eastAsia"/>
                      <w:kern w:val="0"/>
                      <w:szCs w:val="24"/>
                    </w:rPr>
                    <w:t>待拆汽车堆场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rFonts w:hint="eastAsia"/>
                      <w:kern w:val="0"/>
                      <w:szCs w:val="24"/>
                      <w:lang w:val="en-US" w:eastAsia="zh-CN"/>
                    </w:rPr>
                  </w:pPr>
                  <w:r>
                    <w:rPr>
                      <w:rFonts w:hint="eastAsia"/>
                      <w:kern w:val="0"/>
                      <w:szCs w:val="24"/>
                      <w:lang w:val="en-US" w:eastAsia="zh-CN"/>
                    </w:rPr>
                    <w:pict>
                      <v:shape id="_x0000_i1029" o:spt="75" alt="42ce2c8c47dd2914f51e8c9b75bb985" type="#_x0000_t75" style="height:169.5pt;width:225.95pt;" filled="f" o:preferrelative="t" stroked="f" coordsize="21600,21600">
                        <v:path/>
                        <v:fill on="f" focussize="0,0"/>
                        <v:stroke on="f"/>
                        <v:imagedata r:id="rId14" o:title="42ce2c8c47dd2914f51e8c9b75bb985"/>
                        <o:lock v:ext="edit" aspectratio="t"/>
                        <w10:wrap type="none"/>
                        <w10:anchorlock/>
                      </v:shape>
                    </w:pict>
                  </w:r>
                </w:p>
              </w:tc>
              <w:tc>
                <w:tcPr>
                  <w:tcW w:w="2500" w:type="pct"/>
                  <w:shd w:val="clear" w:color="auto" w:fill="auto"/>
                  <w:vAlign w:val="center"/>
                </w:tcPr>
                <w:p>
                  <w:pPr>
                    <w:autoSpaceDE w:val="0"/>
                    <w:autoSpaceDN w:val="0"/>
                    <w:jc w:val="center"/>
                    <w:rPr>
                      <w:rFonts w:hint="eastAsia" w:eastAsia="宋体"/>
                      <w:kern w:val="0"/>
                      <w:szCs w:val="24"/>
                      <w:lang w:eastAsia="zh-CN"/>
                    </w:rPr>
                  </w:pPr>
                  <w:r>
                    <w:rPr>
                      <w:rFonts w:hint="eastAsia" w:eastAsia="宋体"/>
                      <w:kern w:val="0"/>
                      <w:szCs w:val="24"/>
                      <w:lang w:eastAsia="zh-CN"/>
                    </w:rPr>
                    <w:pict>
                      <v:shape id="_x0000_i1030" o:spt="75" alt="f845fff86474b88ad044cb7d678b2f9" type="#_x0000_t75" style="height:169.5pt;width:225.95pt;" filled="f" o:preferrelative="t" stroked="f" coordsize="21600,21600">
                        <v:path/>
                        <v:fill on="f" focussize="0,0"/>
                        <v:stroke on="f"/>
                        <v:imagedata r:id="rId15" o:title="f845fff86474b88ad044cb7d678b2f9"/>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rFonts w:hint="default"/>
                      <w:kern w:val="0"/>
                      <w:szCs w:val="24"/>
                      <w:lang w:val="en-US" w:eastAsia="zh-CN"/>
                    </w:rPr>
                  </w:pPr>
                  <w:r>
                    <w:rPr>
                      <w:rFonts w:hint="eastAsia"/>
                      <w:kern w:val="0"/>
                      <w:szCs w:val="24"/>
                      <w:lang w:val="en-US" w:eastAsia="zh-CN"/>
                    </w:rPr>
                    <w:t>危废暂存间</w:t>
                  </w:r>
                </w:p>
              </w:tc>
              <w:tc>
                <w:tcPr>
                  <w:tcW w:w="2500" w:type="pct"/>
                  <w:shd w:val="clear" w:color="auto" w:fill="auto"/>
                  <w:vAlign w:val="center"/>
                </w:tcPr>
                <w:p>
                  <w:pPr>
                    <w:autoSpaceDE w:val="0"/>
                    <w:autoSpaceDN w:val="0"/>
                    <w:jc w:val="center"/>
                    <w:rPr>
                      <w:rFonts w:hint="default" w:eastAsia="宋体"/>
                      <w:kern w:val="0"/>
                      <w:szCs w:val="24"/>
                      <w:lang w:val="en-US" w:eastAsia="zh-CN"/>
                    </w:rPr>
                  </w:pPr>
                  <w:r>
                    <w:rPr>
                      <w:rFonts w:hint="eastAsia"/>
                      <w:kern w:val="0"/>
                      <w:szCs w:val="24"/>
                      <w:lang w:val="en-US" w:eastAsia="zh-CN"/>
                    </w:rPr>
                    <w:t>地埋式污水处理站</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szCs w:val="24"/>
              </w:rPr>
            </w:pPr>
            <w:r>
              <w:rPr>
                <w:b/>
                <w:szCs w:val="24"/>
              </w:rPr>
              <w:t>图2-1  项目主体工程建设情况</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b/>
                <w:bCs/>
                <w:sz w:val="24"/>
                <w:szCs w:val="24"/>
              </w:rPr>
            </w:pPr>
            <w:r>
              <w:rPr>
                <w:rFonts w:hint="eastAsia"/>
                <w:b/>
                <w:bCs/>
                <w:sz w:val="24"/>
                <w:szCs w:val="24"/>
              </w:rPr>
              <w:t>3、主要生产设备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项目主要设备情况详见表2-2。</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szCs w:val="24"/>
              </w:rPr>
            </w:pPr>
            <w:r>
              <w:rPr>
                <w:b/>
                <w:szCs w:val="24"/>
              </w:rPr>
              <w:t>表</w:t>
            </w:r>
            <w:r>
              <w:rPr>
                <w:rFonts w:hint="eastAsia"/>
                <w:b/>
                <w:szCs w:val="24"/>
              </w:rPr>
              <w:t>2</w:t>
            </w:r>
            <w:r>
              <w:rPr>
                <w:b/>
                <w:szCs w:val="24"/>
              </w:rPr>
              <w:t>-</w:t>
            </w:r>
            <w:r>
              <w:rPr>
                <w:rFonts w:hint="eastAsia"/>
                <w:b/>
                <w:szCs w:val="24"/>
              </w:rPr>
              <w:t>2</w:t>
            </w:r>
            <w:r>
              <w:rPr>
                <w:b/>
                <w:szCs w:val="24"/>
              </w:rPr>
              <w:t xml:space="preserve">  </w:t>
            </w:r>
            <w:r>
              <w:rPr>
                <w:rFonts w:hint="eastAsia"/>
                <w:b/>
                <w:szCs w:val="24"/>
              </w:rPr>
              <w:t>建设项目</w:t>
            </w:r>
            <w:r>
              <w:rPr>
                <w:b/>
                <w:szCs w:val="24"/>
              </w:rPr>
              <w:t>设备一览表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454"/>
              <w:gridCol w:w="1750"/>
              <w:gridCol w:w="1550"/>
              <w:gridCol w:w="1550"/>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vAlign w:val="center"/>
                </w:tcPr>
                <w:p>
                  <w:pPr>
                    <w:jc w:val="center"/>
                    <w:rPr>
                      <w:szCs w:val="21"/>
                    </w:rPr>
                  </w:pPr>
                  <w:r>
                    <w:rPr>
                      <w:szCs w:val="21"/>
                    </w:rPr>
                    <w:t>序号</w:t>
                  </w:r>
                </w:p>
              </w:tc>
              <w:tc>
                <w:tcPr>
                  <w:tcW w:w="1354" w:type="pct"/>
                  <w:vMerge w:val="restart"/>
                  <w:vAlign w:val="center"/>
                </w:tcPr>
                <w:p>
                  <w:pPr>
                    <w:jc w:val="center"/>
                    <w:rPr>
                      <w:szCs w:val="21"/>
                    </w:rPr>
                  </w:pPr>
                  <w:r>
                    <w:rPr>
                      <w:szCs w:val="21"/>
                    </w:rPr>
                    <w:t>设备名称</w:t>
                  </w:r>
                </w:p>
              </w:tc>
              <w:tc>
                <w:tcPr>
                  <w:tcW w:w="1822" w:type="pct"/>
                  <w:gridSpan w:val="2"/>
                  <w:vAlign w:val="center"/>
                </w:tcPr>
                <w:p>
                  <w:pPr>
                    <w:jc w:val="center"/>
                    <w:rPr>
                      <w:szCs w:val="21"/>
                    </w:rPr>
                  </w:pPr>
                  <w:r>
                    <w:rPr>
                      <w:rFonts w:hint="eastAsia"/>
                      <w:szCs w:val="21"/>
                    </w:rPr>
                    <w:t>环评中要求</w:t>
                  </w:r>
                </w:p>
              </w:tc>
              <w:tc>
                <w:tcPr>
                  <w:tcW w:w="855" w:type="pct"/>
                  <w:vAlign w:val="center"/>
                </w:tcPr>
                <w:p>
                  <w:pPr>
                    <w:jc w:val="center"/>
                    <w:rPr>
                      <w:szCs w:val="21"/>
                    </w:rPr>
                  </w:pPr>
                  <w:r>
                    <w:rPr>
                      <w:rFonts w:hint="eastAsia"/>
                      <w:szCs w:val="21"/>
                    </w:rPr>
                    <w:t>实际建设情况</w:t>
                  </w:r>
                </w:p>
              </w:tc>
              <w:tc>
                <w:tcPr>
                  <w:tcW w:w="601" w:type="pct"/>
                  <w:vAlign w:val="center"/>
                </w:tcPr>
                <w:p>
                  <w:pPr>
                    <w:jc w:val="center"/>
                    <w:rPr>
                      <w:szCs w:val="21"/>
                    </w:rPr>
                  </w:pPr>
                  <w:r>
                    <w:rPr>
                      <w:rFonts w:hint="eastAsia"/>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pPr>
                    <w:jc w:val="center"/>
                    <w:rPr>
                      <w:szCs w:val="21"/>
                    </w:rPr>
                  </w:pPr>
                </w:p>
              </w:tc>
              <w:tc>
                <w:tcPr>
                  <w:tcW w:w="1354" w:type="pct"/>
                  <w:vMerge w:val="continue"/>
                  <w:vAlign w:val="center"/>
                </w:tcPr>
                <w:p>
                  <w:pPr>
                    <w:jc w:val="center"/>
                    <w:rPr>
                      <w:szCs w:val="21"/>
                    </w:rPr>
                  </w:pPr>
                </w:p>
              </w:tc>
              <w:tc>
                <w:tcPr>
                  <w:tcW w:w="966" w:type="pct"/>
                  <w:vAlign w:val="center"/>
                </w:tcPr>
                <w:p>
                  <w:pPr>
                    <w:jc w:val="center"/>
                    <w:rPr>
                      <w:szCs w:val="21"/>
                    </w:rPr>
                  </w:pPr>
                  <w:r>
                    <w:rPr>
                      <w:szCs w:val="21"/>
                    </w:rPr>
                    <w:t>型号</w:t>
                  </w:r>
                </w:p>
              </w:tc>
              <w:tc>
                <w:tcPr>
                  <w:tcW w:w="855" w:type="pct"/>
                  <w:vAlign w:val="center"/>
                </w:tcPr>
                <w:p>
                  <w:pPr>
                    <w:jc w:val="center"/>
                    <w:rPr>
                      <w:szCs w:val="21"/>
                    </w:rPr>
                  </w:pPr>
                  <w:r>
                    <w:rPr>
                      <w:szCs w:val="21"/>
                    </w:rPr>
                    <w:t>项目设备数量（台/套）</w:t>
                  </w:r>
                </w:p>
              </w:tc>
              <w:tc>
                <w:tcPr>
                  <w:tcW w:w="855" w:type="pct"/>
                  <w:vAlign w:val="center"/>
                </w:tcPr>
                <w:p>
                  <w:pPr>
                    <w:jc w:val="center"/>
                    <w:rPr>
                      <w:szCs w:val="21"/>
                    </w:rPr>
                  </w:pPr>
                  <w:r>
                    <w:rPr>
                      <w:rFonts w:hint="eastAsia"/>
                      <w:szCs w:val="21"/>
                    </w:rPr>
                    <w:t>全厂</w:t>
                  </w:r>
                  <w:r>
                    <w:rPr>
                      <w:szCs w:val="21"/>
                    </w:rPr>
                    <w:t>设备数量（台/套）</w:t>
                  </w:r>
                </w:p>
              </w:tc>
              <w:tc>
                <w:tcPr>
                  <w:tcW w:w="601" w:type="pct"/>
                  <w:vAlign w:val="center"/>
                </w:tcPr>
                <w:p>
                  <w:pPr>
                    <w:jc w:val="center"/>
                    <w:rPr>
                      <w:szCs w:val="21"/>
                    </w:rPr>
                  </w:pPr>
                  <w:r>
                    <w:rPr>
                      <w:rFonts w:hint="eastAsia"/>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pPr>
                    <w:jc w:val="center"/>
                    <w:rPr>
                      <w:rFonts w:hint="eastAsia" w:eastAsia="宋体"/>
                      <w:szCs w:val="21"/>
                      <w:lang w:val="en-US" w:eastAsia="zh-CN"/>
                    </w:rPr>
                  </w:pPr>
                  <w:r>
                    <w:rPr>
                      <w:rFonts w:hint="eastAsia"/>
                      <w:szCs w:val="21"/>
                      <w:lang w:val="en-US" w:eastAsia="zh-CN"/>
                    </w:rPr>
                    <w:t>一</w:t>
                  </w:r>
                </w:p>
              </w:tc>
              <w:tc>
                <w:tcPr>
                  <w:tcW w:w="2320" w:type="pct"/>
                  <w:gridSpan w:val="2"/>
                  <w:vAlign w:val="center"/>
                </w:tcPr>
                <w:p>
                  <w:pPr>
                    <w:jc w:val="center"/>
                    <w:rPr>
                      <w:rFonts w:hint="default"/>
                      <w:szCs w:val="21"/>
                      <w:lang w:val="en-US"/>
                    </w:rPr>
                  </w:pPr>
                  <w:r>
                    <w:rPr>
                      <w:rFonts w:hint="eastAsia" w:ascii="宋体" w:hAnsi="宋体" w:cs="宋体"/>
                      <w:b/>
                      <w:i w:val="0"/>
                      <w:color w:val="auto"/>
                      <w:kern w:val="0"/>
                      <w:sz w:val="21"/>
                      <w:szCs w:val="21"/>
                      <w:u w:val="none"/>
                      <w:lang w:val="en-US" w:eastAsia="zh-CN" w:bidi="ar"/>
                    </w:rPr>
                    <w:t>3#生产车间</w:t>
                  </w:r>
                </w:p>
              </w:tc>
              <w:tc>
                <w:tcPr>
                  <w:tcW w:w="855" w:type="pct"/>
                  <w:vAlign w:val="center"/>
                </w:tcPr>
                <w:p>
                  <w:pPr>
                    <w:jc w:val="center"/>
                    <w:rPr>
                      <w:rFonts w:hint="default" w:eastAsia="宋体"/>
                      <w:szCs w:val="21"/>
                      <w:lang w:val="en-US" w:eastAsia="zh-CN"/>
                    </w:rPr>
                  </w:pPr>
                  <w:r>
                    <w:rPr>
                      <w:rFonts w:hint="eastAsia"/>
                      <w:szCs w:val="21"/>
                      <w:lang w:val="en-US" w:eastAsia="zh-CN"/>
                    </w:rPr>
                    <w:t>/</w:t>
                  </w:r>
                </w:p>
              </w:tc>
              <w:tc>
                <w:tcPr>
                  <w:tcW w:w="855" w:type="pct"/>
                  <w:vAlign w:val="center"/>
                </w:tcPr>
                <w:p>
                  <w:pPr>
                    <w:jc w:val="center"/>
                    <w:rPr>
                      <w:rFonts w:hint="eastAsia" w:eastAsia="宋体"/>
                      <w:szCs w:val="21"/>
                      <w:lang w:val="en-US" w:eastAsia="zh-CN"/>
                    </w:rPr>
                  </w:pPr>
                  <w:r>
                    <w:rPr>
                      <w:rFonts w:hint="eastAsia"/>
                      <w:szCs w:val="21"/>
                      <w:lang w:val="en-US" w:eastAsia="zh-CN"/>
                    </w:rPr>
                    <w:t>/</w:t>
                  </w:r>
                </w:p>
              </w:tc>
              <w:tc>
                <w:tcPr>
                  <w:tcW w:w="601" w:type="pct"/>
                  <w:vAlign w:val="center"/>
                </w:tcPr>
                <w:p>
                  <w:pPr>
                    <w:jc w:val="center"/>
                    <w:rPr>
                      <w:rFonts w:hint="eastAsia"/>
                      <w:szCs w:val="21"/>
                    </w:rPr>
                  </w:pPr>
                  <w:r>
                    <w:rPr>
                      <w:rFonts w:hint="eastAsia"/>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pPr>
                    <w:jc w:val="center"/>
                    <w:rPr>
                      <w:szCs w:val="21"/>
                    </w:rPr>
                  </w:pPr>
                  <w:r>
                    <w:rPr>
                      <w:szCs w:val="21"/>
                    </w:rPr>
                    <w:t>1</w:t>
                  </w:r>
                </w:p>
              </w:tc>
              <w:tc>
                <w:tcPr>
                  <w:tcW w:w="1354" w:type="pct"/>
                  <w:vAlign w:val="center"/>
                </w:tcPr>
                <w:p>
                  <w:pPr>
                    <w:keepNext w:val="0"/>
                    <w:keepLines w:val="0"/>
                    <w:widowControl/>
                    <w:suppressLineNumbers w:val="0"/>
                    <w:jc w:val="center"/>
                    <w:textAlignment w:val="center"/>
                    <w:rPr>
                      <w:szCs w:val="21"/>
                    </w:rPr>
                  </w:pPr>
                  <w:r>
                    <w:rPr>
                      <w:rFonts w:hint="eastAsia" w:cs="Times New Roman"/>
                      <w:b w:val="0"/>
                      <w:bCs/>
                      <w:i w:val="0"/>
                      <w:color w:val="auto"/>
                      <w:kern w:val="0"/>
                      <w:sz w:val="21"/>
                      <w:szCs w:val="21"/>
                      <w:u w:val="none"/>
                      <w:lang w:val="en-US" w:eastAsia="zh-CN" w:bidi="ar"/>
                    </w:rPr>
                    <w:t>硫化罐</w:t>
                  </w:r>
                </w:p>
              </w:tc>
              <w:tc>
                <w:tcPr>
                  <w:tcW w:w="966" w:type="pct"/>
                  <w:vAlign w:val="center"/>
                </w:tcPr>
                <w:p>
                  <w:pPr>
                    <w:keepNext w:val="0"/>
                    <w:keepLines w:val="0"/>
                    <w:widowControl/>
                    <w:suppressLineNumbers w:val="0"/>
                    <w:jc w:val="center"/>
                    <w:textAlignment w:val="center"/>
                    <w:rPr>
                      <w:rFonts w:hint="default"/>
                      <w:szCs w:val="21"/>
                      <w:lang w:val="en-US"/>
                    </w:rPr>
                  </w:pPr>
                  <w:r>
                    <w:rPr>
                      <w:rFonts w:hint="eastAsia" w:cs="Times New Roman"/>
                      <w:b w:val="0"/>
                      <w:bCs/>
                      <w:i w:val="0"/>
                      <w:color w:val="auto"/>
                      <w:kern w:val="0"/>
                      <w:sz w:val="21"/>
                      <w:szCs w:val="21"/>
                      <w:u w:val="none"/>
                      <w:lang w:val="en-US" w:eastAsia="zh-CN" w:bidi="ar"/>
                    </w:rPr>
                    <w:t>100kg/只</w:t>
                  </w:r>
                </w:p>
              </w:tc>
              <w:tc>
                <w:tcPr>
                  <w:tcW w:w="855" w:type="pct"/>
                  <w:vAlign w:val="center"/>
                </w:tcPr>
                <w:p>
                  <w:pPr>
                    <w:keepNext w:val="0"/>
                    <w:keepLines w:val="0"/>
                    <w:widowControl/>
                    <w:suppressLineNumbers w:val="0"/>
                    <w:jc w:val="center"/>
                    <w:textAlignment w:val="center"/>
                    <w:rPr>
                      <w:szCs w:val="21"/>
                    </w:rPr>
                  </w:pPr>
                  <w:r>
                    <w:rPr>
                      <w:rFonts w:hint="eastAsia" w:cs="Times New Roman"/>
                      <w:b w:val="0"/>
                      <w:bCs/>
                      <w:i w:val="0"/>
                      <w:color w:val="auto"/>
                      <w:kern w:val="0"/>
                      <w:sz w:val="21"/>
                      <w:szCs w:val="21"/>
                      <w:u w:val="none"/>
                      <w:lang w:val="en-US" w:eastAsia="zh-CN" w:bidi="ar"/>
                    </w:rPr>
                    <w:t>4</w:t>
                  </w:r>
                </w:p>
              </w:tc>
              <w:tc>
                <w:tcPr>
                  <w:tcW w:w="855" w:type="pct"/>
                  <w:vAlign w:val="center"/>
                </w:tcPr>
                <w:p>
                  <w:pPr>
                    <w:keepNext w:val="0"/>
                    <w:keepLines w:val="0"/>
                    <w:widowControl/>
                    <w:suppressLineNumbers w:val="0"/>
                    <w:jc w:val="center"/>
                    <w:textAlignment w:val="center"/>
                    <w:rPr>
                      <w:szCs w:val="21"/>
                    </w:rPr>
                  </w:pPr>
                  <w:r>
                    <w:rPr>
                      <w:rFonts w:hint="eastAsia" w:cs="Times New Roman"/>
                      <w:b w:val="0"/>
                      <w:bCs/>
                      <w:i w:val="0"/>
                      <w:color w:val="auto"/>
                      <w:kern w:val="0"/>
                      <w:sz w:val="21"/>
                      <w:szCs w:val="21"/>
                      <w:u w:val="none"/>
                      <w:lang w:val="en-US" w:eastAsia="zh-CN" w:bidi="ar"/>
                    </w:rPr>
                    <w:t>4</w:t>
                  </w:r>
                </w:p>
              </w:tc>
              <w:tc>
                <w:tcPr>
                  <w:tcW w:w="601" w:type="pct"/>
                  <w:vAlign w:val="center"/>
                </w:tcPr>
                <w:p>
                  <w:pPr>
                    <w:adjustRightInd w:val="0"/>
                    <w:snapToGrid w:val="0"/>
                    <w:jc w:val="center"/>
                    <w:rPr>
                      <w:bCs/>
                      <w:spacing w:val="4"/>
                      <w:szCs w:val="21"/>
                    </w:rPr>
                  </w:pPr>
                  <w:r>
                    <w:rPr>
                      <w:rFonts w:hint="eastAsia"/>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pPr>
                    <w:jc w:val="center"/>
                    <w:rPr>
                      <w:rFonts w:hint="eastAsia" w:eastAsia="宋体"/>
                      <w:szCs w:val="21"/>
                      <w:lang w:val="en-US" w:eastAsia="zh-CN"/>
                    </w:rPr>
                  </w:pPr>
                  <w:r>
                    <w:rPr>
                      <w:rFonts w:hint="eastAsia"/>
                      <w:szCs w:val="21"/>
                      <w:lang w:val="en-US" w:eastAsia="zh-CN"/>
                    </w:rPr>
                    <w:t>2</w:t>
                  </w:r>
                </w:p>
              </w:tc>
              <w:tc>
                <w:tcPr>
                  <w:tcW w:w="1354" w:type="pct"/>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kern w:val="0"/>
                      <w:szCs w:val="21"/>
                      <w:lang w:val="en-US" w:eastAsia="zh-CN" w:bidi="ar"/>
                    </w:rPr>
                    <w:t>天然气锅炉</w:t>
                  </w:r>
                </w:p>
              </w:tc>
              <w:tc>
                <w:tcPr>
                  <w:tcW w:w="966" w:type="pct"/>
                  <w:vAlign w:val="center"/>
                </w:tcPr>
                <w:p>
                  <w:pPr>
                    <w:keepNext w:val="0"/>
                    <w:keepLines w:val="0"/>
                    <w:widowControl/>
                    <w:suppressLineNumbers w:val="0"/>
                    <w:jc w:val="center"/>
                    <w:textAlignment w:val="center"/>
                    <w:rPr>
                      <w:rFonts w:hint="eastAsia" w:ascii="Times New Roman" w:hAnsi="Times New Roman" w:eastAsia="宋体" w:cs="Times New Roman"/>
                      <w:bCs/>
                      <w:spacing w:val="4"/>
                      <w:kern w:val="2"/>
                      <w:sz w:val="21"/>
                      <w:szCs w:val="21"/>
                      <w:lang w:val="en-US" w:eastAsia="zh-CN" w:bidi="ar-SA"/>
                    </w:rPr>
                  </w:pPr>
                  <w:r>
                    <w:rPr>
                      <w:rFonts w:hint="eastAsia" w:cs="Times New Roman"/>
                      <w:b w:val="0"/>
                      <w:bCs/>
                      <w:i w:val="0"/>
                      <w:color w:val="auto"/>
                      <w:kern w:val="0"/>
                      <w:sz w:val="21"/>
                      <w:szCs w:val="21"/>
                      <w:u w:val="none"/>
                      <w:lang w:val="en-US" w:eastAsia="zh-CN" w:bidi="ar"/>
                    </w:rPr>
                    <w:t>2t/h</w:t>
                  </w:r>
                </w:p>
              </w:tc>
              <w:tc>
                <w:tcPr>
                  <w:tcW w:w="855" w:type="pct"/>
                  <w:vAlign w:val="center"/>
                </w:tcPr>
                <w:p>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lang w:val="en-US" w:eastAsia="zh-CN" w:bidi="ar"/>
                    </w:rPr>
                  </w:pPr>
                  <w:r>
                    <w:rPr>
                      <w:rFonts w:hint="eastAsia" w:cs="Times New Roman"/>
                      <w:b w:val="0"/>
                      <w:bCs/>
                      <w:i w:val="0"/>
                      <w:color w:val="auto"/>
                      <w:kern w:val="0"/>
                      <w:sz w:val="21"/>
                      <w:szCs w:val="21"/>
                      <w:u w:val="none"/>
                      <w:lang w:val="en-US" w:eastAsia="zh-CN" w:bidi="ar"/>
                    </w:rPr>
                    <w:t>1</w:t>
                  </w:r>
                </w:p>
              </w:tc>
              <w:tc>
                <w:tcPr>
                  <w:tcW w:w="855" w:type="pct"/>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b w:val="0"/>
                      <w:bCs/>
                      <w:i w:val="0"/>
                      <w:color w:val="auto"/>
                      <w:kern w:val="0"/>
                      <w:sz w:val="21"/>
                      <w:szCs w:val="21"/>
                      <w:u w:val="none"/>
                      <w:lang w:val="en-US" w:eastAsia="zh-CN" w:bidi="ar"/>
                    </w:rPr>
                    <w:t>1</w:t>
                  </w:r>
                </w:p>
              </w:tc>
              <w:tc>
                <w:tcPr>
                  <w:tcW w:w="601" w:type="pct"/>
                  <w:vAlign w:val="center"/>
                </w:tcPr>
                <w:p>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pPr>
                    <w:jc w:val="center"/>
                    <w:rPr>
                      <w:rFonts w:hint="eastAsia" w:eastAsia="宋体"/>
                      <w:szCs w:val="21"/>
                      <w:lang w:eastAsia="zh-CN"/>
                    </w:rPr>
                  </w:pPr>
                  <w:r>
                    <w:rPr>
                      <w:rFonts w:hint="eastAsia"/>
                      <w:szCs w:val="21"/>
                      <w:lang w:val="en-US" w:eastAsia="zh-CN"/>
                    </w:rPr>
                    <w:t>3</w:t>
                  </w:r>
                </w:p>
              </w:tc>
              <w:tc>
                <w:tcPr>
                  <w:tcW w:w="1354" w:type="pct"/>
                  <w:vAlign w:val="center"/>
                </w:tcPr>
                <w:p>
                  <w:pPr>
                    <w:keepNext w:val="0"/>
                    <w:keepLines w:val="0"/>
                    <w:widowControl/>
                    <w:suppressLineNumbers w:val="0"/>
                    <w:jc w:val="center"/>
                    <w:textAlignment w:val="center"/>
                    <w:rPr>
                      <w:kern w:val="0"/>
                      <w:szCs w:val="21"/>
                      <w:lang w:bidi="ar"/>
                    </w:rPr>
                  </w:pPr>
                  <w:r>
                    <w:rPr>
                      <w:rFonts w:hint="eastAsia" w:cs="Times New Roman"/>
                      <w:b w:val="0"/>
                      <w:bCs/>
                      <w:i w:val="0"/>
                      <w:color w:val="auto"/>
                      <w:kern w:val="0"/>
                      <w:sz w:val="21"/>
                      <w:szCs w:val="21"/>
                      <w:u w:val="none"/>
                      <w:lang w:val="en-US" w:eastAsia="zh-CN" w:bidi="ar"/>
                    </w:rPr>
                    <w:t>两级活性炭吸附装置</w:t>
                  </w:r>
                </w:p>
              </w:tc>
              <w:tc>
                <w:tcPr>
                  <w:tcW w:w="966" w:type="pct"/>
                  <w:vAlign w:val="center"/>
                </w:tcPr>
                <w:p>
                  <w:pPr>
                    <w:keepNext w:val="0"/>
                    <w:keepLines w:val="0"/>
                    <w:widowControl/>
                    <w:suppressLineNumbers w:val="0"/>
                    <w:jc w:val="center"/>
                    <w:textAlignment w:val="center"/>
                    <w:rPr>
                      <w:bCs/>
                      <w:color w:val="0000FF"/>
                      <w:spacing w:val="4"/>
                      <w:szCs w:val="21"/>
                    </w:rPr>
                  </w:pPr>
                  <w:r>
                    <w:rPr>
                      <w:rFonts w:hint="eastAsia" w:cs="Times New Roman"/>
                      <w:b w:val="0"/>
                      <w:bCs/>
                      <w:i w:val="0"/>
                      <w:color w:val="auto"/>
                      <w:kern w:val="0"/>
                      <w:sz w:val="21"/>
                      <w:szCs w:val="21"/>
                      <w:u w:val="none"/>
                      <w:lang w:val="en-US" w:eastAsia="zh-CN" w:bidi="ar"/>
                    </w:rPr>
                    <w:t>/</w:t>
                  </w:r>
                </w:p>
              </w:tc>
              <w:tc>
                <w:tcPr>
                  <w:tcW w:w="855" w:type="pct"/>
                  <w:vAlign w:val="center"/>
                </w:tcPr>
                <w:p>
                  <w:pPr>
                    <w:keepNext w:val="0"/>
                    <w:keepLines w:val="0"/>
                    <w:widowControl/>
                    <w:suppressLineNumbers w:val="0"/>
                    <w:jc w:val="center"/>
                    <w:textAlignment w:val="center"/>
                    <w:rPr>
                      <w:rFonts w:ascii="Times New Roman" w:hAnsi="Times New Roman" w:eastAsia="宋体" w:cs="Times New Roman"/>
                      <w:kern w:val="0"/>
                      <w:sz w:val="21"/>
                      <w:szCs w:val="21"/>
                      <w:lang w:val="en-US" w:eastAsia="zh-CN" w:bidi="ar"/>
                    </w:rPr>
                  </w:pPr>
                  <w:r>
                    <w:rPr>
                      <w:rFonts w:hint="eastAsia" w:cs="Times New Roman"/>
                      <w:b w:val="0"/>
                      <w:bCs/>
                      <w:i w:val="0"/>
                      <w:color w:val="auto"/>
                      <w:kern w:val="0"/>
                      <w:sz w:val="21"/>
                      <w:szCs w:val="21"/>
                      <w:u w:val="none"/>
                      <w:lang w:val="en-US" w:eastAsia="zh-CN" w:bidi="ar"/>
                    </w:rPr>
                    <w:t>1</w:t>
                  </w:r>
                </w:p>
              </w:tc>
              <w:tc>
                <w:tcPr>
                  <w:tcW w:w="855" w:type="pct"/>
                  <w:vAlign w:val="center"/>
                </w:tcPr>
                <w:p>
                  <w:pPr>
                    <w:keepNext w:val="0"/>
                    <w:keepLines w:val="0"/>
                    <w:widowControl/>
                    <w:suppressLineNumbers w:val="0"/>
                    <w:jc w:val="center"/>
                    <w:textAlignment w:val="center"/>
                    <w:rPr>
                      <w:kern w:val="0"/>
                      <w:szCs w:val="21"/>
                      <w:lang w:bidi="ar"/>
                    </w:rPr>
                  </w:pPr>
                  <w:r>
                    <w:rPr>
                      <w:rFonts w:hint="eastAsia" w:cs="Times New Roman"/>
                      <w:b w:val="0"/>
                      <w:bCs/>
                      <w:i w:val="0"/>
                      <w:color w:val="auto"/>
                      <w:kern w:val="0"/>
                      <w:sz w:val="21"/>
                      <w:szCs w:val="21"/>
                      <w:u w:val="none"/>
                      <w:lang w:val="en-US" w:eastAsia="zh-CN" w:bidi="ar"/>
                    </w:rPr>
                    <w:t>1</w:t>
                  </w:r>
                </w:p>
              </w:tc>
              <w:tc>
                <w:tcPr>
                  <w:tcW w:w="601" w:type="pct"/>
                  <w:vAlign w:val="center"/>
                </w:tcPr>
                <w:p>
                  <w:pPr>
                    <w:widowControl/>
                    <w:jc w:val="center"/>
                    <w:textAlignment w:val="center"/>
                    <w:rPr>
                      <w:kern w:val="0"/>
                      <w:szCs w:val="21"/>
                      <w:lang w:bidi="ar"/>
                    </w:rPr>
                  </w:pPr>
                  <w:r>
                    <w:rPr>
                      <w:rFonts w:hint="eastAsia"/>
                      <w:szCs w:val="21"/>
                    </w:rPr>
                    <w:t>不变</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由上表可知，项目生产设备型号及数量与环评基本一致。</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31"/>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jc w:val="center"/>
              </w:trPr>
              <w:tc>
                <w:tcPr>
                  <w:tcW w:w="2500" w:type="pct"/>
                  <w:shd w:val="clear" w:color="auto" w:fill="auto"/>
                  <w:vAlign w:val="center"/>
                </w:tcPr>
                <w:p>
                  <w:pPr>
                    <w:autoSpaceDE w:val="0"/>
                    <w:autoSpaceDN w:val="0"/>
                    <w:jc w:val="center"/>
                    <w:rPr>
                      <w:rFonts w:hint="eastAsia" w:eastAsia="宋体"/>
                      <w:kern w:val="0"/>
                      <w:szCs w:val="24"/>
                      <w:lang w:eastAsia="zh-CN"/>
                    </w:rPr>
                  </w:pPr>
                  <w:r>
                    <w:rPr>
                      <w:rFonts w:hint="eastAsia" w:eastAsia="宋体"/>
                      <w:kern w:val="0"/>
                      <w:szCs w:val="24"/>
                      <w:lang w:eastAsia="zh-CN"/>
                    </w:rPr>
                    <w:pict>
                      <v:shape id="_x0000_i1031" o:spt="75" alt="c6fa305e916edf55adb9f3b5ecc01c5" type="#_x0000_t75" style="height:133.5pt;width:197.6pt;" filled="f" o:preferrelative="t" stroked="f" coordsize="21600,21600">
                        <v:path/>
                        <v:fill on="f" focussize="0,0"/>
                        <v:stroke on="f"/>
                        <v:imagedata r:id="rId16" cropbottom="6520f" o:title="c6fa305e916edf55adb9f3b5ecc01c5"/>
                        <o:lock v:ext="edit" aspectratio="t"/>
                        <w10:wrap type="none"/>
                        <w10:anchorlock/>
                      </v:shape>
                    </w:pict>
                  </w:r>
                </w:p>
              </w:tc>
              <w:tc>
                <w:tcPr>
                  <w:tcW w:w="2500" w:type="pct"/>
                  <w:shd w:val="clear" w:color="auto" w:fill="auto"/>
                  <w:vAlign w:val="center"/>
                </w:tcPr>
                <w:p>
                  <w:pPr>
                    <w:autoSpaceDE w:val="0"/>
                    <w:autoSpaceDN w:val="0"/>
                    <w:jc w:val="center"/>
                    <w:rPr>
                      <w:rFonts w:hint="eastAsia" w:eastAsia="宋体"/>
                      <w:kern w:val="0"/>
                      <w:szCs w:val="24"/>
                      <w:lang w:eastAsia="zh-CN"/>
                    </w:rPr>
                  </w:pPr>
                  <w:r>
                    <w:rPr>
                      <w:rFonts w:hint="eastAsia" w:eastAsia="宋体"/>
                      <w:kern w:val="0"/>
                      <w:szCs w:val="24"/>
                      <w:lang w:eastAsia="zh-CN"/>
                    </w:rPr>
                    <w:pict>
                      <v:shape id="_x0000_i1032" o:spt="75" alt="f4e1e5ba3fe847da66fb43dcb3a9d17" type="#_x0000_t75" style="height:101.5pt;width:225.5pt;" filled="f" o:preferrelative="t" stroked="f" coordsize="21600,21600">
                        <v:path/>
                        <v:fill on="f" focussize="0,0"/>
                        <v:stroke on="f"/>
                        <v:imagedata r:id="rId17" o:title="f4e1e5ba3fe847da66fb43dcb3a9d17"/>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rFonts w:hint="default" w:eastAsia="宋体"/>
                      <w:kern w:val="0"/>
                      <w:szCs w:val="24"/>
                      <w:lang w:val="en-US" w:eastAsia="zh-CN"/>
                    </w:rPr>
                  </w:pPr>
                  <w:r>
                    <w:rPr>
                      <w:rFonts w:hint="eastAsia"/>
                      <w:kern w:val="0"/>
                      <w:szCs w:val="24"/>
                      <w:lang w:val="en-US" w:eastAsia="zh-CN"/>
                    </w:rPr>
                    <w:t>硫化生产线</w:t>
                  </w:r>
                </w:p>
              </w:tc>
              <w:tc>
                <w:tcPr>
                  <w:tcW w:w="2500" w:type="pct"/>
                  <w:shd w:val="clear" w:color="auto" w:fill="auto"/>
                  <w:vAlign w:val="center"/>
                </w:tcPr>
                <w:p>
                  <w:pPr>
                    <w:autoSpaceDE w:val="0"/>
                    <w:autoSpaceDN w:val="0"/>
                    <w:jc w:val="center"/>
                    <w:rPr>
                      <w:rFonts w:hint="default"/>
                      <w:kern w:val="0"/>
                      <w:szCs w:val="24"/>
                      <w:lang w:val="en-US" w:eastAsia="zh-CN"/>
                    </w:rPr>
                  </w:pPr>
                  <w:r>
                    <w:rPr>
                      <w:rFonts w:hint="eastAsia"/>
                      <w:kern w:val="0"/>
                      <w:szCs w:val="24"/>
                      <w:lang w:val="en-US" w:eastAsia="zh-CN"/>
                    </w:rPr>
                    <w:t>两级活性炭吸附装置</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szCs w:val="24"/>
              </w:rPr>
            </w:pPr>
            <w:r>
              <w:rPr>
                <w:rFonts w:hint="eastAsia"/>
                <w:b/>
                <w:szCs w:val="24"/>
              </w:rPr>
              <w:t>图2</w:t>
            </w:r>
            <w:r>
              <w:rPr>
                <w:b/>
                <w:szCs w:val="24"/>
              </w:rPr>
              <w:t xml:space="preserve">-2  </w:t>
            </w:r>
            <w:r>
              <w:rPr>
                <w:rFonts w:hint="eastAsia"/>
                <w:b/>
                <w:szCs w:val="24"/>
              </w:rPr>
              <w:t>项目主要设备建设情况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sz w:val="24"/>
                <w:szCs w:val="24"/>
              </w:rPr>
            </w:pPr>
            <w:r>
              <w:rPr>
                <w:b/>
                <w:sz w:val="24"/>
                <w:szCs w:val="24"/>
              </w:rPr>
              <w:t>4</w:t>
            </w:r>
            <w:r>
              <w:rPr>
                <w:rFonts w:hint="eastAsia"/>
                <w:b/>
                <w:sz w:val="24"/>
                <w:szCs w:val="24"/>
              </w:rPr>
              <w:t>、公用工程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（1）给水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由市政自来水管网供给。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（2）排水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项目实行清污分流，雨污分流；项目生活废水经化粪池预处理达宁国</w:t>
            </w:r>
            <w:r>
              <w:rPr>
                <w:rFonts w:hint="eastAsia"/>
                <w:sz w:val="24"/>
                <w:szCs w:val="24"/>
                <w:lang w:val="en-US" w:eastAsia="zh-CN"/>
              </w:rPr>
              <w:t>南山园区</w:t>
            </w:r>
            <w:r>
              <w:rPr>
                <w:rFonts w:hint="eastAsia"/>
                <w:sz w:val="24"/>
                <w:szCs w:val="24"/>
              </w:rPr>
              <w:t>污水处理厂接管标准接入</w:t>
            </w:r>
            <w:r>
              <w:rPr>
                <w:rFonts w:hint="eastAsia"/>
                <w:sz w:val="24"/>
                <w:szCs w:val="24"/>
                <w:lang w:val="en-US" w:eastAsia="zh-CN"/>
              </w:rPr>
              <w:t>南山</w:t>
            </w:r>
            <w:r>
              <w:rPr>
                <w:rFonts w:hint="eastAsia"/>
                <w:sz w:val="24"/>
                <w:szCs w:val="24"/>
              </w:rPr>
              <w:t>污水处理厂，项目</w:t>
            </w:r>
            <w:r>
              <w:rPr>
                <w:rFonts w:hint="eastAsia"/>
                <w:sz w:val="24"/>
                <w:szCs w:val="24"/>
                <w:lang w:val="en-US" w:eastAsia="zh-CN"/>
              </w:rPr>
              <w:t>生产</w:t>
            </w:r>
            <w:r>
              <w:rPr>
                <w:rFonts w:hint="eastAsia"/>
                <w:sz w:val="24"/>
                <w:szCs w:val="24"/>
              </w:rPr>
              <w:t>废水经</w:t>
            </w:r>
            <w:r>
              <w:rPr>
                <w:rFonts w:hint="eastAsia"/>
                <w:sz w:val="24"/>
                <w:szCs w:val="24"/>
                <w:lang w:val="en-US" w:eastAsia="zh-CN"/>
              </w:rPr>
              <w:t>一体化</w:t>
            </w:r>
            <w:r>
              <w:rPr>
                <w:rFonts w:hint="eastAsia"/>
                <w:sz w:val="24"/>
                <w:szCs w:val="24"/>
              </w:rPr>
              <w:t>预处理</w:t>
            </w:r>
            <w:r>
              <w:rPr>
                <w:rFonts w:hint="eastAsia"/>
                <w:sz w:val="24"/>
                <w:szCs w:val="24"/>
                <w:lang w:val="en-US" w:eastAsia="zh-CN"/>
              </w:rPr>
              <w:t>装置处理达到污水排放标准纳管进入</w:t>
            </w:r>
            <w:r>
              <w:rPr>
                <w:rFonts w:hint="eastAsia"/>
                <w:sz w:val="24"/>
                <w:szCs w:val="24"/>
              </w:rPr>
              <w:t>宁国</w:t>
            </w:r>
            <w:r>
              <w:rPr>
                <w:rFonts w:hint="eastAsia"/>
                <w:sz w:val="24"/>
                <w:szCs w:val="24"/>
                <w:lang w:val="en-US" w:eastAsia="zh-CN"/>
              </w:rPr>
              <w:t>南山园区</w:t>
            </w:r>
            <w:r>
              <w:rPr>
                <w:rFonts w:hint="eastAsia"/>
                <w:sz w:val="24"/>
                <w:szCs w:val="24"/>
              </w:rPr>
              <w:t>污水处理厂</w:t>
            </w:r>
            <w:r>
              <w:rPr>
                <w:rFonts w:hint="eastAsia"/>
                <w:sz w:val="24"/>
                <w:szCs w:val="24"/>
                <w:lang w:val="en-US" w:eastAsia="zh-CN"/>
              </w:rPr>
              <w:t>进一步处理，</w:t>
            </w:r>
            <w:r>
              <w:rPr>
                <w:rFonts w:hint="eastAsia"/>
                <w:sz w:val="24"/>
                <w:szCs w:val="24"/>
              </w:rPr>
              <w:t>尾水满足《城镇污水处理厂污染物排放标准》（GB18918－2002）中的一级A标准</w:t>
            </w:r>
            <w:r>
              <w:rPr>
                <w:rFonts w:hint="eastAsia"/>
                <w:sz w:val="24"/>
                <w:szCs w:val="24"/>
                <w:lang w:val="en-US" w:eastAsia="zh-CN"/>
              </w:rPr>
              <w:t>外排</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（3）供电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rPr>
              <w:t>本项目用电来自宁国经济开发区供电线网。</w:t>
            </w:r>
          </w:p>
          <w:p>
            <w:pPr>
              <w:bidi w:val="0"/>
              <w:rPr>
                <w:rFonts w:hint="eastAsia"/>
              </w:rPr>
            </w:pPr>
          </w:p>
          <w:p>
            <w:pPr>
              <w:bidi w:val="0"/>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2.3主要工艺流程及产物环节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项目涉及变更为安徽都邦电器有限公司汽车零部件及家电配件生产项目原批复橡胶管弯管硫化工艺为烘箱加热硫化。由于该工艺具有一定的局限性，使得产品质量难以符合相关标准要求。为了进一步提高产品质量和性能，公司决定将橡胶管硫化工艺由烘箱硫化变更为硫化罐硫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sz w:val="24"/>
                <w:szCs w:val="24"/>
                <w:lang w:val="en-US" w:eastAsia="zh-CN"/>
              </w:rPr>
            </w:pPr>
            <w:r>
              <w:rPr>
                <w:rFonts w:hint="default"/>
                <w:sz w:val="24"/>
                <w:szCs w:val="24"/>
                <w:lang w:val="en-US" w:eastAsia="zh-CN"/>
              </w:rPr>
              <w:t>硫化通常是橡胶制品生产的最后一个工艺过程，也是橡胶制品加工中的一个化学过程。硫化是指将具有一定塑性和粘性的胶料经过适当加工而制成的半成品，在一定外部条件下通过化学因素或物理因素的作用，重新转化为软质弹性橡胶制品或硬质韧性橡胶制品，从而获得使用性能的工艺过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sz w:val="24"/>
                <w:szCs w:val="24"/>
                <w:lang w:val="en-US" w:eastAsia="zh-CN"/>
              </w:rPr>
            </w:pPr>
            <w:r>
              <w:rPr>
                <w:rFonts w:hint="default"/>
                <w:sz w:val="24"/>
                <w:szCs w:val="24"/>
                <w:lang w:val="en-US" w:eastAsia="zh-CN"/>
              </w:rPr>
              <w:t>在硫化过程中外部条件使胶料组份中生胶与硫化剂或生胶与生胶之间发生反应，由线型的橡胶大分子交联成立网状结构的大分子。通过这一反应大大改善了橡胶的各项性能，使橡胶制品获得了能满足产品需要的物理机械性能和其他性能。硫化的实质是交即线型的橡胶分子结构转化为空间网状结构过程。</w:t>
            </w:r>
          </w:p>
          <w:p>
            <w:pPr>
              <w:spacing w:line="240" w:lineRule="auto"/>
              <w:jc w:val="center"/>
              <w:rPr>
                <w:rFonts w:hint="eastAsia"/>
                <w:color w:val="auto"/>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2.4项目变动情况</w:t>
            </w:r>
          </w:p>
          <w:p>
            <w:pPr>
              <w:pageBreakBefore w:val="0"/>
              <w:kinsoku/>
              <w:wordWrap/>
              <w:overflowPunct/>
              <w:topLinePunct w:val="0"/>
              <w:autoSpaceDE/>
              <w:autoSpaceDN/>
              <w:bidi w:val="0"/>
              <w:adjustRightInd w:val="0"/>
              <w:snapToGrid w:val="0"/>
              <w:spacing w:line="480" w:lineRule="exact"/>
              <w:ind w:firstLine="480" w:firstLineChars="200"/>
              <w:textAlignment w:val="auto"/>
              <w:rPr>
                <w:rFonts w:hint="eastAsia" w:eastAsia="宋体"/>
                <w:sz w:val="24"/>
                <w:szCs w:val="24"/>
                <w:lang w:eastAsia="zh-CN"/>
              </w:rPr>
            </w:pPr>
            <w:r>
              <w:rPr>
                <w:rFonts w:hint="eastAsia" w:cs="宋体"/>
                <w:sz w:val="24"/>
                <w:szCs w:val="24"/>
                <w:lang w:bidi="ar"/>
              </w:rPr>
              <w:t>经对比分析，项目性质、建设地点、建设规模</w:t>
            </w:r>
            <w:r>
              <w:rPr>
                <w:rFonts w:hint="eastAsia" w:cs="宋体"/>
                <w:sz w:val="24"/>
                <w:szCs w:val="24"/>
                <w:lang w:eastAsia="zh-CN" w:bidi="ar"/>
              </w:rPr>
              <w:t>、</w:t>
            </w:r>
            <w:r>
              <w:rPr>
                <w:rFonts w:hint="eastAsia" w:cs="宋体"/>
                <w:sz w:val="24"/>
                <w:szCs w:val="24"/>
                <w:lang w:val="en-US" w:eastAsia="zh-CN" w:bidi="ar"/>
              </w:rPr>
              <w:t>生产工艺等未发生</w:t>
            </w:r>
            <w:r>
              <w:rPr>
                <w:rFonts w:hint="eastAsia" w:cs="宋体"/>
                <w:sz w:val="24"/>
                <w:szCs w:val="24"/>
                <w:lang w:bidi="ar"/>
              </w:rPr>
              <w:t>变化</w:t>
            </w:r>
            <w:r>
              <w:rPr>
                <w:rFonts w:hint="eastAsia" w:cs="宋体"/>
                <w:sz w:val="24"/>
                <w:szCs w:val="24"/>
                <w:lang w:eastAsia="zh-CN" w:bidi="ar"/>
              </w:rPr>
              <w:t>。</w:t>
            </w:r>
          </w:p>
          <w:p>
            <w:pPr>
              <w:pageBreakBefore w:val="0"/>
              <w:kinsoku/>
              <w:wordWrap/>
              <w:overflowPunct/>
              <w:topLinePunct w:val="0"/>
              <w:autoSpaceDE/>
              <w:autoSpaceDN/>
              <w:bidi w:val="0"/>
              <w:adjustRightInd w:val="0"/>
              <w:snapToGrid w:val="0"/>
              <w:spacing w:line="480" w:lineRule="exact"/>
              <w:ind w:firstLine="420" w:firstLineChars="200"/>
              <w:textAlignment w:val="auto"/>
              <w:rPr>
                <w:rFonts w:hint="eastAsia"/>
              </w:rPr>
            </w:pPr>
          </w:p>
          <w:p>
            <w:pPr>
              <w:pageBreakBefore w:val="0"/>
              <w:kinsoku/>
              <w:wordWrap/>
              <w:overflowPunct/>
              <w:topLinePunct w:val="0"/>
              <w:autoSpaceDE/>
              <w:autoSpaceDN/>
              <w:bidi w:val="0"/>
              <w:adjustRightInd w:val="0"/>
              <w:snapToGrid w:val="0"/>
              <w:spacing w:line="480" w:lineRule="exact"/>
              <w:ind w:firstLine="420" w:firstLineChars="200"/>
              <w:textAlignment w:val="auto"/>
              <w:rPr>
                <w:rFonts w:hint="eastAsia"/>
              </w:rPr>
            </w:pPr>
          </w:p>
          <w:p>
            <w:pPr>
              <w:pageBreakBefore w:val="0"/>
              <w:kinsoku/>
              <w:wordWrap/>
              <w:overflowPunct/>
              <w:topLinePunct w:val="0"/>
              <w:autoSpaceDE/>
              <w:autoSpaceDN/>
              <w:bidi w:val="0"/>
              <w:adjustRightInd w:val="0"/>
              <w:snapToGrid w:val="0"/>
              <w:spacing w:line="480" w:lineRule="exact"/>
              <w:ind w:firstLine="420" w:firstLineChars="200"/>
              <w:textAlignment w:val="auto"/>
              <w:rPr>
                <w:rFonts w:hint="eastAsia"/>
              </w:rPr>
            </w:pPr>
          </w:p>
          <w:p>
            <w:pPr>
              <w:pageBreakBefore w:val="0"/>
              <w:kinsoku/>
              <w:wordWrap/>
              <w:overflowPunct/>
              <w:topLinePunct w:val="0"/>
              <w:autoSpaceDE/>
              <w:autoSpaceDN/>
              <w:bidi w:val="0"/>
              <w:adjustRightInd w:val="0"/>
              <w:snapToGrid w:val="0"/>
              <w:spacing w:line="480" w:lineRule="exact"/>
              <w:ind w:firstLine="420" w:firstLineChars="200"/>
              <w:textAlignment w:val="auto"/>
            </w:pPr>
          </w:p>
        </w:tc>
      </w:tr>
    </w:tbl>
    <w:p/>
    <w:p>
      <w:pPr>
        <w:pStyle w:val="72"/>
        <w:keepNext w:val="0"/>
        <w:keepLines w:val="0"/>
        <w:spacing w:line="240" w:lineRule="auto"/>
        <w:outlineLvl w:val="0"/>
        <w:rPr>
          <w:rFonts w:ascii="Times New Roman" w:hAnsi="Times New Roman"/>
          <w:sz w:val="28"/>
        </w:rPr>
      </w:pPr>
      <w:r>
        <w:rPr>
          <w:rFonts w:hint="eastAsia" w:ascii="Times New Roman" w:hAnsi="Times New Roman"/>
          <w:sz w:val="28"/>
        </w:rPr>
        <w:t>表三 主要污染源、污染物处理和排放</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3.1项目污染源及治理措施</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b/>
                <w:sz w:val="24"/>
                <w:szCs w:val="24"/>
              </w:rPr>
            </w:pPr>
            <w:bookmarkStart w:id="6" w:name="_Toc505687179"/>
            <w:r>
              <w:rPr>
                <w:rFonts w:hint="eastAsia"/>
                <w:b/>
                <w:sz w:val="24"/>
                <w:szCs w:val="24"/>
              </w:rPr>
              <w:t>1、</w:t>
            </w:r>
            <w:bookmarkEnd w:id="6"/>
            <w:r>
              <w:rPr>
                <w:rFonts w:hint="eastAsia"/>
                <w:b/>
                <w:sz w:val="24"/>
                <w:szCs w:val="24"/>
              </w:rPr>
              <w:t>废气污染源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lang w:val="en-US" w:eastAsia="zh-CN"/>
              </w:rPr>
            </w:pPr>
            <w:r>
              <w:rPr>
                <w:rFonts w:hint="eastAsia"/>
                <w:sz w:val="24"/>
                <w:szCs w:val="22"/>
              </w:rPr>
              <w:t>本项目废气主要来</w:t>
            </w:r>
            <w:r>
              <w:rPr>
                <w:rFonts w:hint="eastAsia"/>
                <w:sz w:val="24"/>
                <w:szCs w:val="22"/>
                <w:lang w:val="en-US" w:eastAsia="zh-CN"/>
              </w:rPr>
              <w:t>橡胶硫化过程废气和天然气燃烧废气。</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Pr>
                <w:p>
                  <w:pPr>
                    <w:bidi w:val="0"/>
                    <w:rPr>
                      <w:rFonts w:hint="default"/>
                      <w:vertAlign w:val="baseline"/>
                      <w:lang w:val="en-US" w:eastAsia="zh-CN"/>
                    </w:rPr>
                  </w:pPr>
                  <w:r>
                    <w:rPr>
                      <w:rFonts w:hint="default"/>
                      <w:vertAlign w:val="baseline"/>
                      <w:lang w:val="en-US" w:eastAsia="zh-CN"/>
                    </w:rPr>
                    <w:pict>
                      <v:shape id="_x0000_i1033" o:spt="75" alt="22ab21fb4be4baac8dfda9b4babf1e2" type="#_x0000_t75" style="height:199.3pt;width:215.7pt;" filled="f" o:preferrelative="t" stroked="f" coordsize="21600,21600">
                        <v:path/>
                        <v:fill on="f" focussize="0,0"/>
                        <v:stroke on="f"/>
                        <v:imagedata r:id="rId18" o:title="22ab21fb4be4baac8dfda9b4babf1e2"/>
                        <o:lock v:ext="edit" aspectratio="t"/>
                        <w10:wrap type="none"/>
                        <w10:anchorlock/>
                      </v:shape>
                    </w:pict>
                  </w:r>
                </w:p>
              </w:tc>
              <w:tc>
                <w:tcPr>
                  <w:tcW w:w="4536" w:type="dxa"/>
                </w:tcPr>
                <w:p>
                  <w:pPr>
                    <w:bidi w:val="0"/>
                    <w:rPr>
                      <w:rFonts w:hint="default"/>
                      <w:vertAlign w:val="baseline"/>
                      <w:lang w:val="en-US" w:eastAsia="zh-CN"/>
                    </w:rPr>
                  </w:pPr>
                  <w:r>
                    <w:rPr>
                      <w:rFonts w:hint="default"/>
                      <w:vertAlign w:val="baseline"/>
                      <w:lang w:val="en-US" w:eastAsia="zh-CN"/>
                    </w:rPr>
                    <w:pict>
                      <v:shape id="_x0000_i1034" o:spt="75" alt="76078eabd316248ad06dfcaee455453d_" type="#_x0000_t75" style="height:199.5pt;width:215.05pt;" filled="f" o:preferrelative="t" stroked="f" coordsize="21600,21600">
                        <v:path/>
                        <v:fill on="f" focussize="0,0"/>
                        <v:stroke on="f"/>
                        <v:imagedata r:id="rId19" o:title="76078eabd316248ad06dfcaee455453d_"/>
                        <o:lock v:ext="edit" aspectratio="t"/>
                        <w10:wrap type="none"/>
                        <w10:anchorlock/>
                      </v:shape>
                    </w:pict>
                  </w:r>
                </w:p>
              </w:tc>
            </w:tr>
          </w:tbl>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kern w:val="0"/>
                <w:szCs w:val="21"/>
                <w:lang w:bidi="ar"/>
              </w:rPr>
            </w:pPr>
            <w:r>
              <w:rPr>
                <w:rFonts w:hint="default" w:ascii="Times New Roman" w:hAnsi="Times New Roman" w:cs="Times New Roman"/>
                <w:b/>
                <w:kern w:val="0"/>
                <w:szCs w:val="21"/>
                <w:lang w:bidi="ar"/>
              </w:rPr>
              <w:t>图3-1  项目废气治理设施建设情况</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sz w:val="24"/>
                <w:szCs w:val="24"/>
              </w:rPr>
            </w:pPr>
            <w:r>
              <w:rPr>
                <w:rFonts w:hint="eastAsia"/>
                <w:b/>
                <w:sz w:val="24"/>
                <w:szCs w:val="24"/>
              </w:rPr>
              <w:t>2、废水污染源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项目生产废水包括</w:t>
            </w:r>
            <w:r>
              <w:rPr>
                <w:rFonts w:hint="eastAsia"/>
                <w:sz w:val="24"/>
                <w:szCs w:val="24"/>
                <w:lang w:val="en-US" w:eastAsia="zh-CN"/>
              </w:rPr>
              <w:t>硫化车间生产废水，主要是硫化罐清洗水</w:t>
            </w:r>
            <w:r>
              <w:rPr>
                <w:rFonts w:hint="eastAsia"/>
                <w:sz w:val="24"/>
                <w:szCs w:val="24"/>
              </w:rPr>
              <w:t>。其他废水为生活污水。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rPr>
              <w:t>本项目生活污水经隔油池和化粪池预处理，生产废水（车间清洗废水和初期雨水）经过“</w:t>
            </w:r>
            <w:r>
              <w:rPr>
                <w:rFonts w:hint="eastAsia"/>
                <w:sz w:val="24"/>
                <w:szCs w:val="24"/>
                <w:lang w:val="en-US" w:eastAsia="zh-CN"/>
              </w:rPr>
              <w:t>调节+缺氧+接触氧化+二沉池</w:t>
            </w:r>
            <w:r>
              <w:rPr>
                <w:rFonts w:hint="eastAsia"/>
                <w:sz w:val="24"/>
                <w:szCs w:val="24"/>
              </w:rPr>
              <w:t>”预处理</w:t>
            </w:r>
            <w:r>
              <w:rPr>
                <w:rFonts w:hint="eastAsia"/>
                <w:sz w:val="24"/>
                <w:szCs w:val="24"/>
                <w:lang w:eastAsia="zh-CN"/>
              </w:rPr>
              <w:t>（</w:t>
            </w:r>
            <w:r>
              <w:rPr>
                <w:rFonts w:hint="eastAsia"/>
                <w:b/>
                <w:bCs/>
                <w:sz w:val="24"/>
                <w:szCs w:val="24"/>
                <w:u w:val="single"/>
                <w:lang w:val="en-US" w:eastAsia="zh-CN"/>
              </w:rPr>
              <w:t>废水处理设施依托现有已建</w:t>
            </w:r>
            <w:r>
              <w:rPr>
                <w:rFonts w:hint="eastAsia"/>
                <w:sz w:val="24"/>
                <w:szCs w:val="24"/>
                <w:lang w:eastAsia="zh-CN"/>
              </w:rPr>
              <w:t>）</w:t>
            </w:r>
            <w:r>
              <w:rPr>
                <w:rFonts w:hint="eastAsia"/>
                <w:sz w:val="24"/>
                <w:szCs w:val="24"/>
              </w:rPr>
              <w:t>，出水达</w:t>
            </w:r>
            <w:r>
              <w:rPr>
                <w:rFonts w:hint="default" w:ascii="Times New Roman" w:hAnsi="Times New Roman" w:cs="Times New Roman"/>
                <w:kern w:val="0"/>
                <w:sz w:val="24"/>
                <w:szCs w:val="24"/>
                <w:lang w:val="en-US" w:eastAsia="zh-CN"/>
              </w:rPr>
              <w:t>《橡胶制品工业污染物排放标准》(GB27632-2011)</w:t>
            </w:r>
            <w:r>
              <w:rPr>
                <w:rFonts w:hint="eastAsia" w:cs="Times New Roman"/>
                <w:kern w:val="0"/>
                <w:sz w:val="24"/>
                <w:szCs w:val="24"/>
                <w:lang w:val="en-US" w:eastAsia="zh-CN"/>
              </w:rPr>
              <w:t>和南山园区</w:t>
            </w:r>
            <w:r>
              <w:rPr>
                <w:rFonts w:hint="eastAsia"/>
                <w:sz w:val="24"/>
                <w:szCs w:val="24"/>
              </w:rPr>
              <w:t>污水处理厂接管标准后接入市政污水管网后送</w:t>
            </w:r>
            <w:r>
              <w:rPr>
                <w:rFonts w:hint="eastAsia"/>
                <w:sz w:val="24"/>
                <w:szCs w:val="24"/>
                <w:lang w:val="en-US" w:eastAsia="zh-CN"/>
              </w:rPr>
              <w:t>南山园区</w:t>
            </w:r>
            <w:r>
              <w:rPr>
                <w:rFonts w:hint="eastAsia"/>
                <w:sz w:val="24"/>
                <w:szCs w:val="24"/>
              </w:rPr>
              <w:t>污水处理厂处理达《城镇污水处理厂污染物排放标准》(GB18918-2002)中一级A标准后</w:t>
            </w:r>
            <w:r>
              <w:rPr>
                <w:rFonts w:hint="eastAsia"/>
                <w:sz w:val="24"/>
                <w:szCs w:val="24"/>
                <w:lang w:val="en-US" w:eastAsia="zh-CN"/>
              </w:rPr>
              <w:t>外排</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b/>
                <w:bCs w:val="0"/>
                <w:sz w:val="24"/>
                <w:szCs w:val="24"/>
              </w:rPr>
            </w:pPr>
            <w:r>
              <w:rPr>
                <w:rFonts w:hint="eastAsia"/>
                <w:b/>
                <w:bCs w:val="0"/>
                <w:sz w:val="24"/>
                <w:szCs w:val="24"/>
              </w:rPr>
              <w:t>3、噪声污染源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sz w:val="24"/>
                <w:szCs w:val="24"/>
              </w:rPr>
            </w:pPr>
            <w:r>
              <w:rPr>
                <w:rFonts w:hint="eastAsia"/>
                <w:b w:val="0"/>
                <w:bCs/>
                <w:sz w:val="24"/>
                <w:szCs w:val="24"/>
              </w:rPr>
              <w:t>项目产生的噪声污染源主要为</w:t>
            </w:r>
            <w:r>
              <w:rPr>
                <w:rFonts w:hint="eastAsia"/>
                <w:b w:val="0"/>
                <w:bCs/>
                <w:sz w:val="24"/>
                <w:szCs w:val="24"/>
                <w:lang w:val="en-US" w:eastAsia="zh-CN"/>
              </w:rPr>
              <w:t>生产车间</w:t>
            </w:r>
            <w:r>
              <w:rPr>
                <w:rFonts w:hint="eastAsia"/>
                <w:b w:val="0"/>
                <w:bCs/>
                <w:sz w:val="24"/>
                <w:szCs w:val="24"/>
              </w:rPr>
              <w:t>噪声以及风机运行的噪声，噪声级为80～90dB（A）。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sz w:val="24"/>
                <w:szCs w:val="24"/>
              </w:rPr>
            </w:pPr>
            <w:bookmarkStart w:id="7" w:name="_Hlk11078159"/>
            <w:r>
              <w:rPr>
                <w:rFonts w:hint="eastAsia"/>
                <w:b w:val="0"/>
                <w:bCs/>
                <w:sz w:val="24"/>
                <w:szCs w:val="24"/>
              </w:rPr>
              <w:t>建设单位在设备选型上选用高效的低噪声设备，从源头降低噪声；高噪声设备置于车间内，设置减振基座，减少设备运行时振动噪声；定期检查设备运行情况，定期维护，以减缓噪声对外环境的影响。</w:t>
            </w:r>
            <w:bookmarkEnd w:id="7"/>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b/>
                <w:bCs w:val="0"/>
                <w:sz w:val="24"/>
                <w:szCs w:val="24"/>
              </w:rPr>
            </w:pPr>
            <w:r>
              <w:rPr>
                <w:rFonts w:hint="eastAsia"/>
                <w:b/>
                <w:bCs w:val="0"/>
                <w:sz w:val="24"/>
                <w:szCs w:val="24"/>
              </w:rPr>
              <w:t>4、固体废物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sz w:val="24"/>
                <w:szCs w:val="24"/>
              </w:rPr>
            </w:pPr>
            <w:r>
              <w:rPr>
                <w:rFonts w:hint="eastAsia"/>
                <w:b w:val="0"/>
                <w:bCs/>
                <w:sz w:val="24"/>
                <w:szCs w:val="24"/>
              </w:rPr>
              <w:t>营运期固体废物可分为一般固废、危险废物和生活垃圾。一般工业固废包括</w:t>
            </w:r>
            <w:r>
              <w:rPr>
                <w:rFonts w:hint="eastAsia"/>
                <w:b w:val="0"/>
                <w:bCs/>
                <w:sz w:val="24"/>
                <w:szCs w:val="24"/>
                <w:lang w:val="en-US" w:eastAsia="zh-CN"/>
              </w:rPr>
              <w:t>生产过程产品边角料</w:t>
            </w:r>
            <w:r>
              <w:rPr>
                <w:rFonts w:hint="eastAsia"/>
                <w:b w:val="0"/>
                <w:bCs/>
                <w:sz w:val="24"/>
                <w:szCs w:val="24"/>
              </w:rPr>
              <w:t>；危险废物包括含油抹布及手套、</w:t>
            </w:r>
            <w:r>
              <w:rPr>
                <w:rFonts w:hint="eastAsia"/>
                <w:b w:val="0"/>
                <w:bCs/>
                <w:sz w:val="24"/>
                <w:szCs w:val="24"/>
                <w:lang w:val="en-US" w:eastAsia="zh-CN"/>
              </w:rPr>
              <w:t>废机油</w:t>
            </w:r>
            <w:r>
              <w:rPr>
                <w:rFonts w:hint="eastAsia"/>
                <w:b w:val="0"/>
                <w:bCs/>
                <w:sz w:val="24"/>
                <w:szCs w:val="24"/>
              </w:rPr>
              <w:t>等。</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（1）一般工业固体废物</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本项目生产过程产生废边角料，可以直接外售给物资回收公司回收。</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（2）危险废物</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①废机油</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企业设备检修过程会产生废机油，为危险废物，编号HW08(废矿物油与含矿物油废物)，危废代码为900-199-08。本项目废机油年产生量0.5t/a，定期委托有资质单位外运处置。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②废含油手套、抹布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项目拆解过程将增加产生手套、抹布量约0</w:t>
            </w:r>
            <w:r>
              <w:rPr>
                <w:rFonts w:hint="default"/>
                <w:color w:val="auto"/>
                <w:sz w:val="24"/>
                <w:szCs w:val="24"/>
                <w:lang w:val="en-US" w:eastAsia="zh-CN"/>
              </w:rPr>
              <w:t>.5t/a</w:t>
            </w:r>
            <w:r>
              <w:rPr>
                <w:rFonts w:hint="eastAsia"/>
                <w:color w:val="auto"/>
                <w:sz w:val="24"/>
                <w:szCs w:val="24"/>
                <w:lang w:val="en-US" w:eastAsia="zh-CN"/>
              </w:rPr>
              <w:t>。废含油抹布属于《国家危险废物名录》（</w:t>
            </w:r>
            <w:r>
              <w:rPr>
                <w:rFonts w:hint="default"/>
                <w:color w:val="auto"/>
                <w:sz w:val="24"/>
                <w:szCs w:val="24"/>
                <w:lang w:val="en-US" w:eastAsia="zh-CN"/>
              </w:rPr>
              <w:t>20</w:t>
            </w:r>
            <w:r>
              <w:rPr>
                <w:rFonts w:hint="eastAsia"/>
                <w:color w:val="auto"/>
                <w:sz w:val="24"/>
                <w:szCs w:val="24"/>
                <w:lang w:val="en-US" w:eastAsia="zh-CN"/>
              </w:rPr>
              <w:t>21年）中的</w:t>
            </w:r>
            <w:r>
              <w:rPr>
                <w:rFonts w:hint="default"/>
                <w:color w:val="auto"/>
                <w:sz w:val="24"/>
                <w:szCs w:val="24"/>
                <w:lang w:val="en-US" w:eastAsia="zh-CN"/>
              </w:rPr>
              <w:t>HW49</w:t>
            </w:r>
            <w:r>
              <w:rPr>
                <w:rFonts w:hint="eastAsia"/>
                <w:color w:val="auto"/>
                <w:sz w:val="24"/>
                <w:szCs w:val="24"/>
                <w:lang w:val="en-US" w:eastAsia="zh-CN"/>
              </w:rPr>
              <w:t>其他废物的“非特定行业‘</w:t>
            </w:r>
            <w:r>
              <w:rPr>
                <w:rFonts w:hint="default"/>
                <w:color w:val="auto"/>
                <w:sz w:val="24"/>
                <w:szCs w:val="24"/>
                <w:lang w:val="en-US" w:eastAsia="zh-CN"/>
              </w:rPr>
              <w:t>900-041-49</w:t>
            </w:r>
            <w:r>
              <w:rPr>
                <w:rFonts w:hint="eastAsia"/>
                <w:color w:val="auto"/>
                <w:sz w:val="24"/>
                <w:szCs w:val="24"/>
                <w:lang w:val="en-US" w:eastAsia="zh-CN"/>
              </w:rPr>
              <w:t>含有或沾染毒性、感染性危险废物的废弃包装物、容器、过滤吸附介质’”的危废。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根据《国家危险废物名录（</w:t>
            </w:r>
            <w:r>
              <w:rPr>
                <w:rFonts w:hint="default"/>
                <w:color w:val="auto"/>
                <w:sz w:val="24"/>
                <w:szCs w:val="24"/>
                <w:lang w:val="en-US" w:eastAsia="zh-CN"/>
              </w:rPr>
              <w:t>20</w:t>
            </w:r>
            <w:r>
              <w:rPr>
                <w:rFonts w:hint="eastAsia"/>
                <w:color w:val="auto"/>
                <w:sz w:val="24"/>
                <w:szCs w:val="24"/>
                <w:lang w:val="en-US" w:eastAsia="zh-CN"/>
              </w:rPr>
              <w:t>21版）》中附录“危险废物豁免管理清单”中“</w:t>
            </w:r>
            <w:r>
              <w:rPr>
                <w:rFonts w:hint="default"/>
                <w:color w:val="auto"/>
                <w:sz w:val="24"/>
                <w:szCs w:val="24"/>
                <w:lang w:val="en-US" w:eastAsia="zh-CN"/>
              </w:rPr>
              <w:t>9</w:t>
            </w:r>
            <w:r>
              <w:rPr>
                <w:rFonts w:hint="eastAsia"/>
                <w:color w:val="auto"/>
                <w:sz w:val="24"/>
                <w:szCs w:val="24"/>
                <w:lang w:val="en-US" w:eastAsia="zh-CN"/>
              </w:rPr>
              <w:t>中‘</w:t>
            </w:r>
            <w:r>
              <w:rPr>
                <w:rFonts w:hint="default"/>
                <w:color w:val="auto"/>
                <w:sz w:val="24"/>
                <w:szCs w:val="24"/>
                <w:lang w:val="en-US" w:eastAsia="zh-CN"/>
              </w:rPr>
              <w:t>900-041-49</w:t>
            </w:r>
            <w:r>
              <w:rPr>
                <w:rFonts w:hint="eastAsia"/>
                <w:color w:val="auto"/>
                <w:sz w:val="24"/>
                <w:szCs w:val="24"/>
                <w:lang w:val="en-US" w:eastAsia="zh-CN"/>
              </w:rPr>
              <w:t>废弃的含油抹布、劳保用品’可知，废含油抹布混入生活垃圾部分可全部环节豁免，全过程不按危险废物管理，但项目属于工业项目，可有效将含油抹布与生活垃圾进行区分。因此本项目废含油抹布作为危废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fldChar w:fldCharType="begin"/>
            </w:r>
            <w:r>
              <w:rPr>
                <w:rFonts w:hint="eastAsia"/>
                <w:color w:val="auto"/>
                <w:sz w:val="24"/>
                <w:szCs w:val="24"/>
                <w:lang w:val="en-US" w:eastAsia="zh-CN"/>
              </w:rPr>
              <w:instrText xml:space="preserve"> EQ \o\ac(</w:instrText>
            </w:r>
            <w:r>
              <w:rPr>
                <w:rFonts w:hint="eastAsia"/>
                <w:color w:val="auto"/>
                <w:position w:val="-4"/>
                <w:sz w:val="36"/>
                <w:szCs w:val="24"/>
                <w:lang w:val="en-US" w:eastAsia="zh-CN"/>
              </w:rPr>
              <w:instrText xml:space="preserve">○</w:instrText>
            </w:r>
            <w:r>
              <w:rPr>
                <w:rFonts w:hint="eastAsia"/>
                <w:color w:val="auto"/>
                <w:position w:val="0"/>
                <w:sz w:val="24"/>
                <w:szCs w:val="24"/>
                <w:lang w:val="en-US" w:eastAsia="zh-CN"/>
              </w:rPr>
              <w:instrText xml:space="preserve">,11)</w:instrText>
            </w:r>
            <w:r>
              <w:rPr>
                <w:rFonts w:hint="eastAsia"/>
                <w:color w:val="auto"/>
                <w:sz w:val="24"/>
                <w:szCs w:val="24"/>
                <w:lang w:val="en-US" w:eastAsia="zh-CN"/>
              </w:rPr>
              <w:fldChar w:fldCharType="end"/>
            </w:r>
            <w:r>
              <w:rPr>
                <w:rFonts w:hint="default" w:ascii="Times New Roman" w:hAnsi="Times New Roman" w:cs="Times New Roman"/>
                <w:color w:val="auto"/>
                <w:sz w:val="24"/>
                <w:szCs w:val="24"/>
                <w:lang w:eastAsia="zh-CN" w:bidi="ar"/>
              </w:rPr>
              <w:t>废活性</w:t>
            </w:r>
            <w:r>
              <w:rPr>
                <w:rFonts w:hint="default" w:ascii="Times New Roman" w:hAnsi="Times New Roman" w:cs="Times New Roman"/>
                <w:color w:val="auto"/>
                <w:sz w:val="24"/>
                <w:lang w:val="en-US" w:eastAsia="zh-CN" w:bidi="ar"/>
              </w:rPr>
              <w:t>炭</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lang w:val="en-US" w:eastAsia="zh-CN" w:bidi="ar"/>
              </w:rPr>
              <w:t>活性炭吸附装置定期更换下来的废活性炭，产生量按每千克活性炭吸附0.3kg有机废气计，</w:t>
            </w:r>
            <w:r>
              <w:rPr>
                <w:rFonts w:hint="default" w:ascii="Times New Roman" w:hAnsi="Times New Roman" w:cs="Times New Roman"/>
                <w:color w:val="auto"/>
                <w:sz w:val="24"/>
                <w:szCs w:val="24"/>
              </w:rPr>
              <w:t>根据实际经验，废活性炭产生量=活性炭吸附的量/0.3+活性炭吸附的量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根据《2020年挥发性有机物治理攻坚方案》除恶臭异味治理外，一般不采用低温等离子、光催化、光氧化等技术。</w:t>
            </w:r>
            <w:r>
              <w:rPr>
                <w:rFonts w:hint="default" w:ascii="Times New Roman" w:hAnsi="Times New Roman" w:cs="Times New Roman"/>
                <w:color w:val="auto"/>
                <w:sz w:val="24"/>
                <w:szCs w:val="24"/>
                <w:lang w:eastAsia="zh-CN"/>
              </w:rPr>
              <w:t>本次</w:t>
            </w:r>
            <w:r>
              <w:rPr>
                <w:rFonts w:hint="eastAsia" w:ascii="Times New Roman" w:hAnsi="Times New Roman" w:cs="Times New Roman"/>
                <w:color w:val="auto"/>
                <w:sz w:val="24"/>
                <w:szCs w:val="24"/>
                <w:lang w:val="en-US" w:eastAsia="zh-CN"/>
              </w:rPr>
              <w:t>有机</w:t>
            </w:r>
            <w:r>
              <w:rPr>
                <w:rFonts w:hint="default" w:ascii="Times New Roman" w:hAnsi="Times New Roman" w:cs="Times New Roman"/>
                <w:bCs/>
                <w:color w:val="auto"/>
                <w:sz w:val="24"/>
                <w:szCs w:val="24"/>
              </w:rPr>
              <w:t>废气处理</w:t>
            </w:r>
            <w:r>
              <w:rPr>
                <w:rFonts w:hint="eastAsia" w:ascii="Times New Roman" w:hAnsi="Times New Roman" w:cs="Times New Roman"/>
                <w:bCs/>
                <w:color w:val="auto"/>
                <w:sz w:val="24"/>
                <w:szCs w:val="24"/>
                <w:lang w:val="en-US" w:eastAsia="zh-CN"/>
              </w:rPr>
              <w:t>使用</w:t>
            </w:r>
            <w:r>
              <w:rPr>
                <w:rFonts w:hint="default" w:ascii="Times New Roman" w:hAnsi="Times New Roman" w:cs="Times New Roman"/>
                <w:bCs/>
                <w:color w:val="auto"/>
                <w:sz w:val="24"/>
                <w:szCs w:val="24"/>
              </w:rPr>
              <w:t>二级活性炭吸附装置</w:t>
            </w:r>
            <w:r>
              <w:rPr>
                <w:rFonts w:hint="default" w:ascii="Times New Roman" w:hAnsi="Times New Roman" w:cs="Times New Roman"/>
                <w:bCs/>
                <w:color w:val="auto"/>
                <w:sz w:val="24"/>
                <w:szCs w:val="24"/>
                <w:lang w:eastAsia="zh-CN"/>
              </w:rPr>
              <w:t>。</w:t>
            </w:r>
            <w:r>
              <w:rPr>
                <w:rFonts w:hint="default" w:ascii="Times New Roman" w:hAnsi="Times New Roman" w:eastAsia="宋体" w:cs="Times New Roman"/>
                <w:color w:val="auto"/>
                <w:sz w:val="24"/>
                <w:szCs w:val="24"/>
                <w:highlight w:val="none"/>
                <w:lang w:val="en-US" w:eastAsia="zh-CN"/>
              </w:rPr>
              <w:t>活性炭需定期更换，活性炭吸附效率按0.3kg</w:t>
            </w:r>
            <w:r>
              <w:rPr>
                <w:rFonts w:hint="default" w:ascii="Times New Roman" w:hAnsi="Times New Roman" w:eastAsia="宋体" w:cs="Times New Roman"/>
                <w:color w:val="auto"/>
                <w:sz w:val="24"/>
                <w:szCs w:val="24"/>
                <w:highlight w:val="none"/>
                <w:vertAlign w:val="subscript"/>
                <w:lang w:val="en-US" w:eastAsia="zh-CN"/>
              </w:rPr>
              <w:t>废气</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vertAlign w:val="subscript"/>
                <w:lang w:val="en-US" w:eastAsia="zh-CN"/>
              </w:rPr>
              <w:t>活性炭</w:t>
            </w:r>
            <w:r>
              <w:rPr>
                <w:rFonts w:hint="default" w:ascii="Times New Roman" w:hAnsi="Times New Roman" w:eastAsia="宋体" w:cs="Times New Roman"/>
                <w:color w:val="auto"/>
                <w:sz w:val="24"/>
                <w:szCs w:val="24"/>
                <w:highlight w:val="none"/>
                <w:lang w:val="en-US" w:eastAsia="zh-CN"/>
              </w:rPr>
              <w:t>计算</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活性</w:t>
            </w:r>
            <w:r>
              <w:rPr>
                <w:rFonts w:hint="default" w:ascii="Times New Roman" w:hAnsi="Times New Roman" w:cs="Times New Roman"/>
                <w:color w:val="auto"/>
                <w:sz w:val="24"/>
                <w:szCs w:val="24"/>
                <w:highlight w:val="none"/>
                <w:lang w:val="en-US" w:eastAsia="zh-CN"/>
              </w:rPr>
              <w:t>炭</w:t>
            </w:r>
            <w:r>
              <w:rPr>
                <w:rFonts w:hint="default" w:ascii="Times New Roman" w:hAnsi="Times New Roman" w:eastAsia="宋体" w:cs="Times New Roman"/>
                <w:color w:val="auto"/>
                <w:sz w:val="24"/>
                <w:szCs w:val="24"/>
                <w:highlight w:val="none"/>
                <w:lang w:val="en-US" w:eastAsia="zh-CN"/>
              </w:rPr>
              <w:t>吸附废气的</w:t>
            </w:r>
            <w:r>
              <w:rPr>
                <w:rFonts w:hint="default" w:ascii="Times New Roman" w:hAnsi="Times New Roman"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量</w:t>
            </w:r>
            <w:r>
              <w:rPr>
                <w:rFonts w:hint="default" w:ascii="Times New Roman" w:hAnsi="Times New Roman"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96</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，则需要活性炭量为</w:t>
            </w:r>
            <w:r>
              <w:rPr>
                <w:rFonts w:hint="eastAsia" w:cs="Times New Roman"/>
                <w:color w:val="auto"/>
                <w:sz w:val="24"/>
                <w:szCs w:val="24"/>
                <w:highlight w:val="none"/>
                <w:lang w:val="en-US" w:eastAsia="zh-CN"/>
              </w:rPr>
              <w:t>3.2</w:t>
            </w:r>
            <w:r>
              <w:rPr>
                <w:rFonts w:hint="default" w:ascii="Times New Roman" w:hAnsi="Times New Roman" w:cs="Times New Roman"/>
                <w:color w:val="auto"/>
                <w:sz w:val="24"/>
                <w:szCs w:val="24"/>
                <w:highlight w:val="none"/>
                <w:lang w:val="en-US" w:eastAsia="zh-CN"/>
              </w:rPr>
              <w:t>t/a，废活性炭产生量为</w:t>
            </w:r>
            <w:r>
              <w:rPr>
                <w:rFonts w:hint="eastAsia" w:cs="Times New Roman"/>
                <w:color w:val="auto"/>
                <w:sz w:val="24"/>
                <w:szCs w:val="24"/>
                <w:highlight w:val="none"/>
                <w:lang w:val="en-US" w:eastAsia="zh-CN"/>
              </w:rPr>
              <w:t>4.16</w:t>
            </w:r>
            <w:r>
              <w:rPr>
                <w:rFonts w:hint="default" w:ascii="Times New Roman" w:hAnsi="Times New Roman" w:cs="Times New Roman"/>
                <w:color w:val="auto"/>
                <w:sz w:val="24"/>
                <w:szCs w:val="24"/>
                <w:highlight w:val="none"/>
                <w:lang w:val="en-US" w:eastAsia="zh-CN"/>
              </w:rPr>
              <w:t>t/a。</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3）生活垃圾</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lang w:val="en-US" w:eastAsia="zh-CN"/>
              </w:rPr>
            </w:pPr>
            <w:r>
              <w:rPr>
                <w:rFonts w:hint="default"/>
                <w:color w:val="auto"/>
                <w:sz w:val="24"/>
                <w:szCs w:val="24"/>
                <w:lang w:val="en-US" w:eastAsia="zh-CN"/>
              </w:rPr>
              <w:t>本项目</w:t>
            </w:r>
            <w:r>
              <w:rPr>
                <w:rFonts w:hint="eastAsia"/>
                <w:color w:val="auto"/>
                <w:sz w:val="24"/>
                <w:szCs w:val="24"/>
                <w:lang w:val="en-US" w:eastAsia="zh-CN"/>
              </w:rPr>
              <w:t>新增</w:t>
            </w:r>
            <w:r>
              <w:rPr>
                <w:rFonts w:hint="default"/>
                <w:color w:val="auto"/>
                <w:sz w:val="24"/>
                <w:szCs w:val="24"/>
                <w:lang w:val="en-US" w:eastAsia="zh-CN"/>
              </w:rPr>
              <w:t>劳动定人员为</w:t>
            </w:r>
            <w:r>
              <w:rPr>
                <w:rFonts w:hint="eastAsia"/>
                <w:color w:val="auto"/>
                <w:sz w:val="24"/>
                <w:szCs w:val="24"/>
                <w:lang w:val="en-US" w:eastAsia="zh-CN"/>
              </w:rPr>
              <w:t>2</w:t>
            </w:r>
            <w:r>
              <w:rPr>
                <w:rFonts w:hint="default"/>
                <w:color w:val="auto"/>
                <w:sz w:val="24"/>
                <w:szCs w:val="24"/>
                <w:lang w:val="en-US" w:eastAsia="zh-CN"/>
              </w:rPr>
              <w:t>0人</w:t>
            </w:r>
            <w:r>
              <w:rPr>
                <w:rFonts w:hint="eastAsia"/>
                <w:color w:val="auto"/>
                <w:sz w:val="24"/>
                <w:szCs w:val="24"/>
                <w:lang w:val="en-US" w:eastAsia="zh-CN"/>
              </w:rPr>
              <w:t>，</w:t>
            </w:r>
            <w:r>
              <w:rPr>
                <w:rFonts w:hint="default"/>
                <w:color w:val="auto"/>
                <w:sz w:val="24"/>
                <w:szCs w:val="24"/>
                <w:lang w:val="en-US" w:eastAsia="zh-CN"/>
              </w:rPr>
              <w:t>生活垃圾按照</w:t>
            </w:r>
            <w:r>
              <w:rPr>
                <w:rFonts w:hint="eastAsia"/>
                <w:color w:val="auto"/>
                <w:sz w:val="24"/>
                <w:szCs w:val="24"/>
                <w:lang w:val="en-US" w:eastAsia="zh-CN"/>
              </w:rPr>
              <w:t>0.5</w:t>
            </w:r>
            <w:r>
              <w:rPr>
                <w:rFonts w:hint="default"/>
                <w:color w:val="auto"/>
                <w:sz w:val="24"/>
                <w:szCs w:val="24"/>
                <w:lang w:val="en-US" w:eastAsia="zh-CN"/>
              </w:rPr>
              <w:t>kg/人.d</w:t>
            </w:r>
            <w:r>
              <w:rPr>
                <w:rFonts w:hint="eastAsia"/>
                <w:color w:val="auto"/>
                <w:sz w:val="24"/>
                <w:szCs w:val="24"/>
                <w:lang w:val="en-US" w:eastAsia="zh-CN"/>
              </w:rPr>
              <w:t>，</w:t>
            </w:r>
            <w:r>
              <w:rPr>
                <w:rFonts w:hint="default"/>
                <w:color w:val="auto"/>
                <w:sz w:val="24"/>
                <w:szCs w:val="24"/>
                <w:lang w:val="en-US" w:eastAsia="zh-CN"/>
              </w:rPr>
              <w:t>则本项目产生的生活垃圾为</w:t>
            </w:r>
            <w:r>
              <w:rPr>
                <w:rFonts w:hint="eastAsia"/>
                <w:color w:val="auto"/>
                <w:sz w:val="24"/>
                <w:szCs w:val="24"/>
                <w:lang w:val="en-US" w:eastAsia="zh-CN"/>
              </w:rPr>
              <w:t>3.3</w:t>
            </w:r>
            <w:r>
              <w:rPr>
                <w:rFonts w:hint="default"/>
                <w:color w:val="auto"/>
                <w:sz w:val="24"/>
                <w:szCs w:val="24"/>
                <w:lang w:val="en-US" w:eastAsia="zh-CN"/>
              </w:rPr>
              <w:t>t/a。</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项目产生固废包括危险固废和一般固废；其中危险废物分区暂存</w:t>
            </w:r>
            <w:r>
              <w:rPr>
                <w:rFonts w:hint="eastAsia"/>
                <w:sz w:val="24"/>
                <w:lang w:eastAsia="zh-CN"/>
              </w:rPr>
              <w:t>，</w:t>
            </w:r>
            <w:r>
              <w:rPr>
                <w:rFonts w:hint="eastAsia"/>
                <w:sz w:val="24"/>
              </w:rPr>
              <w:t>周边设有截流沟和应急收集池。一般固废暂存间贮存</w:t>
            </w:r>
            <w:r>
              <w:rPr>
                <w:rFonts w:hint="eastAsia"/>
                <w:sz w:val="24"/>
                <w:lang w:val="en-US" w:eastAsia="zh-CN"/>
              </w:rPr>
              <w:t>废边角料</w:t>
            </w:r>
            <w:r>
              <w:rPr>
                <w:rFonts w:hint="eastAsia"/>
                <w:sz w:val="24"/>
              </w:rPr>
              <w:t>等固体。</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szCs w:val="24"/>
              </w:rPr>
            </w:pPr>
            <w:r>
              <w:rPr>
                <w:sz w:val="24"/>
                <w:szCs w:val="24"/>
              </w:rPr>
              <w:t>项目固体废物暂存场所建设情况</w:t>
            </w:r>
            <w:r>
              <w:rPr>
                <w:rFonts w:hint="eastAsia"/>
                <w:sz w:val="24"/>
                <w:szCs w:val="24"/>
              </w:rPr>
              <w:t>见图3</w:t>
            </w:r>
            <w:r>
              <w:rPr>
                <w:sz w:val="24"/>
                <w:szCs w:val="24"/>
              </w:rPr>
              <w:t>-2</w:t>
            </w:r>
            <w:r>
              <w:rPr>
                <w:rFonts w:hint="eastAsia"/>
                <w:sz w:val="24"/>
                <w:szCs w:val="24"/>
              </w:rPr>
              <w:t>。</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31"/>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05" w:hRule="exact"/>
                <w:jc w:val="center"/>
              </w:trPr>
              <w:tc>
                <w:tcPr>
                  <w:tcW w:w="2500" w:type="pct"/>
                  <w:shd w:val="clear" w:color="auto" w:fill="auto"/>
                  <w:vAlign w:val="center"/>
                </w:tcPr>
                <w:p>
                  <w:pPr>
                    <w:autoSpaceDE w:val="0"/>
                    <w:autoSpaceDN w:val="0"/>
                    <w:jc w:val="center"/>
                    <w:rPr>
                      <w:rFonts w:hint="eastAsia" w:eastAsia="宋体"/>
                      <w:kern w:val="0"/>
                      <w:szCs w:val="24"/>
                      <w:highlight w:val="none"/>
                      <w:lang w:eastAsia="zh-CN"/>
                    </w:rPr>
                  </w:pPr>
                  <w:r>
                    <w:rPr>
                      <w:rFonts w:hint="eastAsia" w:eastAsia="宋体"/>
                      <w:kern w:val="0"/>
                      <w:szCs w:val="24"/>
                      <w:highlight w:val="none"/>
                      <w:lang w:eastAsia="zh-CN"/>
                    </w:rPr>
                    <w:pict>
                      <v:shape id="_x0000_i1035" o:spt="75" alt="42ce2c8c47dd2914f51e8c9b75bb985" type="#_x0000_t75" style="height:169.5pt;width:225.95pt;" filled="f" o:preferrelative="t" stroked="f" coordsize="21600,21600">
                        <v:path/>
                        <v:fill on="f" focussize="0,0"/>
                        <v:stroke on="f"/>
                        <v:imagedata r:id="rId14" o:title="42ce2c8c47dd2914f51e8c9b75bb985"/>
                        <o:lock v:ext="edit" aspectratio="t"/>
                        <w10:wrap type="none"/>
                        <w10:anchorlock/>
                      </v:shape>
                    </w:pict>
                  </w:r>
                </w:p>
              </w:tc>
              <w:tc>
                <w:tcPr>
                  <w:tcW w:w="2500" w:type="pct"/>
                  <w:shd w:val="clear" w:color="auto" w:fill="auto"/>
                  <w:vAlign w:val="center"/>
                </w:tcPr>
                <w:p>
                  <w:pPr>
                    <w:autoSpaceDE w:val="0"/>
                    <w:autoSpaceDN w:val="0"/>
                    <w:jc w:val="center"/>
                    <w:rPr>
                      <w:rFonts w:hint="eastAsia" w:eastAsia="宋体"/>
                      <w:kern w:val="0"/>
                      <w:szCs w:val="24"/>
                      <w:highlight w:val="none"/>
                      <w:lang w:eastAsia="zh-CN"/>
                    </w:rPr>
                  </w:pPr>
                  <w:r>
                    <w:rPr>
                      <w:rFonts w:hint="eastAsia" w:eastAsia="宋体"/>
                      <w:kern w:val="0"/>
                      <w:szCs w:val="24"/>
                      <w:highlight w:val="none"/>
                      <w:lang w:eastAsia="zh-CN"/>
                    </w:rPr>
                    <w:pict>
                      <v:shape id="_x0000_i1036" o:spt="75" alt="c7349f51e14466c7692c6885bf109c5" type="#_x0000_t75" style="height:169.5pt;width:225.95pt;" filled="f" o:preferrelative="t" stroked="f" coordsize="21600,21600">
                        <v:path/>
                        <v:fill on="f" focussize="0,0"/>
                        <v:stroke on="f"/>
                        <v:imagedata r:id="rId20" o:title="c7349f51e14466c7692c6885bf109c5"/>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kern w:val="0"/>
                      <w:szCs w:val="24"/>
                    </w:rPr>
                  </w:pPr>
                  <w:r>
                    <w:rPr>
                      <w:rFonts w:hint="eastAsia"/>
                      <w:kern w:val="0"/>
                      <w:szCs w:val="24"/>
                    </w:rPr>
                    <w:t>危险废物暂存场所（</w:t>
                  </w:r>
                  <w:r>
                    <w:rPr>
                      <w:rFonts w:hint="eastAsia"/>
                      <w:kern w:val="0"/>
                      <w:szCs w:val="24"/>
                      <w:lang w:val="en-US" w:eastAsia="zh-CN"/>
                    </w:rPr>
                    <w:t>外</w:t>
                  </w:r>
                  <w:r>
                    <w:rPr>
                      <w:rFonts w:hint="eastAsia"/>
                      <w:kern w:val="0"/>
                      <w:szCs w:val="24"/>
                    </w:rPr>
                    <w:t>）</w:t>
                  </w:r>
                </w:p>
              </w:tc>
              <w:tc>
                <w:tcPr>
                  <w:tcW w:w="2500" w:type="pct"/>
                  <w:shd w:val="clear" w:color="auto" w:fill="auto"/>
                  <w:vAlign w:val="center"/>
                </w:tcPr>
                <w:p>
                  <w:pPr>
                    <w:autoSpaceDE w:val="0"/>
                    <w:autoSpaceDN w:val="0"/>
                    <w:jc w:val="center"/>
                    <w:rPr>
                      <w:rFonts w:hint="eastAsia" w:eastAsia="宋体"/>
                      <w:kern w:val="0"/>
                      <w:szCs w:val="24"/>
                      <w:lang w:eastAsia="zh-CN"/>
                    </w:rPr>
                  </w:pPr>
                  <w:r>
                    <w:rPr>
                      <w:rFonts w:hint="eastAsia"/>
                      <w:kern w:val="0"/>
                      <w:szCs w:val="24"/>
                    </w:rPr>
                    <w:t>危险废物暂存场所</w:t>
                  </w:r>
                  <w:r>
                    <w:rPr>
                      <w:rFonts w:hint="eastAsia"/>
                      <w:kern w:val="0"/>
                      <w:szCs w:val="24"/>
                      <w:lang w:eastAsia="zh-CN"/>
                    </w:rPr>
                    <w:t>（</w:t>
                  </w:r>
                  <w:r>
                    <w:rPr>
                      <w:rFonts w:hint="eastAsia"/>
                      <w:kern w:val="0"/>
                      <w:szCs w:val="24"/>
                      <w:lang w:val="en-US" w:eastAsia="zh-CN"/>
                    </w:rPr>
                    <w:t>内</w:t>
                  </w:r>
                  <w:r>
                    <w:rPr>
                      <w:rFonts w:hint="eastAsia"/>
                      <w:kern w:val="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rFonts w:hint="eastAsia" w:eastAsia="宋体"/>
                      <w:kern w:val="0"/>
                      <w:szCs w:val="24"/>
                      <w:lang w:eastAsia="zh-CN"/>
                    </w:rPr>
                  </w:pPr>
                  <w:r>
                    <w:rPr>
                      <w:rFonts w:hint="eastAsia" w:eastAsia="宋体"/>
                      <w:kern w:val="0"/>
                      <w:szCs w:val="24"/>
                      <w:lang w:eastAsia="zh-CN"/>
                    </w:rPr>
                    <w:pict>
                      <v:shape id="_x0000_i1037" o:spt="75" alt="59b355bfe91184b7092577a03563a38" type="#_x0000_t75" style="height:169.5pt;width:225.95pt;" filled="f" o:preferrelative="t" stroked="f" coordsize="21600,21600">
                        <v:path/>
                        <v:fill on="f" focussize="0,0"/>
                        <v:stroke on="f"/>
                        <v:imagedata r:id="rId21" o:title="59b355bfe91184b7092577a03563a38"/>
                        <o:lock v:ext="edit" aspectratio="t"/>
                        <w10:wrap type="none"/>
                        <w10:anchorlock/>
                      </v:shape>
                    </w:pict>
                  </w:r>
                </w:p>
              </w:tc>
              <w:tc>
                <w:tcPr>
                  <w:tcW w:w="2500" w:type="pct"/>
                  <w:shd w:val="clear" w:color="auto" w:fill="auto"/>
                  <w:vAlign w:val="center"/>
                </w:tcPr>
                <w:p>
                  <w:pPr>
                    <w:autoSpaceDE w:val="0"/>
                    <w:autoSpaceDN w:val="0"/>
                    <w:jc w:val="center"/>
                    <w:rPr>
                      <w:kern w:val="0"/>
                      <w:szCs w:val="24"/>
                    </w:rPr>
                  </w:pPr>
                  <w:r>
                    <w:rPr>
                      <w:rFonts w:hint="eastAsia" w:eastAsia="宋体"/>
                      <w:kern w:val="0"/>
                      <w:szCs w:val="24"/>
                      <w:lang w:eastAsia="zh-CN"/>
                    </w:rPr>
                    <w:pict>
                      <v:shape id="_x0000_i1038" o:spt="75" alt="IMG_20220902_145656" type="#_x0000_t75" style="height:172.55pt;width:218.65pt;" filled="f" o:preferrelative="t" stroked="f" coordsize="21600,21600">
                        <v:path/>
                        <v:fill on="f" focussize="0,0"/>
                        <v:stroke on="f"/>
                        <v:imagedata r:id="rId22" cropleft="15151f" croptop="12526f" o:title="IMG_20220902_145656"/>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00" w:type="pct"/>
                  <w:shd w:val="clear" w:color="auto" w:fill="auto"/>
                  <w:vAlign w:val="center"/>
                </w:tcPr>
                <w:p>
                  <w:pPr>
                    <w:autoSpaceDE w:val="0"/>
                    <w:autoSpaceDN w:val="0"/>
                    <w:jc w:val="center"/>
                    <w:rPr>
                      <w:rFonts w:hint="default" w:eastAsia="宋体"/>
                      <w:kern w:val="0"/>
                      <w:szCs w:val="24"/>
                      <w:lang w:val="en-US" w:eastAsia="zh-CN"/>
                    </w:rPr>
                  </w:pPr>
                  <w:r>
                    <w:rPr>
                      <w:rFonts w:hint="eastAsia"/>
                      <w:kern w:val="0"/>
                      <w:szCs w:val="24"/>
                    </w:rPr>
                    <w:t>危险废物暂存场所</w:t>
                  </w:r>
                  <w:r>
                    <w:rPr>
                      <w:rFonts w:hint="eastAsia"/>
                      <w:kern w:val="0"/>
                      <w:szCs w:val="24"/>
                      <w:lang w:eastAsia="zh-CN"/>
                    </w:rPr>
                    <w:t>（</w:t>
                  </w:r>
                  <w:r>
                    <w:rPr>
                      <w:rFonts w:hint="eastAsia"/>
                      <w:kern w:val="0"/>
                      <w:szCs w:val="24"/>
                      <w:lang w:val="en-US" w:eastAsia="zh-CN"/>
                    </w:rPr>
                    <w:t>内</w:t>
                  </w:r>
                  <w:r>
                    <w:rPr>
                      <w:rFonts w:hint="eastAsia"/>
                      <w:kern w:val="0"/>
                      <w:szCs w:val="24"/>
                      <w:lang w:eastAsia="zh-CN"/>
                    </w:rPr>
                    <w:t>）</w:t>
                  </w:r>
                </w:p>
              </w:tc>
              <w:tc>
                <w:tcPr>
                  <w:tcW w:w="2500" w:type="pct"/>
                  <w:shd w:val="clear" w:color="auto" w:fill="auto"/>
                  <w:vAlign w:val="center"/>
                </w:tcPr>
                <w:p>
                  <w:pPr>
                    <w:autoSpaceDE w:val="0"/>
                    <w:autoSpaceDN w:val="0"/>
                    <w:jc w:val="center"/>
                    <w:rPr>
                      <w:kern w:val="0"/>
                      <w:szCs w:val="24"/>
                    </w:rPr>
                  </w:pPr>
                  <w:r>
                    <w:rPr>
                      <w:rFonts w:hint="eastAsia"/>
                      <w:kern w:val="0"/>
                      <w:szCs w:val="24"/>
                      <w:lang w:val="en-US" w:eastAsia="zh-CN"/>
                    </w:rPr>
                    <w:t>一般固废暂存区</w:t>
                  </w:r>
                </w:p>
              </w:tc>
            </w:tr>
          </w:tbl>
          <w:p>
            <w:pPr>
              <w:keepNext w:val="0"/>
              <w:keepLines w:val="0"/>
              <w:pageBreakBefore w:val="0"/>
              <w:kinsoku/>
              <w:wordWrap/>
              <w:overflowPunct/>
              <w:topLinePunct w:val="0"/>
              <w:autoSpaceDE/>
              <w:autoSpaceDN/>
              <w:bidi w:val="0"/>
              <w:adjustRightInd/>
              <w:snapToGrid/>
              <w:spacing w:line="480" w:lineRule="exact"/>
              <w:jc w:val="center"/>
              <w:textAlignment w:val="auto"/>
              <w:rPr>
                <w:b/>
                <w:szCs w:val="21"/>
              </w:rPr>
            </w:pPr>
            <w:r>
              <w:rPr>
                <w:rFonts w:hint="eastAsia"/>
                <w:b/>
                <w:szCs w:val="21"/>
              </w:rPr>
              <w:t>图3-</w:t>
            </w:r>
            <w:r>
              <w:rPr>
                <w:b/>
                <w:szCs w:val="21"/>
              </w:rPr>
              <w:t>2</w:t>
            </w:r>
            <w:r>
              <w:rPr>
                <w:rFonts w:hint="eastAsia"/>
                <w:b/>
                <w:szCs w:val="21"/>
              </w:rPr>
              <w:t xml:space="preserve">  项目固体废物收集措施建设情况</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3.2环评对本项目的环保要求及落实情况</w:t>
            </w:r>
          </w:p>
          <w:p>
            <w:pPr>
              <w:keepNext w:val="0"/>
              <w:keepLines w:val="0"/>
              <w:pageBreakBefore w:val="0"/>
              <w:widowControl w:val="0"/>
              <w:kinsoku/>
              <w:wordWrap/>
              <w:overflowPunct/>
              <w:topLinePunct w:val="0"/>
              <w:autoSpaceDE/>
              <w:autoSpaceDN/>
              <w:bidi w:val="0"/>
              <w:snapToGrid/>
              <w:spacing w:line="480" w:lineRule="exact"/>
              <w:ind w:firstLine="480" w:firstLineChars="200"/>
              <w:rPr>
                <w:sz w:val="24"/>
                <w:szCs w:val="24"/>
              </w:rPr>
            </w:pPr>
            <w:r>
              <w:rPr>
                <w:rFonts w:hint="eastAsia"/>
                <w:sz w:val="24"/>
                <w:szCs w:val="24"/>
              </w:rPr>
              <w:t>环评对本项目的环保要求及落实情况见表3</w:t>
            </w:r>
            <w:r>
              <w:rPr>
                <w:sz w:val="24"/>
                <w:szCs w:val="24"/>
              </w:rPr>
              <w:t>-3</w:t>
            </w:r>
            <w:r>
              <w:rPr>
                <w:rFonts w:hint="eastAsia"/>
                <w:sz w:val="24"/>
                <w:szCs w:val="24"/>
              </w:rPr>
              <w:t>。</w:t>
            </w:r>
          </w:p>
          <w:p>
            <w:pPr>
              <w:pStyle w:val="94"/>
              <w:keepNext w:val="0"/>
              <w:keepLines w:val="0"/>
              <w:pageBreakBefore w:val="0"/>
              <w:widowControl w:val="0"/>
              <w:kinsoku/>
              <w:wordWrap/>
              <w:overflowPunct/>
              <w:topLinePunct w:val="0"/>
              <w:autoSpaceDE/>
              <w:autoSpaceDN/>
              <w:bidi w:val="0"/>
              <w:snapToGrid/>
              <w:spacing w:before="0" w:beforeLines="0" w:line="480" w:lineRule="exact"/>
            </w:pPr>
            <w:r>
              <w:rPr>
                <w:rFonts w:hint="eastAsia"/>
              </w:rPr>
              <w:t>表3</w:t>
            </w:r>
            <w:r>
              <w:t xml:space="preserve">-3 </w:t>
            </w:r>
            <w:r>
              <w:rPr>
                <w:rFonts w:hint="eastAsia"/>
              </w:rPr>
              <w:t>环评对本工程的环保要求及完成情况一览表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182"/>
              <w:gridCol w:w="3090"/>
              <w:gridCol w:w="3124"/>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shd w:val="clear" w:color="auto" w:fill="auto"/>
                  <w:vAlign w:val="center"/>
                </w:tcPr>
                <w:p>
                  <w:pPr>
                    <w:jc w:val="center"/>
                    <w:rPr>
                      <w:szCs w:val="21"/>
                    </w:rPr>
                  </w:pPr>
                  <w:r>
                    <w:rPr>
                      <w:szCs w:val="21"/>
                    </w:rPr>
                    <w:t>项目</w:t>
                  </w:r>
                </w:p>
              </w:tc>
              <w:tc>
                <w:tcPr>
                  <w:tcW w:w="651" w:type="pct"/>
                  <w:shd w:val="clear" w:color="auto" w:fill="auto"/>
                  <w:vAlign w:val="center"/>
                </w:tcPr>
                <w:p>
                  <w:pPr>
                    <w:jc w:val="center"/>
                    <w:rPr>
                      <w:szCs w:val="21"/>
                    </w:rPr>
                  </w:pPr>
                  <w:r>
                    <w:rPr>
                      <w:szCs w:val="21"/>
                    </w:rPr>
                    <w:t>污染源</w:t>
                  </w:r>
                </w:p>
              </w:tc>
              <w:tc>
                <w:tcPr>
                  <w:tcW w:w="1705" w:type="pct"/>
                  <w:shd w:val="clear" w:color="auto" w:fill="auto"/>
                  <w:vAlign w:val="center"/>
                </w:tcPr>
                <w:p>
                  <w:pPr>
                    <w:jc w:val="center"/>
                    <w:rPr>
                      <w:szCs w:val="21"/>
                    </w:rPr>
                  </w:pPr>
                  <w:r>
                    <w:rPr>
                      <w:szCs w:val="21"/>
                    </w:rPr>
                    <w:t>环评要求</w:t>
                  </w:r>
                </w:p>
              </w:tc>
              <w:tc>
                <w:tcPr>
                  <w:tcW w:w="1724" w:type="pct"/>
                  <w:shd w:val="clear" w:color="auto" w:fill="auto"/>
                  <w:vAlign w:val="center"/>
                </w:tcPr>
                <w:p>
                  <w:pPr>
                    <w:jc w:val="center"/>
                    <w:rPr>
                      <w:szCs w:val="21"/>
                    </w:rPr>
                  </w:pPr>
                  <w:r>
                    <w:rPr>
                      <w:szCs w:val="21"/>
                    </w:rPr>
                    <w:t>实际建设情况</w:t>
                  </w:r>
                </w:p>
              </w:tc>
              <w:tc>
                <w:tcPr>
                  <w:tcW w:w="533" w:type="pct"/>
                  <w:shd w:val="clear" w:color="auto" w:fill="auto"/>
                  <w:vAlign w:val="center"/>
                </w:tcPr>
                <w:p>
                  <w:pPr>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384" w:type="pct"/>
                  <w:shd w:val="clear" w:color="auto" w:fill="auto"/>
                  <w:vAlign w:val="center"/>
                </w:tcPr>
                <w:p>
                  <w:pPr>
                    <w:jc w:val="center"/>
                    <w:rPr>
                      <w:szCs w:val="21"/>
                    </w:rPr>
                  </w:pPr>
                  <w:r>
                    <w:rPr>
                      <w:rFonts w:hint="eastAsia"/>
                      <w:szCs w:val="21"/>
                    </w:rPr>
                    <w:t>废气</w:t>
                  </w:r>
                </w:p>
              </w:tc>
              <w:tc>
                <w:tcPr>
                  <w:tcW w:w="651" w:type="pct"/>
                  <w:shd w:val="clear" w:color="auto" w:fill="auto"/>
                  <w:vAlign w:val="center"/>
                </w:tcPr>
                <w:p>
                  <w:pPr>
                    <w:jc w:val="center"/>
                    <w:rPr>
                      <w:rFonts w:hint="default" w:eastAsia="宋体"/>
                      <w:szCs w:val="21"/>
                      <w:lang w:val="en-US" w:eastAsia="zh-CN"/>
                    </w:rPr>
                  </w:pPr>
                  <w:r>
                    <w:rPr>
                      <w:rFonts w:hint="eastAsia" w:ascii="宋体" w:hAnsi="宋体"/>
                      <w:szCs w:val="21"/>
                    </w:rPr>
                    <w:t>生产废气</w:t>
                  </w:r>
                </w:p>
              </w:tc>
              <w:tc>
                <w:tcPr>
                  <w:tcW w:w="1705" w:type="pct"/>
                  <w:shd w:val="clear" w:color="auto" w:fill="auto"/>
                  <w:vAlign w:val="center"/>
                </w:tcPr>
                <w:p>
                  <w:pPr>
                    <w:widowControl/>
                    <w:jc w:val="left"/>
                    <w:rPr>
                      <w:rFonts w:hint="eastAsia"/>
                      <w:bCs/>
                      <w:szCs w:val="21"/>
                      <w:lang w:val="en-US" w:eastAsia="zh-CN"/>
                    </w:rPr>
                  </w:pPr>
                  <w:r>
                    <w:rPr>
                      <w:rFonts w:hint="eastAsia"/>
                      <w:bCs/>
                      <w:szCs w:val="21"/>
                      <w:lang w:val="en-US" w:eastAsia="zh-CN"/>
                    </w:rPr>
                    <w:t>①3#车间硫化工段废气经收集后，采用“工业油烟净化器+光催化氧化工艺”处理后经过1根15m高排气筒排放；</w:t>
                  </w:r>
                </w:p>
                <w:p>
                  <w:pPr>
                    <w:widowControl/>
                    <w:jc w:val="left"/>
                    <w:rPr>
                      <w:szCs w:val="21"/>
                    </w:rPr>
                  </w:pPr>
                  <w:r>
                    <w:rPr>
                      <w:rFonts w:hint="eastAsia" w:ascii="Times New Roman" w:hAnsi="Times New Roman" w:eastAsia="宋体" w:cs="Times New Roman"/>
                      <w:kern w:val="2"/>
                      <w:sz w:val="21"/>
                      <w:lang w:val="en-US" w:eastAsia="zh-CN" w:bidi="ar-SA"/>
                    </w:rPr>
                    <w:t>②天然气燃烧，安装低氮燃烧器，尾气经过1根15m高排气筒排放；</w:t>
                  </w:r>
                </w:p>
              </w:tc>
              <w:tc>
                <w:tcPr>
                  <w:tcW w:w="1724" w:type="pct"/>
                  <w:shd w:val="clear" w:color="auto" w:fill="auto"/>
                  <w:vAlign w:val="center"/>
                </w:tcPr>
                <w:p>
                  <w:pPr>
                    <w:spacing w:line="240" w:lineRule="auto"/>
                    <w:jc w:val="left"/>
                    <w:rPr>
                      <w:rFonts w:hint="eastAsia"/>
                      <w:lang w:val="en-US" w:eastAsia="zh-CN"/>
                    </w:rPr>
                  </w:pPr>
                  <w:r>
                    <w:rPr>
                      <w:rFonts w:hint="eastAsia"/>
                      <w:lang w:val="en-US" w:eastAsia="zh-CN"/>
                    </w:rPr>
                    <w:t>①3#车间硫化工段废气经收集后，采用“两级活性炭吸附”处理后经过1根15m高排气筒排放；</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szCs w:val="21"/>
                    </w:rPr>
                  </w:pPr>
                  <w:r>
                    <w:rPr>
                      <w:rFonts w:hint="eastAsia" w:ascii="Times New Roman" w:hAnsi="Times New Roman" w:eastAsia="宋体" w:cs="Times New Roman"/>
                      <w:kern w:val="2"/>
                      <w:sz w:val="21"/>
                      <w:lang w:val="en-US" w:eastAsia="zh-CN" w:bidi="ar-SA"/>
                    </w:rPr>
                    <w:t>②天然气燃烧，安装低氮燃烧器，尾气经过1根15m高排气筒排放；</w:t>
                  </w:r>
                </w:p>
              </w:tc>
              <w:tc>
                <w:tcPr>
                  <w:tcW w:w="533" w:type="pct"/>
                  <w:shd w:val="clear" w:color="auto" w:fill="auto"/>
                  <w:vAlign w:val="center"/>
                </w:tcPr>
                <w:p>
                  <w:pPr>
                    <w:jc w:val="center"/>
                    <w:rPr>
                      <w:rFonts w:hint="default" w:eastAsia="宋体"/>
                      <w:szCs w:val="21"/>
                      <w:lang w:val="en-US" w:eastAsia="zh-CN"/>
                    </w:rPr>
                  </w:pPr>
                  <w:r>
                    <w:rPr>
                      <w:rFonts w:hint="eastAsia"/>
                      <w:szCs w:val="21"/>
                      <w:lang w:val="en-US" w:eastAsia="zh-CN"/>
                    </w:rPr>
                    <w:t>废气净化工艺使用两级活性炭吸附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84" w:type="pct"/>
                  <w:vMerge w:val="restart"/>
                  <w:shd w:val="clear" w:color="auto" w:fill="auto"/>
                  <w:vAlign w:val="center"/>
                </w:tcPr>
                <w:p>
                  <w:pPr>
                    <w:jc w:val="center"/>
                    <w:rPr>
                      <w:szCs w:val="21"/>
                    </w:rPr>
                  </w:pPr>
                  <w:r>
                    <w:rPr>
                      <w:rFonts w:hint="eastAsia"/>
                      <w:szCs w:val="21"/>
                    </w:rPr>
                    <w:t>废水</w:t>
                  </w:r>
                </w:p>
              </w:tc>
              <w:tc>
                <w:tcPr>
                  <w:tcW w:w="651" w:type="pct"/>
                  <w:shd w:val="clear" w:color="auto" w:fill="auto"/>
                  <w:vAlign w:val="center"/>
                </w:tcPr>
                <w:p>
                  <w:pPr>
                    <w:jc w:val="center"/>
                    <w:rPr>
                      <w:szCs w:val="21"/>
                    </w:rPr>
                  </w:pPr>
                  <w:r>
                    <w:rPr>
                      <w:rFonts w:hint="eastAsia" w:ascii="宋体" w:hAnsi="宋体"/>
                      <w:szCs w:val="21"/>
                    </w:rPr>
                    <w:t>生活污水</w:t>
                  </w:r>
                </w:p>
              </w:tc>
              <w:tc>
                <w:tcPr>
                  <w:tcW w:w="1705" w:type="pct"/>
                  <w:shd w:val="clear" w:color="auto" w:fill="auto"/>
                  <w:vAlign w:val="center"/>
                </w:tcPr>
                <w:p>
                  <w:pPr>
                    <w:widowControl/>
                    <w:jc w:val="center"/>
                    <w:rPr>
                      <w:szCs w:val="21"/>
                    </w:rPr>
                  </w:pPr>
                  <w:r>
                    <w:rPr>
                      <w:rFonts w:hint="eastAsia" w:ascii="宋体" w:hAnsi="宋体" w:cs="宋体"/>
                      <w:color w:val="auto"/>
                      <w:kern w:val="0"/>
                      <w:sz w:val="20"/>
                      <w:szCs w:val="20"/>
                      <w:highlight w:val="none"/>
                      <w:lang w:val="en-US" w:eastAsia="zh-CN" w:bidi="ar"/>
                    </w:rPr>
                    <w:t>生活污水进入</w:t>
                  </w:r>
                  <w:r>
                    <w:rPr>
                      <w:rFonts w:hint="eastAsia" w:ascii="宋体" w:hAnsi="宋体" w:eastAsia="宋体" w:cs="宋体"/>
                      <w:color w:val="auto"/>
                      <w:kern w:val="0"/>
                      <w:sz w:val="20"/>
                      <w:szCs w:val="20"/>
                      <w:highlight w:val="none"/>
                      <w:lang w:val="en-US" w:eastAsia="zh-CN" w:bidi="ar"/>
                    </w:rPr>
                    <w:t>化粪池</w:t>
                  </w:r>
                  <w:r>
                    <w:rPr>
                      <w:rFonts w:hint="eastAsia" w:ascii="宋体" w:hAnsi="宋体" w:cs="宋体"/>
                      <w:color w:val="auto"/>
                      <w:kern w:val="0"/>
                      <w:sz w:val="20"/>
                      <w:szCs w:val="20"/>
                      <w:highlight w:val="none"/>
                      <w:lang w:val="en-US" w:eastAsia="zh-CN" w:bidi="ar"/>
                    </w:rPr>
                    <w:t>处理，尾水经过</w:t>
                  </w:r>
                  <w:r>
                    <w:rPr>
                      <w:rFonts w:hint="eastAsia"/>
                      <w:color w:val="auto"/>
                      <w:highlight w:val="none"/>
                      <w:vertAlign w:val="baseline"/>
                      <w:lang w:val="en-US" w:eastAsia="zh-CN"/>
                    </w:rPr>
                    <w:t>预处理后经厂区总排口(DW001)汇入市政污水管网；</w:t>
                  </w:r>
                </w:p>
              </w:tc>
              <w:tc>
                <w:tcPr>
                  <w:tcW w:w="1724" w:type="pct"/>
                  <w:shd w:val="clear" w:color="auto" w:fill="auto"/>
                  <w:vAlign w:val="center"/>
                </w:tcPr>
                <w:p>
                  <w:pPr>
                    <w:widowControl/>
                    <w:jc w:val="center"/>
                    <w:rPr>
                      <w:szCs w:val="21"/>
                    </w:rPr>
                  </w:pPr>
                  <w:r>
                    <w:rPr>
                      <w:rFonts w:hint="eastAsia" w:ascii="宋体" w:hAnsi="宋体" w:cs="宋体"/>
                      <w:color w:val="auto"/>
                      <w:kern w:val="0"/>
                      <w:sz w:val="20"/>
                      <w:szCs w:val="20"/>
                      <w:highlight w:val="none"/>
                      <w:lang w:val="en-US" w:eastAsia="zh-CN" w:bidi="ar"/>
                    </w:rPr>
                    <w:t>生活污水进入</w:t>
                  </w:r>
                  <w:r>
                    <w:rPr>
                      <w:rFonts w:hint="eastAsia" w:ascii="宋体" w:hAnsi="宋体" w:eastAsia="宋体" w:cs="宋体"/>
                      <w:color w:val="auto"/>
                      <w:kern w:val="0"/>
                      <w:sz w:val="20"/>
                      <w:szCs w:val="20"/>
                      <w:highlight w:val="none"/>
                      <w:lang w:val="en-US" w:eastAsia="zh-CN" w:bidi="ar"/>
                    </w:rPr>
                    <w:t>化粪池</w:t>
                  </w:r>
                  <w:r>
                    <w:rPr>
                      <w:rFonts w:hint="eastAsia" w:ascii="宋体" w:hAnsi="宋体" w:cs="宋体"/>
                      <w:color w:val="auto"/>
                      <w:kern w:val="0"/>
                      <w:sz w:val="20"/>
                      <w:szCs w:val="20"/>
                      <w:highlight w:val="none"/>
                      <w:lang w:val="en-US" w:eastAsia="zh-CN" w:bidi="ar"/>
                    </w:rPr>
                    <w:t>处理，尾水经过</w:t>
                  </w:r>
                  <w:r>
                    <w:rPr>
                      <w:rFonts w:hint="eastAsia"/>
                      <w:color w:val="auto"/>
                      <w:highlight w:val="none"/>
                      <w:vertAlign w:val="baseline"/>
                      <w:lang w:val="en-US" w:eastAsia="zh-CN"/>
                    </w:rPr>
                    <w:t>预处理后经厂区总排口(DW001)汇入市政污水管网；</w:t>
                  </w:r>
                </w:p>
              </w:tc>
              <w:tc>
                <w:tcPr>
                  <w:tcW w:w="533" w:type="pct"/>
                  <w:vMerge w:val="restart"/>
                  <w:shd w:val="clear" w:color="auto" w:fill="auto"/>
                  <w:vAlign w:val="center"/>
                </w:tcPr>
                <w:p>
                  <w:pPr>
                    <w:jc w:val="center"/>
                    <w:rPr>
                      <w:szCs w:val="21"/>
                    </w:rPr>
                  </w:pPr>
                  <w:r>
                    <w:rPr>
                      <w:rFonts w:hint="eastAsia"/>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shd w:val="clear" w:color="auto" w:fill="auto"/>
                  <w:vAlign w:val="center"/>
                </w:tcPr>
                <w:p>
                  <w:pPr>
                    <w:jc w:val="center"/>
                    <w:rPr>
                      <w:szCs w:val="21"/>
                    </w:rPr>
                  </w:pPr>
                </w:p>
              </w:tc>
              <w:tc>
                <w:tcPr>
                  <w:tcW w:w="651" w:type="pct"/>
                  <w:shd w:val="clear" w:color="auto" w:fill="auto"/>
                  <w:vAlign w:val="center"/>
                </w:tcPr>
                <w:p>
                  <w:pPr>
                    <w:jc w:val="center"/>
                    <w:rPr>
                      <w:szCs w:val="21"/>
                    </w:rPr>
                  </w:pPr>
                  <w:r>
                    <w:rPr>
                      <w:rFonts w:hint="eastAsia" w:ascii="宋体" w:hAnsi="宋体"/>
                      <w:szCs w:val="21"/>
                    </w:rPr>
                    <w:t>生产废水</w:t>
                  </w:r>
                </w:p>
              </w:tc>
              <w:tc>
                <w:tcPr>
                  <w:tcW w:w="1705" w:type="pct"/>
                  <w:shd w:val="clear" w:color="auto" w:fill="auto"/>
                  <w:vAlign w:val="center"/>
                </w:tcPr>
                <w:p>
                  <w:pPr>
                    <w:widowControl/>
                    <w:jc w:val="center"/>
                    <w:rPr>
                      <w:szCs w:val="21"/>
                    </w:rPr>
                  </w:pPr>
                  <w:r>
                    <w:rPr>
                      <w:rFonts w:hint="eastAsia"/>
                      <w:color w:val="auto"/>
                      <w:sz w:val="21"/>
                      <w:szCs w:val="21"/>
                      <w:highlight w:val="none"/>
                      <w:lang w:val="en-US" w:eastAsia="zh-CN"/>
                    </w:rPr>
                    <w:t>废水依托现有已建污水处理设施进行处理，</w:t>
                  </w:r>
                  <w:r>
                    <w:rPr>
                      <w:rFonts w:hint="default" w:ascii="Times New Roman" w:hAnsi="Times New Roman" w:cs="Times New Roman"/>
                      <w:color w:val="auto"/>
                      <w:sz w:val="21"/>
                      <w:szCs w:val="21"/>
                      <w:highlight w:val="none"/>
                      <w:lang w:val="en-US" w:eastAsia="zh-CN"/>
                    </w:rPr>
                    <w:t>一体式生化反应器</w:t>
                  </w:r>
                  <w:r>
                    <w:rPr>
                      <w:rFonts w:hint="default" w:ascii="Times New Roman" w:hAnsi="Times New Roman" w:cs="Times New Roman"/>
                      <w:color w:val="auto"/>
                      <w:sz w:val="21"/>
                      <w:szCs w:val="21"/>
                      <w:highlight w:val="none"/>
                      <w:vertAlign w:val="baseline"/>
                      <w:lang w:val="en-US" w:eastAsia="zh-CN"/>
                    </w:rPr>
                    <w:t>预处理后经厂区总排口（DW001）汇入市政污水管网</w:t>
                  </w:r>
                  <w:r>
                    <w:rPr>
                      <w:rFonts w:hint="default" w:ascii="Times New Roman" w:hAnsi="Times New Roman" w:eastAsia="宋体" w:cs="Times New Roman"/>
                      <w:color w:val="auto"/>
                      <w:kern w:val="0"/>
                      <w:sz w:val="21"/>
                      <w:szCs w:val="21"/>
                      <w:highlight w:val="none"/>
                      <w:lang w:val="en-US" w:eastAsia="zh-CN" w:bidi="ar"/>
                    </w:rPr>
                    <w:t>，设计处理规模约</w:t>
                  </w:r>
                  <w:r>
                    <w:rPr>
                      <w:rFonts w:hint="eastAsia"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0t/d</w:t>
                  </w:r>
                  <w:r>
                    <w:rPr>
                      <w:rFonts w:hint="default" w:ascii="Times New Roman" w:hAnsi="Times New Roman" w:cs="Times New Roman"/>
                      <w:color w:val="auto"/>
                      <w:kern w:val="0"/>
                      <w:sz w:val="21"/>
                      <w:szCs w:val="21"/>
                      <w:highlight w:val="none"/>
                      <w:lang w:val="en-US" w:eastAsia="zh-CN" w:bidi="ar"/>
                    </w:rPr>
                    <w:t>；</w:t>
                  </w:r>
                </w:p>
              </w:tc>
              <w:tc>
                <w:tcPr>
                  <w:tcW w:w="1724" w:type="pct"/>
                  <w:shd w:val="clear" w:color="auto" w:fill="auto"/>
                  <w:vAlign w:val="center"/>
                </w:tcPr>
                <w:p>
                  <w:pPr>
                    <w:widowControl/>
                    <w:jc w:val="center"/>
                    <w:rPr>
                      <w:szCs w:val="21"/>
                    </w:rPr>
                  </w:pPr>
                  <w:r>
                    <w:rPr>
                      <w:rFonts w:hint="eastAsia"/>
                      <w:color w:val="auto"/>
                      <w:sz w:val="21"/>
                      <w:szCs w:val="21"/>
                      <w:highlight w:val="none"/>
                      <w:lang w:val="en-US" w:eastAsia="zh-CN"/>
                    </w:rPr>
                    <w:t>废水依托现有已建污水处理设施进行处理，</w:t>
                  </w:r>
                  <w:r>
                    <w:rPr>
                      <w:rFonts w:hint="default" w:ascii="Times New Roman" w:hAnsi="Times New Roman" w:cs="Times New Roman"/>
                      <w:color w:val="auto"/>
                      <w:sz w:val="21"/>
                      <w:szCs w:val="21"/>
                      <w:highlight w:val="none"/>
                      <w:lang w:val="en-US" w:eastAsia="zh-CN"/>
                    </w:rPr>
                    <w:t>一体式生化反应器</w:t>
                  </w:r>
                  <w:r>
                    <w:rPr>
                      <w:rFonts w:hint="default" w:ascii="Times New Roman" w:hAnsi="Times New Roman" w:cs="Times New Roman"/>
                      <w:color w:val="auto"/>
                      <w:sz w:val="21"/>
                      <w:szCs w:val="21"/>
                      <w:highlight w:val="none"/>
                      <w:vertAlign w:val="baseline"/>
                      <w:lang w:val="en-US" w:eastAsia="zh-CN"/>
                    </w:rPr>
                    <w:t>预处理后经厂区总排口（DW001）汇入市政污水管网</w:t>
                  </w:r>
                  <w:r>
                    <w:rPr>
                      <w:rFonts w:hint="default" w:ascii="Times New Roman" w:hAnsi="Times New Roman" w:eastAsia="宋体" w:cs="Times New Roman"/>
                      <w:color w:val="auto"/>
                      <w:kern w:val="0"/>
                      <w:sz w:val="21"/>
                      <w:szCs w:val="21"/>
                      <w:highlight w:val="none"/>
                      <w:lang w:val="en-US" w:eastAsia="zh-CN" w:bidi="ar"/>
                    </w:rPr>
                    <w:t>，设计处理规模约</w:t>
                  </w:r>
                  <w:r>
                    <w:rPr>
                      <w:rFonts w:hint="eastAsia"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0t/d</w:t>
                  </w:r>
                  <w:r>
                    <w:rPr>
                      <w:rFonts w:hint="default" w:ascii="Times New Roman" w:hAnsi="Times New Roman" w:cs="Times New Roman"/>
                      <w:color w:val="auto"/>
                      <w:kern w:val="0"/>
                      <w:sz w:val="21"/>
                      <w:szCs w:val="21"/>
                      <w:highlight w:val="none"/>
                      <w:lang w:val="en-US" w:eastAsia="zh-CN" w:bidi="ar"/>
                    </w:rPr>
                    <w:t>；</w:t>
                  </w:r>
                </w:p>
              </w:tc>
              <w:tc>
                <w:tcPr>
                  <w:tcW w:w="533"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shd w:val="clear" w:color="auto" w:fill="auto"/>
                  <w:vAlign w:val="center"/>
                </w:tcPr>
                <w:p>
                  <w:pPr>
                    <w:jc w:val="center"/>
                    <w:rPr>
                      <w:szCs w:val="21"/>
                    </w:rPr>
                  </w:pPr>
                  <w:r>
                    <w:rPr>
                      <w:rFonts w:hint="eastAsia"/>
                      <w:szCs w:val="21"/>
                    </w:rPr>
                    <w:t>噪声</w:t>
                  </w:r>
                </w:p>
              </w:tc>
              <w:tc>
                <w:tcPr>
                  <w:tcW w:w="651" w:type="pct"/>
                  <w:shd w:val="clear" w:color="auto" w:fill="auto"/>
                  <w:vAlign w:val="center"/>
                </w:tcPr>
                <w:p>
                  <w:pPr>
                    <w:jc w:val="center"/>
                    <w:rPr>
                      <w:szCs w:val="21"/>
                    </w:rPr>
                  </w:pPr>
                  <w:r>
                    <w:rPr>
                      <w:rFonts w:hint="eastAsia"/>
                      <w:szCs w:val="21"/>
                    </w:rPr>
                    <w:t>设备噪声</w:t>
                  </w:r>
                </w:p>
              </w:tc>
              <w:tc>
                <w:tcPr>
                  <w:tcW w:w="1705" w:type="pct"/>
                  <w:shd w:val="clear" w:color="auto" w:fill="auto"/>
                  <w:vAlign w:val="center"/>
                </w:tcPr>
                <w:p>
                  <w:pPr>
                    <w:jc w:val="center"/>
                    <w:rPr>
                      <w:szCs w:val="21"/>
                    </w:rPr>
                  </w:pPr>
                  <w:r>
                    <w:rPr>
                      <w:rFonts w:hint="eastAsia"/>
                      <w:szCs w:val="21"/>
                    </w:rPr>
                    <w:t>设备基础减振、厂房隔声和距离衰减</w:t>
                  </w:r>
                </w:p>
              </w:tc>
              <w:tc>
                <w:tcPr>
                  <w:tcW w:w="1724" w:type="pct"/>
                  <w:shd w:val="clear" w:color="auto" w:fill="auto"/>
                  <w:vAlign w:val="center"/>
                </w:tcPr>
                <w:p>
                  <w:pPr>
                    <w:jc w:val="center"/>
                    <w:rPr>
                      <w:szCs w:val="21"/>
                    </w:rPr>
                  </w:pPr>
                  <w:r>
                    <w:rPr>
                      <w:rFonts w:hint="eastAsia"/>
                      <w:szCs w:val="21"/>
                    </w:rPr>
                    <w:t>设备基础减振、厂房隔声和距离衰减</w:t>
                  </w:r>
                </w:p>
              </w:tc>
              <w:tc>
                <w:tcPr>
                  <w:tcW w:w="533" w:type="pct"/>
                  <w:shd w:val="clear" w:color="auto" w:fill="auto"/>
                  <w:vAlign w:val="center"/>
                </w:tcPr>
                <w:p>
                  <w:pPr>
                    <w:jc w:val="center"/>
                    <w:rPr>
                      <w:szCs w:val="21"/>
                    </w:rPr>
                  </w:pPr>
                  <w:r>
                    <w:rPr>
                      <w:rFonts w:hint="eastAsia"/>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84" w:type="pct"/>
                  <w:vMerge w:val="restart"/>
                  <w:shd w:val="clear" w:color="auto" w:fill="auto"/>
                  <w:vAlign w:val="center"/>
                </w:tcPr>
                <w:p>
                  <w:pPr>
                    <w:jc w:val="center"/>
                    <w:rPr>
                      <w:szCs w:val="21"/>
                    </w:rPr>
                  </w:pPr>
                  <w:r>
                    <w:rPr>
                      <w:rFonts w:hint="eastAsia"/>
                      <w:szCs w:val="21"/>
                    </w:rPr>
                    <w:t>固废</w:t>
                  </w:r>
                </w:p>
              </w:tc>
              <w:tc>
                <w:tcPr>
                  <w:tcW w:w="651" w:type="pct"/>
                  <w:shd w:val="clear" w:color="auto" w:fill="auto"/>
                  <w:vAlign w:val="center"/>
                </w:tcPr>
                <w:p>
                  <w:pPr>
                    <w:jc w:val="center"/>
                    <w:rPr>
                      <w:szCs w:val="21"/>
                    </w:rPr>
                  </w:pPr>
                  <w:r>
                    <w:rPr>
                      <w:rFonts w:hint="eastAsia"/>
                      <w:bCs/>
                      <w:szCs w:val="21"/>
                    </w:rPr>
                    <w:t>一般固废</w:t>
                  </w:r>
                </w:p>
              </w:tc>
              <w:tc>
                <w:tcPr>
                  <w:tcW w:w="1705" w:type="pct"/>
                  <w:shd w:val="clear" w:color="auto" w:fill="auto"/>
                  <w:vAlign w:val="center"/>
                </w:tcPr>
                <w:p>
                  <w:pPr>
                    <w:widowControl/>
                    <w:jc w:val="center"/>
                    <w:rPr>
                      <w:szCs w:val="21"/>
                    </w:rPr>
                  </w:pPr>
                  <w:r>
                    <w:rPr>
                      <w:rFonts w:hint="eastAsia"/>
                      <w:szCs w:val="21"/>
                      <w:lang w:val="en-US" w:eastAsia="zh-CN"/>
                    </w:rPr>
                    <w:t>建设占地10m</w:t>
                  </w:r>
                  <w:r>
                    <w:rPr>
                      <w:rFonts w:hint="eastAsia"/>
                      <w:szCs w:val="21"/>
                      <w:vertAlign w:val="superscript"/>
                      <w:lang w:val="en-US" w:eastAsia="zh-CN"/>
                    </w:rPr>
                    <w:t>2</w:t>
                  </w:r>
                  <w:r>
                    <w:rPr>
                      <w:rFonts w:hint="eastAsia"/>
                      <w:szCs w:val="21"/>
                      <w:lang w:val="en-US" w:eastAsia="zh-CN"/>
                    </w:rPr>
                    <w:t>危废间1座，位于厂区南侧库房区域</w:t>
                  </w:r>
                </w:p>
              </w:tc>
              <w:tc>
                <w:tcPr>
                  <w:tcW w:w="1724" w:type="pct"/>
                  <w:shd w:val="clear" w:color="auto" w:fill="auto"/>
                  <w:vAlign w:val="center"/>
                </w:tcPr>
                <w:p>
                  <w:pPr>
                    <w:jc w:val="center"/>
                    <w:rPr>
                      <w:szCs w:val="21"/>
                    </w:rPr>
                  </w:pPr>
                  <w:r>
                    <w:rPr>
                      <w:rFonts w:hint="eastAsia"/>
                      <w:szCs w:val="21"/>
                      <w:lang w:val="en-US" w:eastAsia="zh-CN"/>
                    </w:rPr>
                    <w:t>建设占地10m</w:t>
                  </w:r>
                  <w:r>
                    <w:rPr>
                      <w:rFonts w:hint="eastAsia"/>
                      <w:szCs w:val="21"/>
                      <w:vertAlign w:val="superscript"/>
                      <w:lang w:val="en-US" w:eastAsia="zh-CN"/>
                    </w:rPr>
                    <w:t>2</w:t>
                  </w:r>
                  <w:r>
                    <w:rPr>
                      <w:rFonts w:hint="eastAsia"/>
                      <w:szCs w:val="21"/>
                      <w:lang w:val="en-US" w:eastAsia="zh-CN"/>
                    </w:rPr>
                    <w:t>危废间1座，位于厂区南侧库房区域</w:t>
                  </w:r>
                </w:p>
              </w:tc>
              <w:tc>
                <w:tcPr>
                  <w:tcW w:w="533" w:type="pct"/>
                  <w:vMerge w:val="restart"/>
                  <w:shd w:val="clear" w:color="auto" w:fill="auto"/>
                  <w:vAlign w:val="center"/>
                </w:tcPr>
                <w:p>
                  <w:pPr>
                    <w:jc w:val="center"/>
                    <w:rPr>
                      <w:szCs w:val="21"/>
                    </w:rPr>
                  </w:pPr>
                  <w:r>
                    <w:rPr>
                      <w:rFonts w:hint="eastAsia"/>
                      <w:szCs w:val="21"/>
                    </w:rPr>
                    <w:t>可以满足实际使用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4" w:type="pct"/>
                  <w:vMerge w:val="continue"/>
                  <w:shd w:val="clear" w:color="auto" w:fill="auto"/>
                  <w:vAlign w:val="center"/>
                </w:tcPr>
                <w:p>
                  <w:pPr>
                    <w:jc w:val="center"/>
                    <w:rPr>
                      <w:szCs w:val="21"/>
                    </w:rPr>
                  </w:pPr>
                </w:p>
              </w:tc>
              <w:tc>
                <w:tcPr>
                  <w:tcW w:w="651" w:type="pct"/>
                  <w:shd w:val="clear" w:color="auto" w:fill="auto"/>
                  <w:vAlign w:val="center"/>
                </w:tcPr>
                <w:p>
                  <w:pPr>
                    <w:jc w:val="center"/>
                    <w:rPr>
                      <w:szCs w:val="21"/>
                    </w:rPr>
                  </w:pPr>
                  <w:r>
                    <w:rPr>
                      <w:rFonts w:hint="eastAsia"/>
                      <w:bCs/>
                      <w:szCs w:val="21"/>
                    </w:rPr>
                    <w:t>危险废物</w:t>
                  </w:r>
                </w:p>
              </w:tc>
              <w:tc>
                <w:tcPr>
                  <w:tcW w:w="1705" w:type="pct"/>
                  <w:shd w:val="clear" w:color="auto" w:fill="auto"/>
                  <w:vAlign w:val="center"/>
                </w:tcPr>
                <w:p>
                  <w:pPr>
                    <w:jc w:val="center"/>
                    <w:rPr>
                      <w:szCs w:val="21"/>
                    </w:rPr>
                  </w:pPr>
                  <w:r>
                    <w:rPr>
                      <w:rFonts w:hint="eastAsia"/>
                      <w:szCs w:val="21"/>
                      <w:lang w:val="en-US" w:eastAsia="zh-CN"/>
                    </w:rPr>
                    <w:t>建设占地20m</w:t>
                  </w:r>
                  <w:r>
                    <w:rPr>
                      <w:rFonts w:hint="eastAsia"/>
                      <w:szCs w:val="21"/>
                      <w:vertAlign w:val="superscript"/>
                      <w:lang w:val="en-US" w:eastAsia="zh-CN"/>
                    </w:rPr>
                    <w:t>2</w:t>
                  </w:r>
                  <w:r>
                    <w:rPr>
                      <w:rFonts w:hint="eastAsia"/>
                      <w:szCs w:val="21"/>
                      <w:vertAlign w:val="baseline"/>
                      <w:lang w:val="en-US" w:eastAsia="zh-CN"/>
                    </w:rPr>
                    <w:t>一般固废暂存间</w:t>
                  </w:r>
                  <w:r>
                    <w:rPr>
                      <w:rFonts w:hint="eastAsia"/>
                      <w:szCs w:val="21"/>
                      <w:lang w:val="en-US" w:eastAsia="zh-CN"/>
                    </w:rPr>
                    <w:t>1座，位于厂区南侧库房区域</w:t>
                  </w:r>
                </w:p>
              </w:tc>
              <w:tc>
                <w:tcPr>
                  <w:tcW w:w="1724" w:type="pct"/>
                  <w:shd w:val="clear" w:color="auto" w:fill="auto"/>
                  <w:vAlign w:val="center"/>
                </w:tcPr>
                <w:p>
                  <w:pPr>
                    <w:jc w:val="center"/>
                    <w:rPr>
                      <w:szCs w:val="21"/>
                    </w:rPr>
                  </w:pPr>
                  <w:r>
                    <w:rPr>
                      <w:rFonts w:hint="eastAsia"/>
                      <w:szCs w:val="21"/>
                      <w:lang w:val="en-US" w:eastAsia="zh-CN"/>
                    </w:rPr>
                    <w:t>建设占地20m</w:t>
                  </w:r>
                  <w:r>
                    <w:rPr>
                      <w:rFonts w:hint="eastAsia"/>
                      <w:szCs w:val="21"/>
                      <w:vertAlign w:val="superscript"/>
                      <w:lang w:val="en-US" w:eastAsia="zh-CN"/>
                    </w:rPr>
                    <w:t>2</w:t>
                  </w:r>
                  <w:r>
                    <w:rPr>
                      <w:rFonts w:hint="eastAsia"/>
                      <w:szCs w:val="21"/>
                      <w:vertAlign w:val="baseline"/>
                      <w:lang w:val="en-US" w:eastAsia="zh-CN"/>
                    </w:rPr>
                    <w:t>一般固废暂存间</w:t>
                  </w:r>
                  <w:r>
                    <w:rPr>
                      <w:rFonts w:hint="eastAsia"/>
                      <w:szCs w:val="21"/>
                      <w:lang w:val="en-US" w:eastAsia="zh-CN"/>
                    </w:rPr>
                    <w:t>1座，位于厂区南侧库房区域</w:t>
                  </w:r>
                </w:p>
              </w:tc>
              <w:tc>
                <w:tcPr>
                  <w:tcW w:w="533"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6" w:type="pct"/>
                  <w:gridSpan w:val="2"/>
                  <w:shd w:val="clear" w:color="auto" w:fill="auto"/>
                  <w:vAlign w:val="center"/>
                </w:tcPr>
                <w:p>
                  <w:pPr>
                    <w:jc w:val="center"/>
                    <w:rPr>
                      <w:rFonts w:ascii="宋体" w:hAnsi="宋体"/>
                      <w:szCs w:val="21"/>
                    </w:rPr>
                  </w:pPr>
                  <w:r>
                    <w:rPr>
                      <w:rFonts w:hint="eastAsia"/>
                      <w:szCs w:val="21"/>
                    </w:rPr>
                    <w:t>风险</w:t>
                  </w:r>
                </w:p>
              </w:tc>
              <w:tc>
                <w:tcPr>
                  <w:tcW w:w="3090" w:type="dxa"/>
                  <w:shd w:val="clear" w:color="auto" w:fill="auto"/>
                  <w:vAlign w:val="center"/>
                </w:tcPr>
                <w:p>
                  <w:pPr>
                    <w:jc w:val="center"/>
                    <w:rPr>
                      <w:szCs w:val="21"/>
                    </w:rPr>
                  </w:pPr>
                  <w:r>
                    <w:rPr>
                      <w:rFonts w:hint="eastAsia" w:ascii="宋体" w:hAnsi="宋体"/>
                      <w:color w:val="auto"/>
                      <w:szCs w:val="21"/>
                      <w:highlight w:val="none"/>
                      <w:lang w:val="en-US" w:eastAsia="zh-CN"/>
                    </w:rPr>
                    <w:t>依托现有设</w:t>
                  </w:r>
                  <w:r>
                    <w:rPr>
                      <w:rFonts w:hint="default" w:ascii="Times New Roman" w:hAnsi="Times New Roman" w:cs="Times New Roman"/>
                      <w:color w:val="auto"/>
                      <w:szCs w:val="21"/>
                      <w:highlight w:val="none"/>
                      <w:lang w:val="en-US" w:eastAsia="zh-CN"/>
                    </w:rPr>
                    <w:t>置1座事故应急池（容积</w:t>
                  </w: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3124" w:type="dxa"/>
                  <w:shd w:val="clear" w:color="auto" w:fill="auto"/>
                  <w:vAlign w:val="center"/>
                </w:tcPr>
                <w:p>
                  <w:pPr>
                    <w:jc w:val="center"/>
                    <w:rPr>
                      <w:szCs w:val="21"/>
                    </w:rPr>
                  </w:pPr>
                  <w:r>
                    <w:rPr>
                      <w:rFonts w:hint="eastAsia" w:ascii="宋体" w:hAnsi="宋体"/>
                      <w:color w:val="auto"/>
                      <w:szCs w:val="21"/>
                      <w:highlight w:val="none"/>
                      <w:lang w:val="en-US" w:eastAsia="zh-CN"/>
                    </w:rPr>
                    <w:t>依托现有设</w:t>
                  </w:r>
                  <w:r>
                    <w:rPr>
                      <w:rFonts w:hint="default" w:ascii="Times New Roman" w:hAnsi="Times New Roman" w:cs="Times New Roman"/>
                      <w:color w:val="auto"/>
                      <w:szCs w:val="21"/>
                      <w:highlight w:val="none"/>
                      <w:lang w:val="en-US" w:eastAsia="zh-CN"/>
                    </w:rPr>
                    <w:t>置1座事故应急池（容积</w:t>
                  </w: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p>
              </w:tc>
              <w:tc>
                <w:tcPr>
                  <w:tcW w:w="966" w:type="dxa"/>
                  <w:shd w:val="clear" w:color="auto" w:fill="auto"/>
                  <w:vAlign w:val="center"/>
                </w:tcPr>
                <w:p>
                  <w:pPr>
                    <w:jc w:val="center"/>
                    <w:rPr>
                      <w:szCs w:val="21"/>
                    </w:rPr>
                  </w:pPr>
                  <w:r>
                    <w:rPr>
                      <w:rFonts w:hint="eastAsia"/>
                      <w:bCs/>
                      <w:szCs w:val="21"/>
                    </w:rPr>
                    <w:t>与环评一致</w:t>
                  </w:r>
                </w:p>
              </w:tc>
            </w:tr>
          </w:tbl>
          <w:p>
            <w:pPr>
              <w:bidi w:val="0"/>
            </w:pPr>
          </w:p>
        </w:tc>
      </w:tr>
    </w:tbl>
    <w:p>
      <w:pPr>
        <w:pStyle w:val="72"/>
        <w:keepNext w:val="0"/>
        <w:keepLines w:val="0"/>
        <w:spacing w:line="240" w:lineRule="auto"/>
        <w:outlineLvl w:val="0"/>
        <w:rPr>
          <w:rFonts w:ascii="Times New Roman" w:hAnsi="Times New Roman"/>
          <w:sz w:val="28"/>
        </w:rPr>
        <w:sectPr>
          <w:pgSz w:w="11906" w:h="16838"/>
          <w:pgMar w:top="1417" w:right="1417" w:bottom="1417" w:left="1417" w:header="851" w:footer="992" w:gutter="0"/>
          <w:cols w:space="425" w:num="1"/>
          <w:docGrid w:type="lines" w:linePitch="312" w:charSpace="0"/>
        </w:sectPr>
      </w:pPr>
    </w:p>
    <w:p>
      <w:pPr>
        <w:pStyle w:val="72"/>
        <w:keepNext w:val="0"/>
        <w:keepLines w:val="0"/>
        <w:spacing w:line="240" w:lineRule="auto"/>
        <w:outlineLvl w:val="0"/>
        <w:rPr>
          <w:rFonts w:ascii="Times New Roman" w:hAnsi="Times New Roman"/>
          <w:sz w:val="28"/>
        </w:rPr>
      </w:pPr>
      <w:r>
        <w:rPr>
          <w:rFonts w:hint="eastAsia" w:ascii="Times New Roman" w:hAnsi="Times New Roman"/>
          <w:sz w:val="28"/>
        </w:rPr>
        <w:t>表四 建设项目环境影响</w:t>
      </w:r>
      <w:r>
        <w:rPr>
          <w:rFonts w:hint="eastAsia" w:ascii="Times New Roman" w:hAnsi="Times New Roman"/>
          <w:sz w:val="28"/>
          <w:lang w:val="en-US" w:eastAsia="zh-CN"/>
        </w:rPr>
        <w:t>说明</w:t>
      </w:r>
      <w:r>
        <w:rPr>
          <w:rFonts w:hint="eastAsia" w:ascii="Times New Roman" w:hAnsi="Times New Roman"/>
          <w:sz w:val="28"/>
        </w:rPr>
        <w:t>主要结论及审批部门审批决定</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4.1建设项目环境影响</w:t>
            </w:r>
            <w:r>
              <w:rPr>
                <w:rFonts w:hint="eastAsia" w:ascii="黑体" w:hAnsi="黑体" w:eastAsia="黑体" w:cs="黑体"/>
                <w:sz w:val="28"/>
                <w:szCs w:val="28"/>
                <w:lang w:val="en-US" w:eastAsia="zh-CN"/>
              </w:rPr>
              <w:t>说明</w:t>
            </w:r>
            <w:r>
              <w:rPr>
                <w:rFonts w:hint="eastAsia" w:ascii="黑体" w:hAnsi="黑体" w:eastAsia="黑体" w:cs="黑体"/>
                <w:sz w:val="28"/>
                <w:szCs w:val="28"/>
              </w:rPr>
              <w:t>的主要结论</w:t>
            </w:r>
          </w:p>
          <w:p>
            <w:pPr>
              <w:pStyle w:val="111"/>
              <w:keepNext w:val="0"/>
              <w:keepLines w:val="0"/>
              <w:pageBreakBefore w:val="0"/>
              <w:widowControl w:val="0"/>
              <w:kinsoku/>
              <w:wordWrap/>
              <w:overflowPunct/>
              <w:topLinePunct w:val="0"/>
              <w:autoSpaceDE/>
              <w:autoSpaceDN/>
              <w:bidi w:val="0"/>
              <w:adjustRightInd/>
              <w:snapToGrid/>
              <w:spacing w:line="480" w:lineRule="exact"/>
              <w:textAlignment w:val="auto"/>
              <w:rPr>
                <w:bCs/>
              </w:rPr>
            </w:pPr>
            <w:r>
              <w:rPr>
                <w:bCs/>
              </w:rPr>
              <w:t>（1）大气环境影响结论</w:t>
            </w:r>
          </w:p>
          <w:p>
            <w:pPr>
              <w:pStyle w:val="11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bCs/>
                <w:lang w:val="en-US" w:eastAsia="zh-CN"/>
              </w:rPr>
            </w:pPr>
            <w:r>
              <w:rPr>
                <w:rFonts w:hint="eastAsia"/>
                <w:bCs/>
                <w:lang w:val="en-US" w:eastAsia="zh-CN"/>
              </w:rPr>
              <w:t>变更项目主要增加了蒸汽锅炉（2t/h）烟气排放，由于天然气锅炉采用清洁能源（天然气）为燃料，且设置低氮燃烧装置，新增的污染物排放量相对较小。只要确保环保设施正常运行，各类大气污染物排放均可满足相应标准限值要求，不会改变区域内大气环境质量的现有等级；项目环境非防护距离设置为100m，项目选址符合环境防护距离要求。项目变更对周围大气环境的影响可接受。</w:t>
            </w:r>
          </w:p>
          <w:p>
            <w:pPr>
              <w:pStyle w:val="111"/>
              <w:keepNext w:val="0"/>
              <w:keepLines w:val="0"/>
              <w:pageBreakBefore w:val="0"/>
              <w:widowControl w:val="0"/>
              <w:kinsoku/>
              <w:wordWrap/>
              <w:overflowPunct/>
              <w:topLinePunct w:val="0"/>
              <w:autoSpaceDE/>
              <w:autoSpaceDN/>
              <w:bidi w:val="0"/>
              <w:adjustRightInd/>
              <w:snapToGrid/>
              <w:spacing w:line="480" w:lineRule="exact"/>
              <w:textAlignment w:val="auto"/>
              <w:rPr>
                <w:bCs/>
              </w:rPr>
            </w:pPr>
            <w:r>
              <w:rPr>
                <w:bCs/>
              </w:rPr>
              <w:t>（2）水环境影响结论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bCs/>
                <w:lang w:val="en-US" w:eastAsia="zh-CN"/>
              </w:rPr>
            </w:pPr>
            <w:r>
              <w:rPr>
                <w:rFonts w:hint="eastAsia"/>
                <w:sz w:val="24"/>
                <w:szCs w:val="24"/>
                <w:lang w:val="en-US" w:eastAsia="zh-CN"/>
              </w:rPr>
              <w:t>变更项目产生的废水类别较变更前相比，减少了废气治理废水，增加了硫化罐清洗废水、锅炉排水和硫化工段蒸汽冷凝废水</w:t>
            </w:r>
            <w:r>
              <w:rPr>
                <w:rFonts w:hint="eastAsia"/>
                <w:sz w:val="24"/>
                <w:szCs w:val="24"/>
              </w:rPr>
              <w:t>。</w:t>
            </w:r>
            <w:r>
              <w:rPr>
                <w:rFonts w:hint="eastAsia"/>
                <w:sz w:val="24"/>
                <w:szCs w:val="24"/>
                <w:lang w:val="en-US" w:eastAsia="zh-CN"/>
              </w:rPr>
              <w:t>废水排放量较变更前增加了4388.3t/a。废水污染物排放量较变更前增加量为：COD增量为0.163t/a，BOD增量为0.048t/a，SS增量为0.052t/a，NH</w:t>
            </w:r>
            <w:r>
              <w:rPr>
                <w:rFonts w:hint="eastAsia"/>
                <w:sz w:val="24"/>
                <w:szCs w:val="24"/>
                <w:vertAlign w:val="subscript"/>
                <w:lang w:val="en-US" w:eastAsia="zh-CN"/>
              </w:rPr>
              <w:t>3</w:t>
            </w:r>
            <w:r>
              <w:rPr>
                <w:rFonts w:hint="eastAsia"/>
                <w:sz w:val="24"/>
                <w:szCs w:val="24"/>
                <w:lang w:val="en-US" w:eastAsia="zh-CN"/>
              </w:rPr>
              <w:t>-N增量为0.026t/a。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sz w:val="24"/>
                <w:szCs w:val="24"/>
              </w:rPr>
              <w:t>（3）声环境影响结论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szCs w:val="24"/>
              </w:rPr>
            </w:pPr>
            <w:r>
              <w:rPr>
                <w:rFonts w:hint="eastAsia"/>
                <w:sz w:val="24"/>
                <w:szCs w:val="24"/>
                <w:lang w:val="en-US" w:eastAsia="zh-CN"/>
              </w:rPr>
              <w:t>变更项目新增的硫化罐设备噪声相对较小，采取减震隔声等措施后，项目厂界昼、夜间噪声排放均可实现达标排放，能够满足《工业企业厂界环境噪声排放标准》中3类排放标准要求，对周围声环境质量的不利影响较小</w:t>
            </w:r>
            <w:r>
              <w:rPr>
                <w:rFonts w:hint="eastAsia"/>
                <w:sz w:val="24"/>
                <w:szCs w:val="24"/>
              </w:rPr>
              <w:t>。</w:t>
            </w:r>
          </w:p>
          <w:p>
            <w:pPr>
              <w:pStyle w:val="111"/>
              <w:keepNext w:val="0"/>
              <w:keepLines w:val="0"/>
              <w:pageBreakBefore w:val="0"/>
              <w:widowControl w:val="0"/>
              <w:kinsoku/>
              <w:wordWrap/>
              <w:overflowPunct/>
              <w:topLinePunct w:val="0"/>
              <w:autoSpaceDE/>
              <w:autoSpaceDN/>
              <w:bidi w:val="0"/>
              <w:adjustRightInd/>
              <w:snapToGrid/>
              <w:spacing w:line="480" w:lineRule="exact"/>
              <w:ind w:firstLine="482"/>
              <w:textAlignment w:val="auto"/>
              <w:rPr>
                <w:b/>
                <w:bCs/>
              </w:rPr>
            </w:pPr>
            <w:r>
              <w:rPr>
                <w:rFonts w:hint="eastAsia"/>
                <w:b/>
                <w:bCs/>
              </w:rPr>
              <w:t>3、综合结论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z w:val="24"/>
              </w:rPr>
            </w:pPr>
            <w:bookmarkStart w:id="8" w:name="_Toc513559102"/>
            <w:bookmarkStart w:id="9" w:name="_Toc505687187"/>
            <w:r>
              <w:rPr>
                <w:rFonts w:hint="default" w:ascii="Times New Roman" w:hAnsi="Times New Roman" w:cs="Times New Roman"/>
                <w:sz w:val="24"/>
              </w:rPr>
              <w:t>变更项目废气污染物排放量增加不多，新增的硫化罐设备噪声相对较小，废气和噪声对区域环境影响程度较变更前不增大。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项目变更后，厂区废水经收集后，进地埋式污水处理设施处理，废水排放可满足《橡胶制品工业污染物排放标准》(GB27632-2011) 中间接标准和南山污水厂接管要求，变更项目废水污染物排放不会改变区域地表水现有水环境功能级别。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因此项目变更可行。</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4.2审批部门审批意见</w:t>
            </w:r>
            <w:bookmarkEnd w:id="8"/>
            <w:bookmarkEnd w:id="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rPr>
              <w:t>20</w:t>
            </w:r>
            <w:r>
              <w:rPr>
                <w:rFonts w:hint="eastAsia" w:cs="Times New Roman"/>
                <w:sz w:val="24"/>
                <w:lang w:val="en-US" w:eastAsia="zh-CN"/>
              </w:rPr>
              <w:t>19</w:t>
            </w:r>
            <w:r>
              <w:rPr>
                <w:rFonts w:hint="default" w:ascii="Times New Roman" w:hAnsi="Times New Roman" w:cs="Times New Roman"/>
                <w:sz w:val="24"/>
              </w:rPr>
              <w:t>年</w:t>
            </w:r>
            <w:r>
              <w:rPr>
                <w:rFonts w:hint="eastAsia" w:cs="Times New Roman"/>
                <w:sz w:val="24"/>
                <w:lang w:val="en-US" w:eastAsia="zh-CN"/>
              </w:rPr>
              <w:t>1</w:t>
            </w:r>
            <w:r>
              <w:rPr>
                <w:rFonts w:hint="default" w:ascii="Times New Roman" w:hAnsi="Times New Roman" w:cs="Times New Roman"/>
                <w:sz w:val="24"/>
              </w:rPr>
              <w:t>月2</w:t>
            </w:r>
            <w:r>
              <w:rPr>
                <w:rFonts w:hint="eastAsia" w:cs="Times New Roman"/>
                <w:sz w:val="24"/>
                <w:lang w:val="en-US" w:eastAsia="zh-CN"/>
              </w:rPr>
              <w:t>4</w:t>
            </w:r>
            <w:r>
              <w:rPr>
                <w:rFonts w:hint="default" w:ascii="Times New Roman" w:hAnsi="Times New Roman" w:cs="Times New Roman"/>
                <w:sz w:val="24"/>
              </w:rPr>
              <w:t>日，</w:t>
            </w:r>
            <w:r>
              <w:rPr>
                <w:rFonts w:hint="eastAsia" w:cs="Times New Roman"/>
                <w:sz w:val="24"/>
                <w:lang w:val="en-US" w:eastAsia="zh-CN"/>
              </w:rPr>
              <w:t>宁国市环境保护</w:t>
            </w:r>
            <w:r>
              <w:rPr>
                <w:rFonts w:hint="default" w:ascii="Times New Roman" w:hAnsi="Times New Roman" w:cs="Times New Roman"/>
                <w:sz w:val="24"/>
              </w:rPr>
              <w:t>局以宁环[2</w:t>
            </w:r>
            <w:r>
              <w:rPr>
                <w:rFonts w:hint="eastAsia" w:cs="Times New Roman"/>
                <w:sz w:val="24"/>
                <w:lang w:val="en-US" w:eastAsia="zh-CN"/>
              </w:rPr>
              <w:t>019</w:t>
            </w:r>
            <w:r>
              <w:rPr>
                <w:rFonts w:hint="default" w:ascii="Times New Roman" w:hAnsi="Times New Roman" w:cs="Times New Roman"/>
                <w:sz w:val="24"/>
              </w:rPr>
              <w:t>]</w:t>
            </w:r>
            <w:r>
              <w:rPr>
                <w:rFonts w:hint="default" w:ascii="Times New Roman" w:hAnsi="Times New Roman" w:cs="Times New Roman"/>
                <w:sz w:val="24"/>
                <w:lang w:val="en-US" w:eastAsia="zh-CN"/>
              </w:rPr>
              <w:t>3</w:t>
            </w:r>
            <w:r>
              <w:rPr>
                <w:rFonts w:hint="eastAsia" w:cs="Times New Roman"/>
                <w:sz w:val="24"/>
                <w:lang w:val="en-US" w:eastAsia="zh-CN"/>
              </w:rPr>
              <w:t>4</w:t>
            </w:r>
            <w:r>
              <w:rPr>
                <w:rFonts w:hint="default" w:ascii="Times New Roman" w:hAnsi="Times New Roman" w:cs="Times New Roman"/>
                <w:sz w:val="24"/>
              </w:rPr>
              <w:t>号文“关于</w:t>
            </w:r>
            <w:r>
              <w:rPr>
                <w:rFonts w:hint="eastAsia" w:cs="Times New Roman"/>
                <w:sz w:val="24"/>
                <w:lang w:val="en-US" w:eastAsia="zh-CN"/>
              </w:rPr>
              <w:t>安徽都邦电器有限公司汽车零部件及家电配件生产项目硫化工艺变更环境影响说明的复函</w:t>
            </w:r>
            <w:r>
              <w:rPr>
                <w:rFonts w:hint="default" w:ascii="Times New Roman" w:hAnsi="Times New Roman" w:cs="Times New Roman"/>
                <w:sz w:val="24"/>
              </w:rPr>
              <w:t>”同意项目建设。主要要求如下：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s="Times New Roman"/>
                <w:sz w:val="24"/>
                <w:lang w:val="en-US" w:eastAsia="zh-CN"/>
              </w:rPr>
            </w:pPr>
            <w:r>
              <w:rPr>
                <w:rFonts w:hint="eastAsia" w:cs="Times New Roman"/>
                <w:sz w:val="24"/>
                <w:lang w:val="en-US" w:eastAsia="zh-CN"/>
              </w:rPr>
              <w:t>一、安徽都邦电器有限公司汽车零部件及家电配件生产项目选址于宁国经济技术开发区南山园区环形通道，该项目环境影响报告书已于2017年3月20日经我局宁环审批[2017]35号文审批通过。现该项目主体工艺不变，硫化方式由烘箱加热硫化变更为硫化罐蒸汽加热硫化，变更后，增加2t/h蒸汽锅炉1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二、该项目废水排放执行《橡胶制品工业污染物排放标准》(GB27632-2011)表2中新建企业水污染物间接排放限值和南山园区污水处理厂接管标准。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三、该项目工艺废气排放执行《橡胶制品工业污染物排放标准》( GB27632-2011)新建企业大气污染物排放限值</w:t>
            </w:r>
            <w:r>
              <w:rPr>
                <w:rFonts w:hint="eastAsia" w:cs="Times New Roman"/>
                <w:sz w:val="24"/>
                <w:lang w:val="en-US" w:eastAsia="zh-CN"/>
              </w:rPr>
              <w:t>；</w:t>
            </w:r>
            <w:r>
              <w:rPr>
                <w:rFonts w:hint="eastAsia" w:ascii="Times New Roman" w:hAnsi="Times New Roman" w:eastAsia="宋体" w:cs="Times New Roman"/>
                <w:sz w:val="24"/>
                <w:lang w:val="en-US" w:eastAsia="zh-CN"/>
              </w:rPr>
              <w:t>硫化氢废气排放须执行《恶臭污染物排放标准》(GB14554-93) 中二级标准</w:t>
            </w:r>
            <w:r>
              <w:rPr>
                <w:rFonts w:hint="eastAsia" w:cs="Times New Roman"/>
                <w:sz w:val="24"/>
                <w:lang w:val="en-US" w:eastAsia="zh-CN"/>
              </w:rPr>
              <w:t>；</w:t>
            </w:r>
            <w:r>
              <w:rPr>
                <w:rFonts w:hint="eastAsia" w:ascii="Times New Roman" w:hAnsi="Times New Roman" w:eastAsia="宋体" w:cs="Times New Roman"/>
                <w:sz w:val="24"/>
                <w:lang w:val="en-US" w:eastAsia="zh-CN"/>
              </w:rPr>
              <w:t>锅炉废气排放执行《锅炉大气污染物排放标准》(GB13271-2014)中表3的特别品排放限值标准</w:t>
            </w:r>
            <w:r>
              <w:rPr>
                <w:rFonts w:hint="eastAsia" w:cs="Times New Roman"/>
                <w:sz w:val="24"/>
                <w:lang w:val="en-US" w:eastAsia="zh-CN"/>
              </w:rPr>
              <w:t>；</w:t>
            </w:r>
            <w:r>
              <w:rPr>
                <w:rFonts w:hint="eastAsia" w:ascii="Times New Roman" w:hAnsi="Times New Roman" w:eastAsia="宋体" w:cs="Times New Roman"/>
                <w:sz w:val="24"/>
                <w:lang w:val="en-US" w:eastAsia="zh-CN"/>
              </w:rPr>
              <w:t>食堂油烟排放须满足《饮食业油烟排放标准》(GB18483-2001)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四、该项目噪声执行《工业企业厂界环境噪声排放标准》(GB12348-2008)中的3类标准。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五、该项目固体废弃物执行《一般工业固体废弃物贮存、处置场污染控制标准》( GB18599-2001)及其修改单，危险废物执行《危险废物贮存污染控制标准》(GB12348-2008)及其修改单。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六、项目变更后总量控制指标COD为0. 496t/a</w:t>
            </w:r>
            <w:r>
              <w:rPr>
                <w:rFonts w:hint="eastAsia" w:cs="Times New Roman"/>
                <w:sz w:val="24"/>
                <w:lang w:val="en-US" w:eastAsia="zh-CN"/>
              </w:rPr>
              <w:t>，</w:t>
            </w:r>
            <w:r>
              <w:rPr>
                <w:rFonts w:hint="eastAsia" w:ascii="Times New Roman" w:hAnsi="Times New Roman" w:eastAsia="宋体" w:cs="Times New Roman"/>
                <w:sz w:val="24"/>
                <w:lang w:val="en-US" w:eastAsia="zh-CN"/>
              </w:rPr>
              <w:t xml:space="preserve"> NH</w:t>
            </w:r>
            <w:r>
              <w:rPr>
                <w:rFonts w:hint="eastAsia" w:ascii="Times New Roman" w:hAnsi="Times New Roman" w:eastAsia="宋体" w:cs="Times New Roman"/>
                <w:sz w:val="24"/>
                <w:vertAlign w:val="subscript"/>
                <w:lang w:val="en-US" w:eastAsia="zh-CN"/>
              </w:rPr>
              <w:t>3</w:t>
            </w:r>
            <w:r>
              <w:rPr>
                <w:rFonts w:hint="eastAsia" w:ascii="Times New Roman" w:hAnsi="Times New Roman" w:eastAsia="宋体" w:cs="Times New Roman"/>
                <w:sz w:val="24"/>
                <w:lang w:val="en-US" w:eastAsia="zh-CN"/>
              </w:rPr>
              <w:t>-N为0.05t/a</w:t>
            </w:r>
            <w:r>
              <w:rPr>
                <w:rFonts w:hint="eastAsia" w:cs="Times New Roman"/>
                <w:sz w:val="24"/>
                <w:lang w:val="en-US" w:eastAsia="zh-CN"/>
              </w:rPr>
              <w:t>，</w:t>
            </w:r>
            <w:r>
              <w:rPr>
                <w:rFonts w:hint="eastAsia" w:ascii="Times New Roman" w:hAnsi="Times New Roman" w:eastAsia="宋体" w:cs="Times New Roman"/>
                <w:sz w:val="24"/>
                <w:lang w:val="en-US" w:eastAsia="zh-CN"/>
              </w:rPr>
              <w:t>SO</w:t>
            </w:r>
            <w:r>
              <w:rPr>
                <w:rFonts w:hint="eastAsia" w:cs="Times New Roman"/>
                <w:sz w:val="24"/>
                <w:vertAlign w:val="subscript"/>
                <w:lang w:val="en-US" w:eastAsia="zh-CN"/>
              </w:rPr>
              <w:t>2</w:t>
            </w:r>
            <w:r>
              <w:rPr>
                <w:rFonts w:hint="eastAsia" w:ascii="Times New Roman" w:hAnsi="Times New Roman" w:eastAsia="宋体" w:cs="Times New Roman"/>
                <w:sz w:val="24"/>
                <w:lang w:val="en-US" w:eastAsia="zh-CN"/>
              </w:rPr>
              <w:t>为0. 038t/a</w:t>
            </w:r>
            <w:r>
              <w:rPr>
                <w:rFonts w:hint="eastAsia" w:cs="Times New Roman"/>
                <w:sz w:val="24"/>
                <w:lang w:val="en-US" w:eastAsia="zh-CN"/>
              </w:rPr>
              <w:t>，</w:t>
            </w:r>
            <w:r>
              <w:rPr>
                <w:rFonts w:hint="eastAsia" w:ascii="Times New Roman" w:hAnsi="Times New Roman" w:eastAsia="宋体" w:cs="Times New Roman"/>
                <w:sz w:val="24"/>
                <w:lang w:val="en-US" w:eastAsia="zh-CN"/>
              </w:rPr>
              <w:t>NOx为0. 157t/a</w:t>
            </w:r>
            <w:r>
              <w:rPr>
                <w:rFonts w:hint="eastAsia" w:cs="Times New Roman"/>
                <w:sz w:val="24"/>
                <w:lang w:val="en-US" w:eastAsia="zh-CN"/>
              </w:rPr>
              <w:t>，</w:t>
            </w:r>
            <w:r>
              <w:rPr>
                <w:rFonts w:hint="eastAsia" w:ascii="Times New Roman" w:hAnsi="Times New Roman" w:eastAsia="宋体" w:cs="Times New Roman"/>
                <w:sz w:val="24"/>
                <w:lang w:val="en-US" w:eastAsia="zh-CN"/>
              </w:rPr>
              <w:t>烟粉尘为0. 33t/a</w:t>
            </w:r>
            <w:r>
              <w:rPr>
                <w:rFonts w:hint="eastAsia" w:cs="Times New Roman"/>
                <w:sz w:val="24"/>
                <w:lang w:val="en-US" w:eastAsia="zh-CN"/>
              </w:rPr>
              <w:t>，</w:t>
            </w:r>
            <w:r>
              <w:rPr>
                <w:rFonts w:hint="eastAsia" w:ascii="Times New Roman" w:hAnsi="Times New Roman" w:eastAsia="宋体" w:cs="Times New Roman"/>
                <w:sz w:val="24"/>
                <w:lang w:val="en-US" w:eastAsia="zh-CN"/>
              </w:rPr>
              <w:t>VOCs为0. 088t/a。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七、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rPr>
            </w:pPr>
            <w:bookmarkStart w:id="10" w:name="_Toc505687188"/>
            <w:bookmarkStart w:id="11" w:name="_Toc513559103"/>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4.3审批意见落实情况</w:t>
            </w:r>
            <w:bookmarkEnd w:id="10"/>
            <w:bookmarkEnd w:id="1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z w:val="24"/>
              </w:rPr>
            </w:pPr>
            <w:bookmarkStart w:id="12" w:name="_Toc497001471"/>
            <w:r>
              <w:rPr>
                <w:rFonts w:hint="eastAsia" w:ascii="Times New Roman" w:hAnsi="Times New Roman" w:cs="Times New Roman"/>
                <w:sz w:val="24"/>
              </w:rPr>
              <w:t>主要</w:t>
            </w:r>
            <w:r>
              <w:rPr>
                <w:rFonts w:hint="default" w:ascii="Times New Roman" w:hAnsi="Times New Roman" w:cs="Times New Roman"/>
                <w:sz w:val="24"/>
              </w:rPr>
              <w:t>审批意见落实情况详见下表</w:t>
            </w:r>
            <w:r>
              <w:rPr>
                <w:rFonts w:hint="eastAsia" w:ascii="Times New Roman" w:hAnsi="Times New Roman" w:cs="Times New Roman"/>
                <w:sz w:val="24"/>
              </w:rPr>
              <w:t>4</w:t>
            </w:r>
            <w:r>
              <w:rPr>
                <w:rFonts w:hint="default" w:ascii="Times New Roman" w:hAnsi="Times New Roman" w:cs="Times New Roman"/>
                <w:sz w:val="24"/>
              </w:rPr>
              <w:t>-1。</w:t>
            </w:r>
            <w:bookmarkEnd w:id="12"/>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bCs/>
                <w:sz w:val="21"/>
                <w:szCs w:val="16"/>
              </w:rPr>
            </w:pPr>
            <w:r>
              <w:rPr>
                <w:rFonts w:hint="default" w:ascii="Times New Roman" w:hAnsi="Times New Roman" w:cs="Times New Roman"/>
                <w:b/>
                <w:bCs/>
                <w:sz w:val="21"/>
                <w:szCs w:val="16"/>
              </w:rPr>
              <w:t>表4-1  环评审批意见落实情况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0"/>
              <w:gridCol w:w="4244"/>
              <w:gridCol w:w="4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7" w:type="pct"/>
                  <w:vAlign w:val="center"/>
                </w:tcPr>
                <w:p>
                  <w:pPr>
                    <w:jc w:val="center"/>
                    <w:rPr>
                      <w:szCs w:val="21"/>
                    </w:rPr>
                  </w:pPr>
                  <w:r>
                    <w:rPr>
                      <w:rFonts w:hAnsi="宋体"/>
                      <w:szCs w:val="21"/>
                    </w:rPr>
                    <w:t>序号</w:t>
                  </w:r>
                </w:p>
              </w:tc>
              <w:tc>
                <w:tcPr>
                  <w:tcW w:w="2341" w:type="pct"/>
                  <w:vAlign w:val="center"/>
                </w:tcPr>
                <w:p>
                  <w:pPr>
                    <w:jc w:val="center"/>
                    <w:rPr>
                      <w:szCs w:val="21"/>
                    </w:rPr>
                  </w:pPr>
                  <w:r>
                    <w:rPr>
                      <w:rFonts w:hAnsi="宋体"/>
                      <w:szCs w:val="21"/>
                    </w:rPr>
                    <w:t>审批意见内容</w:t>
                  </w:r>
                </w:p>
              </w:tc>
              <w:tc>
                <w:tcPr>
                  <w:tcW w:w="2321" w:type="pct"/>
                  <w:vAlign w:val="center"/>
                </w:tcPr>
                <w:p>
                  <w:pPr>
                    <w:jc w:val="center"/>
                    <w:rPr>
                      <w:szCs w:val="21"/>
                    </w:rPr>
                  </w:pPr>
                  <w:r>
                    <w:rPr>
                      <w:rFonts w:hAnsi="宋体"/>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7" w:type="pct"/>
                  <w:vAlign w:val="center"/>
                </w:tcPr>
                <w:p>
                  <w:pPr>
                    <w:jc w:val="center"/>
                    <w:rPr>
                      <w:szCs w:val="21"/>
                    </w:rPr>
                  </w:pPr>
                  <w:r>
                    <w:rPr>
                      <w:rFonts w:hint="eastAsia"/>
                      <w:szCs w:val="21"/>
                    </w:rPr>
                    <w:t>1</w:t>
                  </w:r>
                </w:p>
              </w:tc>
              <w:tc>
                <w:tcPr>
                  <w:tcW w:w="2341" w:type="pct"/>
                  <w:vAlign w:val="center"/>
                </w:tcPr>
                <w:p>
                  <w:pPr>
                    <w:jc w:val="center"/>
                    <w:rPr>
                      <w:szCs w:val="21"/>
                    </w:rPr>
                  </w:pPr>
                  <w:r>
                    <w:rPr>
                      <w:rFonts w:hint="eastAsia"/>
                      <w:szCs w:val="21"/>
                      <w:lang w:val="en-US" w:eastAsia="zh-CN"/>
                    </w:rPr>
                    <w:t>该项目废水排放执行《橡胶制品工业污染物排放标准》(GB27632-2011)表2中新建企业水污染物间接排放限值和南山园区污水处理厂接管标准。</w:t>
                  </w:r>
                </w:p>
              </w:tc>
              <w:tc>
                <w:tcPr>
                  <w:tcW w:w="2321" w:type="pct"/>
                  <w:vAlign w:val="center"/>
                </w:tcPr>
                <w:p>
                  <w:pPr>
                    <w:jc w:val="center"/>
                    <w:rPr>
                      <w:rFonts w:hint="default" w:eastAsia="宋体"/>
                      <w:szCs w:val="21"/>
                      <w:lang w:val="en-US" w:eastAsia="zh-CN"/>
                    </w:rPr>
                  </w:pPr>
                  <w:r>
                    <w:rPr>
                      <w:rFonts w:hint="eastAsia"/>
                      <w:b/>
                      <w:szCs w:val="21"/>
                    </w:rPr>
                    <w:t>已落实</w:t>
                  </w:r>
                  <w:r>
                    <w:rPr>
                      <w:rFonts w:hint="eastAsia"/>
                      <w:b/>
                      <w:szCs w:val="21"/>
                      <w:lang w:eastAsia="zh-CN"/>
                    </w:rPr>
                    <w:t>；</w:t>
                  </w:r>
                  <w:r>
                    <w:rPr>
                      <w:rFonts w:hint="eastAsia"/>
                      <w:szCs w:val="21"/>
                      <w:lang w:val="en-US" w:eastAsia="zh-CN"/>
                    </w:rPr>
                    <w:t>项目生产废水经过一体化设施处理后外排，实际运行过程中设施处理规模可以满足全厂生产废水的处理要求；项目外排废水可以满足《橡胶制品工业污染物排放标准》(GB27632-2011)表2中新建企业水污染物间接排放限值和南山园区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7" w:type="pct"/>
                  <w:vAlign w:val="center"/>
                </w:tcPr>
                <w:p>
                  <w:pPr>
                    <w:jc w:val="center"/>
                    <w:rPr>
                      <w:szCs w:val="21"/>
                    </w:rPr>
                  </w:pPr>
                  <w:r>
                    <w:rPr>
                      <w:rFonts w:hint="eastAsia"/>
                      <w:szCs w:val="21"/>
                    </w:rPr>
                    <w:t>2</w:t>
                  </w:r>
                </w:p>
              </w:tc>
              <w:tc>
                <w:tcPr>
                  <w:tcW w:w="2341" w:type="pct"/>
                  <w:vAlign w:val="center"/>
                </w:tcPr>
                <w:p>
                  <w:pPr>
                    <w:jc w:val="center"/>
                    <w:rPr>
                      <w:szCs w:val="21"/>
                    </w:rPr>
                  </w:pPr>
                  <w:r>
                    <w:rPr>
                      <w:rFonts w:hint="eastAsia"/>
                      <w:szCs w:val="21"/>
                      <w:lang w:val="en-US" w:eastAsia="zh-CN"/>
                    </w:rPr>
                    <w:t>该项目工艺废气排放执行《橡胶制品工业污染物排放标准》( GB27632-2011)新建企业大气污染物排放限值；硫化氢废气排放须执行《恶臭污染物排放标准》(GB14554-93) 中二级标准；锅炉废气排放执行《锅炉大气污染物排放标准》(GB13271-2014)中表3的特别品排放限值标准；食堂油烟排放须满足《饮食业油烟排放标准》(GB18483-2001)</w:t>
                  </w:r>
                </w:p>
              </w:tc>
              <w:tc>
                <w:tcPr>
                  <w:tcW w:w="2321" w:type="pct"/>
                  <w:vAlign w:val="center"/>
                </w:tcPr>
                <w:p>
                  <w:pPr>
                    <w:jc w:val="center"/>
                    <w:rPr>
                      <w:rFonts w:hint="default" w:eastAsia="宋体"/>
                      <w:szCs w:val="21"/>
                      <w:lang w:val="en-US" w:eastAsia="zh-CN"/>
                    </w:rPr>
                  </w:pPr>
                  <w:r>
                    <w:rPr>
                      <w:rFonts w:hint="eastAsia"/>
                      <w:b/>
                      <w:szCs w:val="21"/>
                    </w:rPr>
                    <w:t>已落实</w:t>
                  </w:r>
                  <w:r>
                    <w:rPr>
                      <w:rFonts w:hint="eastAsia"/>
                      <w:b/>
                      <w:szCs w:val="21"/>
                      <w:lang w:eastAsia="zh-CN"/>
                    </w:rPr>
                    <w:t>；</w:t>
                  </w:r>
                  <w:r>
                    <w:rPr>
                      <w:rFonts w:hint="eastAsia"/>
                      <w:szCs w:val="21"/>
                      <w:lang w:val="en-US" w:eastAsia="zh-CN"/>
                    </w:rPr>
                    <w:t>工艺废气排放可以满足《橡胶制品工业污染物排放标准》( GB27632-2011)新建企业大气污染物排放限值；硫化氢废气排放须满足《恶臭污染物排放标准》(GB14554-93) 中二级标准；锅炉废气排放满足《锅炉大气污染物排放标准》(GB13271-2014)中表3的特别品排放限值标准；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7" w:type="pct"/>
                  <w:vAlign w:val="center"/>
                </w:tcPr>
                <w:p>
                  <w:pPr>
                    <w:jc w:val="center"/>
                    <w:rPr>
                      <w:szCs w:val="21"/>
                    </w:rPr>
                  </w:pPr>
                  <w:r>
                    <w:rPr>
                      <w:rFonts w:hint="eastAsia"/>
                      <w:szCs w:val="21"/>
                    </w:rPr>
                    <w:t>3</w:t>
                  </w:r>
                </w:p>
              </w:tc>
              <w:tc>
                <w:tcPr>
                  <w:tcW w:w="2341" w:type="pct"/>
                  <w:vAlign w:val="center"/>
                </w:tcPr>
                <w:p>
                  <w:pPr>
                    <w:jc w:val="center"/>
                    <w:rPr>
                      <w:szCs w:val="21"/>
                    </w:rPr>
                  </w:pPr>
                  <w:r>
                    <w:rPr>
                      <w:rFonts w:hint="eastAsia"/>
                      <w:szCs w:val="21"/>
                      <w:lang w:val="en-US" w:eastAsia="zh-CN"/>
                    </w:rPr>
                    <w:t>该项目噪声执行《工业企业厂界环境噪声排放标准》(GB12348-2008)中的3类标准；</w:t>
                  </w:r>
                </w:p>
              </w:tc>
              <w:tc>
                <w:tcPr>
                  <w:tcW w:w="2321" w:type="pct"/>
                  <w:vAlign w:val="center"/>
                </w:tcPr>
                <w:p>
                  <w:pPr>
                    <w:jc w:val="center"/>
                    <w:rPr>
                      <w:szCs w:val="21"/>
                    </w:rPr>
                  </w:pPr>
                  <w:r>
                    <w:rPr>
                      <w:rFonts w:hint="eastAsia"/>
                      <w:b/>
                      <w:szCs w:val="21"/>
                    </w:rPr>
                    <w:t>已落实</w:t>
                  </w:r>
                  <w:r>
                    <w:rPr>
                      <w:rFonts w:hint="eastAsia"/>
                      <w:b/>
                      <w:szCs w:val="21"/>
                      <w:lang w:eastAsia="zh-CN"/>
                    </w:rPr>
                    <w:t>；</w:t>
                  </w:r>
                  <w:r>
                    <w:rPr>
                      <w:rFonts w:hint="eastAsia"/>
                      <w:szCs w:val="21"/>
                    </w:rPr>
                    <w:t>建设隔声、消声等措施降低噪声；厂界噪声监测符合相关标准要求。</w:t>
                  </w:r>
                  <w:r>
                    <w:rPr>
                      <w:rFonts w:hint="eastAsia"/>
                      <w:szCs w:val="21"/>
                      <w:lang w:val="en-US" w:eastAsia="zh-CN"/>
                    </w:rPr>
                    <w:t>厂界噪声《工业企业厂界环境噪声排放标准》(GB12348-2008)中的3类标准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6" w:hRule="atLeast"/>
                <w:jc w:val="center"/>
              </w:trPr>
              <w:tc>
                <w:tcPr>
                  <w:tcW w:w="337" w:type="pct"/>
                  <w:vAlign w:val="center"/>
                </w:tcPr>
                <w:p>
                  <w:pPr>
                    <w:jc w:val="center"/>
                    <w:rPr>
                      <w:szCs w:val="21"/>
                    </w:rPr>
                  </w:pPr>
                  <w:r>
                    <w:rPr>
                      <w:rFonts w:hint="eastAsia"/>
                      <w:szCs w:val="21"/>
                    </w:rPr>
                    <w:t>4</w:t>
                  </w:r>
                </w:p>
              </w:tc>
              <w:tc>
                <w:tcPr>
                  <w:tcW w:w="2341" w:type="pct"/>
                  <w:vAlign w:val="center"/>
                </w:tcPr>
                <w:p>
                  <w:pPr>
                    <w:widowControl/>
                    <w:jc w:val="center"/>
                    <w:rPr>
                      <w:rFonts w:hAnsi="宋体"/>
                      <w:szCs w:val="21"/>
                    </w:rPr>
                  </w:pPr>
                  <w:r>
                    <w:rPr>
                      <w:rFonts w:hint="eastAsia"/>
                    </w:rPr>
                    <w:t>该项目</w:t>
                  </w:r>
                  <w:r>
                    <w:rPr>
                      <w:rFonts w:hint="eastAsia"/>
                      <w:lang w:val="en-US" w:eastAsia="zh-CN"/>
                    </w:rPr>
                    <w:t>固体废弃物执行《一般工业固体废弃物贮存、处置场污染控制标准》( GB18599-2001)及其修改单，危险废物执行《危险废物贮存污染控制标准》(GB12348-2008)及其修改单。</w:t>
                  </w:r>
                </w:p>
              </w:tc>
              <w:tc>
                <w:tcPr>
                  <w:tcW w:w="2321" w:type="pct"/>
                  <w:vAlign w:val="center"/>
                </w:tcPr>
                <w:p>
                  <w:pPr>
                    <w:widowControl/>
                    <w:jc w:val="center"/>
                    <w:rPr>
                      <w:szCs w:val="21"/>
                    </w:rPr>
                  </w:pPr>
                  <w:r>
                    <w:rPr>
                      <w:rFonts w:hint="eastAsia"/>
                      <w:b/>
                      <w:szCs w:val="21"/>
                    </w:rPr>
                    <w:t>已落实</w:t>
                  </w:r>
                  <w:r>
                    <w:rPr>
                      <w:rFonts w:hint="eastAsia"/>
                      <w:b/>
                      <w:szCs w:val="21"/>
                      <w:lang w:eastAsia="zh-CN"/>
                    </w:rPr>
                    <w:t>；</w:t>
                  </w:r>
                  <w:r>
                    <w:rPr>
                      <w:rFonts w:hint="eastAsia"/>
                      <w:bCs/>
                      <w:szCs w:val="21"/>
                    </w:rPr>
                    <w:t>项目各固体废物均采取有效处置措施；建设危废暂存间1间，一般固废暂存间1间，危废暂存间地面硬化，四周设置导流沟，地面、裙角及导流沟进行防腐防渗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7" w:type="pct"/>
                  <w:vAlign w:val="center"/>
                </w:tcPr>
                <w:p>
                  <w:pPr>
                    <w:jc w:val="center"/>
                    <w:rPr>
                      <w:szCs w:val="21"/>
                    </w:rPr>
                  </w:pPr>
                  <w:r>
                    <w:rPr>
                      <w:rFonts w:hint="eastAsia"/>
                      <w:szCs w:val="21"/>
                    </w:rPr>
                    <w:t>5</w:t>
                  </w:r>
                </w:p>
              </w:tc>
              <w:tc>
                <w:tcPr>
                  <w:tcW w:w="2341" w:type="pct"/>
                  <w:vAlign w:val="center"/>
                </w:tcPr>
                <w:p>
                  <w:pPr>
                    <w:widowControl/>
                    <w:jc w:val="center"/>
                    <w:rPr>
                      <w:rFonts w:hAnsi="宋体"/>
                      <w:szCs w:val="21"/>
                    </w:rPr>
                  </w:pPr>
                  <w:r>
                    <w:rPr>
                      <w:rFonts w:hint="eastAsia" w:hAnsi="宋体"/>
                      <w:szCs w:val="21"/>
                      <w:lang w:val="en-US" w:eastAsia="zh-CN"/>
                    </w:rPr>
                    <w:t>项目变更后总量控制指标COD为0. 496t/a， NH</w:t>
                  </w:r>
                  <w:r>
                    <w:rPr>
                      <w:rFonts w:hint="eastAsia" w:hAnsi="宋体"/>
                      <w:szCs w:val="21"/>
                      <w:vertAlign w:val="subscript"/>
                      <w:lang w:val="en-US" w:eastAsia="zh-CN"/>
                    </w:rPr>
                    <w:t>3</w:t>
                  </w:r>
                  <w:r>
                    <w:rPr>
                      <w:rFonts w:hint="eastAsia" w:hAnsi="宋体"/>
                      <w:szCs w:val="21"/>
                      <w:lang w:val="en-US" w:eastAsia="zh-CN"/>
                    </w:rPr>
                    <w:t>-N为0.05t/a，SO</w:t>
                  </w:r>
                  <w:r>
                    <w:rPr>
                      <w:rFonts w:hint="eastAsia" w:hAnsi="宋体"/>
                      <w:szCs w:val="21"/>
                      <w:vertAlign w:val="subscript"/>
                      <w:lang w:val="en-US" w:eastAsia="zh-CN"/>
                    </w:rPr>
                    <w:t>2</w:t>
                  </w:r>
                  <w:r>
                    <w:rPr>
                      <w:rFonts w:hint="eastAsia" w:hAnsi="宋体"/>
                      <w:szCs w:val="21"/>
                      <w:lang w:val="en-US" w:eastAsia="zh-CN"/>
                    </w:rPr>
                    <w:t>为0. 038t/a，NOx为0. 157t/a，烟粉尘为0. 33t/a，VOCs为0. 088t/a。</w:t>
                  </w:r>
                </w:p>
              </w:tc>
              <w:tc>
                <w:tcPr>
                  <w:tcW w:w="2321" w:type="pct"/>
                  <w:vAlign w:val="center"/>
                </w:tcPr>
                <w:p>
                  <w:pPr>
                    <w:widowControl/>
                    <w:jc w:val="center"/>
                    <w:rPr>
                      <w:bCs/>
                      <w:szCs w:val="21"/>
                    </w:rPr>
                  </w:pPr>
                  <w:r>
                    <w:rPr>
                      <w:rFonts w:hint="eastAsia"/>
                      <w:b/>
                      <w:szCs w:val="21"/>
                    </w:rPr>
                    <w:t>已落实</w:t>
                  </w:r>
                  <w:r>
                    <w:rPr>
                      <w:rFonts w:hint="eastAsia"/>
                      <w:b/>
                      <w:szCs w:val="21"/>
                      <w:lang w:eastAsia="zh-CN"/>
                    </w:rPr>
                    <w:t>；</w:t>
                  </w:r>
                  <w:r>
                    <w:rPr>
                      <w:rFonts w:hint="eastAsia"/>
                      <w:bCs/>
                      <w:szCs w:val="21"/>
                    </w:rPr>
                    <w:t>项目排放污染物总量满足要求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7" w:type="pct"/>
                  <w:vAlign w:val="center"/>
                </w:tcPr>
                <w:p>
                  <w:pPr>
                    <w:jc w:val="center"/>
                    <w:rPr>
                      <w:szCs w:val="21"/>
                    </w:rPr>
                  </w:pPr>
                  <w:r>
                    <w:rPr>
                      <w:rFonts w:hint="eastAsia"/>
                      <w:szCs w:val="21"/>
                    </w:rPr>
                    <w:t>6</w:t>
                  </w:r>
                </w:p>
              </w:tc>
              <w:tc>
                <w:tcPr>
                  <w:tcW w:w="2341" w:type="pct"/>
                  <w:vAlign w:val="center"/>
                </w:tcPr>
                <w:p>
                  <w:pPr>
                    <w:widowControl/>
                    <w:jc w:val="center"/>
                    <w:rPr>
                      <w:rFonts w:hAnsi="宋体"/>
                      <w:szCs w:val="21"/>
                    </w:rPr>
                  </w:pPr>
                  <w:r>
                    <w:rPr>
                      <w:rFonts w:hint="eastAsia" w:hAnsi="宋体"/>
                      <w:szCs w:val="21"/>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321" w:type="pct"/>
                  <w:vAlign w:val="center"/>
                </w:tcPr>
                <w:p>
                  <w:pPr>
                    <w:widowControl/>
                    <w:jc w:val="center"/>
                    <w:rPr>
                      <w:bCs/>
                      <w:szCs w:val="21"/>
                    </w:rPr>
                  </w:pPr>
                  <w:r>
                    <w:rPr>
                      <w:rFonts w:hint="eastAsia"/>
                      <w:b/>
                      <w:szCs w:val="21"/>
                    </w:rPr>
                    <w:t>正在落实</w:t>
                  </w:r>
                  <w:r>
                    <w:rPr>
                      <w:rFonts w:hint="eastAsia"/>
                      <w:b/>
                      <w:szCs w:val="21"/>
                      <w:lang w:eastAsia="zh-CN"/>
                    </w:rPr>
                    <w:t>；</w:t>
                  </w:r>
                  <w:r>
                    <w:rPr>
                      <w:rFonts w:hint="eastAsia"/>
                      <w:bCs/>
                      <w:szCs w:val="21"/>
                    </w:rPr>
                    <w:t>项目正在履行环保“三同时”，已在线填报排污许可（</w:t>
                  </w:r>
                  <w:r>
                    <w:rPr>
                      <w:rFonts w:hint="eastAsia"/>
                      <w:bCs/>
                      <w:szCs w:val="21"/>
                      <w:lang w:val="en-US" w:eastAsia="zh-CN"/>
                    </w:rPr>
                    <w:t>简化</w:t>
                  </w:r>
                  <w:r>
                    <w:rPr>
                      <w:rFonts w:hint="eastAsia"/>
                      <w:bCs/>
                      <w:szCs w:val="21"/>
                    </w:rPr>
                    <w:t>管理）</w:t>
                  </w:r>
                </w:p>
              </w:tc>
            </w:tr>
          </w:tbl>
          <w:p>
            <w:pPr>
              <w:pStyle w:val="111"/>
              <w:ind w:firstLine="0" w:firstLineChars="0"/>
            </w:pPr>
          </w:p>
          <w:p>
            <w:pPr>
              <w:pStyle w:val="111"/>
              <w:ind w:firstLine="0" w:firstLineChars="0"/>
            </w:pPr>
          </w:p>
        </w:tc>
      </w:tr>
    </w:tbl>
    <w:p>
      <w:pPr>
        <w:pStyle w:val="72"/>
        <w:keepNext w:val="0"/>
        <w:keepLines w:val="0"/>
        <w:spacing w:line="240" w:lineRule="auto"/>
        <w:outlineLvl w:val="9"/>
        <w:rPr>
          <w:rFonts w:ascii="Times New Roman" w:hAnsi="Times New Roman"/>
          <w:sz w:val="28"/>
        </w:rPr>
        <w:sectPr>
          <w:pgSz w:w="11906" w:h="16838"/>
          <w:pgMar w:top="1417" w:right="1417" w:bottom="1417" w:left="1417" w:header="851" w:footer="992" w:gutter="0"/>
          <w:cols w:space="425" w:num="1"/>
          <w:docGrid w:type="lines" w:linePitch="312" w:charSpace="0"/>
        </w:sectPr>
      </w:pPr>
    </w:p>
    <w:p>
      <w:pPr>
        <w:pStyle w:val="72"/>
        <w:keepNext w:val="0"/>
        <w:keepLines w:val="0"/>
        <w:spacing w:line="240" w:lineRule="auto"/>
        <w:outlineLvl w:val="0"/>
        <w:rPr>
          <w:rFonts w:ascii="Times New Roman" w:hAnsi="Times New Roman"/>
          <w:sz w:val="28"/>
        </w:rPr>
      </w:pPr>
      <w:r>
        <w:rPr>
          <w:rFonts w:hint="eastAsia" w:ascii="Times New Roman" w:hAnsi="Times New Roman"/>
          <w:sz w:val="28"/>
        </w:rPr>
        <w:t>表五 验收监测质量保证及质量控制</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5.1质量保障体系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sz w:val="24"/>
              </w:rPr>
            </w:pPr>
            <w:bookmarkStart w:id="13" w:name="_Toc349134675"/>
            <w:r>
              <w:rPr>
                <w:rFonts w:hint="eastAsia" w:ascii="Times New Roman" w:hAnsi="Times New Roman"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（3）严格按照验收方案开展监测工作，合理布设监测点位，保证监测点位的科学性和代表性。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（4）采样人员严格遵守采样操作规程，认真填写了采样记录，按规定保存，运输样品。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（5）水样测定按照规定带质控密码样、平行样、加标样。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（6）声级计测量前后均经标准声源校准且合格，测试时无雨雪，无雷电，风速小于5.0m/s。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（7）检测数据严格执行三级审核制度。</w:t>
            </w:r>
            <w:bookmarkEnd w:id="13"/>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28"/>
                <w:szCs w:val="28"/>
              </w:rPr>
            </w:pPr>
            <w:r>
              <w:rPr>
                <w:rFonts w:hint="eastAsia" w:ascii="黑体" w:hAnsi="黑体" w:eastAsia="黑体" w:cs="黑体"/>
                <w:sz w:val="28"/>
                <w:szCs w:val="28"/>
              </w:rPr>
              <w:t>5.2检测分析方法及仪器</w:t>
            </w: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b/>
                <w:bCs/>
                <w:sz w:val="21"/>
                <w:szCs w:val="21"/>
                <w:highlight w:val="none"/>
              </w:rPr>
            </w:pPr>
            <w:r>
              <w:rPr>
                <w:rFonts w:hint="eastAsia" w:ascii="Times New Roman" w:hAnsi="Times New Roman" w:cs="Times New Roman"/>
                <w:b/>
                <w:bCs/>
                <w:sz w:val="21"/>
                <w:szCs w:val="21"/>
                <w:highlight w:val="none"/>
              </w:rPr>
              <w:t>表5-1  噪声检测分析方法及所用仪器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07"/>
              <w:gridCol w:w="4029"/>
              <w:gridCol w:w="1755"/>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bCs w:val="0"/>
                      <w:sz w:val="21"/>
                      <w:szCs w:val="21"/>
                      <w:vertAlign w:val="baseline"/>
                      <w:lang w:val="en-US" w:eastAsia="zh-CN"/>
                    </w:rPr>
                    <w:t>序号</w:t>
                  </w:r>
                </w:p>
              </w:tc>
              <w:tc>
                <w:tcPr>
                  <w:tcW w:w="1307" w:type="dxa"/>
                  <w:vAlign w:val="center"/>
                </w:tcPr>
                <w:p>
                  <w:pPr>
                    <w:pStyle w:val="126"/>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bCs w:val="0"/>
                      <w:sz w:val="21"/>
                      <w:szCs w:val="21"/>
                      <w:vertAlign w:val="baseline"/>
                      <w:lang w:val="en-US" w:eastAsia="zh-CN"/>
                    </w:rPr>
                    <w:t>检测项目</w:t>
                  </w:r>
                </w:p>
              </w:tc>
              <w:tc>
                <w:tcPr>
                  <w:tcW w:w="4029" w:type="dxa"/>
                  <w:vAlign w:val="center"/>
                </w:tcPr>
                <w:p>
                  <w:pPr>
                    <w:pStyle w:val="126"/>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bCs w:val="0"/>
                      <w:sz w:val="21"/>
                      <w:szCs w:val="21"/>
                      <w:vertAlign w:val="baseline"/>
                      <w:lang w:val="en-US" w:eastAsia="zh-CN"/>
                    </w:rPr>
                    <w:t>分析方法</w:t>
                  </w:r>
                </w:p>
              </w:tc>
              <w:tc>
                <w:tcPr>
                  <w:tcW w:w="1755" w:type="dxa"/>
                  <w:vAlign w:val="center"/>
                </w:tcPr>
                <w:p>
                  <w:pPr>
                    <w:pStyle w:val="126"/>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bCs w:val="0"/>
                      <w:sz w:val="21"/>
                      <w:szCs w:val="21"/>
                      <w:vertAlign w:val="baseline"/>
                      <w:lang w:val="en-US" w:eastAsia="zh-CN"/>
                    </w:rPr>
                    <w:t>方法依据</w:t>
                  </w:r>
                </w:p>
              </w:tc>
              <w:tc>
                <w:tcPr>
                  <w:tcW w:w="1270" w:type="dxa"/>
                  <w:vAlign w:val="center"/>
                </w:tcPr>
                <w:p>
                  <w:pPr>
                    <w:pStyle w:val="126"/>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bCs w:val="0"/>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bCs/>
                      <w:sz w:val="21"/>
                      <w:szCs w:val="21"/>
                      <w:vertAlign w:val="baseline"/>
                      <w:lang w:val="en-US" w:eastAsia="zh-CN"/>
                    </w:rPr>
                    <w:t>1</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val="0"/>
                      <w:bCs/>
                      <w:kern w:val="2"/>
                      <w:sz w:val="21"/>
                      <w:szCs w:val="21"/>
                      <w:vertAlign w:val="baseline"/>
                      <w:lang w:val="en-US" w:eastAsia="zh-CN" w:bidi="ar-SA"/>
                    </w:rPr>
                    <w:t>pH</w:t>
                  </w:r>
                </w:p>
              </w:tc>
              <w:tc>
                <w:tcPr>
                  <w:tcW w:w="4029"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highlight w:val="yellow"/>
                    </w:rPr>
                  </w:pPr>
                  <w:r>
                    <w:rPr>
                      <w:rFonts w:hint="default" w:ascii="Times New Roman" w:hAnsi="Times New Roman" w:eastAsia="宋体" w:cs="Times New Roman"/>
                      <w:color w:val="000000"/>
                      <w:kern w:val="0"/>
                      <w:sz w:val="21"/>
                      <w:szCs w:val="21"/>
                      <w:lang w:eastAsia="zh-CN"/>
                    </w:rPr>
                    <w:t>水质</w:t>
                  </w:r>
                  <w:r>
                    <w:rPr>
                      <w:rFonts w:hint="default" w:ascii="Times New Roman" w:hAnsi="Times New Roman" w:eastAsia="宋体" w:cs="Times New Roman"/>
                      <w:color w:val="000000"/>
                      <w:kern w:val="0"/>
                      <w:sz w:val="21"/>
                      <w:szCs w:val="21"/>
                      <w:lang w:val="en-US" w:eastAsia="zh-CN"/>
                    </w:rPr>
                    <w:t xml:space="preserve"> pH值的测定 电极法</w:t>
                  </w:r>
                </w:p>
              </w:tc>
              <w:tc>
                <w:tcPr>
                  <w:tcW w:w="1755"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highlight w:val="yellow"/>
                    </w:rPr>
                  </w:pPr>
                  <w:r>
                    <w:rPr>
                      <w:rFonts w:hint="default" w:ascii="Times New Roman" w:hAnsi="Times New Roman" w:eastAsia="宋体" w:cs="Times New Roman"/>
                      <w:color w:val="000000"/>
                      <w:kern w:val="0"/>
                      <w:sz w:val="21"/>
                      <w:szCs w:val="21"/>
                      <w:lang w:val="en-US" w:eastAsia="zh-CN"/>
                    </w:rPr>
                    <w:t>HJ1147-2020</w:t>
                  </w:r>
                </w:p>
              </w:tc>
              <w:tc>
                <w:tcPr>
                  <w:tcW w:w="1270" w:type="dxa"/>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highlight w:val="yellow"/>
                    </w:rPr>
                  </w:pPr>
                  <w:r>
                    <w:rPr>
                      <w:rFonts w:hint="default" w:ascii="Times New Roman" w:hAnsi="Times New Roman" w:eastAsia="宋体" w:cs="Times New Roman"/>
                      <w:b/>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bCs/>
                      <w:sz w:val="21"/>
                      <w:szCs w:val="21"/>
                      <w:vertAlign w:val="baseline"/>
                      <w:lang w:val="en-US" w:eastAsia="zh-CN"/>
                    </w:rPr>
                    <w:t>2</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bCs/>
                      <w:kern w:val="2"/>
                      <w:sz w:val="21"/>
                      <w:szCs w:val="21"/>
                      <w:vertAlign w:val="baseline"/>
                      <w:lang w:val="en-US" w:eastAsia="zh-CN" w:bidi="ar-SA"/>
                    </w:rPr>
                    <w:t>化学需氧量</w:t>
                  </w:r>
                </w:p>
              </w:tc>
              <w:tc>
                <w:tcPr>
                  <w:tcW w:w="40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color w:val="000000"/>
                      <w:sz w:val="21"/>
                      <w:szCs w:val="21"/>
                    </w:rPr>
                    <w:t>水质 化学需氧量的测定 重铬酸</w:t>
                  </w:r>
                  <w:r>
                    <w:rPr>
                      <w:rFonts w:hint="default" w:ascii="Times New Roman" w:hAnsi="Times New Roman" w:eastAsia="宋体" w:cs="Times New Roman"/>
                      <w:color w:val="000000"/>
                      <w:sz w:val="21"/>
                      <w:szCs w:val="21"/>
                      <w:lang w:eastAsia="zh-CN"/>
                    </w:rPr>
                    <w:t>盐</w:t>
                  </w:r>
                  <w:r>
                    <w:rPr>
                      <w:rFonts w:hint="default" w:ascii="Times New Roman" w:hAnsi="Times New Roman" w:eastAsia="宋体" w:cs="Times New Roman"/>
                      <w:color w:val="000000"/>
                      <w:sz w:val="21"/>
                      <w:szCs w:val="21"/>
                    </w:rPr>
                    <w:t>法</w:t>
                  </w:r>
                </w:p>
              </w:tc>
              <w:tc>
                <w:tcPr>
                  <w:tcW w:w="17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sz w:val="21"/>
                      <w:szCs w:val="21"/>
                      <w:highlight w:val="yellow"/>
                    </w:rPr>
                  </w:pPr>
                  <w:r>
                    <w:rPr>
                      <w:rFonts w:hint="default" w:ascii="Times New Roman" w:hAnsi="Times New Roman" w:eastAsia="宋体" w:cs="Times New Roman"/>
                      <w:color w:val="000000"/>
                      <w:sz w:val="21"/>
                      <w:szCs w:val="21"/>
                    </w:rPr>
                    <w:t>HJ828-2017</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val="0"/>
                      <w:bCs/>
                      <w:sz w:val="21"/>
                      <w:szCs w:val="21"/>
                      <w:vertAlign w:val="baseline"/>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bCs/>
                      <w:sz w:val="21"/>
                      <w:szCs w:val="21"/>
                      <w:vertAlign w:val="baseline"/>
                      <w:lang w:val="en-US" w:eastAsia="zh-CN"/>
                    </w:rPr>
                    <w:t>3</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b w:val="0"/>
                      <w:bCs/>
                      <w:kern w:val="2"/>
                      <w:sz w:val="21"/>
                      <w:szCs w:val="21"/>
                      <w:vertAlign w:val="baseline"/>
                      <w:lang w:val="en-US" w:eastAsia="zh-CN" w:bidi="ar-SA"/>
                    </w:rPr>
                    <w:t>五日生化需氧量</w:t>
                  </w:r>
                </w:p>
              </w:tc>
              <w:tc>
                <w:tcPr>
                  <w:tcW w:w="4029"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highlight w:val="yellow"/>
                    </w:rPr>
                  </w:pPr>
                  <w:r>
                    <w:rPr>
                      <w:rFonts w:hint="default" w:ascii="Times New Roman" w:hAnsi="Times New Roman" w:eastAsia="宋体" w:cs="Times New Roman"/>
                      <w:color w:val="000000"/>
                      <w:sz w:val="21"/>
                      <w:szCs w:val="21"/>
                    </w:rPr>
                    <w:t>水质 生化需氧量</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BOD）</w:t>
                  </w:r>
                  <w:r>
                    <w:rPr>
                      <w:rFonts w:hint="default" w:ascii="Times New Roman" w:hAnsi="Times New Roman" w:eastAsia="宋体" w:cs="Times New Roman"/>
                      <w:color w:val="000000"/>
                      <w:sz w:val="21"/>
                      <w:szCs w:val="21"/>
                    </w:rPr>
                    <w:t>的测定 微生物传感器快速测定法</w:t>
                  </w:r>
                </w:p>
              </w:tc>
              <w:tc>
                <w:tcPr>
                  <w:tcW w:w="1755"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highlight w:val="yellow"/>
                    </w:rPr>
                  </w:pPr>
                  <w:r>
                    <w:rPr>
                      <w:rFonts w:hint="default" w:ascii="Times New Roman" w:hAnsi="Times New Roman" w:eastAsia="宋体" w:cs="Times New Roman"/>
                      <w:color w:val="000000"/>
                      <w:sz w:val="21"/>
                      <w:szCs w:val="21"/>
                    </w:rPr>
                    <w:t>HJ/T86-2002</w:t>
                  </w:r>
                </w:p>
              </w:tc>
              <w:tc>
                <w:tcPr>
                  <w:tcW w:w="1270" w:type="dxa"/>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highlight w:val="yellow"/>
                    </w:rPr>
                  </w:pPr>
                  <w:r>
                    <w:rPr>
                      <w:rFonts w:hint="default" w:ascii="Times New Roman" w:hAnsi="Times New Roman" w:eastAsia="宋体" w:cs="Times New Roman"/>
                      <w:b w:val="0"/>
                      <w:bCs/>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bCs/>
                      <w:sz w:val="21"/>
                      <w:szCs w:val="21"/>
                      <w:vertAlign w:val="baseline"/>
                      <w:lang w:val="en-US" w:eastAsia="zh-CN"/>
                    </w:rPr>
                    <w:t>4</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bCs/>
                      <w:kern w:val="2"/>
                      <w:sz w:val="21"/>
                      <w:szCs w:val="21"/>
                      <w:vertAlign w:val="baseline"/>
                      <w:lang w:val="en-US" w:eastAsia="zh-CN" w:bidi="ar-SA"/>
                    </w:rPr>
                    <w:t>氨氮</w:t>
                  </w:r>
                </w:p>
              </w:tc>
              <w:tc>
                <w:tcPr>
                  <w:tcW w:w="40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sz w:val="21"/>
                      <w:szCs w:val="21"/>
                      <w:highlight w:val="yellow"/>
                    </w:rPr>
                  </w:pPr>
                  <w:r>
                    <w:rPr>
                      <w:rFonts w:hint="default" w:ascii="Times New Roman" w:hAnsi="Times New Roman" w:eastAsia="宋体" w:cs="Times New Roman"/>
                      <w:color w:val="000000"/>
                      <w:sz w:val="21"/>
                      <w:szCs w:val="21"/>
                    </w:rPr>
                    <w:t>水质 氨氮的测定 纳氏试剂分光光度法</w:t>
                  </w:r>
                </w:p>
              </w:tc>
              <w:tc>
                <w:tcPr>
                  <w:tcW w:w="17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color w:val="000000"/>
                      <w:sz w:val="21"/>
                      <w:szCs w:val="21"/>
                    </w:rPr>
                    <w:t>HJ535-2009</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kern w:val="0"/>
                      <w:sz w:val="21"/>
                      <w:szCs w:val="21"/>
                      <w:highlight w:val="yellow"/>
                    </w:rPr>
                  </w:pPr>
                  <w:r>
                    <w:rPr>
                      <w:rFonts w:hint="default" w:ascii="Times New Roman" w:hAnsi="Times New Roman" w:eastAsia="宋体" w:cs="Times New Roman"/>
                      <w:color w:val="000000"/>
                      <w:kern w:val="0"/>
                      <w:sz w:val="21"/>
                      <w:szCs w:val="21"/>
                      <w:lang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vertAlign w:val="baseline"/>
                      <w:lang w:val="en-US" w:eastAsia="zh-CN"/>
                    </w:rPr>
                    <w:t>5</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kern w:val="2"/>
                      <w:sz w:val="21"/>
                      <w:szCs w:val="21"/>
                      <w:vertAlign w:val="baseline"/>
                      <w:lang w:val="en-US" w:eastAsia="zh-CN" w:bidi="ar-SA"/>
                    </w:rPr>
                    <w:t>悬浮物</w:t>
                  </w:r>
                </w:p>
              </w:tc>
              <w:tc>
                <w:tcPr>
                  <w:tcW w:w="40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水质 悬浮物的测定 重量法</w:t>
                  </w:r>
                </w:p>
              </w:tc>
              <w:tc>
                <w:tcPr>
                  <w:tcW w:w="17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000000"/>
                      <w:kern w:val="0"/>
                      <w:sz w:val="21"/>
                      <w:szCs w:val="21"/>
                    </w:rPr>
                    <w:t>GB11901-1989</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kern w:val="0"/>
                      <w:sz w:val="21"/>
                      <w:szCs w:val="21"/>
                    </w:rPr>
                  </w:pPr>
                  <w:r>
                    <w:rPr>
                      <w:rFonts w:hint="default" w:ascii="Times New Roman" w:hAnsi="Times New Roman" w:eastAsia="宋体" w:cs="Times New Roman"/>
                      <w:b w:val="0"/>
                      <w:bCs/>
                      <w:sz w:val="21"/>
                      <w:szCs w:val="21"/>
                      <w:vertAlign w:val="baseline"/>
                      <w:lang w:val="en-US" w:eastAsia="zh-CN"/>
                    </w:rPr>
                    <w:t>4</w:t>
                  </w: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vertAlign w:val="baseline"/>
                      <w:lang w:val="en-US" w:eastAsia="zh-CN"/>
                    </w:rPr>
                    <w:t>6</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kern w:val="2"/>
                      <w:sz w:val="21"/>
                      <w:szCs w:val="21"/>
                      <w:vertAlign w:val="baseline"/>
                      <w:lang w:val="en-US" w:eastAsia="zh-CN" w:bidi="ar-SA"/>
                    </w:rPr>
                    <w:t>动植物油</w:t>
                  </w:r>
                </w:p>
              </w:tc>
              <w:tc>
                <w:tcPr>
                  <w:tcW w:w="4029" w:type="dxa"/>
                  <w:vMerge w:val="restart"/>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水质 石油类和动植物油</w:t>
                  </w:r>
                  <w:r>
                    <w:rPr>
                      <w:rFonts w:hint="default" w:ascii="Times New Roman" w:hAnsi="Times New Roman" w:eastAsia="宋体" w:cs="Times New Roman"/>
                      <w:color w:val="000000"/>
                      <w:sz w:val="21"/>
                      <w:szCs w:val="21"/>
                      <w:lang w:eastAsia="zh-CN"/>
                    </w:rPr>
                    <w:t>类</w:t>
                  </w:r>
                  <w:r>
                    <w:rPr>
                      <w:rFonts w:hint="default" w:ascii="Times New Roman" w:hAnsi="Times New Roman" w:eastAsia="宋体" w:cs="Times New Roman"/>
                      <w:color w:val="000000"/>
                      <w:sz w:val="21"/>
                      <w:szCs w:val="21"/>
                    </w:rPr>
                    <w:t>的测定 红外分光光度法</w:t>
                  </w:r>
                </w:p>
              </w:tc>
              <w:tc>
                <w:tcPr>
                  <w:tcW w:w="1755" w:type="dxa"/>
                  <w:vMerge w:val="restart"/>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HJ637-2018</w:t>
                  </w:r>
                </w:p>
              </w:tc>
              <w:tc>
                <w:tcPr>
                  <w:tcW w:w="1270"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0.06</w:t>
                  </w: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vertAlign w:val="baseline"/>
                      <w:lang w:val="en-US" w:eastAsia="zh-CN"/>
                    </w:rPr>
                    <w:t>7</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kern w:val="2"/>
                      <w:sz w:val="21"/>
                      <w:szCs w:val="21"/>
                      <w:vertAlign w:val="baseline"/>
                      <w:lang w:val="en-US" w:eastAsia="zh-CN" w:bidi="ar-SA"/>
                    </w:rPr>
                    <w:t>石油类</w:t>
                  </w:r>
                </w:p>
              </w:tc>
              <w:tc>
                <w:tcPr>
                  <w:tcW w:w="4029" w:type="dxa"/>
                  <w:vMerge w:val="continue"/>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p>
              </w:tc>
              <w:tc>
                <w:tcPr>
                  <w:tcW w:w="1755" w:type="dxa"/>
                  <w:vMerge w:val="continue"/>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p>
              </w:tc>
              <w:tc>
                <w:tcPr>
                  <w:tcW w:w="1270"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0.06</w:t>
                  </w: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vertAlign w:val="baseline"/>
                      <w:lang w:val="en-US" w:eastAsia="zh-CN"/>
                    </w:rPr>
                    <w:t>8</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bCs/>
                      <w:kern w:val="2"/>
                      <w:sz w:val="21"/>
                      <w:szCs w:val="21"/>
                      <w:vertAlign w:val="baseline"/>
                      <w:lang w:val="en-US" w:eastAsia="zh-CN" w:bidi="ar-SA"/>
                    </w:rPr>
                    <w:t>总磷</w:t>
                  </w:r>
                </w:p>
              </w:tc>
              <w:tc>
                <w:tcPr>
                  <w:tcW w:w="4029" w:type="dxa"/>
                  <w:vAlign w:val="center"/>
                </w:tcPr>
                <w:p>
                  <w:pPr>
                    <w:numPr>
                      <w:ilvl w:val="0"/>
                      <w:numId w:val="0"/>
                    </w:numPr>
                    <w:spacing w:before="0"/>
                    <w:ind w:left="0" w:leftChars="0" w:right="0" w:rightChars="0" w:firstLine="0" w:firstLineChars="0"/>
                    <w:jc w:val="center"/>
                    <w:rPr>
                      <w:rFonts w:hint="default" w:ascii="Times New Roman" w:hAnsi="Times New Roman" w:cs="Times New Roman"/>
                      <w:color w:val="000000"/>
                      <w:sz w:val="21"/>
                      <w:szCs w:val="21"/>
                    </w:rPr>
                  </w:pPr>
                  <w:r>
                    <w:rPr>
                      <w:rStyle w:val="127"/>
                      <w:rFonts w:hint="default" w:ascii="Times New Roman" w:hAnsi="Times New Roman" w:eastAsia="宋体" w:cs="Times New Roman"/>
                      <w:sz w:val="21"/>
                      <w:szCs w:val="21"/>
                    </w:rPr>
                    <w:t>水质 总磷的测定 钼酸铵分光光度法</w:t>
                  </w:r>
                </w:p>
              </w:tc>
              <w:tc>
                <w:tcPr>
                  <w:tcW w:w="1755"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Style w:val="127"/>
                      <w:rFonts w:hint="default" w:ascii="Times New Roman" w:hAnsi="Times New Roman" w:eastAsia="宋体" w:cs="Times New Roman"/>
                      <w:sz w:val="21"/>
                      <w:szCs w:val="21"/>
                    </w:rPr>
                    <w:t>GB 11893-1989</w:t>
                  </w:r>
                </w:p>
              </w:tc>
              <w:tc>
                <w:tcPr>
                  <w:tcW w:w="1270" w:type="dxa"/>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rPr>
                    <w:t>0.01</w:t>
                  </w: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vertAlign w:val="baseline"/>
                      <w:lang w:val="en-US" w:eastAsia="zh-CN"/>
                    </w:rPr>
                    <w:t>9</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bCs/>
                      <w:kern w:val="2"/>
                      <w:sz w:val="21"/>
                      <w:szCs w:val="21"/>
                      <w:vertAlign w:val="baseline"/>
                      <w:lang w:val="en-US" w:eastAsia="zh-CN" w:bidi="ar-SA"/>
                    </w:rPr>
                    <w:t>总氮</w:t>
                  </w:r>
                </w:p>
              </w:tc>
              <w:tc>
                <w:tcPr>
                  <w:tcW w:w="4029"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水质 总氮的测定 碱性过硫酸钾消解紫外分光光度法</w:t>
                  </w:r>
                </w:p>
              </w:tc>
              <w:tc>
                <w:tcPr>
                  <w:tcW w:w="1755"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HJ636-2012</w:t>
                  </w:r>
                </w:p>
              </w:tc>
              <w:tc>
                <w:tcPr>
                  <w:tcW w:w="1270" w:type="dxa"/>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rPr>
                    <w:t>0.05</w:t>
                  </w:r>
                  <w:r>
                    <w:rPr>
                      <w:rFonts w:hint="default" w:ascii="Times New Roman" w:hAnsi="Times New Roman" w:eastAsia="宋体" w:cs="Times New Roman"/>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vertAlign w:val="baseline"/>
                      <w:lang w:val="en-US" w:eastAsia="zh-CN"/>
                    </w:rPr>
                    <w:t>10</w:t>
                  </w:r>
                </w:p>
              </w:tc>
              <w:tc>
                <w:tcPr>
                  <w:tcW w:w="1307" w:type="dxa"/>
                  <w:vMerge w:val="restart"/>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kern w:val="2"/>
                      <w:sz w:val="21"/>
                      <w:szCs w:val="21"/>
                      <w:vertAlign w:val="baseline"/>
                      <w:lang w:val="en-US" w:eastAsia="zh-CN" w:bidi="ar-SA"/>
                    </w:rPr>
                    <w:t>颗粒物</w:t>
                  </w:r>
                </w:p>
              </w:tc>
              <w:tc>
                <w:tcPr>
                  <w:tcW w:w="4029" w:type="dxa"/>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rPr>
                    <w:t>环境空气 总悬浮颗粒物的测定 重量法</w:t>
                  </w:r>
                </w:p>
              </w:tc>
              <w:tc>
                <w:tcPr>
                  <w:tcW w:w="1755" w:type="dxa"/>
                  <w:vAlign w:val="center"/>
                </w:tcPr>
                <w:p>
                  <w:pPr>
                    <w:numPr>
                      <w:ilvl w:val="0"/>
                      <w:numId w:val="0"/>
                    </w:numPr>
                    <w:spacing w:before="0"/>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GB/T15432-1995</w:t>
                  </w:r>
                </w:p>
              </w:tc>
              <w:tc>
                <w:tcPr>
                  <w:tcW w:w="127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rPr>
                    <w:t>0.001mg/m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bCs/>
                      <w:sz w:val="21"/>
                      <w:szCs w:val="21"/>
                      <w:vertAlign w:val="baseline"/>
                      <w:lang w:val="en-US" w:eastAsia="zh-CN"/>
                    </w:rPr>
                    <w:t>11</w:t>
                  </w:r>
                </w:p>
              </w:tc>
              <w:tc>
                <w:tcPr>
                  <w:tcW w:w="1307" w:type="dxa"/>
                  <w:vMerge w:val="continue"/>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rPr>
                  </w:pPr>
                </w:p>
              </w:tc>
              <w:tc>
                <w:tcPr>
                  <w:tcW w:w="4029" w:type="dxa"/>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rPr>
                    <w:t>固定污染源废气 低浓度颗粒物的测定 重量法</w:t>
                  </w:r>
                </w:p>
              </w:tc>
              <w:tc>
                <w:tcPr>
                  <w:tcW w:w="1755" w:type="dxa"/>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rPr>
                    <w:t>HJ836-2017</w:t>
                  </w:r>
                </w:p>
              </w:tc>
              <w:tc>
                <w:tcPr>
                  <w:tcW w:w="1270" w:type="dxa"/>
                  <w:vAlign w:val="center"/>
                </w:tcPr>
                <w:p>
                  <w:pPr>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kern w:val="0"/>
                      <w:sz w:val="21"/>
                      <w:szCs w:val="21"/>
                    </w:rPr>
                  </w:pPr>
                  <w:r>
                    <w:rPr>
                      <w:rFonts w:hint="default" w:ascii="Times New Roman" w:hAnsi="Times New Roman" w:eastAsia="宋体" w:cs="Times New Roman"/>
                      <w:b w:val="0"/>
                      <w:bCs/>
                      <w:sz w:val="21"/>
                      <w:szCs w:val="21"/>
                      <w:vertAlign w:val="baseline"/>
                      <w:lang w:val="en-US" w:eastAsia="zh-CN"/>
                    </w:rPr>
                    <w:t>12</w:t>
                  </w:r>
                </w:p>
              </w:tc>
              <w:tc>
                <w:tcPr>
                  <w:tcW w:w="13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kern w:val="0"/>
                      <w:sz w:val="21"/>
                      <w:szCs w:val="21"/>
                    </w:rPr>
                  </w:pPr>
                  <w:r>
                    <w:rPr>
                      <w:rFonts w:hint="default" w:ascii="Times New Roman" w:hAnsi="Times New Roman" w:eastAsia="宋体" w:cs="Times New Roman"/>
                      <w:b w:val="0"/>
                      <w:bCs/>
                      <w:kern w:val="2"/>
                      <w:sz w:val="21"/>
                      <w:szCs w:val="21"/>
                      <w:vertAlign w:val="baseline"/>
                      <w:lang w:val="en-US" w:eastAsia="zh-CN" w:bidi="ar-SA"/>
                    </w:rPr>
                    <w:t>二氧化硫</w:t>
                  </w:r>
                </w:p>
              </w:tc>
              <w:tc>
                <w:tcPr>
                  <w:tcW w:w="4029" w:type="dxa"/>
                  <w:vAlign w:val="center"/>
                </w:tcPr>
                <w:p>
                  <w:pPr>
                    <w:numPr>
                      <w:ilvl w:val="0"/>
                      <w:numId w:val="0"/>
                    </w:numPr>
                    <w:spacing w:before="0"/>
                    <w:ind w:left="0" w:leftChars="0" w:right="0" w:rightChars="0" w:firstLine="0" w:firstLineChars="0"/>
                    <w:jc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sz w:val="21"/>
                      <w:szCs w:val="21"/>
                    </w:rPr>
                    <w:t>固定污染源废气 二氧化硫的测定 定电位电解法</w:t>
                  </w:r>
                </w:p>
              </w:tc>
              <w:tc>
                <w:tcPr>
                  <w:tcW w:w="1755" w:type="dxa"/>
                  <w:vMerge w:val="restart"/>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rPr>
                    <w:t>HJ57-2017</w:t>
                  </w:r>
                </w:p>
              </w:tc>
              <w:tc>
                <w:tcPr>
                  <w:tcW w:w="1270" w:type="dxa"/>
                  <w:vMerge w:val="restart"/>
                  <w:vAlign w:val="center"/>
                </w:tcPr>
                <w:p>
                  <w:pPr>
                    <w:numPr>
                      <w:ilvl w:val="0"/>
                      <w:numId w:val="0"/>
                    </w:numPr>
                    <w:spacing w:before="0"/>
                    <w:ind w:left="0" w:leftChars="0" w:right="0" w:rightChars="0" w:firstLine="0" w:firstLineChars="0"/>
                    <w:jc w:val="center"/>
                    <w:rPr>
                      <w:rFonts w:hint="default" w:ascii="Times New Roman" w:hAnsi="Times New Roman" w:cs="Times New Roman"/>
                      <w:kern w:val="0"/>
                      <w:sz w:val="21"/>
                      <w:szCs w:val="21"/>
                    </w:rPr>
                  </w:pP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widowControl/>
                    <w:jc w:val="center"/>
                    <w:rPr>
                      <w:kern w:val="0"/>
                      <w:szCs w:val="21"/>
                    </w:rPr>
                  </w:pPr>
                </w:p>
              </w:tc>
              <w:tc>
                <w:tcPr>
                  <w:tcW w:w="1307" w:type="dxa"/>
                  <w:vAlign w:val="center"/>
                </w:tcPr>
                <w:p>
                  <w:pPr>
                    <w:widowControl/>
                    <w:jc w:val="center"/>
                    <w:rPr>
                      <w:kern w:val="0"/>
                      <w:szCs w:val="21"/>
                    </w:rPr>
                  </w:pPr>
                  <w:r>
                    <w:rPr>
                      <w:kern w:val="0"/>
                      <w:szCs w:val="21"/>
                    </w:rPr>
                    <w:t>-</w:t>
                  </w:r>
                </w:p>
              </w:tc>
              <w:tc>
                <w:tcPr>
                  <w:tcW w:w="4029" w:type="dxa"/>
                  <w:vAlign w:val="center"/>
                </w:tcPr>
                <w:p>
                  <w:pPr>
                    <w:spacing w:line="240" w:lineRule="exact"/>
                    <w:jc w:val="center"/>
                    <w:rPr>
                      <w:color w:val="000000"/>
                      <w:szCs w:val="21"/>
                    </w:rPr>
                  </w:pPr>
                  <w:r>
                    <w:rPr>
                      <w:color w:val="000000"/>
                      <w:szCs w:val="21"/>
                    </w:rPr>
                    <w:t>声环境质量标准GB3096-2008</w:t>
                  </w:r>
                </w:p>
              </w:tc>
              <w:tc>
                <w:tcPr>
                  <w:tcW w:w="1755" w:type="dxa"/>
                  <w:vMerge w:val="continue"/>
                  <w:vAlign w:val="center"/>
                </w:tcPr>
                <w:p>
                  <w:pPr>
                    <w:widowControl/>
                    <w:jc w:val="center"/>
                    <w:rPr>
                      <w:szCs w:val="21"/>
                    </w:rPr>
                  </w:pPr>
                </w:p>
              </w:tc>
              <w:tc>
                <w:tcPr>
                  <w:tcW w:w="1270" w:type="dxa"/>
                  <w:vMerge w:val="continue"/>
                  <w:vAlign w:val="center"/>
                </w:tcPr>
                <w:p>
                  <w:pPr>
                    <w:widowControl/>
                    <w:jc w:val="center"/>
                    <w:rPr>
                      <w:kern w:val="0"/>
                      <w:szCs w:val="21"/>
                    </w:rPr>
                  </w:pPr>
                </w:p>
              </w:tc>
            </w:tr>
          </w:tbl>
          <w:p>
            <w:pPr>
              <w:pStyle w:val="111"/>
              <w:ind w:left="0" w:leftChars="0" w:firstLine="0" w:firstLineChars="0"/>
              <w:rPr>
                <w:bCs/>
              </w:rPr>
            </w:pPr>
          </w:p>
        </w:tc>
      </w:tr>
    </w:tbl>
    <w:p>
      <w:pPr>
        <w:pStyle w:val="72"/>
        <w:keepNext w:val="0"/>
        <w:keepLines w:val="0"/>
        <w:spacing w:line="240" w:lineRule="auto"/>
        <w:outlineLvl w:val="0"/>
        <w:rPr>
          <w:rFonts w:ascii="Times New Roman" w:hAnsi="Times New Roman"/>
          <w:sz w:val="28"/>
        </w:rPr>
        <w:sectPr>
          <w:pgSz w:w="11906" w:h="16838"/>
          <w:pgMar w:top="1417" w:right="1417" w:bottom="1417" w:left="1417" w:header="851" w:footer="992" w:gutter="0"/>
          <w:cols w:space="425" w:num="1"/>
          <w:docGrid w:type="lines" w:linePitch="312" w:charSpace="0"/>
        </w:sectPr>
      </w:pPr>
    </w:p>
    <w:p>
      <w:pPr>
        <w:pStyle w:val="72"/>
        <w:keepNext w:val="0"/>
        <w:keepLines w:val="0"/>
        <w:spacing w:line="240" w:lineRule="auto"/>
        <w:outlineLvl w:val="0"/>
        <w:rPr>
          <w:rFonts w:ascii="Times New Roman" w:hAnsi="Times New Roman"/>
          <w:sz w:val="28"/>
        </w:rPr>
      </w:pPr>
      <w:r>
        <w:rPr>
          <w:rFonts w:hint="eastAsia" w:ascii="Times New Roman" w:hAnsi="Times New Roman"/>
          <w:sz w:val="28"/>
        </w:rPr>
        <w:t>表六 验收监测内容</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验收只进行环境保护设施调试效果监测，通过对各类污染物达标排放及各类污染治理设施去除效率的监测，来说明环境保护设施调试效果。监测内容主要依据《安徽都邦电器有限公司汽车零部件及家电配件生产项目硫化工艺变更环境影响说明》和宁国市环境保护局“关于安徽都邦电器有限公司汽车零部件及家电配件生产项目硫化工艺变更环境影响的复函（宁环[2019]34号）”，以及现场勘查实际情况确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本次验收监测主要从以下几个方面展开。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一、污染源监测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1、废气监测内容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1.1有组织废气</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表6-1  有组织排放监测</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1867"/>
              <w:gridCol w:w="1522"/>
              <w:gridCol w:w="1928"/>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vAlign w:val="center"/>
                </w:tcPr>
                <w:p>
                  <w:pPr>
                    <w:pStyle w:val="21"/>
                    <w:jc w:val="center"/>
                    <w:rPr>
                      <w:rFonts w:ascii="Times New Roman" w:hAnsi="Times New Roman"/>
                      <w:color w:val="auto"/>
                    </w:rPr>
                  </w:pPr>
                  <w:r>
                    <w:rPr>
                      <w:rFonts w:ascii="Times New Roman" w:hAnsi="Times New Roman"/>
                      <w:color w:val="auto"/>
                    </w:rPr>
                    <w:t>监测点位</w:t>
                  </w:r>
                </w:p>
              </w:tc>
              <w:tc>
                <w:tcPr>
                  <w:tcW w:w="1030" w:type="pct"/>
                  <w:vAlign w:val="center"/>
                </w:tcPr>
                <w:p>
                  <w:pPr>
                    <w:pStyle w:val="21"/>
                    <w:jc w:val="center"/>
                    <w:rPr>
                      <w:rFonts w:ascii="Times New Roman" w:hAnsi="Times New Roman"/>
                      <w:color w:val="auto"/>
                    </w:rPr>
                  </w:pPr>
                  <w:r>
                    <w:rPr>
                      <w:rFonts w:ascii="Times New Roman" w:hAnsi="Times New Roman"/>
                      <w:color w:val="auto"/>
                    </w:rPr>
                    <w:t>排气筒编号</w:t>
                  </w:r>
                </w:p>
              </w:tc>
              <w:tc>
                <w:tcPr>
                  <w:tcW w:w="840" w:type="pct"/>
                  <w:vAlign w:val="center"/>
                </w:tcPr>
                <w:p>
                  <w:pPr>
                    <w:pStyle w:val="21"/>
                    <w:jc w:val="center"/>
                    <w:rPr>
                      <w:rFonts w:ascii="Times New Roman" w:hAnsi="Times New Roman"/>
                      <w:color w:val="auto"/>
                    </w:rPr>
                  </w:pPr>
                  <w:r>
                    <w:rPr>
                      <w:rFonts w:ascii="Times New Roman" w:hAnsi="Times New Roman"/>
                      <w:color w:val="auto"/>
                    </w:rPr>
                    <w:t>监测点位编号</w:t>
                  </w:r>
                </w:p>
              </w:tc>
              <w:tc>
                <w:tcPr>
                  <w:tcW w:w="1064" w:type="pct"/>
                  <w:vAlign w:val="center"/>
                </w:tcPr>
                <w:p>
                  <w:pPr>
                    <w:pStyle w:val="21"/>
                    <w:jc w:val="center"/>
                    <w:rPr>
                      <w:rFonts w:ascii="Times New Roman" w:hAnsi="Times New Roman"/>
                      <w:color w:val="auto"/>
                    </w:rPr>
                  </w:pPr>
                  <w:r>
                    <w:rPr>
                      <w:rFonts w:ascii="Times New Roman" w:hAnsi="Times New Roman"/>
                      <w:color w:val="auto"/>
                    </w:rPr>
                    <w:t>监测项目</w:t>
                  </w:r>
                </w:p>
              </w:tc>
              <w:tc>
                <w:tcPr>
                  <w:tcW w:w="978" w:type="pct"/>
                  <w:vAlign w:val="center"/>
                </w:tcPr>
                <w:p>
                  <w:pPr>
                    <w:pStyle w:val="21"/>
                    <w:jc w:val="center"/>
                    <w:rPr>
                      <w:rFonts w:ascii="Times New Roman" w:hAnsi="Times New Roman"/>
                      <w:color w:val="auto"/>
                    </w:rPr>
                  </w:pPr>
                  <w:r>
                    <w:rPr>
                      <w:rFonts w:ascii="Times New Roman" w:hAnsi="Times New Roman"/>
                      <w:color w:val="auto"/>
                    </w:rPr>
                    <w:t>监测时间与频次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vAlign w:val="center"/>
                </w:tcPr>
                <w:p>
                  <w:pPr>
                    <w:pStyle w:val="21"/>
                    <w:jc w:val="center"/>
                    <w:rPr>
                      <w:rFonts w:ascii="Times New Roman" w:hAnsi="Times New Roman"/>
                      <w:color w:val="auto"/>
                    </w:rPr>
                  </w:pPr>
                  <w:r>
                    <w:rPr>
                      <w:rFonts w:ascii="Times New Roman" w:hAnsi="Times New Roman"/>
                      <w:color w:val="auto"/>
                    </w:rPr>
                    <w:t>废气处理系统进口</w:t>
                  </w:r>
                </w:p>
              </w:tc>
              <w:tc>
                <w:tcPr>
                  <w:tcW w:w="1030" w:type="pct"/>
                  <w:vMerge w:val="restart"/>
                  <w:vAlign w:val="center"/>
                </w:tcPr>
                <w:p>
                  <w:pPr>
                    <w:pStyle w:val="21"/>
                    <w:jc w:val="center"/>
                    <w:rPr>
                      <w:rFonts w:ascii="Times New Roman" w:hAnsi="Times New Roman"/>
                      <w:color w:val="auto"/>
                    </w:rPr>
                  </w:pPr>
                  <w:r>
                    <w:rPr>
                      <w:rFonts w:hint="eastAsia" w:ascii="Times New Roman" w:hAnsi="Times New Roman"/>
                      <w:color w:val="auto"/>
                    </w:rPr>
                    <w:t>DA00</w:t>
                  </w:r>
                  <w:r>
                    <w:rPr>
                      <w:rFonts w:hint="eastAsia" w:ascii="Times New Roman" w:hAnsi="Times New Roman"/>
                      <w:color w:val="auto"/>
                      <w:lang w:val="en-US" w:eastAsia="zh-CN"/>
                    </w:rPr>
                    <w:t>1</w:t>
                  </w:r>
                  <w:r>
                    <w:rPr>
                      <w:rFonts w:hint="eastAsia" w:ascii="Times New Roman" w:hAnsi="Times New Roman"/>
                      <w:color w:val="auto"/>
                    </w:rPr>
                    <w:t>(</w:t>
                  </w:r>
                  <w:r>
                    <w:rPr>
                      <w:rFonts w:hint="eastAsia" w:ascii="Times New Roman" w:hAnsi="Times New Roman"/>
                      <w:color w:val="auto"/>
                      <w:lang w:val="en-US" w:eastAsia="zh-CN"/>
                    </w:rPr>
                    <w:t>硫化废气</w:t>
                  </w:r>
                  <w:r>
                    <w:rPr>
                      <w:rFonts w:hint="eastAsia" w:ascii="Times New Roman" w:hAnsi="Times New Roman"/>
                      <w:color w:val="auto"/>
                    </w:rPr>
                    <w:t>)</w:t>
                  </w:r>
                </w:p>
              </w:tc>
              <w:tc>
                <w:tcPr>
                  <w:tcW w:w="840" w:type="pct"/>
                  <w:vAlign w:val="center"/>
                </w:tcPr>
                <w:p>
                  <w:pPr>
                    <w:pStyle w:val="21"/>
                    <w:jc w:val="center"/>
                    <w:rPr>
                      <w:rFonts w:ascii="Times New Roman" w:hAnsi="Times New Roman"/>
                      <w:color w:val="auto"/>
                    </w:rPr>
                  </w:pPr>
                  <w:r>
                    <w:rPr>
                      <w:rFonts w:ascii="Times New Roman" w:hAnsi="Times New Roman"/>
                      <w:color w:val="auto"/>
                    </w:rPr>
                    <w:t>G1</w:t>
                  </w:r>
                </w:p>
              </w:tc>
              <w:tc>
                <w:tcPr>
                  <w:tcW w:w="1064" w:type="pct"/>
                  <w:vAlign w:val="center"/>
                </w:tcPr>
                <w:p>
                  <w:pPr>
                    <w:pStyle w:val="21"/>
                    <w:jc w:val="center"/>
                    <w:rPr>
                      <w:rFonts w:hint="default" w:ascii="Times New Roman" w:hAnsi="Times New Roman" w:eastAsia="宋体"/>
                      <w:color w:val="auto"/>
                      <w:lang w:val="en-US" w:eastAsia="zh-CN"/>
                    </w:rPr>
                  </w:pPr>
                  <w:r>
                    <w:rPr>
                      <w:rFonts w:hint="eastAsia" w:ascii="Times New Roman" w:hAnsi="Times New Roman"/>
                      <w:color w:val="auto"/>
                    </w:rPr>
                    <w:t>非甲烷总烃</w:t>
                  </w:r>
                  <w:r>
                    <w:rPr>
                      <w:rFonts w:hint="eastAsia" w:ascii="Times New Roman" w:hAnsi="Times New Roman"/>
                      <w:color w:val="auto"/>
                      <w:lang w:eastAsia="zh-CN"/>
                    </w:rPr>
                    <w:t>、</w:t>
                  </w:r>
                  <w:r>
                    <w:rPr>
                      <w:rFonts w:hint="eastAsia" w:ascii="Times New Roman" w:hAnsi="Times New Roman"/>
                      <w:color w:val="auto"/>
                      <w:lang w:val="en-US" w:eastAsia="zh-CN"/>
                    </w:rPr>
                    <w:t>H</w:t>
                  </w:r>
                  <w:r>
                    <w:rPr>
                      <w:rFonts w:hint="eastAsia" w:ascii="Times New Roman" w:hAnsi="Times New Roman"/>
                      <w:color w:val="auto"/>
                      <w:vertAlign w:val="subscript"/>
                      <w:lang w:val="en-US" w:eastAsia="zh-CN"/>
                    </w:rPr>
                    <w:t>2</w:t>
                  </w:r>
                  <w:r>
                    <w:rPr>
                      <w:rFonts w:hint="eastAsia" w:ascii="Times New Roman" w:hAnsi="Times New Roman"/>
                      <w:color w:val="auto"/>
                      <w:lang w:val="en-US" w:eastAsia="zh-CN"/>
                    </w:rPr>
                    <w:t>S</w:t>
                  </w:r>
                </w:p>
              </w:tc>
              <w:tc>
                <w:tcPr>
                  <w:tcW w:w="978" w:type="pct"/>
                  <w:vMerge w:val="restart"/>
                  <w:vAlign w:val="center"/>
                </w:tcPr>
                <w:p>
                  <w:pPr>
                    <w:pStyle w:val="21"/>
                    <w:jc w:val="center"/>
                    <w:rPr>
                      <w:rFonts w:ascii="Times New Roman" w:hAnsi="Times New Roman"/>
                      <w:color w:val="auto"/>
                    </w:rPr>
                  </w:pPr>
                  <w:r>
                    <w:rPr>
                      <w:rFonts w:ascii="Times New Roman" w:hAnsi="Times New Roman"/>
                      <w:color w:val="auto"/>
                    </w:rPr>
                    <w:t>连续监测2天，每天3个平行样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vAlign w:val="center"/>
                </w:tcPr>
                <w:p>
                  <w:pPr>
                    <w:pStyle w:val="21"/>
                    <w:jc w:val="center"/>
                    <w:rPr>
                      <w:rFonts w:ascii="Times New Roman" w:hAnsi="Times New Roman"/>
                      <w:color w:val="auto"/>
                    </w:rPr>
                  </w:pPr>
                  <w:r>
                    <w:rPr>
                      <w:rFonts w:ascii="Times New Roman" w:hAnsi="Times New Roman"/>
                      <w:color w:val="auto"/>
                    </w:rPr>
                    <w:t>废气处理系统出口</w:t>
                  </w:r>
                </w:p>
              </w:tc>
              <w:tc>
                <w:tcPr>
                  <w:tcW w:w="1030" w:type="pct"/>
                  <w:vMerge w:val="continue"/>
                  <w:vAlign w:val="center"/>
                </w:tcPr>
                <w:p>
                  <w:pPr>
                    <w:pStyle w:val="21"/>
                    <w:jc w:val="center"/>
                    <w:rPr>
                      <w:rFonts w:ascii="Times New Roman" w:hAnsi="Times New Roman"/>
                      <w:color w:val="auto"/>
                    </w:rPr>
                  </w:pPr>
                </w:p>
              </w:tc>
              <w:tc>
                <w:tcPr>
                  <w:tcW w:w="840" w:type="pct"/>
                  <w:vAlign w:val="center"/>
                </w:tcPr>
                <w:p>
                  <w:pPr>
                    <w:pStyle w:val="21"/>
                    <w:jc w:val="center"/>
                    <w:rPr>
                      <w:rFonts w:ascii="Times New Roman" w:hAnsi="Times New Roman"/>
                      <w:color w:val="auto"/>
                    </w:rPr>
                  </w:pPr>
                  <w:r>
                    <w:rPr>
                      <w:rFonts w:ascii="Times New Roman" w:hAnsi="Times New Roman"/>
                      <w:color w:val="auto"/>
                    </w:rPr>
                    <w:t>G2</w:t>
                  </w:r>
                </w:p>
              </w:tc>
              <w:tc>
                <w:tcPr>
                  <w:tcW w:w="1064" w:type="pct"/>
                  <w:vAlign w:val="center"/>
                </w:tcPr>
                <w:p>
                  <w:pPr>
                    <w:pStyle w:val="21"/>
                    <w:jc w:val="center"/>
                    <w:rPr>
                      <w:rFonts w:ascii="Times New Roman" w:hAnsi="Times New Roman"/>
                      <w:color w:val="auto"/>
                    </w:rPr>
                  </w:pPr>
                  <w:r>
                    <w:rPr>
                      <w:rFonts w:hint="eastAsia" w:ascii="Times New Roman" w:hAnsi="Times New Roman"/>
                      <w:color w:val="auto"/>
                    </w:rPr>
                    <w:t>非甲烷总烃</w:t>
                  </w:r>
                  <w:r>
                    <w:rPr>
                      <w:rFonts w:hint="eastAsia" w:ascii="Times New Roman" w:hAnsi="Times New Roman"/>
                      <w:color w:val="auto"/>
                      <w:lang w:eastAsia="zh-CN"/>
                    </w:rPr>
                    <w:t>、</w:t>
                  </w:r>
                  <w:r>
                    <w:rPr>
                      <w:rFonts w:hint="eastAsia" w:ascii="Times New Roman" w:hAnsi="Times New Roman"/>
                      <w:color w:val="auto"/>
                      <w:lang w:val="en-US" w:eastAsia="zh-CN"/>
                    </w:rPr>
                    <w:t>H</w:t>
                  </w:r>
                  <w:r>
                    <w:rPr>
                      <w:rFonts w:hint="eastAsia" w:ascii="Times New Roman" w:hAnsi="Times New Roman"/>
                      <w:color w:val="auto"/>
                      <w:vertAlign w:val="subscript"/>
                      <w:lang w:val="en-US" w:eastAsia="zh-CN"/>
                    </w:rPr>
                    <w:t>2</w:t>
                  </w:r>
                  <w:r>
                    <w:rPr>
                      <w:rFonts w:hint="eastAsia" w:ascii="Times New Roman" w:hAnsi="Times New Roman"/>
                      <w:color w:val="auto"/>
                      <w:lang w:val="en-US" w:eastAsia="zh-CN"/>
                    </w:rPr>
                    <w:t>S</w:t>
                  </w:r>
                </w:p>
              </w:tc>
              <w:tc>
                <w:tcPr>
                  <w:tcW w:w="978" w:type="pct"/>
                  <w:vMerge w:val="continue"/>
                  <w:vAlign w:val="center"/>
                </w:tcPr>
                <w:p>
                  <w:pPr>
                    <w:pStyle w:val="21"/>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5" w:type="pct"/>
                  <w:vAlign w:val="center"/>
                </w:tcPr>
                <w:p>
                  <w:pPr>
                    <w:pStyle w:val="21"/>
                    <w:jc w:val="center"/>
                    <w:rPr>
                      <w:rFonts w:ascii="Times New Roman" w:hAnsi="Times New Roman"/>
                      <w:color w:val="auto"/>
                    </w:rPr>
                  </w:pPr>
                  <w:r>
                    <w:rPr>
                      <w:rFonts w:ascii="Times New Roman" w:hAnsi="Times New Roman"/>
                      <w:color w:val="auto"/>
                    </w:rPr>
                    <w:t>废气处理系统出口</w:t>
                  </w:r>
                </w:p>
              </w:tc>
              <w:tc>
                <w:tcPr>
                  <w:tcW w:w="1030" w:type="pct"/>
                  <w:vAlign w:val="center"/>
                </w:tcPr>
                <w:p>
                  <w:pPr>
                    <w:pStyle w:val="21"/>
                    <w:jc w:val="center"/>
                    <w:rPr>
                      <w:rFonts w:ascii="Times New Roman" w:hAnsi="Times New Roman"/>
                      <w:color w:val="auto"/>
                    </w:rPr>
                  </w:pPr>
                  <w:r>
                    <w:rPr>
                      <w:rFonts w:hint="eastAsia" w:ascii="Times New Roman" w:hAnsi="Times New Roman"/>
                      <w:color w:val="auto"/>
                    </w:rPr>
                    <w:t>DA00</w:t>
                  </w:r>
                  <w:r>
                    <w:rPr>
                      <w:rFonts w:hint="eastAsia" w:ascii="Times New Roman" w:hAnsi="Times New Roman"/>
                      <w:color w:val="auto"/>
                      <w:lang w:val="en-US" w:eastAsia="zh-CN"/>
                    </w:rPr>
                    <w:t>2</w:t>
                  </w:r>
                  <w:r>
                    <w:rPr>
                      <w:rFonts w:hint="eastAsia" w:ascii="Times New Roman" w:hAnsi="Times New Roman"/>
                      <w:color w:val="auto"/>
                    </w:rPr>
                    <w:t>（</w:t>
                  </w:r>
                  <w:r>
                    <w:rPr>
                      <w:rFonts w:hint="eastAsia" w:ascii="Times New Roman" w:hAnsi="Times New Roman"/>
                      <w:color w:val="auto"/>
                      <w:lang w:val="en-US" w:eastAsia="zh-CN"/>
                    </w:rPr>
                    <w:t>天然气燃烧尾气</w:t>
                  </w:r>
                  <w:r>
                    <w:rPr>
                      <w:rFonts w:hint="eastAsia" w:ascii="Times New Roman" w:hAnsi="Times New Roman"/>
                      <w:color w:val="auto"/>
                    </w:rPr>
                    <w:t>）</w:t>
                  </w:r>
                </w:p>
              </w:tc>
              <w:tc>
                <w:tcPr>
                  <w:tcW w:w="840" w:type="pct"/>
                  <w:vAlign w:val="center"/>
                </w:tcPr>
                <w:p>
                  <w:pPr>
                    <w:pStyle w:val="21"/>
                    <w:jc w:val="center"/>
                    <w:rPr>
                      <w:rFonts w:hint="eastAsia" w:ascii="Times New Roman" w:hAnsi="Times New Roman" w:eastAsia="宋体"/>
                      <w:color w:val="auto"/>
                      <w:lang w:eastAsia="zh-CN"/>
                    </w:rPr>
                  </w:pPr>
                  <w:r>
                    <w:rPr>
                      <w:rFonts w:hint="eastAsia" w:ascii="Times New Roman" w:hAnsi="Times New Roman"/>
                      <w:color w:val="auto"/>
                    </w:rPr>
                    <w:t>G</w:t>
                  </w:r>
                  <w:r>
                    <w:rPr>
                      <w:rFonts w:hint="eastAsia" w:ascii="Times New Roman" w:hAnsi="Times New Roman"/>
                      <w:color w:val="auto"/>
                      <w:lang w:val="en-US" w:eastAsia="zh-CN"/>
                    </w:rPr>
                    <w:t>3</w:t>
                  </w:r>
                </w:p>
              </w:tc>
              <w:tc>
                <w:tcPr>
                  <w:tcW w:w="1064" w:type="pct"/>
                  <w:vAlign w:val="center"/>
                </w:tcPr>
                <w:p>
                  <w:pPr>
                    <w:pStyle w:val="21"/>
                    <w:jc w:val="center"/>
                    <w:rPr>
                      <w:rFonts w:ascii="Times New Roman" w:hAnsi="Times New Roman"/>
                      <w:color w:val="auto"/>
                    </w:rPr>
                  </w:pPr>
                  <w:r>
                    <w:rPr>
                      <w:rFonts w:hint="eastAsia" w:ascii="Times New Roman" w:hAnsi="Times New Roman"/>
                      <w:color w:val="auto"/>
                    </w:rPr>
                    <w:t>颗粒物</w:t>
                  </w:r>
                </w:p>
              </w:tc>
              <w:tc>
                <w:tcPr>
                  <w:tcW w:w="978" w:type="pct"/>
                  <w:vMerge w:val="continue"/>
                  <w:vAlign w:val="center"/>
                </w:tcPr>
                <w:p>
                  <w:pPr>
                    <w:pStyle w:val="21"/>
                    <w:jc w:val="center"/>
                    <w:rPr>
                      <w:rFonts w:ascii="Times New Roman" w:hAnsi="Times New Roman"/>
                      <w:color w:val="auto"/>
                    </w:rPr>
                  </w:pP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1.2厂界无组织废气</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cs="Times New Roman"/>
                <w:color w:val="auto"/>
                <w:sz w:val="24"/>
                <w:szCs w:val="24"/>
                <w:lang w:val="en-US" w:eastAsia="zh-CN"/>
              </w:rPr>
            </w:pPr>
            <w:r>
              <w:rPr>
                <w:rFonts w:hint="default" w:cs="Times New Roman"/>
                <w:color w:val="auto"/>
                <w:sz w:val="24"/>
                <w:szCs w:val="24"/>
                <w:lang w:val="en-US" w:eastAsia="zh-CN"/>
              </w:rPr>
              <w:t>在</w:t>
            </w:r>
            <w:r>
              <w:rPr>
                <w:rFonts w:hint="eastAsia" w:cs="Times New Roman"/>
                <w:color w:val="auto"/>
                <w:sz w:val="24"/>
                <w:szCs w:val="24"/>
                <w:lang w:val="en-US" w:eastAsia="zh-CN"/>
              </w:rPr>
              <w:t>厂界</w:t>
            </w:r>
            <w:r>
              <w:rPr>
                <w:rFonts w:hint="default" w:cs="Times New Roman"/>
                <w:color w:val="auto"/>
                <w:sz w:val="24"/>
                <w:szCs w:val="24"/>
                <w:lang w:val="en-US" w:eastAsia="zh-CN"/>
              </w:rPr>
              <w:t>设置无组织排放监测点位，监测期间应根据风向按《大气污染物综合排放标准》（GB16279-1996）附录C中要求设置具体点位，上风向设1个对照点，下风向设3个监控点</w:t>
            </w:r>
            <w:r>
              <w:rPr>
                <w:rFonts w:hint="eastAsia" w:cs="Times New Roman"/>
                <w:color w:val="auto"/>
                <w:sz w:val="24"/>
                <w:szCs w:val="24"/>
                <w:lang w:val="en-US" w:eastAsia="zh-CN"/>
              </w:rPr>
              <w:t>。同步记录气象参数。（以监测当天风向为准）</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表6-2  厂界无组织监测</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901"/>
              <w:gridCol w:w="1978"/>
              <w:gridCol w:w="1320"/>
              <w:gridCol w:w="1342"/>
              <w:gridCol w:w="1659"/>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97" w:type="pct"/>
                  <w:vAlign w:val="center"/>
                </w:tcPr>
                <w:p>
                  <w:pPr>
                    <w:pStyle w:val="21"/>
                    <w:jc w:val="center"/>
                    <w:rPr>
                      <w:rFonts w:ascii="Times New Roman" w:hAnsi="Times New Roman"/>
                      <w:color w:val="auto"/>
                    </w:rPr>
                  </w:pPr>
                  <w:r>
                    <w:rPr>
                      <w:rFonts w:ascii="Times New Roman" w:hAnsi="Times New Roman"/>
                      <w:color w:val="auto"/>
                    </w:rPr>
                    <w:t>污染源</w:t>
                  </w:r>
                </w:p>
              </w:tc>
              <w:tc>
                <w:tcPr>
                  <w:tcW w:w="1091" w:type="pct"/>
                  <w:vAlign w:val="center"/>
                </w:tcPr>
                <w:p>
                  <w:pPr>
                    <w:pStyle w:val="21"/>
                    <w:jc w:val="center"/>
                    <w:rPr>
                      <w:rFonts w:ascii="Times New Roman" w:hAnsi="Times New Roman"/>
                      <w:color w:val="auto"/>
                    </w:rPr>
                  </w:pPr>
                  <w:r>
                    <w:rPr>
                      <w:rFonts w:ascii="Times New Roman" w:hAnsi="Times New Roman"/>
                      <w:color w:val="auto"/>
                    </w:rPr>
                    <w:t>监测点位</w:t>
                  </w:r>
                </w:p>
              </w:tc>
              <w:tc>
                <w:tcPr>
                  <w:tcW w:w="728" w:type="pct"/>
                  <w:vAlign w:val="center"/>
                </w:tcPr>
                <w:p>
                  <w:pPr>
                    <w:pStyle w:val="21"/>
                    <w:jc w:val="center"/>
                    <w:rPr>
                      <w:rFonts w:ascii="Times New Roman" w:hAnsi="Times New Roman"/>
                      <w:color w:val="auto"/>
                    </w:rPr>
                  </w:pPr>
                  <w:r>
                    <w:rPr>
                      <w:rFonts w:ascii="Times New Roman" w:hAnsi="Times New Roman"/>
                      <w:color w:val="auto"/>
                    </w:rPr>
                    <w:t>监测点功能</w:t>
                  </w:r>
                </w:p>
              </w:tc>
              <w:tc>
                <w:tcPr>
                  <w:tcW w:w="740" w:type="pct"/>
                  <w:vAlign w:val="center"/>
                </w:tcPr>
                <w:p>
                  <w:pPr>
                    <w:pStyle w:val="21"/>
                    <w:jc w:val="center"/>
                    <w:rPr>
                      <w:rFonts w:ascii="Times New Roman" w:hAnsi="Times New Roman"/>
                      <w:color w:val="auto"/>
                    </w:rPr>
                  </w:pPr>
                  <w:r>
                    <w:rPr>
                      <w:rFonts w:ascii="Times New Roman" w:hAnsi="Times New Roman"/>
                      <w:color w:val="auto"/>
                    </w:rPr>
                    <w:t>监测点编号</w:t>
                  </w:r>
                </w:p>
              </w:tc>
              <w:tc>
                <w:tcPr>
                  <w:tcW w:w="915" w:type="pct"/>
                  <w:vAlign w:val="center"/>
                </w:tcPr>
                <w:p>
                  <w:pPr>
                    <w:pStyle w:val="21"/>
                    <w:jc w:val="center"/>
                    <w:rPr>
                      <w:rFonts w:ascii="Times New Roman" w:hAnsi="Times New Roman"/>
                      <w:color w:val="auto"/>
                    </w:rPr>
                  </w:pPr>
                  <w:r>
                    <w:rPr>
                      <w:rFonts w:ascii="Times New Roman" w:hAnsi="Times New Roman"/>
                      <w:color w:val="auto"/>
                    </w:rPr>
                    <w:t>监测项目</w:t>
                  </w:r>
                </w:p>
              </w:tc>
              <w:tc>
                <w:tcPr>
                  <w:tcW w:w="1027" w:type="pct"/>
                  <w:vAlign w:val="center"/>
                </w:tcPr>
                <w:p>
                  <w:pPr>
                    <w:pStyle w:val="21"/>
                    <w:jc w:val="center"/>
                    <w:rPr>
                      <w:rFonts w:ascii="Times New Roman" w:hAnsi="Times New Roman"/>
                      <w:color w:val="auto"/>
                    </w:rPr>
                  </w:pPr>
                  <w:r>
                    <w:rPr>
                      <w:rFonts w:ascii="Times New Roman" w:hAnsi="Times New Roman"/>
                      <w:color w:val="auto"/>
                    </w:rPr>
                    <w:t>监测时间与频次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97" w:type="pct"/>
                  <w:vMerge w:val="restart"/>
                  <w:vAlign w:val="center"/>
                </w:tcPr>
                <w:p>
                  <w:pPr>
                    <w:pStyle w:val="21"/>
                    <w:jc w:val="center"/>
                    <w:rPr>
                      <w:rFonts w:ascii="Times New Roman" w:hAnsi="Times New Roman"/>
                      <w:color w:val="auto"/>
                    </w:rPr>
                  </w:pPr>
                  <w:r>
                    <w:rPr>
                      <w:rFonts w:ascii="Times New Roman" w:hAnsi="Times New Roman"/>
                      <w:color w:val="auto"/>
                    </w:rPr>
                    <w:t>厂界</w:t>
                  </w:r>
                </w:p>
              </w:tc>
              <w:tc>
                <w:tcPr>
                  <w:tcW w:w="1091" w:type="pct"/>
                  <w:vAlign w:val="center"/>
                </w:tcPr>
                <w:p>
                  <w:pPr>
                    <w:pStyle w:val="21"/>
                    <w:jc w:val="center"/>
                    <w:rPr>
                      <w:rFonts w:ascii="Times New Roman" w:hAnsi="Times New Roman"/>
                      <w:color w:val="auto"/>
                    </w:rPr>
                  </w:pPr>
                  <w:r>
                    <w:rPr>
                      <w:rFonts w:ascii="Times New Roman" w:hAnsi="Times New Roman"/>
                      <w:color w:val="auto"/>
                    </w:rPr>
                    <w:t>上风向采样点</w:t>
                  </w:r>
                </w:p>
              </w:tc>
              <w:tc>
                <w:tcPr>
                  <w:tcW w:w="728" w:type="pct"/>
                  <w:vAlign w:val="center"/>
                </w:tcPr>
                <w:p>
                  <w:pPr>
                    <w:widowControl/>
                    <w:jc w:val="center"/>
                    <w:rPr>
                      <w:color w:val="auto"/>
                      <w:szCs w:val="21"/>
                    </w:rPr>
                  </w:pPr>
                  <w:r>
                    <w:rPr>
                      <w:color w:val="auto"/>
                      <w:szCs w:val="21"/>
                    </w:rPr>
                    <w:t>对照点</w:t>
                  </w:r>
                </w:p>
              </w:tc>
              <w:tc>
                <w:tcPr>
                  <w:tcW w:w="740" w:type="pct"/>
                  <w:vAlign w:val="center"/>
                </w:tcPr>
                <w:p>
                  <w:pPr>
                    <w:pStyle w:val="21"/>
                    <w:jc w:val="center"/>
                    <w:rPr>
                      <w:rFonts w:hint="eastAsia" w:ascii="Times New Roman" w:hAnsi="Times New Roman" w:eastAsia="宋体"/>
                      <w:color w:val="auto"/>
                      <w:lang w:eastAsia="zh-CN"/>
                    </w:rPr>
                  </w:pPr>
                  <w:r>
                    <w:rPr>
                      <w:rFonts w:ascii="Times New Roman" w:hAnsi="Times New Roman"/>
                      <w:color w:val="auto"/>
                    </w:rPr>
                    <w:t>G</w:t>
                  </w:r>
                  <w:r>
                    <w:rPr>
                      <w:rFonts w:hint="eastAsia" w:ascii="Times New Roman" w:hAnsi="Times New Roman"/>
                      <w:color w:val="auto"/>
                      <w:lang w:val="en-US" w:eastAsia="zh-CN"/>
                    </w:rPr>
                    <w:t>4</w:t>
                  </w:r>
                </w:p>
              </w:tc>
              <w:tc>
                <w:tcPr>
                  <w:tcW w:w="915" w:type="pct"/>
                  <w:vMerge w:val="restart"/>
                  <w:vAlign w:val="center"/>
                </w:tcPr>
                <w:p>
                  <w:pPr>
                    <w:pStyle w:val="21"/>
                    <w:jc w:val="center"/>
                    <w:rPr>
                      <w:rFonts w:ascii="Times New Roman" w:hAnsi="Times New Roman"/>
                      <w:color w:val="auto"/>
                    </w:rPr>
                  </w:pPr>
                  <w:r>
                    <w:rPr>
                      <w:rFonts w:hint="eastAsia" w:ascii="Times New Roman" w:hAnsi="Times New Roman"/>
                      <w:color w:val="auto"/>
                    </w:rPr>
                    <w:t>非甲烷总烃（1h平均浓度值）、</w:t>
                  </w:r>
                  <w:r>
                    <w:rPr>
                      <w:rFonts w:hint="eastAsia" w:ascii="Times New Roman" w:hAnsi="Times New Roman"/>
                      <w:color w:val="auto"/>
                      <w:lang w:val="en-US" w:eastAsia="zh-CN"/>
                    </w:rPr>
                    <w:t>H</w:t>
                  </w:r>
                  <w:r>
                    <w:rPr>
                      <w:rFonts w:hint="eastAsia" w:ascii="Times New Roman" w:hAnsi="Times New Roman"/>
                      <w:color w:val="auto"/>
                      <w:vertAlign w:val="subscript"/>
                      <w:lang w:val="en-US" w:eastAsia="zh-CN"/>
                    </w:rPr>
                    <w:t>2</w:t>
                  </w:r>
                  <w:r>
                    <w:rPr>
                      <w:rFonts w:hint="eastAsia" w:ascii="Times New Roman" w:hAnsi="Times New Roman"/>
                      <w:color w:val="auto"/>
                      <w:lang w:val="en-US" w:eastAsia="zh-CN"/>
                    </w:rPr>
                    <w:t>S</w:t>
                  </w:r>
                  <w:r>
                    <w:rPr>
                      <w:rFonts w:hint="eastAsia" w:ascii="Times New Roman" w:hAnsi="Times New Roman"/>
                      <w:color w:val="auto"/>
                    </w:rPr>
                    <w:t>（一次值）、</w:t>
                  </w:r>
                  <w:r>
                    <w:rPr>
                      <w:rFonts w:hint="eastAsia" w:ascii="Times New Roman" w:hAnsi="Times New Roman"/>
                      <w:color w:val="auto"/>
                      <w:lang w:val="en-US" w:eastAsia="zh-CN"/>
                    </w:rPr>
                    <w:t>TSP</w:t>
                  </w:r>
                  <w:r>
                    <w:rPr>
                      <w:rFonts w:hint="eastAsia" w:ascii="Times New Roman" w:hAnsi="Times New Roman"/>
                      <w:color w:val="auto"/>
                    </w:rPr>
                    <w:t>（</w:t>
                  </w:r>
                  <w:r>
                    <w:rPr>
                      <w:rFonts w:hint="eastAsia" w:ascii="Times New Roman" w:hAnsi="Times New Roman"/>
                      <w:color w:val="auto"/>
                      <w:lang w:val="en-US" w:eastAsia="zh-CN"/>
                    </w:rPr>
                    <w:t>日均</w:t>
                  </w:r>
                  <w:r>
                    <w:rPr>
                      <w:rFonts w:hint="eastAsia" w:ascii="Times New Roman" w:hAnsi="Times New Roman"/>
                      <w:color w:val="auto"/>
                    </w:rPr>
                    <w:t>值）；</w:t>
                  </w:r>
                </w:p>
              </w:tc>
              <w:tc>
                <w:tcPr>
                  <w:tcW w:w="1027" w:type="pct"/>
                  <w:vMerge w:val="restart"/>
                  <w:vAlign w:val="center"/>
                </w:tcPr>
                <w:p>
                  <w:pPr>
                    <w:pStyle w:val="21"/>
                    <w:jc w:val="center"/>
                    <w:rPr>
                      <w:rFonts w:ascii="Times New Roman" w:hAnsi="Times New Roman"/>
                      <w:color w:val="auto"/>
                    </w:rPr>
                  </w:pPr>
                  <w:r>
                    <w:rPr>
                      <w:rFonts w:ascii="Times New Roman" w:hAnsi="Times New Roman"/>
                      <w:color w:val="auto"/>
                    </w:rPr>
                    <w:t>连续监测2天，每天3次，每次连续1h采样或在1h内等时间间隔采样4个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97" w:type="pct"/>
                  <w:vMerge w:val="continue"/>
                  <w:vAlign w:val="center"/>
                </w:tcPr>
                <w:p>
                  <w:pPr>
                    <w:pStyle w:val="21"/>
                    <w:jc w:val="center"/>
                    <w:rPr>
                      <w:rFonts w:ascii="Times New Roman" w:hAnsi="Times New Roman"/>
                      <w:color w:val="auto"/>
                    </w:rPr>
                  </w:pPr>
                </w:p>
              </w:tc>
              <w:tc>
                <w:tcPr>
                  <w:tcW w:w="1091" w:type="pct"/>
                  <w:vAlign w:val="center"/>
                </w:tcPr>
                <w:p>
                  <w:pPr>
                    <w:pStyle w:val="21"/>
                    <w:jc w:val="center"/>
                    <w:rPr>
                      <w:rFonts w:ascii="Times New Roman" w:hAnsi="Times New Roman"/>
                      <w:color w:val="auto"/>
                    </w:rPr>
                  </w:pPr>
                  <w:r>
                    <w:rPr>
                      <w:rFonts w:ascii="Times New Roman" w:hAnsi="Times New Roman"/>
                      <w:color w:val="auto"/>
                    </w:rPr>
                    <w:t>下风向采样点</w:t>
                  </w:r>
                </w:p>
              </w:tc>
              <w:tc>
                <w:tcPr>
                  <w:tcW w:w="728" w:type="pct"/>
                  <w:vAlign w:val="center"/>
                </w:tcPr>
                <w:p>
                  <w:pPr>
                    <w:widowControl/>
                    <w:jc w:val="center"/>
                    <w:rPr>
                      <w:color w:val="auto"/>
                      <w:szCs w:val="21"/>
                    </w:rPr>
                  </w:pPr>
                  <w:r>
                    <w:rPr>
                      <w:color w:val="auto"/>
                      <w:szCs w:val="21"/>
                    </w:rPr>
                    <w:t>监控点</w:t>
                  </w:r>
                </w:p>
              </w:tc>
              <w:tc>
                <w:tcPr>
                  <w:tcW w:w="740" w:type="pct"/>
                  <w:vAlign w:val="center"/>
                </w:tcPr>
                <w:p>
                  <w:pPr>
                    <w:pStyle w:val="21"/>
                    <w:jc w:val="center"/>
                    <w:rPr>
                      <w:rFonts w:hint="eastAsia" w:ascii="Times New Roman" w:hAnsi="Times New Roman" w:eastAsia="宋体"/>
                      <w:color w:val="auto"/>
                      <w:lang w:eastAsia="zh-CN"/>
                    </w:rPr>
                  </w:pPr>
                  <w:r>
                    <w:rPr>
                      <w:rFonts w:ascii="Times New Roman" w:hAnsi="Times New Roman"/>
                      <w:color w:val="auto"/>
                    </w:rPr>
                    <w:t>G</w:t>
                  </w:r>
                  <w:r>
                    <w:rPr>
                      <w:rFonts w:hint="eastAsia" w:ascii="Times New Roman" w:hAnsi="Times New Roman"/>
                      <w:color w:val="auto"/>
                      <w:lang w:val="en-US" w:eastAsia="zh-CN"/>
                    </w:rPr>
                    <w:t>5</w:t>
                  </w:r>
                </w:p>
              </w:tc>
              <w:tc>
                <w:tcPr>
                  <w:tcW w:w="915" w:type="pct"/>
                  <w:vMerge w:val="continue"/>
                  <w:vAlign w:val="center"/>
                </w:tcPr>
                <w:p>
                  <w:pPr>
                    <w:pStyle w:val="21"/>
                    <w:jc w:val="center"/>
                    <w:rPr>
                      <w:rFonts w:ascii="Times New Roman" w:hAnsi="Times New Roman"/>
                      <w:color w:val="auto"/>
                    </w:rPr>
                  </w:pPr>
                </w:p>
              </w:tc>
              <w:tc>
                <w:tcPr>
                  <w:tcW w:w="1027" w:type="pct"/>
                  <w:vMerge w:val="continue"/>
                  <w:vAlign w:val="center"/>
                </w:tcPr>
                <w:p>
                  <w:pPr>
                    <w:pStyle w:val="21"/>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97" w:type="pct"/>
                  <w:vMerge w:val="continue"/>
                  <w:vAlign w:val="center"/>
                </w:tcPr>
                <w:p>
                  <w:pPr>
                    <w:pStyle w:val="21"/>
                    <w:jc w:val="center"/>
                    <w:rPr>
                      <w:rFonts w:ascii="Times New Roman" w:hAnsi="Times New Roman"/>
                      <w:color w:val="auto"/>
                    </w:rPr>
                  </w:pPr>
                </w:p>
              </w:tc>
              <w:tc>
                <w:tcPr>
                  <w:tcW w:w="1091" w:type="pct"/>
                  <w:vAlign w:val="center"/>
                </w:tcPr>
                <w:p>
                  <w:pPr>
                    <w:pStyle w:val="21"/>
                    <w:jc w:val="center"/>
                    <w:rPr>
                      <w:rFonts w:ascii="Times New Roman" w:hAnsi="Times New Roman"/>
                      <w:color w:val="auto"/>
                    </w:rPr>
                  </w:pPr>
                  <w:r>
                    <w:rPr>
                      <w:rFonts w:ascii="Times New Roman" w:hAnsi="Times New Roman"/>
                      <w:color w:val="auto"/>
                    </w:rPr>
                    <w:t>下风向采样点</w:t>
                  </w:r>
                </w:p>
              </w:tc>
              <w:tc>
                <w:tcPr>
                  <w:tcW w:w="728" w:type="pct"/>
                  <w:vAlign w:val="center"/>
                </w:tcPr>
                <w:p>
                  <w:pPr>
                    <w:widowControl/>
                    <w:jc w:val="center"/>
                    <w:rPr>
                      <w:color w:val="auto"/>
                      <w:szCs w:val="21"/>
                    </w:rPr>
                  </w:pPr>
                  <w:r>
                    <w:rPr>
                      <w:color w:val="auto"/>
                      <w:szCs w:val="21"/>
                    </w:rPr>
                    <w:t>监控点</w:t>
                  </w:r>
                </w:p>
              </w:tc>
              <w:tc>
                <w:tcPr>
                  <w:tcW w:w="740" w:type="pct"/>
                  <w:vAlign w:val="center"/>
                </w:tcPr>
                <w:p>
                  <w:pPr>
                    <w:pStyle w:val="21"/>
                    <w:jc w:val="center"/>
                    <w:rPr>
                      <w:rFonts w:hint="eastAsia" w:ascii="Times New Roman" w:hAnsi="Times New Roman" w:eastAsia="宋体"/>
                      <w:color w:val="auto"/>
                      <w:lang w:eastAsia="zh-CN"/>
                    </w:rPr>
                  </w:pPr>
                  <w:r>
                    <w:rPr>
                      <w:rFonts w:ascii="Times New Roman" w:hAnsi="Times New Roman"/>
                      <w:color w:val="auto"/>
                    </w:rPr>
                    <w:t>G</w:t>
                  </w:r>
                  <w:r>
                    <w:rPr>
                      <w:rFonts w:hint="eastAsia" w:ascii="Times New Roman" w:hAnsi="Times New Roman"/>
                      <w:color w:val="auto"/>
                      <w:lang w:val="en-US" w:eastAsia="zh-CN"/>
                    </w:rPr>
                    <w:t>6</w:t>
                  </w:r>
                </w:p>
              </w:tc>
              <w:tc>
                <w:tcPr>
                  <w:tcW w:w="915" w:type="pct"/>
                  <w:vMerge w:val="continue"/>
                  <w:vAlign w:val="center"/>
                </w:tcPr>
                <w:p>
                  <w:pPr>
                    <w:pStyle w:val="21"/>
                    <w:jc w:val="center"/>
                    <w:rPr>
                      <w:rFonts w:ascii="Times New Roman" w:hAnsi="Times New Roman"/>
                      <w:color w:val="auto"/>
                    </w:rPr>
                  </w:pPr>
                </w:p>
              </w:tc>
              <w:tc>
                <w:tcPr>
                  <w:tcW w:w="1027" w:type="pct"/>
                  <w:vMerge w:val="continue"/>
                  <w:vAlign w:val="center"/>
                </w:tcPr>
                <w:p>
                  <w:pPr>
                    <w:pStyle w:val="21"/>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97" w:type="pct"/>
                  <w:vMerge w:val="continue"/>
                  <w:vAlign w:val="center"/>
                </w:tcPr>
                <w:p>
                  <w:pPr>
                    <w:pStyle w:val="21"/>
                    <w:jc w:val="center"/>
                    <w:rPr>
                      <w:rFonts w:ascii="Times New Roman" w:hAnsi="Times New Roman"/>
                      <w:color w:val="auto"/>
                    </w:rPr>
                  </w:pPr>
                </w:p>
              </w:tc>
              <w:tc>
                <w:tcPr>
                  <w:tcW w:w="1091" w:type="pct"/>
                  <w:vAlign w:val="center"/>
                </w:tcPr>
                <w:p>
                  <w:pPr>
                    <w:pStyle w:val="21"/>
                    <w:jc w:val="center"/>
                    <w:rPr>
                      <w:rFonts w:ascii="Times New Roman" w:hAnsi="Times New Roman"/>
                      <w:color w:val="auto"/>
                    </w:rPr>
                  </w:pPr>
                  <w:r>
                    <w:rPr>
                      <w:rFonts w:ascii="Times New Roman" w:hAnsi="Times New Roman"/>
                      <w:color w:val="auto"/>
                    </w:rPr>
                    <w:t>下风向采样点</w:t>
                  </w:r>
                </w:p>
              </w:tc>
              <w:tc>
                <w:tcPr>
                  <w:tcW w:w="728" w:type="pct"/>
                  <w:vAlign w:val="center"/>
                </w:tcPr>
                <w:p>
                  <w:pPr>
                    <w:widowControl/>
                    <w:jc w:val="center"/>
                    <w:rPr>
                      <w:color w:val="auto"/>
                      <w:szCs w:val="21"/>
                    </w:rPr>
                  </w:pPr>
                  <w:r>
                    <w:rPr>
                      <w:color w:val="auto"/>
                      <w:szCs w:val="21"/>
                    </w:rPr>
                    <w:t>监控点</w:t>
                  </w:r>
                </w:p>
              </w:tc>
              <w:tc>
                <w:tcPr>
                  <w:tcW w:w="740" w:type="pct"/>
                  <w:vAlign w:val="center"/>
                </w:tcPr>
                <w:p>
                  <w:pPr>
                    <w:pStyle w:val="21"/>
                    <w:jc w:val="center"/>
                    <w:rPr>
                      <w:rFonts w:hint="eastAsia" w:ascii="Times New Roman" w:hAnsi="Times New Roman" w:eastAsia="宋体"/>
                      <w:color w:val="auto"/>
                      <w:lang w:eastAsia="zh-CN"/>
                    </w:rPr>
                  </w:pPr>
                  <w:r>
                    <w:rPr>
                      <w:rFonts w:ascii="Times New Roman" w:hAnsi="Times New Roman"/>
                      <w:color w:val="auto"/>
                    </w:rPr>
                    <w:t>G</w:t>
                  </w:r>
                  <w:r>
                    <w:rPr>
                      <w:rFonts w:hint="eastAsia" w:ascii="Times New Roman" w:hAnsi="Times New Roman"/>
                      <w:color w:val="auto"/>
                      <w:lang w:val="en-US" w:eastAsia="zh-CN"/>
                    </w:rPr>
                    <w:t>7</w:t>
                  </w:r>
                </w:p>
              </w:tc>
              <w:tc>
                <w:tcPr>
                  <w:tcW w:w="915" w:type="pct"/>
                  <w:vMerge w:val="continue"/>
                  <w:vAlign w:val="center"/>
                </w:tcPr>
                <w:p>
                  <w:pPr>
                    <w:pStyle w:val="21"/>
                    <w:jc w:val="center"/>
                    <w:rPr>
                      <w:rFonts w:ascii="Times New Roman" w:hAnsi="Times New Roman"/>
                      <w:color w:val="auto"/>
                    </w:rPr>
                  </w:pPr>
                </w:p>
              </w:tc>
              <w:tc>
                <w:tcPr>
                  <w:tcW w:w="1027" w:type="pct"/>
                  <w:vMerge w:val="continue"/>
                  <w:vAlign w:val="center"/>
                </w:tcPr>
                <w:p>
                  <w:pPr>
                    <w:pStyle w:val="21"/>
                    <w:jc w:val="center"/>
                    <w:rPr>
                      <w:rFonts w:ascii="Times New Roman" w:hAnsi="Times New Roman"/>
                      <w:color w:val="auto"/>
                    </w:rPr>
                  </w:pPr>
                </w:p>
              </w:tc>
            </w:tr>
          </w:tbl>
          <w:p>
            <w:pPr>
              <w:bidi w:val="0"/>
              <w:rPr>
                <w:b/>
                <w:bCs/>
                <w:color w:val="auto"/>
              </w:rPr>
            </w:pPr>
            <w:r>
              <w:rPr>
                <w:b/>
                <w:bCs/>
                <w:color w:val="auto"/>
              </w:rPr>
              <w:t>注：</w:t>
            </w:r>
            <w:r>
              <w:rPr>
                <w:rFonts w:hint="eastAsia"/>
                <w:b/>
                <w:bCs/>
                <w:color w:val="auto"/>
              </w:rPr>
              <w:t>以上所有</w:t>
            </w:r>
            <w:r>
              <w:rPr>
                <w:b/>
                <w:bCs/>
                <w:color w:val="auto"/>
              </w:rPr>
              <w:t>无组织监测中，上风向对照点及下风向监控点需根据监测时风向确定，具体点位在现场测试时根据监测期间风向按《大气污染物综合排放标准》（GB16279-1996）附录C中要求设置</w:t>
            </w:r>
            <w:r>
              <w:rPr>
                <w:rFonts w:hint="eastAsia"/>
                <w:b/>
                <w:bCs/>
                <w:color w:val="auto"/>
              </w:rPr>
              <w:t>，并在监测报告中注明实际监测点位</w:t>
            </w:r>
            <w:r>
              <w:rPr>
                <w:b/>
                <w:bCs/>
                <w:color w:val="auto"/>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1.3厂区内无组织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cs="Times New Roman"/>
                <w:color w:val="auto"/>
                <w:sz w:val="24"/>
                <w:szCs w:val="24"/>
                <w:lang w:val="en-US" w:eastAsia="zh-CN"/>
              </w:rPr>
            </w:pPr>
            <w:r>
              <w:rPr>
                <w:rFonts w:hint="eastAsia" w:cs="Times New Roman"/>
                <w:color w:val="auto"/>
                <w:sz w:val="24"/>
                <w:szCs w:val="24"/>
                <w:lang w:val="en-US" w:eastAsia="zh-CN"/>
              </w:rPr>
              <w:t>根据《挥发性有机物无组织排放控制标准》（GB37822-2019），在项目区生产车间旁设立一个监测点，测点设置在厂房门窗外1</w:t>
            </w:r>
            <w:r>
              <w:rPr>
                <w:rFonts w:hint="default" w:cs="Times New Roman"/>
                <w:color w:val="auto"/>
                <w:sz w:val="24"/>
                <w:szCs w:val="24"/>
                <w:lang w:val="en-US" w:eastAsia="zh-CN"/>
              </w:rPr>
              <w:t>m</w:t>
            </w:r>
            <w:r>
              <w:rPr>
                <w:rFonts w:hint="eastAsia" w:cs="Times New Roman"/>
                <w:color w:val="auto"/>
                <w:sz w:val="24"/>
                <w:szCs w:val="24"/>
                <w:lang w:val="en-US" w:eastAsia="zh-CN"/>
              </w:rPr>
              <w:t>，距离地面1</w:t>
            </w:r>
            <w:r>
              <w:rPr>
                <w:rFonts w:hint="default" w:cs="Times New Roman"/>
                <w:color w:val="auto"/>
                <w:sz w:val="24"/>
                <w:szCs w:val="24"/>
                <w:lang w:val="en-US" w:eastAsia="zh-CN"/>
              </w:rPr>
              <w:t>.5m</w:t>
            </w:r>
            <w:r>
              <w:rPr>
                <w:rFonts w:hint="eastAsia" w:cs="Times New Roman"/>
                <w:color w:val="auto"/>
                <w:sz w:val="24"/>
                <w:szCs w:val="24"/>
                <w:lang w:val="en-US" w:eastAsia="zh-CN"/>
              </w:rPr>
              <w:t>以上位置。</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表6-3  厂区内无组织监测</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2740"/>
              <w:gridCol w:w="1674"/>
              <w:gridCol w:w="1783"/>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9" w:hRule="atLeast"/>
                <w:jc w:val="center"/>
              </w:trPr>
              <w:tc>
                <w:tcPr>
                  <w:tcW w:w="1512" w:type="pct"/>
                  <w:vAlign w:val="center"/>
                </w:tcPr>
                <w:p>
                  <w:pPr>
                    <w:pStyle w:val="21"/>
                    <w:jc w:val="center"/>
                    <w:rPr>
                      <w:rFonts w:ascii="Times New Roman" w:hAnsi="Times New Roman"/>
                      <w:color w:val="auto"/>
                    </w:rPr>
                  </w:pPr>
                  <w:r>
                    <w:rPr>
                      <w:rFonts w:ascii="Times New Roman" w:hAnsi="Times New Roman"/>
                      <w:color w:val="auto"/>
                    </w:rPr>
                    <w:t>污染源</w:t>
                  </w:r>
                </w:p>
              </w:tc>
              <w:tc>
                <w:tcPr>
                  <w:tcW w:w="924" w:type="pct"/>
                  <w:vAlign w:val="center"/>
                </w:tcPr>
                <w:p>
                  <w:pPr>
                    <w:pStyle w:val="21"/>
                    <w:jc w:val="center"/>
                    <w:rPr>
                      <w:rFonts w:ascii="Times New Roman" w:hAnsi="Times New Roman"/>
                      <w:color w:val="auto"/>
                    </w:rPr>
                  </w:pPr>
                  <w:r>
                    <w:rPr>
                      <w:rFonts w:ascii="Times New Roman" w:hAnsi="Times New Roman"/>
                      <w:color w:val="auto"/>
                    </w:rPr>
                    <w:t>监测点编号</w:t>
                  </w:r>
                </w:p>
              </w:tc>
              <w:tc>
                <w:tcPr>
                  <w:tcW w:w="984" w:type="pct"/>
                  <w:vAlign w:val="center"/>
                </w:tcPr>
                <w:p>
                  <w:pPr>
                    <w:pStyle w:val="21"/>
                    <w:jc w:val="center"/>
                    <w:rPr>
                      <w:rFonts w:ascii="Times New Roman" w:hAnsi="Times New Roman"/>
                      <w:color w:val="auto"/>
                    </w:rPr>
                  </w:pPr>
                  <w:r>
                    <w:rPr>
                      <w:rFonts w:ascii="Times New Roman" w:hAnsi="Times New Roman"/>
                      <w:color w:val="auto"/>
                    </w:rPr>
                    <w:t>监测项目</w:t>
                  </w:r>
                </w:p>
              </w:tc>
              <w:tc>
                <w:tcPr>
                  <w:tcW w:w="1578" w:type="pct"/>
                  <w:vAlign w:val="center"/>
                </w:tcPr>
                <w:p>
                  <w:pPr>
                    <w:pStyle w:val="21"/>
                    <w:jc w:val="center"/>
                    <w:rPr>
                      <w:rFonts w:ascii="Times New Roman" w:hAnsi="Times New Roman"/>
                      <w:color w:val="auto"/>
                    </w:rPr>
                  </w:pPr>
                  <w:r>
                    <w:rPr>
                      <w:rFonts w:ascii="Times New Roman" w:hAnsi="Times New Roman"/>
                      <w:color w:val="auto"/>
                    </w:rPr>
                    <w:t>监测时间与频次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512" w:type="pct"/>
                  <w:vAlign w:val="center"/>
                </w:tcPr>
                <w:p>
                  <w:pPr>
                    <w:pStyle w:val="21"/>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3#生产车间</w:t>
                  </w:r>
                </w:p>
              </w:tc>
              <w:tc>
                <w:tcPr>
                  <w:tcW w:w="924" w:type="pct"/>
                  <w:vAlign w:val="center"/>
                </w:tcPr>
                <w:p>
                  <w:pPr>
                    <w:pStyle w:val="21"/>
                    <w:jc w:val="center"/>
                    <w:rPr>
                      <w:rFonts w:hint="eastAsia" w:ascii="Times New Roman" w:hAnsi="Times New Roman" w:eastAsia="宋体"/>
                      <w:color w:val="auto"/>
                      <w:lang w:eastAsia="zh-CN"/>
                    </w:rPr>
                  </w:pPr>
                  <w:r>
                    <w:rPr>
                      <w:rFonts w:hint="eastAsia" w:ascii="Times New Roman" w:hAnsi="Times New Roman"/>
                      <w:color w:val="auto"/>
                    </w:rPr>
                    <w:t>G</w:t>
                  </w:r>
                  <w:r>
                    <w:rPr>
                      <w:rFonts w:hint="eastAsia" w:ascii="Times New Roman" w:hAnsi="Times New Roman"/>
                      <w:color w:val="auto"/>
                      <w:lang w:val="en-US" w:eastAsia="zh-CN"/>
                    </w:rPr>
                    <w:t>8</w:t>
                  </w:r>
                </w:p>
              </w:tc>
              <w:tc>
                <w:tcPr>
                  <w:tcW w:w="984" w:type="pct"/>
                  <w:vAlign w:val="center"/>
                </w:tcPr>
                <w:p>
                  <w:pPr>
                    <w:pStyle w:val="21"/>
                    <w:jc w:val="center"/>
                    <w:rPr>
                      <w:rFonts w:ascii="Times New Roman" w:hAnsi="Times New Roman"/>
                      <w:color w:val="auto"/>
                    </w:rPr>
                  </w:pPr>
                  <w:r>
                    <w:rPr>
                      <w:rFonts w:hint="eastAsia" w:ascii="Times New Roman" w:hAnsi="Times New Roman"/>
                      <w:color w:val="auto"/>
                      <w:szCs w:val="21"/>
                    </w:rPr>
                    <w:t>非甲烷总烃（1h平均浓度值）</w:t>
                  </w:r>
                </w:p>
              </w:tc>
              <w:tc>
                <w:tcPr>
                  <w:tcW w:w="1578" w:type="pct"/>
                  <w:vAlign w:val="center"/>
                </w:tcPr>
                <w:p>
                  <w:pPr>
                    <w:pStyle w:val="21"/>
                    <w:jc w:val="center"/>
                    <w:rPr>
                      <w:rFonts w:ascii="Times New Roman" w:hAnsi="Times New Roman"/>
                      <w:color w:val="auto"/>
                    </w:rPr>
                  </w:pPr>
                  <w:r>
                    <w:rPr>
                      <w:rFonts w:ascii="Times New Roman" w:hAnsi="Times New Roman"/>
                      <w:color w:val="auto"/>
                    </w:rPr>
                    <w:t>连续监测2天，每天1次，</w:t>
                  </w:r>
                  <w:r>
                    <w:rPr>
                      <w:rFonts w:hint="eastAsia" w:ascii="Times New Roman" w:hAnsi="Times New Roman"/>
                      <w:color w:val="auto"/>
                    </w:rPr>
                    <w:t>测1小时均值和一次值</w:t>
                  </w: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1.4环境质量监控点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cs="Times New Roman"/>
                <w:color w:val="auto"/>
                <w:sz w:val="24"/>
                <w:szCs w:val="24"/>
                <w:lang w:val="en-US" w:eastAsia="zh-CN"/>
              </w:rPr>
            </w:pPr>
            <w:r>
              <w:rPr>
                <w:rFonts w:hint="eastAsia" w:cs="Times New Roman"/>
                <w:color w:val="auto"/>
                <w:sz w:val="24"/>
                <w:szCs w:val="24"/>
                <w:lang w:val="en-US" w:eastAsia="zh-CN"/>
              </w:rPr>
              <w:t>厂区周边敏感点上杨村环境空气质量。</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表6-4 厂区内无组织监测</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643"/>
              <w:gridCol w:w="1466"/>
              <w:gridCol w:w="3088"/>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907" w:type="pct"/>
                  <w:vAlign w:val="center"/>
                </w:tcPr>
                <w:p>
                  <w:pPr>
                    <w:pStyle w:val="21"/>
                    <w:jc w:val="center"/>
                    <w:rPr>
                      <w:rFonts w:ascii="Times New Roman" w:hAnsi="Times New Roman"/>
                      <w:color w:val="auto"/>
                    </w:rPr>
                  </w:pPr>
                  <w:r>
                    <w:rPr>
                      <w:rFonts w:ascii="Times New Roman" w:hAnsi="Times New Roman"/>
                      <w:color w:val="auto"/>
                    </w:rPr>
                    <w:t>污染源</w:t>
                  </w:r>
                </w:p>
              </w:tc>
              <w:tc>
                <w:tcPr>
                  <w:tcW w:w="809" w:type="pct"/>
                  <w:vAlign w:val="center"/>
                </w:tcPr>
                <w:p>
                  <w:pPr>
                    <w:pStyle w:val="21"/>
                    <w:jc w:val="center"/>
                    <w:rPr>
                      <w:rFonts w:ascii="Times New Roman" w:hAnsi="Times New Roman"/>
                      <w:color w:val="auto"/>
                    </w:rPr>
                  </w:pPr>
                  <w:r>
                    <w:rPr>
                      <w:rFonts w:ascii="Times New Roman" w:hAnsi="Times New Roman"/>
                      <w:color w:val="auto"/>
                    </w:rPr>
                    <w:t>监测点编号</w:t>
                  </w:r>
                </w:p>
              </w:tc>
              <w:tc>
                <w:tcPr>
                  <w:tcW w:w="1704" w:type="pct"/>
                  <w:vAlign w:val="center"/>
                </w:tcPr>
                <w:p>
                  <w:pPr>
                    <w:pStyle w:val="21"/>
                    <w:jc w:val="center"/>
                    <w:rPr>
                      <w:rFonts w:ascii="Times New Roman" w:hAnsi="Times New Roman"/>
                      <w:color w:val="auto"/>
                    </w:rPr>
                  </w:pPr>
                  <w:r>
                    <w:rPr>
                      <w:rFonts w:ascii="Times New Roman" w:hAnsi="Times New Roman"/>
                      <w:color w:val="auto"/>
                    </w:rPr>
                    <w:t>监测项目</w:t>
                  </w:r>
                </w:p>
              </w:tc>
              <w:tc>
                <w:tcPr>
                  <w:tcW w:w="1578" w:type="pct"/>
                  <w:vAlign w:val="center"/>
                </w:tcPr>
                <w:p>
                  <w:pPr>
                    <w:pStyle w:val="21"/>
                    <w:jc w:val="center"/>
                    <w:rPr>
                      <w:rFonts w:ascii="Times New Roman" w:hAnsi="Times New Roman"/>
                      <w:color w:val="auto"/>
                    </w:rPr>
                  </w:pPr>
                  <w:r>
                    <w:rPr>
                      <w:rFonts w:ascii="Times New Roman" w:hAnsi="Times New Roman"/>
                      <w:color w:val="auto"/>
                    </w:rPr>
                    <w:t>监测时间与频次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7" w:hRule="atLeast"/>
                <w:jc w:val="center"/>
              </w:trPr>
              <w:tc>
                <w:tcPr>
                  <w:tcW w:w="907" w:type="pct"/>
                  <w:vAlign w:val="center"/>
                </w:tcPr>
                <w:p>
                  <w:pPr>
                    <w:pStyle w:val="21"/>
                    <w:jc w:val="center"/>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上杨村</w:t>
                  </w:r>
                </w:p>
              </w:tc>
              <w:tc>
                <w:tcPr>
                  <w:tcW w:w="809" w:type="pct"/>
                  <w:vAlign w:val="center"/>
                </w:tcPr>
                <w:p>
                  <w:pPr>
                    <w:pStyle w:val="21"/>
                    <w:jc w:val="center"/>
                    <w:rPr>
                      <w:rFonts w:hint="eastAsia" w:ascii="Times New Roman" w:hAnsi="Times New Roman" w:eastAsia="宋体"/>
                      <w:color w:val="auto"/>
                      <w:lang w:eastAsia="zh-CN"/>
                    </w:rPr>
                  </w:pPr>
                  <w:r>
                    <w:rPr>
                      <w:rFonts w:hint="eastAsia" w:ascii="Times New Roman" w:hAnsi="Times New Roman"/>
                      <w:color w:val="auto"/>
                    </w:rPr>
                    <w:t>G</w:t>
                  </w:r>
                  <w:r>
                    <w:rPr>
                      <w:rFonts w:hint="eastAsia" w:ascii="Times New Roman" w:hAnsi="Times New Roman"/>
                      <w:color w:val="auto"/>
                      <w:lang w:val="en-US" w:eastAsia="zh-CN"/>
                    </w:rPr>
                    <w:t>9</w:t>
                  </w:r>
                </w:p>
              </w:tc>
              <w:tc>
                <w:tcPr>
                  <w:tcW w:w="1704" w:type="pct"/>
                  <w:vAlign w:val="center"/>
                </w:tcPr>
                <w:p>
                  <w:pPr>
                    <w:pStyle w:val="21"/>
                    <w:jc w:val="center"/>
                    <w:rPr>
                      <w:rFonts w:ascii="Times New Roman" w:hAnsi="Times New Roman"/>
                      <w:color w:val="auto"/>
                    </w:rPr>
                  </w:pPr>
                  <w:r>
                    <w:rPr>
                      <w:rFonts w:hint="eastAsia" w:ascii="Times New Roman" w:hAnsi="Times New Roman"/>
                      <w:color w:val="auto"/>
                      <w:szCs w:val="21"/>
                      <w:lang w:val="en-US" w:eastAsia="zh-CN"/>
                    </w:rPr>
                    <w:t>非甲烷总烃</w:t>
                  </w:r>
                  <w:r>
                    <w:rPr>
                      <w:rFonts w:hint="eastAsia" w:ascii="Times New Roman" w:hAnsi="Times New Roman"/>
                      <w:color w:val="auto"/>
                      <w:szCs w:val="21"/>
                    </w:rPr>
                    <w:t>、</w:t>
                  </w:r>
                  <w:r>
                    <w:rPr>
                      <w:rFonts w:hint="eastAsia" w:ascii="Times New Roman" w:hAnsi="Times New Roman"/>
                      <w:color w:val="auto"/>
                      <w:szCs w:val="21"/>
                      <w:lang w:val="en-US" w:eastAsia="zh-CN"/>
                    </w:rPr>
                    <w:t>H</w:t>
                  </w:r>
                  <w:r>
                    <w:rPr>
                      <w:rFonts w:hint="eastAsia" w:ascii="Times New Roman" w:hAnsi="Times New Roman"/>
                      <w:color w:val="auto"/>
                      <w:szCs w:val="21"/>
                      <w:vertAlign w:val="subscript"/>
                      <w:lang w:val="en-US" w:eastAsia="zh-CN"/>
                    </w:rPr>
                    <w:t>2</w:t>
                  </w:r>
                  <w:r>
                    <w:rPr>
                      <w:rFonts w:hint="eastAsia" w:ascii="Times New Roman" w:hAnsi="Times New Roman"/>
                      <w:color w:val="auto"/>
                      <w:szCs w:val="21"/>
                      <w:lang w:val="en-US" w:eastAsia="zh-CN"/>
                    </w:rPr>
                    <w:t>S</w:t>
                  </w:r>
                  <w:r>
                    <w:rPr>
                      <w:rFonts w:hint="eastAsia" w:ascii="Times New Roman" w:hAnsi="Times New Roman"/>
                      <w:color w:val="auto"/>
                      <w:szCs w:val="21"/>
                    </w:rPr>
                    <w:t>（均为1h平均浓度值）</w:t>
                  </w:r>
                  <w:r>
                    <w:rPr>
                      <w:rFonts w:hint="eastAsia" w:ascii="Times New Roman" w:hAnsi="Times New Roman"/>
                      <w:color w:val="auto"/>
                      <w:szCs w:val="21"/>
                      <w:lang w:val="en-US" w:eastAsia="zh-CN"/>
                    </w:rPr>
                    <w:t>TSP（日均值）</w:t>
                  </w:r>
                </w:p>
              </w:tc>
              <w:tc>
                <w:tcPr>
                  <w:tcW w:w="1578" w:type="pct"/>
                  <w:vAlign w:val="center"/>
                </w:tcPr>
                <w:p>
                  <w:pPr>
                    <w:pStyle w:val="21"/>
                    <w:jc w:val="center"/>
                    <w:rPr>
                      <w:rFonts w:ascii="Times New Roman" w:hAnsi="Times New Roman"/>
                      <w:color w:val="auto"/>
                    </w:rPr>
                  </w:pPr>
                  <w:r>
                    <w:rPr>
                      <w:rFonts w:ascii="Times New Roman" w:hAnsi="Times New Roman"/>
                      <w:color w:val="auto"/>
                    </w:rPr>
                    <w:t>连续监测2天，每天1次，</w:t>
                  </w:r>
                  <w:r>
                    <w:rPr>
                      <w:rFonts w:hint="eastAsia" w:ascii="Times New Roman" w:hAnsi="Times New Roman"/>
                      <w:color w:val="auto"/>
                    </w:rPr>
                    <w:t>测1小时均值和一次值</w:t>
                  </w: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2、废水监测内容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本次验收在厂区总排口各设一个监测点，具体见下表。</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表6-5  水污染源监测</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300"/>
              <w:gridCol w:w="1761"/>
              <w:gridCol w:w="1514"/>
              <w:gridCol w:w="3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pct"/>
                  <w:vAlign w:val="center"/>
                </w:tcPr>
                <w:p>
                  <w:pPr>
                    <w:pStyle w:val="21"/>
                    <w:jc w:val="center"/>
                    <w:rPr>
                      <w:rFonts w:ascii="Times New Roman" w:hAnsi="Times New Roman"/>
                      <w:color w:val="auto"/>
                    </w:rPr>
                  </w:pPr>
                  <w:r>
                    <w:rPr>
                      <w:rFonts w:hint="eastAsia" w:ascii="Times New Roman" w:hAnsi="Times New Roman"/>
                      <w:color w:val="auto"/>
                    </w:rPr>
                    <w:t>断面位置</w:t>
                  </w:r>
                </w:p>
              </w:tc>
              <w:tc>
                <w:tcPr>
                  <w:tcW w:w="717" w:type="pct"/>
                  <w:vAlign w:val="center"/>
                </w:tcPr>
                <w:p>
                  <w:pPr>
                    <w:pStyle w:val="21"/>
                    <w:jc w:val="center"/>
                    <w:rPr>
                      <w:rFonts w:ascii="Times New Roman" w:hAnsi="Times New Roman"/>
                      <w:color w:val="auto"/>
                    </w:rPr>
                  </w:pPr>
                  <w:r>
                    <w:rPr>
                      <w:rFonts w:ascii="Times New Roman" w:hAnsi="Times New Roman"/>
                      <w:color w:val="auto"/>
                    </w:rPr>
                    <w:t>监测点编号</w:t>
                  </w:r>
                </w:p>
              </w:tc>
              <w:tc>
                <w:tcPr>
                  <w:tcW w:w="971" w:type="pct"/>
                  <w:vAlign w:val="center"/>
                </w:tcPr>
                <w:p>
                  <w:pPr>
                    <w:pStyle w:val="21"/>
                    <w:jc w:val="center"/>
                    <w:rPr>
                      <w:rFonts w:ascii="Times New Roman" w:hAnsi="Times New Roman"/>
                      <w:color w:val="auto"/>
                    </w:rPr>
                  </w:pPr>
                  <w:r>
                    <w:rPr>
                      <w:rFonts w:ascii="Times New Roman" w:hAnsi="Times New Roman"/>
                      <w:color w:val="auto"/>
                    </w:rPr>
                    <w:t>监测项目</w:t>
                  </w:r>
                </w:p>
              </w:tc>
              <w:tc>
                <w:tcPr>
                  <w:tcW w:w="835" w:type="pct"/>
                  <w:vAlign w:val="center"/>
                </w:tcPr>
                <w:p>
                  <w:pPr>
                    <w:pStyle w:val="21"/>
                    <w:jc w:val="center"/>
                    <w:rPr>
                      <w:rFonts w:ascii="Times New Roman" w:hAnsi="Times New Roman"/>
                      <w:color w:val="auto"/>
                    </w:rPr>
                  </w:pPr>
                  <w:r>
                    <w:rPr>
                      <w:rFonts w:ascii="Times New Roman" w:hAnsi="Times New Roman"/>
                      <w:color w:val="auto"/>
                    </w:rPr>
                    <w:t>监测时间与频次</w:t>
                  </w:r>
                </w:p>
              </w:tc>
              <w:tc>
                <w:tcPr>
                  <w:tcW w:w="1828" w:type="pct"/>
                  <w:vAlign w:val="center"/>
                </w:tcPr>
                <w:p>
                  <w:pPr>
                    <w:pStyle w:val="21"/>
                    <w:jc w:val="center"/>
                    <w:rPr>
                      <w:rFonts w:ascii="Times New Roman" w:hAnsi="Times New Roman"/>
                      <w:color w:val="auto"/>
                    </w:rPr>
                  </w:pPr>
                  <w:r>
                    <w:rPr>
                      <w:rFonts w:ascii="Times New Roman" w:hAnsi="Times New Roman"/>
                      <w:color w:val="auto"/>
                    </w:rPr>
                    <w:t>监测要求和采样、分析方法和数据处理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47" w:type="pct"/>
                  <w:vAlign w:val="center"/>
                </w:tcPr>
                <w:p>
                  <w:pPr>
                    <w:pStyle w:val="21"/>
                    <w:jc w:val="center"/>
                    <w:rPr>
                      <w:rFonts w:ascii="Times New Roman" w:hAnsi="Times New Roman"/>
                      <w:color w:val="auto"/>
                    </w:rPr>
                  </w:pPr>
                  <w:r>
                    <w:rPr>
                      <w:rFonts w:hint="eastAsia"/>
                      <w:color w:val="auto"/>
                      <w:szCs w:val="21"/>
                    </w:rPr>
                    <w:t>全厂总排口</w:t>
                  </w:r>
                </w:p>
              </w:tc>
              <w:tc>
                <w:tcPr>
                  <w:tcW w:w="717" w:type="pct"/>
                  <w:vAlign w:val="center"/>
                </w:tcPr>
                <w:p>
                  <w:pPr>
                    <w:pStyle w:val="21"/>
                    <w:jc w:val="center"/>
                    <w:rPr>
                      <w:rFonts w:ascii="Times New Roman" w:hAnsi="Times New Roman"/>
                      <w:color w:val="auto"/>
                      <w:kern w:val="2"/>
                    </w:rPr>
                  </w:pPr>
                  <w:r>
                    <w:rPr>
                      <w:rFonts w:ascii="Times New Roman" w:hAnsi="Times New Roman"/>
                      <w:color w:val="auto"/>
                    </w:rPr>
                    <w:t>W1</w:t>
                  </w:r>
                </w:p>
              </w:tc>
              <w:tc>
                <w:tcPr>
                  <w:tcW w:w="971" w:type="pct"/>
                  <w:vAlign w:val="center"/>
                </w:tcPr>
                <w:p>
                  <w:pPr>
                    <w:pStyle w:val="16"/>
                    <w:widowControl/>
                    <w:snapToGrid w:val="0"/>
                    <w:spacing w:line="240" w:lineRule="auto"/>
                    <w:jc w:val="center"/>
                    <w:rPr>
                      <w:rFonts w:ascii="Times New Roman"/>
                      <w:color w:val="auto"/>
                      <w:sz w:val="21"/>
                      <w:szCs w:val="21"/>
                    </w:rPr>
                  </w:pPr>
                  <w:r>
                    <w:rPr>
                      <w:rFonts w:hint="eastAsia" w:ascii="Times New Roman"/>
                      <w:color w:val="auto"/>
                      <w:sz w:val="21"/>
                      <w:szCs w:val="21"/>
                    </w:rPr>
                    <w:t>pH、COD、BOD</w:t>
                  </w:r>
                  <w:r>
                    <w:rPr>
                      <w:rFonts w:hint="eastAsia" w:ascii="Times New Roman"/>
                      <w:color w:val="auto"/>
                      <w:sz w:val="21"/>
                      <w:szCs w:val="21"/>
                      <w:vertAlign w:val="subscript"/>
                    </w:rPr>
                    <w:t>5</w:t>
                  </w:r>
                  <w:r>
                    <w:rPr>
                      <w:rFonts w:hint="eastAsia" w:ascii="Times New Roman"/>
                      <w:color w:val="auto"/>
                      <w:sz w:val="21"/>
                      <w:szCs w:val="21"/>
                    </w:rPr>
                    <w:t>、NH</w:t>
                  </w:r>
                  <w:r>
                    <w:rPr>
                      <w:rFonts w:hint="eastAsia" w:ascii="Times New Roman"/>
                      <w:color w:val="auto"/>
                      <w:sz w:val="21"/>
                      <w:szCs w:val="21"/>
                      <w:vertAlign w:val="subscript"/>
                    </w:rPr>
                    <w:t>3</w:t>
                  </w:r>
                  <w:r>
                    <w:rPr>
                      <w:rFonts w:hint="eastAsia" w:ascii="Times New Roman"/>
                      <w:color w:val="auto"/>
                      <w:sz w:val="21"/>
                      <w:szCs w:val="21"/>
                    </w:rPr>
                    <w:t>-N、SS、石油类、TP、动植物油</w:t>
                  </w:r>
                </w:p>
              </w:tc>
              <w:tc>
                <w:tcPr>
                  <w:tcW w:w="835" w:type="pct"/>
                  <w:vAlign w:val="center"/>
                </w:tcPr>
                <w:p>
                  <w:pPr>
                    <w:pStyle w:val="21"/>
                    <w:jc w:val="center"/>
                    <w:rPr>
                      <w:rFonts w:ascii="Times New Roman" w:hAnsi="Times New Roman"/>
                      <w:color w:val="auto"/>
                      <w:kern w:val="2"/>
                    </w:rPr>
                  </w:pPr>
                  <w:r>
                    <w:rPr>
                      <w:rFonts w:ascii="Times New Roman" w:hAnsi="Times New Roman"/>
                      <w:color w:val="auto"/>
                    </w:rPr>
                    <w:t>连续监测2天，每天4次</w:t>
                  </w:r>
                </w:p>
              </w:tc>
              <w:tc>
                <w:tcPr>
                  <w:tcW w:w="1828" w:type="pct"/>
                  <w:vAlign w:val="center"/>
                </w:tcPr>
                <w:p>
                  <w:pPr>
                    <w:pStyle w:val="21"/>
                    <w:jc w:val="center"/>
                    <w:rPr>
                      <w:rFonts w:ascii="Times New Roman" w:hAnsi="Times New Roman"/>
                      <w:color w:val="auto"/>
                      <w:kern w:val="2"/>
                    </w:rPr>
                  </w:pPr>
                  <w:r>
                    <w:rPr>
                      <w:rFonts w:ascii="Times New Roman" w:hAnsi="Times New Roman"/>
                      <w:color w:val="auto"/>
                    </w:rPr>
                    <w:t>记录</w:t>
                  </w:r>
                  <w:r>
                    <w:rPr>
                      <w:rFonts w:ascii="Times New Roman" w:hAnsi="Times New Roman"/>
                      <w:b/>
                      <w:color w:val="auto"/>
                    </w:rPr>
                    <w:t>水温、</w:t>
                  </w:r>
                  <w:r>
                    <w:rPr>
                      <w:rFonts w:hint="eastAsia" w:ascii="Times New Roman" w:hAnsi="Times New Roman"/>
                      <w:b/>
                      <w:color w:val="auto"/>
                    </w:rPr>
                    <w:t>流量、</w:t>
                  </w:r>
                  <w:r>
                    <w:rPr>
                      <w:rFonts w:ascii="Times New Roman" w:hAnsi="Times New Roman"/>
                      <w:b/>
                      <w:color w:val="auto"/>
                    </w:rPr>
                    <w:t>流速</w:t>
                  </w:r>
                  <w:r>
                    <w:rPr>
                      <w:rFonts w:ascii="Times New Roman" w:hAnsi="Times New Roman"/>
                      <w:color w:val="auto"/>
                    </w:rPr>
                    <w:t>等要素。监测要求和采样、分析方法按有关标准和监测技术规范执行。对超标原因进行解释；对采样时的有关环境以及与采样相关的问题作说明。</w:t>
                  </w: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3、噪声监测内容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本次验收共布设4个噪声监测点，具体见下表。</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表6-6 噪声监测点位一览表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10"/>
              <w:gridCol w:w="2075"/>
              <w:gridCol w:w="1647"/>
              <w:gridCol w:w="1995"/>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23" w:type="pct"/>
                  <w:vAlign w:val="center"/>
                </w:tcPr>
                <w:p>
                  <w:pPr>
                    <w:pStyle w:val="21"/>
                    <w:jc w:val="center"/>
                    <w:rPr>
                      <w:rFonts w:hint="eastAsia" w:ascii="Times New Roman" w:hAnsi="Times New Roman"/>
                      <w:color w:val="auto"/>
                    </w:rPr>
                  </w:pPr>
                  <w:r>
                    <w:rPr>
                      <w:rFonts w:hint="eastAsia" w:ascii="Times New Roman" w:hAnsi="Times New Roman"/>
                      <w:color w:val="auto"/>
                    </w:rPr>
                    <w:t>项目</w:t>
                  </w:r>
                </w:p>
              </w:tc>
              <w:tc>
                <w:tcPr>
                  <w:tcW w:w="1144" w:type="pct"/>
                  <w:vAlign w:val="center"/>
                </w:tcPr>
                <w:p>
                  <w:pPr>
                    <w:pStyle w:val="21"/>
                    <w:jc w:val="center"/>
                    <w:rPr>
                      <w:rFonts w:hint="eastAsia" w:ascii="Times New Roman" w:hAnsi="Times New Roman"/>
                      <w:color w:val="auto"/>
                    </w:rPr>
                  </w:pPr>
                  <w:r>
                    <w:rPr>
                      <w:rFonts w:hint="eastAsia" w:ascii="Times New Roman" w:hAnsi="Times New Roman"/>
                      <w:color w:val="auto"/>
                    </w:rPr>
                    <w:t>监测点位置</w:t>
                  </w:r>
                </w:p>
              </w:tc>
              <w:tc>
                <w:tcPr>
                  <w:tcW w:w="908" w:type="pct"/>
                  <w:vAlign w:val="center"/>
                </w:tcPr>
                <w:p>
                  <w:pPr>
                    <w:pStyle w:val="21"/>
                    <w:jc w:val="center"/>
                    <w:rPr>
                      <w:rFonts w:hint="eastAsia" w:ascii="Times New Roman" w:hAnsi="Times New Roman"/>
                      <w:color w:val="auto"/>
                    </w:rPr>
                  </w:pPr>
                  <w:r>
                    <w:rPr>
                      <w:rFonts w:hint="eastAsia" w:ascii="Times New Roman" w:hAnsi="Times New Roman"/>
                      <w:color w:val="auto"/>
                    </w:rPr>
                    <w:t>监测点编号</w:t>
                  </w:r>
                </w:p>
              </w:tc>
              <w:tc>
                <w:tcPr>
                  <w:tcW w:w="1100" w:type="pct"/>
                  <w:vAlign w:val="center"/>
                </w:tcPr>
                <w:p>
                  <w:pPr>
                    <w:pStyle w:val="21"/>
                    <w:jc w:val="center"/>
                    <w:rPr>
                      <w:rFonts w:ascii="Times New Roman" w:hAnsi="Times New Roman"/>
                      <w:color w:val="auto"/>
                    </w:rPr>
                  </w:pPr>
                  <w:r>
                    <w:rPr>
                      <w:rFonts w:ascii="Times New Roman" w:hAnsi="Times New Roman"/>
                      <w:color w:val="auto"/>
                    </w:rPr>
                    <w:t>监测项目</w:t>
                  </w:r>
                </w:p>
              </w:tc>
              <w:tc>
                <w:tcPr>
                  <w:tcW w:w="1122" w:type="pct"/>
                  <w:vAlign w:val="center"/>
                </w:tcPr>
                <w:p>
                  <w:pPr>
                    <w:pStyle w:val="21"/>
                    <w:jc w:val="center"/>
                    <w:rPr>
                      <w:rFonts w:ascii="Times New Roman" w:hAnsi="Times New Roman"/>
                      <w:color w:val="auto"/>
                    </w:rPr>
                  </w:pPr>
                  <w:r>
                    <w:rPr>
                      <w:rFonts w:ascii="Times New Roman" w:hAnsi="Times New Roman"/>
                      <w:color w:val="auto"/>
                    </w:rPr>
                    <w:t>监测时间与频次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23" w:type="pct"/>
                  <w:vMerge w:val="restart"/>
                  <w:vAlign w:val="center"/>
                </w:tcPr>
                <w:p>
                  <w:pPr>
                    <w:pStyle w:val="21"/>
                    <w:jc w:val="center"/>
                    <w:rPr>
                      <w:rFonts w:hint="eastAsia" w:ascii="Times New Roman" w:hAnsi="Times New Roman"/>
                      <w:color w:val="auto"/>
                    </w:rPr>
                  </w:pPr>
                  <w:r>
                    <w:rPr>
                      <w:rFonts w:hint="eastAsia" w:ascii="Times New Roman" w:hAnsi="Times New Roman"/>
                      <w:color w:val="auto"/>
                    </w:rPr>
                    <w:t>厂界噪声</w:t>
                  </w:r>
                </w:p>
              </w:tc>
              <w:tc>
                <w:tcPr>
                  <w:tcW w:w="1144" w:type="pct"/>
                  <w:vAlign w:val="center"/>
                </w:tcPr>
                <w:p>
                  <w:pPr>
                    <w:pStyle w:val="21"/>
                    <w:jc w:val="center"/>
                    <w:rPr>
                      <w:rFonts w:hint="eastAsia" w:ascii="Times New Roman" w:hAnsi="Times New Roman"/>
                      <w:color w:val="auto"/>
                    </w:rPr>
                  </w:pPr>
                  <w:r>
                    <w:rPr>
                      <w:rFonts w:hint="eastAsia" w:ascii="Times New Roman" w:hAnsi="Times New Roman"/>
                      <w:color w:val="auto"/>
                    </w:rPr>
                    <w:t>东厂界</w:t>
                  </w:r>
                </w:p>
              </w:tc>
              <w:tc>
                <w:tcPr>
                  <w:tcW w:w="908" w:type="pct"/>
                  <w:vAlign w:val="center"/>
                </w:tcPr>
                <w:p>
                  <w:pPr>
                    <w:pStyle w:val="21"/>
                    <w:jc w:val="center"/>
                    <w:rPr>
                      <w:rFonts w:hint="eastAsia" w:ascii="Times New Roman" w:hAnsi="Times New Roman"/>
                      <w:color w:val="auto"/>
                    </w:rPr>
                  </w:pPr>
                  <w:r>
                    <w:rPr>
                      <w:rFonts w:hint="eastAsia" w:ascii="Times New Roman" w:hAnsi="Times New Roman"/>
                      <w:color w:val="auto"/>
                    </w:rPr>
                    <w:t>N1</w:t>
                  </w:r>
                </w:p>
              </w:tc>
              <w:tc>
                <w:tcPr>
                  <w:tcW w:w="1100" w:type="pct"/>
                  <w:vMerge w:val="restart"/>
                  <w:vAlign w:val="center"/>
                </w:tcPr>
                <w:p>
                  <w:pPr>
                    <w:pStyle w:val="21"/>
                    <w:jc w:val="center"/>
                    <w:rPr>
                      <w:rFonts w:ascii="Times New Roman" w:hAnsi="Times New Roman"/>
                      <w:color w:val="auto"/>
                    </w:rPr>
                  </w:pPr>
                  <w:r>
                    <w:rPr>
                      <w:rFonts w:ascii="Times New Roman" w:hAnsi="Times New Roman"/>
                      <w:color w:val="auto"/>
                    </w:rPr>
                    <w:t>等效连续A声级</w:t>
                  </w:r>
                </w:p>
                <w:p>
                  <w:pPr>
                    <w:pStyle w:val="21"/>
                    <w:jc w:val="center"/>
                    <w:rPr>
                      <w:rFonts w:ascii="Times New Roman" w:hAnsi="Times New Roman"/>
                      <w:color w:val="auto"/>
                    </w:rPr>
                  </w:pPr>
                  <w:r>
                    <w:rPr>
                      <w:rFonts w:hint="eastAsia" w:ascii="Times New Roman" w:hAnsi="Times New Roman"/>
                      <w:color w:val="auto"/>
                    </w:rPr>
                    <w:t>Leq</w:t>
                  </w:r>
                  <w:r>
                    <w:rPr>
                      <w:rFonts w:ascii="Times New Roman" w:hAnsi="Times New Roman"/>
                      <w:color w:val="auto"/>
                    </w:rPr>
                    <w:t>(A)</w:t>
                  </w:r>
                </w:p>
              </w:tc>
              <w:tc>
                <w:tcPr>
                  <w:tcW w:w="1122" w:type="pct"/>
                  <w:vMerge w:val="restart"/>
                  <w:vAlign w:val="center"/>
                </w:tcPr>
                <w:p>
                  <w:pPr>
                    <w:pStyle w:val="21"/>
                    <w:jc w:val="center"/>
                    <w:rPr>
                      <w:rFonts w:ascii="Times New Roman" w:hAnsi="Times New Roman"/>
                      <w:color w:val="auto"/>
                      <w:spacing w:val="-8"/>
                    </w:rPr>
                  </w:pPr>
                  <w:r>
                    <w:rPr>
                      <w:rFonts w:ascii="Times New Roman" w:hAnsi="Times New Roman"/>
                      <w:color w:val="auto"/>
                    </w:rPr>
                    <w:t>连续监测2天，昼夜各1次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23" w:type="pct"/>
                  <w:vMerge w:val="continue"/>
                  <w:vAlign w:val="center"/>
                </w:tcPr>
                <w:p>
                  <w:pPr>
                    <w:pStyle w:val="21"/>
                    <w:jc w:val="center"/>
                    <w:rPr>
                      <w:rFonts w:hint="eastAsia" w:ascii="Times New Roman" w:hAnsi="Times New Roman"/>
                      <w:color w:val="auto"/>
                    </w:rPr>
                  </w:pPr>
                </w:p>
              </w:tc>
              <w:tc>
                <w:tcPr>
                  <w:tcW w:w="1144" w:type="pct"/>
                  <w:vAlign w:val="center"/>
                </w:tcPr>
                <w:p>
                  <w:pPr>
                    <w:pStyle w:val="21"/>
                    <w:jc w:val="center"/>
                    <w:rPr>
                      <w:rFonts w:hint="eastAsia" w:ascii="Times New Roman" w:hAnsi="Times New Roman"/>
                      <w:color w:val="auto"/>
                    </w:rPr>
                  </w:pPr>
                  <w:r>
                    <w:rPr>
                      <w:rFonts w:hint="eastAsia" w:ascii="Times New Roman" w:hAnsi="Times New Roman"/>
                      <w:color w:val="auto"/>
                    </w:rPr>
                    <w:t>南厂界</w:t>
                  </w:r>
                </w:p>
              </w:tc>
              <w:tc>
                <w:tcPr>
                  <w:tcW w:w="908" w:type="pct"/>
                  <w:vAlign w:val="center"/>
                </w:tcPr>
                <w:p>
                  <w:pPr>
                    <w:pStyle w:val="21"/>
                    <w:jc w:val="center"/>
                    <w:rPr>
                      <w:rFonts w:hint="eastAsia" w:ascii="Times New Roman" w:hAnsi="Times New Roman"/>
                      <w:color w:val="auto"/>
                    </w:rPr>
                  </w:pPr>
                  <w:r>
                    <w:rPr>
                      <w:rFonts w:hint="eastAsia" w:ascii="Times New Roman" w:hAnsi="Times New Roman"/>
                      <w:color w:val="auto"/>
                    </w:rPr>
                    <w:t>N2</w:t>
                  </w:r>
                </w:p>
              </w:tc>
              <w:tc>
                <w:tcPr>
                  <w:tcW w:w="1100" w:type="pct"/>
                  <w:vMerge w:val="continue"/>
                  <w:vAlign w:val="center"/>
                </w:tcPr>
                <w:p>
                  <w:pPr>
                    <w:pStyle w:val="21"/>
                    <w:jc w:val="center"/>
                    <w:rPr>
                      <w:rFonts w:ascii="Times New Roman" w:hAnsi="Times New Roman"/>
                      <w:color w:val="auto"/>
                    </w:rPr>
                  </w:pPr>
                </w:p>
              </w:tc>
              <w:tc>
                <w:tcPr>
                  <w:tcW w:w="1122" w:type="pct"/>
                  <w:vMerge w:val="continue"/>
                  <w:vAlign w:val="center"/>
                </w:tcPr>
                <w:p>
                  <w:pPr>
                    <w:pStyle w:val="21"/>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23" w:type="pct"/>
                  <w:vMerge w:val="continue"/>
                  <w:vAlign w:val="center"/>
                </w:tcPr>
                <w:p>
                  <w:pPr>
                    <w:pStyle w:val="21"/>
                    <w:jc w:val="center"/>
                    <w:rPr>
                      <w:rFonts w:hint="eastAsia" w:ascii="Times New Roman" w:hAnsi="Times New Roman"/>
                      <w:color w:val="auto"/>
                    </w:rPr>
                  </w:pPr>
                </w:p>
              </w:tc>
              <w:tc>
                <w:tcPr>
                  <w:tcW w:w="1144" w:type="pct"/>
                  <w:vAlign w:val="center"/>
                </w:tcPr>
                <w:p>
                  <w:pPr>
                    <w:pStyle w:val="21"/>
                    <w:jc w:val="center"/>
                    <w:rPr>
                      <w:rFonts w:hint="eastAsia" w:ascii="Times New Roman" w:hAnsi="Times New Roman"/>
                      <w:color w:val="auto"/>
                    </w:rPr>
                  </w:pPr>
                  <w:r>
                    <w:rPr>
                      <w:rFonts w:hint="eastAsia" w:ascii="Times New Roman" w:hAnsi="Times New Roman"/>
                      <w:color w:val="auto"/>
                    </w:rPr>
                    <w:t>西厂界</w:t>
                  </w:r>
                </w:p>
              </w:tc>
              <w:tc>
                <w:tcPr>
                  <w:tcW w:w="908" w:type="pct"/>
                  <w:vAlign w:val="center"/>
                </w:tcPr>
                <w:p>
                  <w:pPr>
                    <w:pStyle w:val="21"/>
                    <w:jc w:val="center"/>
                    <w:rPr>
                      <w:rFonts w:hint="eastAsia" w:ascii="Times New Roman" w:hAnsi="Times New Roman"/>
                      <w:color w:val="auto"/>
                    </w:rPr>
                  </w:pPr>
                  <w:r>
                    <w:rPr>
                      <w:rFonts w:hint="eastAsia" w:ascii="Times New Roman" w:hAnsi="Times New Roman"/>
                      <w:color w:val="auto"/>
                    </w:rPr>
                    <w:t>N3</w:t>
                  </w:r>
                </w:p>
              </w:tc>
              <w:tc>
                <w:tcPr>
                  <w:tcW w:w="1100" w:type="pct"/>
                  <w:vMerge w:val="continue"/>
                  <w:vAlign w:val="center"/>
                </w:tcPr>
                <w:p>
                  <w:pPr>
                    <w:pStyle w:val="21"/>
                    <w:jc w:val="center"/>
                    <w:rPr>
                      <w:rFonts w:ascii="Times New Roman" w:hAnsi="Times New Roman"/>
                      <w:color w:val="auto"/>
                    </w:rPr>
                  </w:pPr>
                </w:p>
              </w:tc>
              <w:tc>
                <w:tcPr>
                  <w:tcW w:w="1122" w:type="pct"/>
                  <w:vMerge w:val="continue"/>
                  <w:vAlign w:val="center"/>
                </w:tcPr>
                <w:p>
                  <w:pPr>
                    <w:pStyle w:val="21"/>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23" w:type="pct"/>
                  <w:vMerge w:val="continue"/>
                  <w:vAlign w:val="center"/>
                </w:tcPr>
                <w:p>
                  <w:pPr>
                    <w:pStyle w:val="21"/>
                    <w:jc w:val="center"/>
                    <w:rPr>
                      <w:rFonts w:hint="eastAsia" w:ascii="Times New Roman" w:hAnsi="Times New Roman"/>
                      <w:color w:val="auto"/>
                    </w:rPr>
                  </w:pPr>
                </w:p>
              </w:tc>
              <w:tc>
                <w:tcPr>
                  <w:tcW w:w="1144" w:type="pct"/>
                  <w:vAlign w:val="center"/>
                </w:tcPr>
                <w:p>
                  <w:pPr>
                    <w:pStyle w:val="21"/>
                    <w:jc w:val="center"/>
                    <w:rPr>
                      <w:rFonts w:hint="eastAsia" w:ascii="Times New Roman" w:hAnsi="Times New Roman"/>
                      <w:color w:val="auto"/>
                    </w:rPr>
                  </w:pPr>
                  <w:r>
                    <w:rPr>
                      <w:rFonts w:hint="eastAsia" w:ascii="Times New Roman" w:hAnsi="Times New Roman"/>
                      <w:color w:val="auto"/>
                    </w:rPr>
                    <w:t>北厂界</w:t>
                  </w:r>
                </w:p>
              </w:tc>
              <w:tc>
                <w:tcPr>
                  <w:tcW w:w="908" w:type="pct"/>
                  <w:vAlign w:val="center"/>
                </w:tcPr>
                <w:p>
                  <w:pPr>
                    <w:pStyle w:val="21"/>
                    <w:jc w:val="center"/>
                    <w:rPr>
                      <w:rFonts w:hint="eastAsia" w:ascii="Times New Roman" w:hAnsi="Times New Roman"/>
                      <w:color w:val="auto"/>
                    </w:rPr>
                  </w:pPr>
                  <w:r>
                    <w:rPr>
                      <w:rFonts w:hint="eastAsia" w:ascii="Times New Roman" w:hAnsi="Times New Roman"/>
                      <w:color w:val="auto"/>
                    </w:rPr>
                    <w:t>N4</w:t>
                  </w:r>
                </w:p>
              </w:tc>
              <w:tc>
                <w:tcPr>
                  <w:tcW w:w="1100" w:type="pct"/>
                  <w:vMerge w:val="continue"/>
                  <w:vAlign w:val="center"/>
                </w:tcPr>
                <w:p>
                  <w:pPr>
                    <w:pStyle w:val="21"/>
                    <w:jc w:val="center"/>
                    <w:rPr>
                      <w:rFonts w:ascii="Times New Roman" w:hAnsi="Times New Roman"/>
                      <w:color w:val="auto"/>
                    </w:rPr>
                  </w:pPr>
                </w:p>
              </w:tc>
              <w:tc>
                <w:tcPr>
                  <w:tcW w:w="1122" w:type="pct"/>
                  <w:vMerge w:val="continue"/>
                  <w:vAlign w:val="center"/>
                </w:tcPr>
                <w:p>
                  <w:pPr>
                    <w:pStyle w:val="21"/>
                    <w:jc w:val="center"/>
                    <w:rPr>
                      <w:rFonts w:ascii="Times New Roman" w:hAnsi="Times New Roman"/>
                      <w:color w:val="auto"/>
                    </w:rPr>
                  </w:pPr>
                </w:p>
              </w:tc>
            </w:tr>
          </w:tbl>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三、固废调查内容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color w:val="auto"/>
              </w:rPr>
            </w:pPr>
            <w:r>
              <w:rPr>
                <w:rFonts w:hint="eastAsia" w:cs="Times New Roman"/>
                <w:color w:val="auto"/>
                <w:sz w:val="24"/>
                <w:szCs w:val="24"/>
                <w:lang w:val="en-US" w:eastAsia="zh-CN"/>
              </w:rPr>
              <w:t>各类固体废物是否分类收集、分支处理，实现资源化、减量化和无害化，是否设立规范的固废堆放场所，并做好防雨防渗措施。</w:t>
            </w:r>
          </w:p>
        </w:tc>
      </w:tr>
    </w:tbl>
    <w:p>
      <w:pPr>
        <w:pStyle w:val="72"/>
        <w:keepNext w:val="0"/>
        <w:keepLines w:val="0"/>
        <w:spacing w:line="240" w:lineRule="auto"/>
        <w:outlineLvl w:val="9"/>
        <w:rPr>
          <w:rFonts w:ascii="Times New Roman" w:hAnsi="Times New Roman"/>
          <w:sz w:val="28"/>
        </w:rPr>
        <w:sectPr>
          <w:pgSz w:w="11906" w:h="16838"/>
          <w:pgMar w:top="1417" w:right="1417" w:bottom="1417" w:left="1417" w:header="851" w:footer="992" w:gutter="0"/>
          <w:cols w:space="425" w:num="1"/>
          <w:docGrid w:type="lines" w:linePitch="312" w:charSpace="0"/>
        </w:sectPr>
      </w:pPr>
    </w:p>
    <w:p>
      <w:pPr>
        <w:pStyle w:val="72"/>
        <w:keepNext w:val="0"/>
        <w:keepLines w:val="0"/>
        <w:spacing w:line="240" w:lineRule="auto"/>
        <w:outlineLvl w:val="0"/>
        <w:rPr>
          <w:rFonts w:ascii="Times New Roman" w:hAnsi="Times New Roman"/>
          <w:sz w:val="28"/>
        </w:rPr>
      </w:pPr>
      <w:r>
        <w:rPr>
          <w:rFonts w:hint="eastAsia" w:ascii="Times New Roman" w:hAnsi="Times New Roman"/>
          <w:sz w:val="28"/>
        </w:rPr>
        <w:t>表七 验收监测结果</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7.1验收监测期间生产工况记录</w:t>
            </w:r>
          </w:p>
          <w:p>
            <w:pPr>
              <w:pStyle w:val="111"/>
              <w:rPr>
                <w:rFonts w:hint="eastAsia" w:cs="Times New Roman"/>
                <w:color w:val="auto"/>
                <w:sz w:val="24"/>
                <w:szCs w:val="24"/>
                <w:lang w:val="en-US" w:eastAsia="zh-CN"/>
              </w:rPr>
            </w:pPr>
            <w:r>
              <w:rPr>
                <w:rFonts w:hint="eastAsia" w:cs="Times New Roman"/>
                <w:color w:val="auto"/>
                <w:sz w:val="24"/>
                <w:szCs w:val="24"/>
                <w:lang w:val="en-US" w:eastAsia="zh-CN"/>
              </w:rPr>
              <w:t>安徽尚德普检测技术有限责任公司于2022年9月21日~9月22日进行了竣工验收检测并出具检测报告。监测期间，根据企业实际运行4台硫化罐（3#生产车间）均在正常生产，企业生产负荷大于75%，满足环保验收检测技术要求。</w:t>
            </w:r>
            <w:bookmarkStart w:id="14" w:name="_Hlk37928107"/>
          </w:p>
          <w:p>
            <w:pPr>
              <w:pStyle w:val="111"/>
              <w:rPr>
                <w:sz w:val="28"/>
              </w:rPr>
            </w:pPr>
            <w:r>
              <w:rPr>
                <w:rFonts w:hint="eastAsia" w:ascii="Times New Roman" w:hAnsi="Times New Roman" w:eastAsia="宋体" w:cs="Times New Roman"/>
                <w:color w:val="auto"/>
                <w:kern w:val="2"/>
                <w:sz w:val="24"/>
                <w:szCs w:val="24"/>
                <w:lang w:val="en-US" w:eastAsia="zh-CN" w:bidi="ar-SA"/>
              </w:rPr>
              <w:t>监测期间，企业生产正常，生产负荷达到75%以上，满足验收检测技术规范要求。</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7.2验收监测结果统计</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bookmarkStart w:id="15" w:name="_Toc505687205"/>
            <w:bookmarkStart w:id="16" w:name="_Toc513559116"/>
            <w:r>
              <w:rPr>
                <w:rFonts w:hint="default" w:ascii="Times New Roman" w:hAnsi="Times New Roman" w:eastAsia="宋体" w:cs="Times New Roman"/>
                <w:color w:val="auto"/>
                <w:sz w:val="24"/>
                <w:szCs w:val="24"/>
                <w:lang w:val="en-US" w:eastAsia="zh-CN"/>
              </w:rPr>
              <w:t>1、检测期间气象参数</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验收检测期间气象参数</w:t>
            </w:r>
          </w:p>
          <w:tbl>
            <w:tblPr>
              <w:tblStyle w:val="33"/>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2390"/>
              <w:gridCol w:w="1072"/>
              <w:gridCol w:w="761"/>
              <w:gridCol w:w="1252"/>
              <w:gridCol w:w="1200"/>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sz w:val="21"/>
                      <w:szCs w:val="21"/>
                      <w:vertAlign w:val="baseline"/>
                      <w:lang w:val="en-US" w:eastAsia="zh-CN"/>
                    </w:rPr>
                  </w:pPr>
                  <w:r>
                    <w:rPr>
                      <w:rFonts w:hint="default" w:ascii="Times New Roman" w:hAnsi="Times New Roman" w:cs="Times New Roman" w:eastAsiaTheme="minorEastAsia"/>
                      <w:b/>
                      <w:sz w:val="21"/>
                      <w:szCs w:val="21"/>
                      <w:vertAlign w:val="baseline"/>
                      <w:lang w:val="en-US" w:eastAsia="zh-CN"/>
                    </w:rPr>
                    <w:t>监测日期</w:t>
                  </w: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sz w:val="21"/>
                      <w:szCs w:val="21"/>
                      <w:vertAlign w:val="baseline"/>
                      <w:lang w:val="en-US" w:eastAsia="zh-CN"/>
                    </w:rPr>
                  </w:pPr>
                  <w:r>
                    <w:rPr>
                      <w:rFonts w:hint="default" w:ascii="Times New Roman" w:hAnsi="Times New Roman" w:cs="Times New Roman" w:eastAsiaTheme="minorEastAsia"/>
                      <w:b/>
                      <w:sz w:val="21"/>
                      <w:szCs w:val="21"/>
                      <w:vertAlign w:val="baseline"/>
                      <w:lang w:val="en-US" w:eastAsia="zh-CN"/>
                    </w:rPr>
                    <w:t>监测点位</w:t>
                  </w:r>
                </w:p>
              </w:tc>
              <w:tc>
                <w:tcPr>
                  <w:tcW w:w="107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cs="Times New Roman" w:eastAsiaTheme="minorEastAsia"/>
                      <w:b/>
                      <w:sz w:val="21"/>
                      <w:szCs w:val="21"/>
                      <w:vertAlign w:val="baseline"/>
                      <w:lang w:val="en-US" w:eastAsia="zh-CN"/>
                    </w:rPr>
                  </w:pPr>
                  <w:r>
                    <w:rPr>
                      <w:rFonts w:hint="default" w:ascii="Times New Roman" w:hAnsi="Times New Roman" w:cs="Times New Roman" w:eastAsiaTheme="minorEastAsia"/>
                      <w:b/>
                      <w:sz w:val="21"/>
                      <w:szCs w:val="21"/>
                      <w:lang w:val="zh-CN"/>
                    </w:rPr>
                    <w:t>天气状况</w:t>
                  </w:r>
                </w:p>
              </w:tc>
              <w:tc>
                <w:tcPr>
                  <w:tcW w:w="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cs="Times New Roman" w:eastAsiaTheme="minorEastAsia"/>
                      <w:b/>
                      <w:sz w:val="21"/>
                      <w:szCs w:val="21"/>
                      <w:vertAlign w:val="baseline"/>
                      <w:lang w:val="en-US" w:eastAsia="zh-CN"/>
                    </w:rPr>
                  </w:pPr>
                  <w:r>
                    <w:rPr>
                      <w:rFonts w:hint="default" w:ascii="Times New Roman" w:hAnsi="Times New Roman" w:cs="Times New Roman" w:eastAsiaTheme="minorEastAsia"/>
                      <w:b/>
                      <w:sz w:val="21"/>
                      <w:szCs w:val="21"/>
                      <w:lang w:val="zh-CN"/>
                    </w:rPr>
                    <w:t>风向</w:t>
                  </w:r>
                </w:p>
              </w:tc>
              <w:tc>
                <w:tcPr>
                  <w:tcW w:w="125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cs="Times New Roman" w:eastAsiaTheme="minorEastAsia"/>
                      <w:b/>
                      <w:sz w:val="21"/>
                      <w:szCs w:val="21"/>
                      <w:vertAlign w:val="baseline"/>
                      <w:lang w:val="en-US" w:eastAsia="zh-CN"/>
                    </w:rPr>
                  </w:pPr>
                  <w:r>
                    <w:rPr>
                      <w:rFonts w:hint="default" w:ascii="Times New Roman" w:hAnsi="Times New Roman" w:cs="Times New Roman" w:eastAsiaTheme="minorEastAsia"/>
                      <w:b/>
                      <w:sz w:val="21"/>
                      <w:szCs w:val="21"/>
                    </w:rPr>
                    <w:t>风速（m/s）</w:t>
                  </w:r>
                </w:p>
              </w:tc>
              <w:tc>
                <w:tcPr>
                  <w:tcW w:w="120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cs="Times New Roman" w:eastAsiaTheme="minorEastAsia"/>
                      <w:b/>
                      <w:sz w:val="21"/>
                      <w:szCs w:val="21"/>
                      <w:vertAlign w:val="baseline"/>
                      <w:lang w:val="en-US" w:eastAsia="zh-CN"/>
                    </w:rPr>
                  </w:pPr>
                  <w:r>
                    <w:rPr>
                      <w:rFonts w:hint="default" w:ascii="Times New Roman" w:hAnsi="Times New Roman" w:cs="Times New Roman" w:eastAsiaTheme="minorEastAsia"/>
                      <w:b/>
                      <w:sz w:val="21"/>
                      <w:szCs w:val="21"/>
                      <w:lang w:val="zh-CN"/>
                    </w:rPr>
                    <w:t>温度（℃）</w:t>
                  </w:r>
                </w:p>
              </w:tc>
              <w:tc>
                <w:tcPr>
                  <w:tcW w:w="130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cs="Times New Roman" w:eastAsiaTheme="minorEastAsia"/>
                      <w:b/>
                      <w:sz w:val="21"/>
                      <w:szCs w:val="21"/>
                      <w:vertAlign w:val="baseline"/>
                      <w:lang w:val="en-US" w:eastAsia="zh-CN"/>
                    </w:rPr>
                  </w:pPr>
                  <w:r>
                    <w:rPr>
                      <w:rFonts w:hint="default" w:ascii="Times New Roman" w:hAnsi="Times New Roman" w:cs="Times New Roman" w:eastAsiaTheme="minorEastAsia"/>
                      <w:b/>
                      <w:sz w:val="21"/>
                      <w:szCs w:val="21"/>
                      <w:lang w:val="zh-CN"/>
                    </w:rPr>
                    <w:t>气压（kPa）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restart"/>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202</w:t>
                  </w:r>
                  <w:r>
                    <w:rPr>
                      <w:rFonts w:hint="default" w:ascii="Times New Roman" w:hAnsi="Times New Roman" w:cs="Times New Roman"/>
                      <w:b/>
                      <w:bCs/>
                      <w:sz w:val="21"/>
                      <w:szCs w:val="21"/>
                      <w:vertAlign w:val="baseline"/>
                      <w:lang w:val="en-US" w:eastAsia="zh-CN"/>
                    </w:rPr>
                    <w:t>2</w:t>
                  </w:r>
                  <w:r>
                    <w:rPr>
                      <w:rFonts w:hint="default" w:ascii="Times New Roman" w:hAnsi="Times New Roman" w:eastAsia="宋体" w:cs="Times New Roman"/>
                      <w:b/>
                      <w:bCs/>
                      <w:sz w:val="21"/>
                      <w:szCs w:val="21"/>
                      <w:vertAlign w:val="baseline"/>
                      <w:lang w:val="en-US" w:eastAsia="zh-CN"/>
                    </w:rPr>
                    <w:t>年</w:t>
                  </w:r>
                  <w:r>
                    <w:rPr>
                      <w:rFonts w:hint="default" w:ascii="Times New Roman" w:hAnsi="Times New Roman" w:cs="Times New Roman"/>
                      <w:b/>
                      <w:bCs/>
                      <w:sz w:val="21"/>
                      <w:szCs w:val="21"/>
                      <w:vertAlign w:val="baseline"/>
                      <w:lang w:val="en-US" w:eastAsia="zh-CN"/>
                    </w:rPr>
                    <w:t>9</w:t>
                  </w:r>
                  <w:r>
                    <w:rPr>
                      <w:rFonts w:hint="default" w:ascii="Times New Roman" w:hAnsi="Times New Roman" w:eastAsia="宋体" w:cs="Times New Roman"/>
                      <w:b/>
                      <w:bCs/>
                      <w:sz w:val="21"/>
                      <w:szCs w:val="21"/>
                      <w:vertAlign w:val="baseline"/>
                      <w:lang w:val="en-US" w:eastAsia="zh-CN"/>
                    </w:rPr>
                    <w:t>月</w:t>
                  </w:r>
                  <w:r>
                    <w:rPr>
                      <w:rFonts w:hint="default" w:ascii="Times New Roman" w:hAnsi="Times New Roman" w:cs="Times New Roman"/>
                      <w:b/>
                      <w:bCs/>
                      <w:sz w:val="21"/>
                      <w:szCs w:val="21"/>
                      <w:vertAlign w:val="baseline"/>
                      <w:lang w:val="en-US" w:eastAsia="zh-CN"/>
                    </w:rPr>
                    <w:t>21</w:t>
                  </w:r>
                  <w:r>
                    <w:rPr>
                      <w:rFonts w:hint="default" w:ascii="Times New Roman" w:hAnsi="Times New Roman" w:eastAsia="宋体" w:cs="Times New Roman"/>
                      <w:b/>
                      <w:bCs/>
                      <w:sz w:val="21"/>
                      <w:szCs w:val="21"/>
                      <w:vertAlign w:val="baseline"/>
                      <w:lang w:val="en-US" w:eastAsia="zh-CN"/>
                    </w:rPr>
                    <w:t>日</w:t>
                  </w: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厂界上风向参照点</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1.3</w:t>
                  </w:r>
                </w:p>
              </w:tc>
              <w:tc>
                <w:tcPr>
                  <w:tcW w:w="1200" w:type="dxa"/>
                  <w:noWrap w:val="0"/>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20.3</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kern w:val="2"/>
                      <w:sz w:val="21"/>
                      <w:szCs w:val="21"/>
                      <w:vertAlign w:val="baseline"/>
                      <w:lang w:val="en-US" w:eastAsia="zh-CN" w:bidi="zh-CN"/>
                    </w:rPr>
                  </w:pPr>
                  <w:r>
                    <w:rPr>
                      <w:rFonts w:hint="default" w:ascii="Times New Roman" w:hAnsi="Times New Roman" w:cs="Times New Roman" w:eastAsiaTheme="minorEastAsia"/>
                      <w:b/>
                      <w:bCs/>
                      <w:sz w:val="21"/>
                      <w:szCs w:val="21"/>
                      <w:vertAlign w:val="baseline"/>
                      <w:lang w:val="en-US" w:eastAsia="zh-CN"/>
                    </w:rPr>
                    <w:t>厂界下风向监控点1#</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1.6</w:t>
                  </w:r>
                </w:p>
              </w:tc>
              <w:tc>
                <w:tcPr>
                  <w:tcW w:w="1200" w:type="dxa"/>
                  <w:noWrap w:val="0"/>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20.8</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kern w:val="2"/>
                      <w:sz w:val="21"/>
                      <w:szCs w:val="21"/>
                      <w:vertAlign w:val="baseline"/>
                      <w:lang w:val="en-US" w:eastAsia="zh-CN" w:bidi="zh-CN"/>
                    </w:rPr>
                  </w:pPr>
                  <w:r>
                    <w:rPr>
                      <w:rFonts w:hint="default" w:ascii="Times New Roman" w:hAnsi="Times New Roman" w:cs="Times New Roman" w:eastAsiaTheme="minorEastAsia"/>
                      <w:b/>
                      <w:bCs/>
                      <w:sz w:val="21"/>
                      <w:szCs w:val="21"/>
                      <w:vertAlign w:val="baseline"/>
                      <w:lang w:val="en-US" w:eastAsia="zh-CN"/>
                    </w:rPr>
                    <w:t>厂界下风向监控点2#</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1.5</w:t>
                  </w:r>
                </w:p>
              </w:tc>
              <w:tc>
                <w:tcPr>
                  <w:tcW w:w="1200" w:type="dxa"/>
                  <w:noWrap w:val="0"/>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21.6</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kern w:val="2"/>
                      <w:sz w:val="21"/>
                      <w:szCs w:val="21"/>
                      <w:vertAlign w:val="baseline"/>
                      <w:lang w:val="en-US" w:eastAsia="zh-CN" w:bidi="zh-CN"/>
                    </w:rPr>
                  </w:pPr>
                  <w:r>
                    <w:rPr>
                      <w:rFonts w:hint="default" w:ascii="Times New Roman" w:hAnsi="Times New Roman" w:cs="Times New Roman" w:eastAsiaTheme="minorEastAsia"/>
                      <w:b/>
                      <w:bCs/>
                      <w:sz w:val="21"/>
                      <w:szCs w:val="21"/>
                      <w:vertAlign w:val="baseline"/>
                      <w:lang w:val="en-US" w:eastAsia="zh-CN"/>
                    </w:rPr>
                    <w:t>厂界下风向监控点3#</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1.8</w:t>
                  </w:r>
                </w:p>
              </w:tc>
              <w:tc>
                <w:tcPr>
                  <w:tcW w:w="1200"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21.3</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厂房外厂区内</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1.4</w:t>
                  </w:r>
                </w:p>
              </w:tc>
              <w:tc>
                <w:tcPr>
                  <w:tcW w:w="1200"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21.8</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restart"/>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202</w:t>
                  </w:r>
                  <w:r>
                    <w:rPr>
                      <w:rFonts w:hint="default" w:ascii="Times New Roman" w:hAnsi="Times New Roman" w:cs="Times New Roman"/>
                      <w:b/>
                      <w:bCs/>
                      <w:sz w:val="21"/>
                      <w:szCs w:val="21"/>
                      <w:vertAlign w:val="baseline"/>
                      <w:lang w:val="en-US" w:eastAsia="zh-CN"/>
                    </w:rPr>
                    <w:t>2</w:t>
                  </w:r>
                  <w:r>
                    <w:rPr>
                      <w:rFonts w:hint="default" w:ascii="Times New Roman" w:hAnsi="Times New Roman" w:eastAsia="宋体" w:cs="Times New Roman"/>
                      <w:b/>
                      <w:bCs/>
                      <w:sz w:val="21"/>
                      <w:szCs w:val="21"/>
                      <w:vertAlign w:val="baseline"/>
                      <w:lang w:val="en-US" w:eastAsia="zh-CN"/>
                    </w:rPr>
                    <w:t>年</w:t>
                  </w:r>
                  <w:r>
                    <w:rPr>
                      <w:rFonts w:hint="default" w:ascii="Times New Roman" w:hAnsi="Times New Roman" w:cs="Times New Roman"/>
                      <w:b/>
                      <w:bCs/>
                      <w:sz w:val="21"/>
                      <w:szCs w:val="21"/>
                      <w:vertAlign w:val="baseline"/>
                      <w:lang w:val="en-US" w:eastAsia="zh-CN"/>
                    </w:rPr>
                    <w:t>9</w:t>
                  </w:r>
                  <w:r>
                    <w:rPr>
                      <w:rFonts w:hint="default" w:ascii="Times New Roman" w:hAnsi="Times New Roman" w:eastAsia="宋体" w:cs="Times New Roman"/>
                      <w:b/>
                      <w:bCs/>
                      <w:sz w:val="21"/>
                      <w:szCs w:val="21"/>
                      <w:vertAlign w:val="baseline"/>
                      <w:lang w:val="en-US" w:eastAsia="zh-CN"/>
                    </w:rPr>
                    <w:t>月</w:t>
                  </w:r>
                  <w:r>
                    <w:rPr>
                      <w:rFonts w:hint="default" w:ascii="Times New Roman" w:hAnsi="Times New Roman" w:cs="Times New Roman"/>
                      <w:b/>
                      <w:bCs/>
                      <w:sz w:val="21"/>
                      <w:szCs w:val="21"/>
                      <w:vertAlign w:val="baseline"/>
                      <w:lang w:val="en-US" w:eastAsia="zh-CN"/>
                    </w:rPr>
                    <w:t>22</w:t>
                  </w:r>
                  <w:r>
                    <w:rPr>
                      <w:rFonts w:hint="default" w:ascii="Times New Roman" w:hAnsi="Times New Roman" w:eastAsia="宋体" w:cs="Times New Roman"/>
                      <w:b/>
                      <w:bCs/>
                      <w:sz w:val="21"/>
                      <w:szCs w:val="21"/>
                      <w:vertAlign w:val="baseline"/>
                      <w:lang w:val="en-US" w:eastAsia="zh-CN"/>
                    </w:rPr>
                    <w:t>日</w:t>
                  </w: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cs="Times New Roman" w:eastAsiaTheme="minorEastAsia"/>
                      <w:b/>
                      <w:bCs/>
                      <w:sz w:val="21"/>
                      <w:szCs w:val="21"/>
                      <w:vertAlign w:val="baseline"/>
                      <w:lang w:val="en-US" w:eastAsia="zh-CN"/>
                    </w:rPr>
                    <w:t>厂界上风向参照点</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1.7</w:t>
                  </w:r>
                </w:p>
              </w:tc>
              <w:tc>
                <w:tcPr>
                  <w:tcW w:w="1200"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20.9</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kern w:val="2"/>
                      <w:sz w:val="21"/>
                      <w:szCs w:val="21"/>
                      <w:vertAlign w:val="baseline"/>
                      <w:lang w:val="en-US" w:eastAsia="zh-CN" w:bidi="zh-CN"/>
                    </w:rPr>
                  </w:pPr>
                  <w:r>
                    <w:rPr>
                      <w:rFonts w:hint="default" w:ascii="Times New Roman" w:hAnsi="Times New Roman" w:cs="Times New Roman" w:eastAsiaTheme="minorEastAsia"/>
                      <w:b/>
                      <w:bCs/>
                      <w:sz w:val="21"/>
                      <w:szCs w:val="21"/>
                      <w:vertAlign w:val="baseline"/>
                      <w:lang w:val="en-US" w:eastAsia="zh-CN"/>
                    </w:rPr>
                    <w:t>厂界下风向监控点1#</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1.3</w:t>
                  </w:r>
                </w:p>
              </w:tc>
              <w:tc>
                <w:tcPr>
                  <w:tcW w:w="1200"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22.3</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b/>
                      <w:bCs/>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kern w:val="2"/>
                      <w:sz w:val="21"/>
                      <w:szCs w:val="21"/>
                      <w:vertAlign w:val="baseline"/>
                      <w:lang w:val="en-US" w:eastAsia="zh-CN" w:bidi="zh-CN"/>
                    </w:rPr>
                  </w:pPr>
                  <w:r>
                    <w:rPr>
                      <w:rFonts w:hint="default" w:ascii="Times New Roman" w:hAnsi="Times New Roman" w:cs="Times New Roman" w:eastAsiaTheme="minorEastAsia"/>
                      <w:b/>
                      <w:bCs/>
                      <w:sz w:val="21"/>
                      <w:szCs w:val="21"/>
                      <w:vertAlign w:val="baseline"/>
                      <w:lang w:val="en-US" w:eastAsia="zh-CN"/>
                    </w:rPr>
                    <w:t>厂界下风向监控点2#</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1.5</w:t>
                  </w:r>
                </w:p>
              </w:tc>
              <w:tc>
                <w:tcPr>
                  <w:tcW w:w="1200"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21.5</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kern w:val="2"/>
                      <w:sz w:val="21"/>
                      <w:szCs w:val="21"/>
                      <w:vertAlign w:val="baseline"/>
                      <w:lang w:val="en-US" w:eastAsia="zh-CN" w:bidi="zh-CN"/>
                    </w:rPr>
                  </w:pPr>
                  <w:r>
                    <w:rPr>
                      <w:rFonts w:hint="default" w:ascii="Times New Roman" w:hAnsi="Times New Roman" w:cs="Times New Roman" w:eastAsiaTheme="minorEastAsia"/>
                      <w:b/>
                      <w:bCs/>
                      <w:sz w:val="21"/>
                      <w:szCs w:val="21"/>
                      <w:vertAlign w:val="baseline"/>
                      <w:lang w:val="en-US" w:eastAsia="zh-CN"/>
                    </w:rPr>
                    <w:t>厂界下风向监控点3#</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1.6</w:t>
                  </w:r>
                </w:p>
              </w:tc>
              <w:tc>
                <w:tcPr>
                  <w:tcW w:w="1200"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21.6</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Merge w:val="continue"/>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sz w:val="21"/>
                      <w:szCs w:val="21"/>
                      <w:vertAlign w:val="baseline"/>
                      <w:lang w:val="en-US" w:eastAsia="zh-CN"/>
                    </w:rPr>
                  </w:pPr>
                </w:p>
              </w:tc>
              <w:tc>
                <w:tcPr>
                  <w:tcW w:w="2390"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kern w:val="2"/>
                      <w:sz w:val="21"/>
                      <w:szCs w:val="21"/>
                      <w:vertAlign w:val="baseline"/>
                      <w:lang w:val="en-US" w:eastAsia="zh-CN" w:bidi="zh-CN"/>
                    </w:rPr>
                  </w:pPr>
                  <w:r>
                    <w:rPr>
                      <w:rFonts w:hint="default" w:ascii="Times New Roman" w:hAnsi="Times New Roman" w:cs="Times New Roman" w:eastAsiaTheme="minorEastAsia"/>
                      <w:b/>
                      <w:bCs/>
                      <w:sz w:val="21"/>
                      <w:szCs w:val="21"/>
                      <w:vertAlign w:val="baseline"/>
                      <w:lang w:val="en-US" w:eastAsia="zh-CN"/>
                    </w:rPr>
                    <w:t>厂房外厂区内</w:t>
                  </w:r>
                </w:p>
              </w:tc>
              <w:tc>
                <w:tcPr>
                  <w:tcW w:w="1072"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sz w:val="21"/>
                      <w:szCs w:val="21"/>
                      <w:vertAlign w:val="baseline"/>
                      <w:lang w:val="en-US" w:eastAsia="zh-CN"/>
                    </w:rPr>
                    <w:t>多云</w:t>
                  </w:r>
                </w:p>
              </w:tc>
              <w:tc>
                <w:tcPr>
                  <w:tcW w:w="761" w:type="dxa"/>
                  <w:noWrap w:val="0"/>
                  <w:vAlign w:val="center"/>
                </w:tcPr>
                <w:p>
                  <w:pPr>
                    <w:pStyle w:val="16"/>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北</w:t>
                  </w:r>
                </w:p>
              </w:tc>
              <w:tc>
                <w:tcPr>
                  <w:tcW w:w="125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1.6</w:t>
                  </w:r>
                </w:p>
              </w:tc>
              <w:tc>
                <w:tcPr>
                  <w:tcW w:w="1200"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eastAsiaTheme="minorEastAsia"/>
                      <w:b w:val="0"/>
                      <w:bCs w:val="0"/>
                      <w:kern w:val="2"/>
                      <w:sz w:val="21"/>
                      <w:szCs w:val="21"/>
                      <w:vertAlign w:val="baseline"/>
                      <w:lang w:val="en-US" w:eastAsia="zh-CN" w:bidi="ar-SA"/>
                    </w:rPr>
                    <w:t>20.8</w:t>
                  </w:r>
                </w:p>
              </w:tc>
              <w:tc>
                <w:tcPr>
                  <w:tcW w:w="1302" w:type="dxa"/>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100.3</w:t>
                  </w:r>
                </w:p>
              </w:tc>
            </w:tr>
          </w:tbl>
          <w:p>
            <w:pPr>
              <w:pStyle w:val="111"/>
              <w:ind w:firstLine="482"/>
              <w:rPr>
                <w:rFonts w:hint="default" w:ascii="Times New Roman" w:hAnsi="Times New Roman" w:cs="Times New Roman"/>
                <w:b/>
                <w:bCs/>
              </w:rPr>
            </w:pPr>
            <w:r>
              <w:rPr>
                <w:rFonts w:hint="default" w:ascii="Times New Roman" w:hAnsi="Times New Roman" w:cs="Times New Roman"/>
                <w:b/>
                <w:bCs/>
              </w:rPr>
              <w:t>2、废气监测结果</w:t>
            </w:r>
          </w:p>
          <w:p>
            <w:pPr>
              <w:pStyle w:val="111"/>
              <w:rPr>
                <w:rFonts w:hint="default" w:ascii="Times New Roman" w:hAnsi="Times New Roman" w:cs="Times New Roman"/>
              </w:rPr>
            </w:pPr>
            <w:r>
              <w:rPr>
                <w:rFonts w:hint="default" w:ascii="Times New Roman" w:hAnsi="Times New Roman" w:cs="Times New Roman"/>
              </w:rPr>
              <w:t>（1）有组织废气监测结果</w:t>
            </w:r>
          </w:p>
          <w:p>
            <w:pPr>
              <w:pStyle w:val="113"/>
              <w:spacing w:before="0" w:beforeLines="0" w:line="360" w:lineRule="auto"/>
              <w:rPr>
                <w:rFonts w:hint="default" w:ascii="Times New Roman" w:hAnsi="Times New Roman" w:cs="Times New Roman"/>
              </w:rPr>
            </w:pPr>
            <w:r>
              <w:rPr>
                <w:rFonts w:hint="default" w:ascii="Times New Roman" w:hAnsi="Times New Roman" w:cs="Times New Roman"/>
              </w:rPr>
              <w:t>表7-</w:t>
            </w:r>
            <w:r>
              <w:rPr>
                <w:rFonts w:hint="eastAsia" w:cs="Times New Roman"/>
                <w:lang w:val="en-US" w:eastAsia="zh-CN"/>
              </w:rPr>
              <w:t>2</w:t>
            </w:r>
            <w:r>
              <w:rPr>
                <w:rFonts w:hint="default" w:ascii="Times New Roman" w:hAnsi="Times New Roman" w:cs="Times New Roman"/>
              </w:rPr>
              <w:t xml:space="preserve"> 有组织废气</w:t>
            </w:r>
            <w:r>
              <w:rPr>
                <w:rFonts w:hint="eastAsia" w:cs="Times New Roman"/>
                <w:lang w:eastAsia="zh-CN"/>
              </w:rPr>
              <w:t>（</w:t>
            </w:r>
            <w:r>
              <w:rPr>
                <w:rFonts w:hint="eastAsia" w:cs="Times New Roman"/>
                <w:lang w:val="en-US" w:eastAsia="zh-CN"/>
              </w:rPr>
              <w:t>锅炉燃烧废气排气筒</w:t>
            </w:r>
            <w:r>
              <w:rPr>
                <w:rFonts w:hint="eastAsia" w:cs="Times New Roman"/>
                <w:lang w:eastAsia="zh-CN"/>
              </w:rPr>
              <w:t>）</w:t>
            </w:r>
            <w:r>
              <w:rPr>
                <w:rFonts w:hint="default" w:ascii="Times New Roman" w:hAnsi="Times New Roman" w:cs="Times New Roman"/>
              </w:rPr>
              <w:t>检测结果统计表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354"/>
              <w:gridCol w:w="1156"/>
              <w:gridCol w:w="1125"/>
              <w:gridCol w:w="1169"/>
              <w:gridCol w:w="1223"/>
              <w:gridCol w:w="125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8" w:type="pct"/>
                  <w:gridSpan w:val="2"/>
                  <w:noWrap w:val="0"/>
                  <w:vAlign w:val="center"/>
                </w:tcPr>
                <w:p>
                  <w:pPr>
                    <w:spacing w:line="240" w:lineRule="auto"/>
                    <w:jc w:val="center"/>
                    <w:rPr>
                      <w:rFonts w:hint="default" w:ascii="Times New Roman" w:hAnsi="Times New Roman" w:eastAsia="宋体" w:cs="Times New Roman"/>
                      <w:b/>
                      <w:bCs/>
                      <w:spacing w:val="-19"/>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监测点位</w:t>
                  </w:r>
                </w:p>
              </w:tc>
              <w:tc>
                <w:tcPr>
                  <w:tcW w:w="190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1#天然气燃烧废气</w:t>
                  </w:r>
                  <w:r>
                    <w:rPr>
                      <w:rFonts w:hint="default" w:ascii="Times New Roman" w:hAnsi="Times New Roman" w:cs="Times New Roman"/>
                      <w:b w:val="0"/>
                      <w:bCs/>
                      <w:sz w:val="21"/>
                      <w:szCs w:val="21"/>
                      <w:vertAlign w:val="baseline"/>
                      <w:lang w:val="en-US" w:eastAsia="zh-CN"/>
                    </w:rPr>
                    <w:t>出口</w:t>
                  </w:r>
                </w:p>
              </w:tc>
              <w:tc>
                <w:tcPr>
                  <w:tcW w:w="206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1#天然气燃烧废气</w:t>
                  </w:r>
                  <w:r>
                    <w:rPr>
                      <w:rFonts w:hint="default" w:ascii="Times New Roman" w:hAnsi="Times New Roman" w:cs="Times New Roman"/>
                      <w:b w:val="0"/>
                      <w:bCs/>
                      <w:sz w:val="21"/>
                      <w:szCs w:val="21"/>
                      <w:vertAlign w:val="baseline"/>
                      <w:lang w:val="en-US" w:eastAsia="zh-CN"/>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8" w:type="pct"/>
                  <w:gridSpan w:val="2"/>
                  <w:noWrap w:val="0"/>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监测时间</w:t>
                  </w:r>
                </w:p>
              </w:tc>
              <w:tc>
                <w:tcPr>
                  <w:tcW w:w="1904" w:type="pct"/>
                  <w:gridSpan w:val="3"/>
                  <w:noWrap w:val="0"/>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w:t>
                  </w:r>
                  <w:r>
                    <w:rPr>
                      <w:rFonts w:hint="default" w:ascii="Times New Roman" w:hAnsi="Times New Roman" w:cs="Times New Roman"/>
                      <w:b w:val="0"/>
                      <w:bCs w:val="0"/>
                      <w:sz w:val="21"/>
                      <w:szCs w:val="21"/>
                      <w:vertAlign w:val="baseline"/>
                      <w:lang w:val="en-US" w:eastAsia="zh-CN"/>
                    </w:rPr>
                    <w:t>2</w:t>
                  </w:r>
                  <w:r>
                    <w:rPr>
                      <w:rFonts w:hint="default" w:ascii="Times New Roman" w:hAnsi="Times New Roman" w:eastAsia="宋体" w:cs="Times New Roman"/>
                      <w:b w:val="0"/>
                      <w:bCs w:val="0"/>
                      <w:sz w:val="21"/>
                      <w:szCs w:val="21"/>
                      <w:vertAlign w:val="baseline"/>
                      <w:lang w:val="en-US" w:eastAsia="zh-CN"/>
                    </w:rPr>
                    <w:t>年</w:t>
                  </w:r>
                  <w:r>
                    <w:rPr>
                      <w:rFonts w:hint="default" w:ascii="Times New Roman" w:hAnsi="Times New Roman" w:cs="Times New Roman"/>
                      <w:b w:val="0"/>
                      <w:bCs w:val="0"/>
                      <w:sz w:val="21"/>
                      <w:szCs w:val="21"/>
                      <w:vertAlign w:val="baseline"/>
                      <w:lang w:val="en-US" w:eastAsia="zh-CN"/>
                    </w:rPr>
                    <w:t>9</w:t>
                  </w:r>
                  <w:r>
                    <w:rPr>
                      <w:rFonts w:hint="default" w:ascii="Times New Roman" w:hAnsi="Times New Roman" w:eastAsia="宋体" w:cs="Times New Roman"/>
                      <w:b w:val="0"/>
                      <w:bCs w:val="0"/>
                      <w:sz w:val="21"/>
                      <w:szCs w:val="21"/>
                      <w:vertAlign w:val="baseline"/>
                      <w:lang w:val="en-US" w:eastAsia="zh-CN"/>
                    </w:rPr>
                    <w:t>月</w:t>
                  </w:r>
                  <w:r>
                    <w:rPr>
                      <w:rFonts w:hint="default" w:ascii="Times New Roman" w:hAnsi="Times New Roman" w:cs="Times New Roman"/>
                      <w:b w:val="0"/>
                      <w:bCs w:val="0"/>
                      <w:sz w:val="21"/>
                      <w:szCs w:val="21"/>
                      <w:vertAlign w:val="baseline"/>
                      <w:lang w:val="en-US" w:eastAsia="zh-CN"/>
                    </w:rPr>
                    <w:t>21</w:t>
                  </w:r>
                  <w:r>
                    <w:rPr>
                      <w:rFonts w:hint="default" w:ascii="Times New Roman" w:hAnsi="Times New Roman" w:eastAsia="宋体" w:cs="Times New Roman"/>
                      <w:b w:val="0"/>
                      <w:bCs w:val="0"/>
                      <w:sz w:val="21"/>
                      <w:szCs w:val="21"/>
                      <w:vertAlign w:val="baseline"/>
                      <w:lang w:val="en-US" w:eastAsia="zh-CN"/>
                    </w:rPr>
                    <w:t>日</w:t>
                  </w:r>
                </w:p>
              </w:tc>
              <w:tc>
                <w:tcPr>
                  <w:tcW w:w="2066" w:type="pct"/>
                  <w:gridSpan w:val="3"/>
                  <w:noWrap w:val="0"/>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w:t>
                  </w:r>
                  <w:r>
                    <w:rPr>
                      <w:rFonts w:hint="default" w:ascii="Times New Roman" w:hAnsi="Times New Roman" w:cs="Times New Roman"/>
                      <w:b w:val="0"/>
                      <w:bCs w:val="0"/>
                      <w:sz w:val="21"/>
                      <w:szCs w:val="21"/>
                      <w:vertAlign w:val="baseline"/>
                      <w:lang w:val="en-US" w:eastAsia="zh-CN"/>
                    </w:rPr>
                    <w:t>2</w:t>
                  </w:r>
                  <w:r>
                    <w:rPr>
                      <w:rFonts w:hint="default" w:ascii="Times New Roman" w:hAnsi="Times New Roman" w:eastAsia="宋体" w:cs="Times New Roman"/>
                      <w:b w:val="0"/>
                      <w:bCs w:val="0"/>
                      <w:sz w:val="21"/>
                      <w:szCs w:val="21"/>
                      <w:vertAlign w:val="baseline"/>
                      <w:lang w:val="en-US" w:eastAsia="zh-CN"/>
                    </w:rPr>
                    <w:t>年</w:t>
                  </w:r>
                  <w:r>
                    <w:rPr>
                      <w:rFonts w:hint="default" w:ascii="Times New Roman" w:hAnsi="Times New Roman" w:cs="Times New Roman"/>
                      <w:b w:val="0"/>
                      <w:bCs w:val="0"/>
                      <w:sz w:val="21"/>
                      <w:szCs w:val="21"/>
                      <w:vertAlign w:val="baseline"/>
                      <w:lang w:val="en-US" w:eastAsia="zh-CN"/>
                    </w:rPr>
                    <w:t>9</w:t>
                  </w:r>
                  <w:r>
                    <w:rPr>
                      <w:rFonts w:hint="default" w:ascii="Times New Roman" w:hAnsi="Times New Roman" w:eastAsia="宋体" w:cs="Times New Roman"/>
                      <w:b w:val="0"/>
                      <w:bCs w:val="0"/>
                      <w:sz w:val="21"/>
                      <w:szCs w:val="21"/>
                      <w:vertAlign w:val="baseline"/>
                      <w:lang w:val="en-US" w:eastAsia="zh-CN"/>
                    </w:rPr>
                    <w:t>月</w:t>
                  </w:r>
                  <w:r>
                    <w:rPr>
                      <w:rFonts w:hint="default" w:ascii="Times New Roman" w:hAnsi="Times New Roman" w:cs="Times New Roman"/>
                      <w:b w:val="0"/>
                      <w:bCs w:val="0"/>
                      <w:sz w:val="21"/>
                      <w:szCs w:val="21"/>
                      <w:vertAlign w:val="baseline"/>
                      <w:lang w:val="en-US" w:eastAsia="zh-CN"/>
                    </w:rPr>
                    <w:t>22</w:t>
                  </w:r>
                  <w:r>
                    <w:rPr>
                      <w:rFonts w:hint="default" w:ascii="Times New Roman" w:hAnsi="Times New Roman" w:eastAsia="宋体" w:cs="Times New Roman"/>
                      <w:b w:val="0"/>
                      <w:bCs w:val="0"/>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8" w:type="pct"/>
                  <w:gridSpan w:val="2"/>
                  <w:noWrap w:val="0"/>
                  <w:vAlign w:val="center"/>
                </w:tcPr>
                <w:p>
                  <w:pPr>
                    <w:spacing w:line="240" w:lineRule="auto"/>
                    <w:jc w:val="center"/>
                    <w:rPr>
                      <w:rFonts w:hint="default" w:ascii="Times New Roman" w:hAnsi="Times New Roman" w:eastAsia="宋体" w:cs="Times New Roman"/>
                      <w:b/>
                      <w:bCs/>
                      <w:spacing w:val="-19"/>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检测项目</w:t>
                  </w:r>
                </w:p>
              </w:tc>
              <w:tc>
                <w:tcPr>
                  <w:tcW w:w="1904" w:type="pct"/>
                  <w:gridSpan w:val="3"/>
                  <w:noWrap w:val="0"/>
                  <w:vAlign w:val="center"/>
                </w:tcPr>
                <w:p>
                  <w:pPr>
                    <w:spacing w:line="240" w:lineRule="auto"/>
                    <w:jc w:val="center"/>
                    <w:rPr>
                      <w:rFonts w:hint="default" w:ascii="Times New Roman" w:hAnsi="Times New Roman" w:eastAsia="宋体" w:cs="Times New Roman"/>
                      <w:b w:val="0"/>
                      <w:bCs w:val="0"/>
                      <w:spacing w:val="-19"/>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检测结果</w:t>
                  </w:r>
                </w:p>
              </w:tc>
              <w:tc>
                <w:tcPr>
                  <w:tcW w:w="2066" w:type="pct"/>
                  <w:gridSpan w:val="3"/>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8" w:type="pct"/>
                  <w:gridSpan w:val="2"/>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含氧量（%）</w:t>
                  </w:r>
                </w:p>
              </w:tc>
              <w:tc>
                <w:tcPr>
                  <w:tcW w:w="638"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6.6</w:t>
                  </w:r>
                </w:p>
              </w:tc>
              <w:tc>
                <w:tcPr>
                  <w:tcW w:w="621"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6.3</w:t>
                  </w:r>
                </w:p>
              </w:tc>
              <w:tc>
                <w:tcPr>
                  <w:tcW w:w="645"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6.4</w:t>
                  </w:r>
                </w:p>
              </w:tc>
              <w:tc>
                <w:tcPr>
                  <w:tcW w:w="675"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6.5</w:t>
                  </w:r>
                </w:p>
              </w:tc>
              <w:tc>
                <w:tcPr>
                  <w:tcW w:w="695"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6.7</w:t>
                  </w:r>
                </w:p>
              </w:tc>
              <w:tc>
                <w:tcPr>
                  <w:tcW w:w="696"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8" w:type="pct"/>
                  <w:gridSpan w:val="2"/>
                  <w:noWrap w:val="0"/>
                  <w:vAlign w:val="center"/>
                </w:tcPr>
                <w:p>
                  <w:pPr>
                    <w:spacing w:line="240" w:lineRule="auto"/>
                    <w:jc w:val="center"/>
                    <w:rPr>
                      <w:rFonts w:hint="default" w:ascii="Times New Roman" w:hAnsi="Times New Roman" w:eastAsia="宋体" w:cs="Times New Roman"/>
                      <w:b/>
                      <w:bCs/>
                      <w:spacing w:val="-19"/>
                      <w:sz w:val="21"/>
                      <w:szCs w:val="21"/>
                      <w:vertAlign w:val="baseline"/>
                    </w:rPr>
                  </w:pPr>
                  <w:r>
                    <w:rPr>
                      <w:rFonts w:hint="default" w:ascii="Times New Roman" w:hAnsi="Times New Roman" w:eastAsia="宋体" w:cs="Times New Roman"/>
                      <w:b/>
                      <w:bCs/>
                      <w:sz w:val="21"/>
                      <w:szCs w:val="21"/>
                      <w:vertAlign w:val="baseline"/>
                      <w:lang w:val="en-US" w:eastAsia="zh-CN"/>
                    </w:rPr>
                    <w:t>标干流量(m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/h）</w:t>
                  </w:r>
                </w:p>
              </w:tc>
              <w:tc>
                <w:tcPr>
                  <w:tcW w:w="638"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1445</w:t>
                  </w:r>
                </w:p>
              </w:tc>
              <w:tc>
                <w:tcPr>
                  <w:tcW w:w="621"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1437</w:t>
                  </w:r>
                </w:p>
              </w:tc>
              <w:tc>
                <w:tcPr>
                  <w:tcW w:w="645"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cs="Times New Roman"/>
                      <w:b w:val="0"/>
                      <w:bCs w:val="0"/>
                      <w:spacing w:val="0"/>
                      <w:sz w:val="21"/>
                      <w:szCs w:val="21"/>
                      <w:vertAlign w:val="baseline"/>
                      <w:lang w:val="en-US" w:eastAsia="zh-CN"/>
                    </w:rPr>
                    <w:t>1451</w:t>
                  </w:r>
                </w:p>
              </w:tc>
              <w:tc>
                <w:tcPr>
                  <w:tcW w:w="675"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1510</w:t>
                  </w:r>
                </w:p>
              </w:tc>
              <w:tc>
                <w:tcPr>
                  <w:tcW w:w="695"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1487</w:t>
                  </w:r>
                </w:p>
              </w:tc>
              <w:tc>
                <w:tcPr>
                  <w:tcW w:w="696" w:type="pct"/>
                  <w:noWrap w:val="0"/>
                  <w:vAlign w:val="center"/>
                </w:tcPr>
                <w:p>
                  <w:pPr>
                    <w:spacing w:line="240" w:lineRule="auto"/>
                    <w:jc w:val="center"/>
                    <w:rPr>
                      <w:rFonts w:hint="default" w:ascii="Times New Roman" w:hAnsi="Times New Roman"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9"/>
                      <w:sz w:val="21"/>
                      <w:szCs w:val="21"/>
                      <w:vertAlign w:val="baseline"/>
                      <w:lang w:val="en-US" w:eastAsia="zh-CN"/>
                    </w:rPr>
                  </w:pPr>
                  <w:r>
                    <w:rPr>
                      <w:rFonts w:hint="default" w:ascii="Times New Roman" w:hAnsi="Times New Roman" w:cs="Times New Roman"/>
                      <w:b/>
                      <w:bCs/>
                      <w:spacing w:val="-19"/>
                      <w:sz w:val="21"/>
                      <w:szCs w:val="21"/>
                      <w:vertAlign w:val="baseline"/>
                      <w:lang w:val="en-US" w:eastAsia="zh-CN"/>
                    </w:rPr>
                    <w:t>颗粒物</w:t>
                  </w:r>
                </w:p>
              </w:tc>
              <w:tc>
                <w:tcPr>
                  <w:tcW w:w="746" w:type="pct"/>
                  <w:noWrap w:val="0"/>
                  <w:vAlign w:val="center"/>
                </w:tcPr>
                <w:p>
                  <w:pPr>
                    <w:spacing w:line="240" w:lineRule="auto"/>
                    <w:jc w:val="center"/>
                    <w:rPr>
                      <w:rFonts w:hint="default" w:ascii="Times New Roman" w:hAnsi="Times New Roman" w:eastAsia="宋体" w:cs="Times New Roman"/>
                      <w:b/>
                      <w:bCs/>
                      <w:spacing w:val="-19"/>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实测浓度（mg/m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5.3</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4.8</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5.1</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4.7</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5.2</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continue"/>
                  <w:noWrap w:val="0"/>
                  <w:vAlign w:val="center"/>
                </w:tcPr>
                <w:p>
                  <w:pPr>
                    <w:spacing w:line="240" w:lineRule="auto"/>
                    <w:jc w:val="center"/>
                    <w:rPr>
                      <w:rFonts w:hint="default" w:ascii="Times New Roman" w:hAnsi="Times New Roman" w:eastAsia="宋体" w:cs="Times New Roman"/>
                      <w:b/>
                      <w:bCs/>
                      <w:spacing w:val="-19"/>
                      <w:sz w:val="21"/>
                      <w:szCs w:val="21"/>
                      <w:vertAlign w:val="baseline"/>
                    </w:rPr>
                  </w:pPr>
                </w:p>
              </w:tc>
              <w:tc>
                <w:tcPr>
                  <w:tcW w:w="746" w:type="pct"/>
                  <w:noWrap w:val="0"/>
                  <w:vAlign w:val="center"/>
                </w:tcPr>
                <w:p>
                  <w:pPr>
                    <w:spacing w:line="240" w:lineRule="auto"/>
                    <w:jc w:val="center"/>
                    <w:rPr>
                      <w:rFonts w:hint="default" w:ascii="Times New Roman" w:hAnsi="Times New Roman" w:eastAsia="宋体" w:cs="Times New Roman"/>
                      <w:b/>
                      <w:bCs/>
                      <w:spacing w:val="-19"/>
                      <w:sz w:val="21"/>
                      <w:szCs w:val="21"/>
                      <w:vertAlign w:val="baseline"/>
                      <w:lang w:val="en-US"/>
                    </w:rPr>
                  </w:pPr>
                  <w:r>
                    <w:rPr>
                      <w:rFonts w:hint="default" w:ascii="Times New Roman" w:hAnsi="Times New Roman" w:eastAsia="宋体" w:cs="Times New Roman"/>
                      <w:b/>
                      <w:bCs/>
                      <w:sz w:val="21"/>
                      <w:szCs w:val="21"/>
                      <w:vertAlign w:val="baseline"/>
                      <w:lang w:val="en-US" w:eastAsia="zh-CN"/>
                    </w:rPr>
                    <w:t>排放浓度（mg/m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6.4</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5.7</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6.1</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5.7</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6.4</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continue"/>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p>
              </w:tc>
              <w:tc>
                <w:tcPr>
                  <w:tcW w:w="746" w:type="pct"/>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排放速率（kg/h）</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0.008 </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0.007 </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0.007 </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0.007 </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0.008 </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restart"/>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二氧化硫</w:t>
                  </w:r>
                </w:p>
              </w:tc>
              <w:tc>
                <w:tcPr>
                  <w:tcW w:w="746" w:type="pct"/>
                  <w:noWrap w:val="0"/>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实测浓度（mg/m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11</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10</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9</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12</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10</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continue"/>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p>
              </w:tc>
              <w:tc>
                <w:tcPr>
                  <w:tcW w:w="746" w:type="pct"/>
                  <w:noWrap w:val="0"/>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13</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12</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11</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14</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12</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continue"/>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p>
              </w:tc>
              <w:tc>
                <w:tcPr>
                  <w:tcW w:w="746" w:type="pct"/>
                  <w:noWrap w:val="0"/>
                  <w:vAlign w:val="center"/>
                </w:tcPr>
                <w:p>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排放速率（kg/h）</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0.016 </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0.014 </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0.013 </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0.018 </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0.015 </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restart"/>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氮氧化物</w:t>
                  </w:r>
                </w:p>
              </w:tc>
              <w:tc>
                <w:tcPr>
                  <w:tcW w:w="746" w:type="pct"/>
                  <w:noWrap w:val="0"/>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实测浓度（mg/m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22</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23</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25</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20</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21</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continue"/>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p>
              </w:tc>
              <w:tc>
                <w:tcPr>
                  <w:tcW w:w="746" w:type="pct"/>
                  <w:noWrap w:val="0"/>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27</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27</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30</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24</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26</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vMerge w:val="continue"/>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p>
              </w:tc>
              <w:tc>
                <w:tcPr>
                  <w:tcW w:w="746" w:type="pct"/>
                  <w:noWrap w:val="0"/>
                  <w:vAlign w:val="center"/>
                </w:tcPr>
                <w:p>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排放速率（kg/h）</w:t>
                  </w:r>
                </w:p>
              </w:tc>
              <w:tc>
                <w:tcPr>
                  <w:tcW w:w="638"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0.032 </w:t>
                  </w:r>
                </w:p>
              </w:tc>
              <w:tc>
                <w:tcPr>
                  <w:tcW w:w="621"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0.033 </w:t>
                  </w:r>
                </w:p>
              </w:tc>
              <w:tc>
                <w:tcPr>
                  <w:tcW w:w="64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0.036 </w:t>
                  </w:r>
                </w:p>
              </w:tc>
              <w:tc>
                <w:tcPr>
                  <w:tcW w:w="67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0.030 </w:t>
                  </w:r>
                </w:p>
              </w:tc>
              <w:tc>
                <w:tcPr>
                  <w:tcW w:w="695"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0.031 </w:t>
                  </w:r>
                </w:p>
              </w:tc>
              <w:tc>
                <w:tcPr>
                  <w:tcW w:w="696" w:type="pct"/>
                  <w:noWrap w:val="0"/>
                  <w:vAlign w:val="center"/>
                </w:tcPr>
                <w:p>
                  <w:pPr>
                    <w:spacing w:line="240" w:lineRule="auto"/>
                    <w:jc w:val="center"/>
                    <w:rPr>
                      <w:rFonts w:hint="default" w:ascii="Times New Roman" w:hAnsi="Times New Roman" w:eastAsia="宋体" w:cs="Times New Roman"/>
                      <w:b w:val="0"/>
                      <w:bCs w:val="0"/>
                      <w:spacing w:val="0"/>
                      <w:sz w:val="21"/>
                      <w:szCs w:val="21"/>
                      <w:vertAlign w:val="baseline"/>
                      <w:lang w:val="en-US" w:eastAsia="zh-CN"/>
                    </w:rPr>
                  </w:pPr>
                  <w:r>
                    <w:rPr>
                      <w:rFonts w:hint="default" w:ascii="Times New Roman" w:hAnsi="Times New Roman" w:eastAsia="宋体" w:cs="Times New Roman"/>
                      <w:b w:val="0"/>
                      <w:bCs w:val="0"/>
                      <w:spacing w:val="0"/>
                      <w:sz w:val="21"/>
                      <w:szCs w:val="21"/>
                      <w:vertAlign w:val="baseline"/>
                      <w:lang w:val="en-US" w:eastAsia="zh-CN"/>
                    </w:rPr>
                    <w:t xml:space="preserve">0.033 </w:t>
                  </w:r>
                </w:p>
              </w:tc>
            </w:tr>
          </w:tbl>
          <w:p>
            <w:pPr>
              <w:pStyle w:val="113"/>
              <w:spacing w:before="0" w:beforeLines="0" w:line="360" w:lineRule="auto"/>
              <w:rPr>
                <w:rFonts w:hint="default" w:ascii="Times New Roman" w:hAnsi="Times New Roman" w:cs="Times New Roman"/>
              </w:rPr>
            </w:pPr>
            <w:r>
              <w:rPr>
                <w:rFonts w:hint="default" w:ascii="Times New Roman" w:hAnsi="Times New Roman" w:cs="Times New Roman"/>
              </w:rPr>
              <w:t>表7-</w:t>
            </w:r>
            <w:r>
              <w:rPr>
                <w:rFonts w:hint="eastAsia" w:ascii="Times New Roman" w:hAnsi="Times New Roman" w:cs="Times New Roman"/>
                <w:lang w:val="en-US" w:eastAsia="zh-CN"/>
              </w:rPr>
              <w:t>3</w:t>
            </w:r>
            <w:r>
              <w:rPr>
                <w:rFonts w:hint="default" w:ascii="Times New Roman" w:hAnsi="Times New Roman" w:cs="Times New Roman"/>
              </w:rPr>
              <w:t xml:space="preserve"> 有组织废气</w:t>
            </w:r>
            <w:r>
              <w:rPr>
                <w:rFonts w:hint="eastAsia" w:cs="Times New Roman"/>
                <w:lang w:eastAsia="zh-CN"/>
              </w:rPr>
              <w:t>（</w:t>
            </w:r>
            <w:r>
              <w:rPr>
                <w:rFonts w:hint="eastAsia" w:cs="Times New Roman"/>
                <w:lang w:val="en-US" w:eastAsia="zh-CN"/>
              </w:rPr>
              <w:t>硫化废气排气筒</w:t>
            </w:r>
            <w:r>
              <w:rPr>
                <w:rFonts w:hint="eastAsia" w:cs="Times New Roman"/>
                <w:lang w:eastAsia="zh-CN"/>
              </w:rPr>
              <w:t>）</w:t>
            </w:r>
            <w:r>
              <w:rPr>
                <w:rFonts w:hint="default" w:ascii="Times New Roman" w:hAnsi="Times New Roman" w:cs="Times New Roman"/>
              </w:rPr>
              <w:t>检测结果统计表</w:t>
            </w:r>
          </w:p>
          <w:tbl>
            <w:tblPr>
              <w:tblStyle w:val="32"/>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352"/>
              <w:gridCol w:w="1106"/>
              <w:gridCol w:w="1168"/>
              <w:gridCol w:w="1232"/>
              <w:gridCol w:w="1220"/>
              <w:gridCol w:w="1205"/>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1" w:type="dxa"/>
                  <w:gridSpan w:val="2"/>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监测点位</w:t>
                  </w:r>
                </w:p>
              </w:tc>
              <w:tc>
                <w:tcPr>
                  <w:tcW w:w="3506" w:type="dxa"/>
                  <w:gridSpan w:val="3"/>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2#硫化废气处理设施进口</w:t>
                  </w:r>
                </w:p>
              </w:tc>
              <w:tc>
                <w:tcPr>
                  <w:tcW w:w="3692" w:type="dxa"/>
                  <w:gridSpan w:val="3"/>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2#硫化废气处理设施出口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1" w:type="dxa"/>
                  <w:gridSpan w:val="2"/>
                  <w:vAlign w:val="center"/>
                </w:tcPr>
                <w:p>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监测时间</w:t>
                  </w:r>
                </w:p>
              </w:tc>
              <w:tc>
                <w:tcPr>
                  <w:tcW w:w="7198" w:type="dxa"/>
                  <w:gridSpan w:val="6"/>
                  <w:vAlign w:val="center"/>
                </w:tcPr>
                <w:p>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202</w:t>
                  </w:r>
                  <w:r>
                    <w:rPr>
                      <w:rFonts w:hint="default" w:ascii="Times New Roman" w:hAnsi="Times New Roman" w:cs="Times New Roman"/>
                      <w:b/>
                      <w:bCs/>
                      <w:sz w:val="21"/>
                      <w:szCs w:val="21"/>
                      <w:vertAlign w:val="baseline"/>
                      <w:lang w:val="en-US" w:eastAsia="zh-CN"/>
                    </w:rPr>
                    <w:t>2</w:t>
                  </w:r>
                  <w:r>
                    <w:rPr>
                      <w:rFonts w:hint="default" w:ascii="Times New Roman" w:hAnsi="Times New Roman" w:eastAsia="宋体" w:cs="Times New Roman"/>
                      <w:b/>
                      <w:bCs/>
                      <w:sz w:val="21"/>
                      <w:szCs w:val="21"/>
                      <w:vertAlign w:val="baseline"/>
                      <w:lang w:val="en-US" w:eastAsia="zh-CN"/>
                    </w:rPr>
                    <w:t>年</w:t>
                  </w:r>
                  <w:r>
                    <w:rPr>
                      <w:rFonts w:hint="default" w:ascii="Times New Roman" w:hAnsi="Times New Roman" w:cs="Times New Roman"/>
                      <w:b/>
                      <w:bCs/>
                      <w:sz w:val="21"/>
                      <w:szCs w:val="21"/>
                      <w:vertAlign w:val="baseline"/>
                      <w:lang w:val="en-US" w:eastAsia="zh-CN"/>
                    </w:rPr>
                    <w:t>9</w:t>
                  </w:r>
                  <w:r>
                    <w:rPr>
                      <w:rFonts w:hint="default" w:ascii="Times New Roman" w:hAnsi="Times New Roman" w:eastAsia="宋体" w:cs="Times New Roman"/>
                      <w:b/>
                      <w:bCs/>
                      <w:sz w:val="21"/>
                      <w:szCs w:val="21"/>
                      <w:vertAlign w:val="baseline"/>
                      <w:lang w:val="en-US" w:eastAsia="zh-CN"/>
                    </w:rPr>
                    <w:t>月</w:t>
                  </w:r>
                  <w:r>
                    <w:rPr>
                      <w:rFonts w:hint="default" w:ascii="Times New Roman" w:hAnsi="Times New Roman" w:cs="Times New Roman"/>
                      <w:b/>
                      <w:bCs/>
                      <w:sz w:val="21"/>
                      <w:szCs w:val="21"/>
                      <w:vertAlign w:val="baseline"/>
                      <w:lang w:val="en-US" w:eastAsia="zh-CN"/>
                    </w:rPr>
                    <w:t>21</w:t>
                  </w:r>
                  <w:r>
                    <w:rPr>
                      <w:rFonts w:hint="default" w:ascii="Times New Roman" w:hAnsi="Times New Roman" w:eastAsia="宋体" w:cs="Times New Roman"/>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1" w:type="dxa"/>
                  <w:gridSpan w:val="2"/>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检测项目</w:t>
                  </w:r>
                </w:p>
              </w:tc>
              <w:tc>
                <w:tcPr>
                  <w:tcW w:w="3506" w:type="dxa"/>
                  <w:gridSpan w:val="3"/>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cs="Times New Roman"/>
                      <w:b/>
                      <w:bCs/>
                      <w:spacing w:val="0"/>
                      <w:sz w:val="21"/>
                      <w:szCs w:val="21"/>
                      <w:vertAlign w:val="baseline"/>
                      <w:lang w:val="en-US" w:eastAsia="zh-CN"/>
                    </w:rPr>
                    <w:t>检测结果</w:t>
                  </w:r>
                </w:p>
              </w:tc>
              <w:tc>
                <w:tcPr>
                  <w:tcW w:w="3692" w:type="dxa"/>
                  <w:gridSpan w:val="3"/>
                  <w:vAlign w:val="center"/>
                </w:tcPr>
                <w:p>
                  <w:pPr>
                    <w:spacing w:line="240" w:lineRule="auto"/>
                    <w:jc w:val="center"/>
                    <w:rPr>
                      <w:rFonts w:hint="default" w:ascii="Times New Roman" w:hAnsi="Times New Roman" w:eastAsia="宋体" w:cs="Times New Roman"/>
                      <w:b/>
                      <w:bCs/>
                      <w:spacing w:val="0"/>
                      <w:kern w:val="2"/>
                      <w:sz w:val="21"/>
                      <w:szCs w:val="21"/>
                      <w:vertAlign w:val="baseline"/>
                      <w:lang w:val="en-US" w:eastAsia="zh-CN" w:bidi="ar-SA"/>
                    </w:rPr>
                  </w:pPr>
                  <w:r>
                    <w:rPr>
                      <w:rFonts w:hint="default" w:ascii="Times New Roman" w:hAnsi="Times New Roman" w:cs="Times New Roman"/>
                      <w:b/>
                      <w:bCs/>
                      <w:spacing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861" w:type="dxa"/>
                  <w:gridSpan w:val="2"/>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标干流量(m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/h）</w:t>
                  </w:r>
                </w:p>
              </w:tc>
              <w:tc>
                <w:tcPr>
                  <w:tcW w:w="1106"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13576</w:t>
                  </w:r>
                </w:p>
              </w:tc>
              <w:tc>
                <w:tcPr>
                  <w:tcW w:w="1168"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13288</w:t>
                  </w:r>
                </w:p>
              </w:tc>
              <w:tc>
                <w:tcPr>
                  <w:tcW w:w="1232"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13186</w:t>
                  </w:r>
                </w:p>
              </w:tc>
              <w:tc>
                <w:tcPr>
                  <w:tcW w:w="1220"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15372</w:t>
                  </w:r>
                </w:p>
              </w:tc>
              <w:tc>
                <w:tcPr>
                  <w:tcW w:w="1205"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15465</w:t>
                  </w:r>
                </w:p>
              </w:tc>
              <w:tc>
                <w:tcPr>
                  <w:tcW w:w="1267"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15583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09"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cs="Times New Roman"/>
                      <w:b/>
                      <w:bCs/>
                      <w:spacing w:val="-19"/>
                      <w:sz w:val="21"/>
                      <w:szCs w:val="21"/>
                      <w:vertAlign w:val="baseline"/>
                      <w:lang w:val="en-US" w:eastAsia="zh-CN"/>
                    </w:rPr>
                    <w:t>非甲烷总烃</w:t>
                  </w:r>
                </w:p>
              </w:tc>
              <w:tc>
                <w:tcPr>
                  <w:tcW w:w="1352" w:type="dxa"/>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实测浓度（mg/m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9.58</w:t>
                  </w:r>
                </w:p>
              </w:tc>
              <w:tc>
                <w:tcPr>
                  <w:tcW w:w="1168"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9.37</w:t>
                  </w:r>
                </w:p>
              </w:tc>
              <w:tc>
                <w:tcPr>
                  <w:tcW w:w="1232"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9.46</w:t>
                  </w:r>
                </w:p>
              </w:tc>
              <w:tc>
                <w:tcPr>
                  <w:tcW w:w="1220"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1.86</w:t>
                  </w:r>
                </w:p>
              </w:tc>
              <w:tc>
                <w:tcPr>
                  <w:tcW w:w="1205"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1.93</w:t>
                  </w:r>
                </w:p>
              </w:tc>
              <w:tc>
                <w:tcPr>
                  <w:tcW w:w="1267"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09" w:type="dxa"/>
                  <w:vMerge w:val="continue"/>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p>
              </w:tc>
              <w:tc>
                <w:tcPr>
                  <w:tcW w:w="1352" w:type="dxa"/>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w:t>
                  </w:r>
                </w:p>
              </w:tc>
              <w:tc>
                <w:tcPr>
                  <w:tcW w:w="1168"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w:t>
                  </w:r>
                </w:p>
              </w:tc>
              <w:tc>
                <w:tcPr>
                  <w:tcW w:w="1232"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w:t>
                  </w:r>
                </w:p>
              </w:tc>
              <w:tc>
                <w:tcPr>
                  <w:tcW w:w="1220"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1.86</w:t>
                  </w:r>
                </w:p>
              </w:tc>
              <w:tc>
                <w:tcPr>
                  <w:tcW w:w="1205"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1.93</w:t>
                  </w:r>
                </w:p>
              </w:tc>
              <w:tc>
                <w:tcPr>
                  <w:tcW w:w="1267"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dxa"/>
                  <w:vMerge w:val="continue"/>
                  <w:vAlign w:val="center"/>
                </w:tcPr>
                <w:p>
                  <w:pPr>
                    <w:jc w:val="center"/>
                    <w:rPr>
                      <w:rFonts w:hint="default" w:ascii="Times New Roman" w:hAnsi="Times New Roman" w:eastAsia="宋体" w:cs="Times New Roman"/>
                      <w:b/>
                      <w:bCs/>
                      <w:kern w:val="2"/>
                      <w:sz w:val="21"/>
                      <w:szCs w:val="21"/>
                      <w:vertAlign w:val="baseline"/>
                      <w:lang w:val="en-US" w:eastAsia="zh-CN" w:bidi="ar-SA"/>
                    </w:rPr>
                  </w:pPr>
                </w:p>
              </w:tc>
              <w:tc>
                <w:tcPr>
                  <w:tcW w:w="1352" w:type="dxa"/>
                  <w:vAlign w:val="center"/>
                </w:tcPr>
                <w:p>
                  <w:pPr>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排放速率（kg/h）</w:t>
                  </w:r>
                </w:p>
              </w:tc>
              <w:tc>
                <w:tcPr>
                  <w:tcW w:w="110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0.130 </w:t>
                  </w:r>
                </w:p>
              </w:tc>
              <w:tc>
                <w:tcPr>
                  <w:tcW w:w="116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0.125 </w:t>
                  </w:r>
                </w:p>
              </w:tc>
              <w:tc>
                <w:tcPr>
                  <w:tcW w:w="12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0.125 </w:t>
                  </w:r>
                </w:p>
              </w:tc>
              <w:tc>
                <w:tcPr>
                  <w:tcW w:w="12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0.029 </w:t>
                  </w:r>
                </w:p>
              </w:tc>
              <w:tc>
                <w:tcPr>
                  <w:tcW w:w="12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c>
                <w:tcPr>
                  <w:tcW w:w="126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dxa"/>
                  <w:vMerge w:val="restart"/>
                  <w:vAlign w:val="center"/>
                </w:tcPr>
                <w:p>
                  <w:pPr>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cs="Times New Roman"/>
                      <w:b/>
                      <w:bCs/>
                      <w:sz w:val="21"/>
                      <w:szCs w:val="21"/>
                      <w:vertAlign w:val="baseline"/>
                      <w:lang w:val="en-US" w:eastAsia="zh-CN"/>
                    </w:rPr>
                    <w:t>硫化氢</w:t>
                  </w:r>
                </w:p>
              </w:tc>
              <w:tc>
                <w:tcPr>
                  <w:tcW w:w="1352" w:type="dxa"/>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实测浓度（mg/m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1.57</w:t>
                  </w:r>
                </w:p>
              </w:tc>
              <w:tc>
                <w:tcPr>
                  <w:tcW w:w="1168"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1.46</w:t>
                  </w:r>
                </w:p>
              </w:tc>
              <w:tc>
                <w:tcPr>
                  <w:tcW w:w="1232"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1.55</w:t>
                  </w:r>
                </w:p>
              </w:tc>
              <w:tc>
                <w:tcPr>
                  <w:tcW w:w="1220"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0.18</w:t>
                  </w:r>
                </w:p>
              </w:tc>
              <w:tc>
                <w:tcPr>
                  <w:tcW w:w="1205"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0.13</w:t>
                  </w:r>
                </w:p>
              </w:tc>
              <w:tc>
                <w:tcPr>
                  <w:tcW w:w="1267"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dxa"/>
                  <w:vMerge w:val="continue"/>
                  <w:vAlign w:val="center"/>
                </w:tcPr>
                <w:p>
                  <w:pPr>
                    <w:jc w:val="center"/>
                    <w:rPr>
                      <w:rFonts w:hint="default" w:ascii="Times New Roman" w:hAnsi="Times New Roman" w:eastAsia="宋体" w:cs="Times New Roman"/>
                      <w:b/>
                      <w:bCs/>
                      <w:kern w:val="2"/>
                      <w:sz w:val="21"/>
                      <w:szCs w:val="21"/>
                      <w:vertAlign w:val="baseline"/>
                      <w:lang w:val="en-US" w:eastAsia="zh-CN" w:bidi="ar-SA"/>
                    </w:rPr>
                  </w:pPr>
                </w:p>
              </w:tc>
              <w:tc>
                <w:tcPr>
                  <w:tcW w:w="1352" w:type="dxa"/>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w:t>
                  </w:r>
                </w:p>
              </w:tc>
              <w:tc>
                <w:tcPr>
                  <w:tcW w:w="1168"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w:t>
                  </w:r>
                </w:p>
              </w:tc>
              <w:tc>
                <w:tcPr>
                  <w:tcW w:w="1232"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w:t>
                  </w:r>
                </w:p>
              </w:tc>
              <w:tc>
                <w:tcPr>
                  <w:tcW w:w="1220"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0.18</w:t>
                  </w:r>
                </w:p>
              </w:tc>
              <w:tc>
                <w:tcPr>
                  <w:tcW w:w="1205"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0.13</w:t>
                  </w:r>
                </w:p>
              </w:tc>
              <w:tc>
                <w:tcPr>
                  <w:tcW w:w="1267" w:type="dxa"/>
                  <w:vAlign w:val="center"/>
                </w:tcPr>
                <w:p>
                  <w:pPr>
                    <w:jc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cs="Times New Roman"/>
                      <w:b w:val="0"/>
                      <w:bCs w:val="0"/>
                      <w:spacing w:val="0"/>
                      <w:sz w:val="21"/>
                      <w:szCs w:val="21"/>
                      <w:vertAlign w:val="baseline"/>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09" w:type="dxa"/>
                  <w:vMerge w:val="continue"/>
                  <w:vAlign w:val="center"/>
                </w:tcPr>
                <w:p>
                  <w:pPr>
                    <w:jc w:val="center"/>
                    <w:rPr>
                      <w:rFonts w:hint="default" w:ascii="Times New Roman" w:hAnsi="Times New Roman" w:eastAsia="宋体" w:cs="Times New Roman"/>
                      <w:b/>
                      <w:bCs/>
                      <w:kern w:val="2"/>
                      <w:sz w:val="21"/>
                      <w:szCs w:val="21"/>
                      <w:vertAlign w:val="baseline"/>
                      <w:lang w:val="en-US" w:eastAsia="zh-CN" w:bidi="ar-SA"/>
                    </w:rPr>
                  </w:pPr>
                </w:p>
              </w:tc>
              <w:tc>
                <w:tcPr>
                  <w:tcW w:w="1352" w:type="dxa"/>
                  <w:vAlign w:val="center"/>
                </w:tcPr>
                <w:p>
                  <w:pPr>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排放速率（kg/h）</w:t>
                  </w:r>
                </w:p>
              </w:tc>
              <w:tc>
                <w:tcPr>
                  <w:tcW w:w="110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116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0.019 </w:t>
                  </w:r>
                </w:p>
              </w:tc>
              <w:tc>
                <w:tcPr>
                  <w:tcW w:w="12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0.020 </w:t>
                  </w:r>
                </w:p>
              </w:tc>
              <w:tc>
                <w:tcPr>
                  <w:tcW w:w="12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c>
                <w:tcPr>
                  <w:tcW w:w="12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126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861" w:type="dxa"/>
                  <w:gridSpan w:val="2"/>
                  <w:vAlign w:val="center"/>
                </w:tcPr>
                <w:p>
                  <w:pPr>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监测点位</w:t>
                  </w:r>
                </w:p>
              </w:tc>
              <w:tc>
                <w:tcPr>
                  <w:tcW w:w="3506" w:type="dxa"/>
                  <w:gridSpan w:val="3"/>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2#硫化废气处理设施进口</w:t>
                  </w:r>
                </w:p>
              </w:tc>
              <w:tc>
                <w:tcPr>
                  <w:tcW w:w="3692" w:type="dxa"/>
                  <w:gridSpan w:val="3"/>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2#硫化废气处理设施出口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861" w:type="dxa"/>
                  <w:gridSpan w:val="2"/>
                  <w:vAlign w:val="center"/>
                </w:tcPr>
                <w:p>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监测时间</w:t>
                  </w:r>
                </w:p>
              </w:tc>
              <w:tc>
                <w:tcPr>
                  <w:tcW w:w="7198" w:type="dxa"/>
                  <w:gridSpan w:val="6"/>
                  <w:vAlign w:val="center"/>
                </w:tcPr>
                <w:p>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202</w:t>
                  </w:r>
                  <w:r>
                    <w:rPr>
                      <w:rFonts w:hint="default" w:ascii="Times New Roman" w:hAnsi="Times New Roman" w:cs="Times New Roman"/>
                      <w:b/>
                      <w:bCs/>
                      <w:sz w:val="21"/>
                      <w:szCs w:val="21"/>
                      <w:vertAlign w:val="baseline"/>
                      <w:lang w:val="en-US" w:eastAsia="zh-CN"/>
                    </w:rPr>
                    <w:t>2</w:t>
                  </w:r>
                  <w:r>
                    <w:rPr>
                      <w:rFonts w:hint="default" w:ascii="Times New Roman" w:hAnsi="Times New Roman" w:eastAsia="宋体" w:cs="Times New Roman"/>
                      <w:b/>
                      <w:bCs/>
                      <w:sz w:val="21"/>
                      <w:szCs w:val="21"/>
                      <w:vertAlign w:val="baseline"/>
                      <w:lang w:val="en-US" w:eastAsia="zh-CN"/>
                    </w:rPr>
                    <w:t>年</w:t>
                  </w:r>
                  <w:r>
                    <w:rPr>
                      <w:rFonts w:hint="default" w:ascii="Times New Roman" w:hAnsi="Times New Roman" w:cs="Times New Roman"/>
                      <w:b/>
                      <w:bCs/>
                      <w:sz w:val="21"/>
                      <w:szCs w:val="21"/>
                      <w:vertAlign w:val="baseline"/>
                      <w:lang w:val="en-US" w:eastAsia="zh-CN"/>
                    </w:rPr>
                    <w:t>9</w:t>
                  </w:r>
                  <w:r>
                    <w:rPr>
                      <w:rFonts w:hint="default" w:ascii="Times New Roman" w:hAnsi="Times New Roman" w:eastAsia="宋体" w:cs="Times New Roman"/>
                      <w:b/>
                      <w:bCs/>
                      <w:sz w:val="21"/>
                      <w:szCs w:val="21"/>
                      <w:vertAlign w:val="baseline"/>
                      <w:lang w:val="en-US" w:eastAsia="zh-CN"/>
                    </w:rPr>
                    <w:t>月</w:t>
                  </w:r>
                  <w:r>
                    <w:rPr>
                      <w:rFonts w:hint="default" w:ascii="Times New Roman" w:hAnsi="Times New Roman" w:cs="Times New Roman"/>
                      <w:b/>
                      <w:bCs/>
                      <w:sz w:val="21"/>
                      <w:szCs w:val="21"/>
                      <w:vertAlign w:val="baseline"/>
                      <w:lang w:val="en-US" w:eastAsia="zh-CN"/>
                    </w:rPr>
                    <w:t>22</w:t>
                  </w:r>
                  <w:r>
                    <w:rPr>
                      <w:rFonts w:hint="default" w:ascii="Times New Roman" w:hAnsi="Times New Roman" w:eastAsia="宋体" w:cs="Times New Roman"/>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61" w:type="dxa"/>
                  <w:gridSpan w:val="2"/>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检测项目</w:t>
                  </w:r>
                </w:p>
              </w:tc>
              <w:tc>
                <w:tcPr>
                  <w:tcW w:w="3506" w:type="dxa"/>
                  <w:gridSpan w:val="3"/>
                  <w:vAlign w:val="center"/>
                </w:tcPr>
                <w:p>
                  <w:pPr>
                    <w:spacing w:line="240" w:lineRule="auto"/>
                    <w:jc w:val="center"/>
                    <w:rPr>
                      <w:rFonts w:hint="default" w:ascii="Times New Roman" w:hAnsi="Times New Roman" w:eastAsia="宋体" w:cs="Times New Roman"/>
                      <w:b/>
                      <w:bCs/>
                      <w:spacing w:val="-19"/>
                      <w:kern w:val="2"/>
                      <w:sz w:val="21"/>
                      <w:szCs w:val="21"/>
                      <w:vertAlign w:val="baseline"/>
                      <w:lang w:val="en-US" w:eastAsia="zh-CN" w:bidi="ar-SA"/>
                    </w:rPr>
                  </w:pPr>
                  <w:r>
                    <w:rPr>
                      <w:rFonts w:hint="default" w:ascii="Times New Roman" w:hAnsi="Times New Roman" w:cs="Times New Roman"/>
                      <w:b/>
                      <w:bCs/>
                      <w:spacing w:val="0"/>
                      <w:sz w:val="21"/>
                      <w:szCs w:val="21"/>
                      <w:vertAlign w:val="baseline"/>
                      <w:lang w:val="en-US" w:eastAsia="zh-CN"/>
                    </w:rPr>
                    <w:t>检测结果</w:t>
                  </w:r>
                </w:p>
              </w:tc>
              <w:tc>
                <w:tcPr>
                  <w:tcW w:w="3692" w:type="dxa"/>
                  <w:gridSpan w:val="3"/>
                  <w:vAlign w:val="center"/>
                </w:tcPr>
                <w:p>
                  <w:pPr>
                    <w:spacing w:line="240" w:lineRule="auto"/>
                    <w:jc w:val="center"/>
                    <w:rPr>
                      <w:rFonts w:hint="default" w:ascii="Times New Roman" w:hAnsi="Times New Roman" w:eastAsia="宋体" w:cs="Times New Roman"/>
                      <w:b/>
                      <w:bCs/>
                      <w:spacing w:val="0"/>
                      <w:kern w:val="2"/>
                      <w:sz w:val="21"/>
                      <w:szCs w:val="21"/>
                      <w:vertAlign w:val="baseline"/>
                      <w:lang w:val="en-US" w:eastAsia="zh-CN" w:bidi="ar-SA"/>
                    </w:rPr>
                  </w:pPr>
                  <w:r>
                    <w:rPr>
                      <w:rFonts w:hint="default" w:ascii="Times New Roman" w:hAnsi="Times New Roman" w:cs="Times New Roman"/>
                      <w:b/>
                      <w:bCs/>
                      <w:spacing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szCs w:val="21"/>
                    </w:rPr>
                  </w:pPr>
                  <w:r>
                    <w:rPr>
                      <w:rFonts w:hint="eastAsia" w:ascii="宋体" w:hAnsi="宋体" w:cs="宋体"/>
                      <w:b/>
                      <w:bCs/>
                      <w:spacing w:val="-19"/>
                      <w:sz w:val="21"/>
                      <w:szCs w:val="21"/>
                      <w:vertAlign w:val="baseline"/>
                      <w:lang w:val="en-US" w:eastAsia="zh-CN"/>
                    </w:rPr>
                    <w:t>非甲烷总烃</w:t>
                  </w:r>
                </w:p>
              </w:tc>
              <w:tc>
                <w:tcPr>
                  <w:tcW w:w="135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bCs/>
                      <w:sz w:val="21"/>
                      <w:szCs w:val="21"/>
                      <w:vertAlign w:val="baseline"/>
                      <w:lang w:val="en-US" w:eastAsia="zh-CN"/>
                    </w:rPr>
                    <w:t>实测浓度（mg/m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cs="Times New Roman"/>
                      <w:sz w:val="21"/>
                      <w:szCs w:val="21"/>
                    </w:rPr>
                  </w:pPr>
                  <w:r>
                    <w:rPr>
                      <w:rFonts w:hint="default" w:ascii="Times New Roman" w:hAnsi="Times New Roman" w:cs="Times New Roman"/>
                      <w:b w:val="0"/>
                      <w:bCs w:val="0"/>
                      <w:spacing w:val="0"/>
                      <w:sz w:val="21"/>
                      <w:szCs w:val="21"/>
                      <w:vertAlign w:val="baseline"/>
                      <w:lang w:val="en-US" w:eastAsia="zh-CN"/>
                    </w:rPr>
                    <w:t>13139</w:t>
                  </w:r>
                </w:p>
              </w:tc>
              <w:tc>
                <w:tcPr>
                  <w:tcW w:w="1168" w:type="dxa"/>
                  <w:vAlign w:val="center"/>
                </w:tcPr>
                <w:p>
                  <w:pPr>
                    <w:jc w:val="center"/>
                    <w:rPr>
                      <w:rFonts w:hint="default" w:ascii="Times New Roman" w:hAnsi="Times New Roman" w:cs="Times New Roman"/>
                      <w:sz w:val="21"/>
                      <w:szCs w:val="21"/>
                    </w:rPr>
                  </w:pPr>
                  <w:r>
                    <w:rPr>
                      <w:rFonts w:hint="default" w:ascii="Times New Roman" w:hAnsi="Times New Roman" w:cs="Times New Roman"/>
                      <w:b w:val="0"/>
                      <w:bCs w:val="0"/>
                      <w:spacing w:val="0"/>
                      <w:sz w:val="21"/>
                      <w:szCs w:val="21"/>
                      <w:vertAlign w:val="baseline"/>
                      <w:lang w:val="en-US" w:eastAsia="zh-CN"/>
                    </w:rPr>
                    <w:t>13237</w:t>
                  </w:r>
                </w:p>
              </w:tc>
              <w:tc>
                <w:tcPr>
                  <w:tcW w:w="1232" w:type="dxa"/>
                  <w:vAlign w:val="center"/>
                </w:tcPr>
                <w:p>
                  <w:pPr>
                    <w:jc w:val="center"/>
                    <w:rPr>
                      <w:rFonts w:hint="default" w:ascii="Times New Roman" w:hAnsi="Times New Roman" w:cs="Times New Roman"/>
                      <w:sz w:val="21"/>
                      <w:szCs w:val="21"/>
                    </w:rPr>
                  </w:pPr>
                  <w:r>
                    <w:rPr>
                      <w:rFonts w:hint="default" w:ascii="Times New Roman" w:hAnsi="Times New Roman" w:cs="Times New Roman"/>
                      <w:b w:val="0"/>
                      <w:bCs w:val="0"/>
                      <w:spacing w:val="0"/>
                      <w:sz w:val="21"/>
                      <w:szCs w:val="21"/>
                      <w:vertAlign w:val="baseline"/>
                      <w:lang w:val="en-US" w:eastAsia="zh-CN"/>
                    </w:rPr>
                    <w:t>13342</w:t>
                  </w:r>
                </w:p>
              </w:tc>
              <w:tc>
                <w:tcPr>
                  <w:tcW w:w="1220" w:type="dxa"/>
                  <w:vAlign w:val="center"/>
                </w:tcPr>
                <w:p>
                  <w:pPr>
                    <w:jc w:val="center"/>
                    <w:rPr>
                      <w:rFonts w:hint="default" w:ascii="Times New Roman" w:hAnsi="Times New Roman" w:cs="Times New Roman"/>
                      <w:sz w:val="21"/>
                      <w:szCs w:val="21"/>
                    </w:rPr>
                  </w:pPr>
                  <w:r>
                    <w:rPr>
                      <w:rFonts w:hint="default" w:ascii="Times New Roman" w:hAnsi="Times New Roman" w:cs="Times New Roman"/>
                      <w:b w:val="0"/>
                      <w:bCs w:val="0"/>
                      <w:spacing w:val="0"/>
                      <w:sz w:val="21"/>
                      <w:szCs w:val="21"/>
                      <w:vertAlign w:val="baseline"/>
                      <w:lang w:val="en-US" w:eastAsia="zh-CN"/>
                    </w:rPr>
                    <w:t>15282</w:t>
                  </w:r>
                </w:p>
              </w:tc>
              <w:tc>
                <w:tcPr>
                  <w:tcW w:w="1205" w:type="dxa"/>
                  <w:vAlign w:val="center"/>
                </w:tcPr>
                <w:p>
                  <w:pPr>
                    <w:jc w:val="center"/>
                    <w:rPr>
                      <w:rFonts w:hint="default" w:ascii="Times New Roman" w:hAnsi="Times New Roman" w:cs="Times New Roman"/>
                      <w:sz w:val="21"/>
                      <w:szCs w:val="21"/>
                    </w:rPr>
                  </w:pPr>
                  <w:r>
                    <w:rPr>
                      <w:rFonts w:hint="default" w:ascii="Times New Roman" w:hAnsi="Times New Roman" w:cs="Times New Roman"/>
                      <w:b w:val="0"/>
                      <w:bCs w:val="0"/>
                      <w:spacing w:val="0"/>
                      <w:sz w:val="21"/>
                      <w:szCs w:val="21"/>
                      <w:vertAlign w:val="baseline"/>
                      <w:lang w:val="en-US" w:eastAsia="zh-CN"/>
                    </w:rPr>
                    <w:t>15346</w:t>
                  </w:r>
                </w:p>
              </w:tc>
              <w:tc>
                <w:tcPr>
                  <w:tcW w:w="1267" w:type="dxa"/>
                  <w:vAlign w:val="center"/>
                </w:tcPr>
                <w:p>
                  <w:pPr>
                    <w:jc w:val="center"/>
                    <w:rPr>
                      <w:rFonts w:hint="default" w:ascii="Times New Roman" w:hAnsi="Times New Roman" w:cs="Times New Roman"/>
                      <w:sz w:val="21"/>
                      <w:szCs w:val="21"/>
                    </w:rPr>
                  </w:pPr>
                  <w:r>
                    <w:rPr>
                      <w:rFonts w:hint="default" w:ascii="Times New Roman" w:hAnsi="Times New Roman" w:cs="Times New Roman"/>
                      <w:b w:val="0"/>
                      <w:bCs w:val="0"/>
                      <w:spacing w:val="0"/>
                      <w:sz w:val="21"/>
                      <w:szCs w:val="21"/>
                      <w:vertAlign w:val="baseline"/>
                      <w:lang w:val="en-US" w:eastAsia="zh-CN"/>
                    </w:rPr>
                    <w:t>15411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dxa"/>
                  <w:vMerge w:val="continue"/>
                  <w:vAlign w:val="center"/>
                </w:tcPr>
                <w:p>
                  <w:pPr>
                    <w:jc w:val="center"/>
                    <w:rPr>
                      <w:rFonts w:hint="default" w:ascii="Times New Roman" w:hAnsi="Times New Roman" w:cs="Times New Roman"/>
                      <w:szCs w:val="21"/>
                    </w:rPr>
                  </w:pPr>
                </w:p>
              </w:tc>
              <w:tc>
                <w:tcPr>
                  <w:tcW w:w="135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bCs/>
                      <w:sz w:val="21"/>
                      <w:szCs w:val="21"/>
                      <w:vertAlign w:val="baseline"/>
                      <w:lang w:val="en-US" w:eastAsia="zh-CN"/>
                    </w:rPr>
                    <w:t>排放浓度（mg/m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8.96</w:t>
                  </w:r>
                </w:p>
              </w:tc>
              <w:tc>
                <w:tcPr>
                  <w:tcW w:w="1168"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9.28</w:t>
                  </w:r>
                </w:p>
              </w:tc>
              <w:tc>
                <w:tcPr>
                  <w:tcW w:w="123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9.37</w:t>
                  </w:r>
                </w:p>
              </w:tc>
              <w:tc>
                <w:tcPr>
                  <w:tcW w:w="122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1.58</w:t>
                  </w:r>
                </w:p>
              </w:tc>
              <w:tc>
                <w:tcPr>
                  <w:tcW w:w="1205"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1.76</w:t>
                  </w:r>
                </w:p>
              </w:tc>
              <w:tc>
                <w:tcPr>
                  <w:tcW w:w="1267"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09" w:type="dxa"/>
                  <w:vMerge w:val="continue"/>
                  <w:vAlign w:val="center"/>
                </w:tcPr>
                <w:p>
                  <w:pPr>
                    <w:jc w:val="center"/>
                    <w:rPr>
                      <w:rFonts w:hint="default" w:ascii="Times New Roman" w:hAnsi="Times New Roman" w:cs="Times New Roman"/>
                      <w:szCs w:val="21"/>
                    </w:rPr>
                  </w:pPr>
                </w:p>
              </w:tc>
              <w:tc>
                <w:tcPr>
                  <w:tcW w:w="135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bCs/>
                      <w:sz w:val="21"/>
                      <w:szCs w:val="21"/>
                      <w:vertAlign w:val="baseline"/>
                      <w:lang w:val="en-US" w:eastAsia="zh-CN"/>
                    </w:rPr>
                    <w:t>排放速率（kg/h）</w:t>
                  </w:r>
                </w:p>
              </w:tc>
              <w:tc>
                <w:tcPr>
                  <w:tcW w:w="1106"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w:t>
                  </w:r>
                </w:p>
              </w:tc>
              <w:tc>
                <w:tcPr>
                  <w:tcW w:w="1168"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w:t>
                  </w:r>
                </w:p>
              </w:tc>
              <w:tc>
                <w:tcPr>
                  <w:tcW w:w="123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w:t>
                  </w:r>
                </w:p>
              </w:tc>
              <w:tc>
                <w:tcPr>
                  <w:tcW w:w="1220" w:type="dxa"/>
                  <w:vAlign w:val="center"/>
                </w:tcPr>
                <w:p>
                  <w:pPr>
                    <w:jc w:val="center"/>
                    <w:rPr>
                      <w:rFonts w:hint="default" w:ascii="Times New Roman" w:hAnsi="Times New Roman" w:eastAsia="宋体" w:cs="Times New Roman"/>
                      <w:b w:val="0"/>
                      <w:bCs w:val="0"/>
                      <w:spacing w:val="0"/>
                      <w:sz w:val="21"/>
                      <w:szCs w:val="21"/>
                      <w:vertAlign w:val="baseline"/>
                      <w:lang w:val="en-US" w:eastAsia="zh-CN"/>
                    </w:rPr>
                  </w:pPr>
                  <w:r>
                    <w:rPr>
                      <w:rFonts w:hint="eastAsia" w:ascii="Times New Roman" w:hAnsi="Times New Roman" w:eastAsia="宋体" w:cs="Times New Roman"/>
                      <w:b w:val="0"/>
                      <w:bCs w:val="0"/>
                      <w:spacing w:val="0"/>
                      <w:sz w:val="21"/>
                      <w:szCs w:val="21"/>
                      <w:vertAlign w:val="baseline"/>
                      <w:lang w:val="en-US" w:eastAsia="zh-CN"/>
                    </w:rPr>
                    <w:t xml:space="preserve">0.024 </w:t>
                  </w:r>
                </w:p>
              </w:tc>
              <w:tc>
                <w:tcPr>
                  <w:tcW w:w="1205" w:type="dxa"/>
                  <w:vAlign w:val="center"/>
                </w:tcPr>
                <w:p>
                  <w:pPr>
                    <w:jc w:val="center"/>
                    <w:rPr>
                      <w:rFonts w:hint="default" w:ascii="Times New Roman" w:hAnsi="Times New Roman" w:eastAsia="宋体" w:cs="Times New Roman"/>
                      <w:b w:val="0"/>
                      <w:bCs w:val="0"/>
                      <w:spacing w:val="0"/>
                      <w:sz w:val="21"/>
                      <w:szCs w:val="21"/>
                      <w:vertAlign w:val="baseline"/>
                      <w:lang w:val="en-US" w:eastAsia="zh-CN"/>
                    </w:rPr>
                  </w:pPr>
                  <w:r>
                    <w:rPr>
                      <w:rFonts w:hint="eastAsia" w:ascii="Times New Roman" w:hAnsi="Times New Roman" w:eastAsia="宋体" w:cs="Times New Roman"/>
                      <w:b w:val="0"/>
                      <w:bCs w:val="0"/>
                      <w:spacing w:val="0"/>
                      <w:sz w:val="21"/>
                      <w:szCs w:val="21"/>
                      <w:vertAlign w:val="baseline"/>
                      <w:lang w:val="en-US" w:eastAsia="zh-CN"/>
                    </w:rPr>
                    <w:t xml:space="preserve">0.027 </w:t>
                  </w:r>
                </w:p>
              </w:tc>
              <w:tc>
                <w:tcPr>
                  <w:tcW w:w="1267" w:type="dxa"/>
                  <w:vAlign w:val="center"/>
                </w:tcPr>
                <w:p>
                  <w:pPr>
                    <w:jc w:val="center"/>
                    <w:rPr>
                      <w:rFonts w:hint="default" w:ascii="Times New Roman" w:hAnsi="Times New Roman" w:eastAsia="宋体" w:cs="Times New Roman"/>
                      <w:b w:val="0"/>
                      <w:bCs w:val="0"/>
                      <w:spacing w:val="0"/>
                      <w:sz w:val="21"/>
                      <w:szCs w:val="21"/>
                      <w:vertAlign w:val="baseline"/>
                      <w:lang w:val="en-US" w:eastAsia="zh-CN"/>
                    </w:rPr>
                  </w:pPr>
                  <w:r>
                    <w:rPr>
                      <w:rFonts w:hint="eastAsia" w:ascii="Times New Roman" w:hAnsi="Times New Roman" w:eastAsia="宋体" w:cs="Times New Roman"/>
                      <w:b w:val="0"/>
                      <w:bCs w:val="0"/>
                      <w:spacing w:val="0"/>
                      <w:sz w:val="21"/>
                      <w:szCs w:val="21"/>
                      <w:vertAlign w:val="baseline"/>
                      <w:lang w:val="en-US" w:eastAsia="zh-CN"/>
                    </w:rPr>
                    <w:t xml:space="preserve">0.029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09" w:type="dxa"/>
                  <w:vMerge w:val="restart"/>
                  <w:vAlign w:val="center"/>
                </w:tcPr>
                <w:p>
                  <w:pPr>
                    <w:jc w:val="center"/>
                  </w:pPr>
                  <w:r>
                    <w:rPr>
                      <w:rFonts w:hint="eastAsia" w:ascii="宋体" w:hAnsi="宋体" w:cs="宋体"/>
                      <w:b/>
                      <w:bCs/>
                      <w:sz w:val="21"/>
                      <w:szCs w:val="21"/>
                      <w:vertAlign w:val="baseline"/>
                      <w:lang w:val="en-US" w:eastAsia="zh-CN"/>
                    </w:rPr>
                    <w:t>硫化氢</w:t>
                  </w:r>
                </w:p>
              </w:tc>
              <w:tc>
                <w:tcPr>
                  <w:tcW w:w="135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bCs/>
                      <w:sz w:val="21"/>
                      <w:szCs w:val="21"/>
                      <w:vertAlign w:val="baseline"/>
                      <w:lang w:val="en-US" w:eastAsia="zh-CN"/>
                    </w:rPr>
                    <w:t>实测浓度（mg/m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1.62</w:t>
                  </w:r>
                </w:p>
              </w:tc>
              <w:tc>
                <w:tcPr>
                  <w:tcW w:w="1168"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1.55</w:t>
                  </w:r>
                </w:p>
              </w:tc>
              <w:tc>
                <w:tcPr>
                  <w:tcW w:w="123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1.49</w:t>
                  </w:r>
                </w:p>
              </w:tc>
              <w:tc>
                <w:tcPr>
                  <w:tcW w:w="122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0.15</w:t>
                  </w:r>
                </w:p>
              </w:tc>
              <w:tc>
                <w:tcPr>
                  <w:tcW w:w="1205"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0.14</w:t>
                  </w:r>
                </w:p>
              </w:tc>
              <w:tc>
                <w:tcPr>
                  <w:tcW w:w="1267"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09" w:type="dxa"/>
                  <w:vMerge w:val="continue"/>
                  <w:vAlign w:val="center"/>
                </w:tcPr>
                <w:p>
                  <w:pPr>
                    <w:jc w:val="center"/>
                    <w:rPr>
                      <w:rFonts w:hint="default" w:ascii="Times New Roman" w:hAnsi="Times New Roman" w:cs="Times New Roman"/>
                      <w:kern w:val="0"/>
                      <w:szCs w:val="21"/>
                      <w:lang w:val="en-US" w:eastAsia="zh-CN" w:bidi="ar"/>
                    </w:rPr>
                  </w:pPr>
                </w:p>
              </w:tc>
              <w:tc>
                <w:tcPr>
                  <w:tcW w:w="1352" w:type="dxa"/>
                  <w:vAlign w:val="center"/>
                </w:tcPr>
                <w:p>
                  <w:pPr>
                    <w:jc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b/>
                      <w:bCs/>
                      <w:sz w:val="21"/>
                      <w:szCs w:val="21"/>
                      <w:vertAlign w:val="baseline"/>
                      <w:lang w:val="en-US" w:eastAsia="zh-CN"/>
                    </w:rPr>
                    <w:t>排放浓度（mg/m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1106" w:type="dxa"/>
                  <w:vAlign w:val="center"/>
                </w:tcPr>
                <w:p>
                  <w:pPr>
                    <w:jc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b w:val="0"/>
                      <w:bCs w:val="0"/>
                      <w:spacing w:val="0"/>
                      <w:sz w:val="21"/>
                      <w:szCs w:val="21"/>
                      <w:vertAlign w:val="baseline"/>
                      <w:lang w:val="en-US" w:eastAsia="zh-CN"/>
                    </w:rPr>
                    <w:t>-</w:t>
                  </w:r>
                </w:p>
              </w:tc>
              <w:tc>
                <w:tcPr>
                  <w:tcW w:w="1168" w:type="dxa"/>
                  <w:vAlign w:val="center"/>
                </w:tcPr>
                <w:p>
                  <w:pPr>
                    <w:jc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b w:val="0"/>
                      <w:bCs w:val="0"/>
                      <w:spacing w:val="0"/>
                      <w:sz w:val="21"/>
                      <w:szCs w:val="21"/>
                      <w:vertAlign w:val="baseline"/>
                      <w:lang w:val="en-US" w:eastAsia="zh-CN"/>
                    </w:rPr>
                    <w:t>-</w:t>
                  </w:r>
                </w:p>
              </w:tc>
              <w:tc>
                <w:tcPr>
                  <w:tcW w:w="1232" w:type="dxa"/>
                  <w:vAlign w:val="center"/>
                </w:tcPr>
                <w:p>
                  <w:pPr>
                    <w:jc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b w:val="0"/>
                      <w:bCs w:val="0"/>
                      <w:spacing w:val="0"/>
                      <w:sz w:val="21"/>
                      <w:szCs w:val="21"/>
                      <w:vertAlign w:val="baseline"/>
                      <w:lang w:val="en-US" w:eastAsia="zh-CN"/>
                    </w:rPr>
                    <w:t>-</w:t>
                  </w:r>
                </w:p>
              </w:tc>
              <w:tc>
                <w:tcPr>
                  <w:tcW w:w="1220" w:type="dxa"/>
                  <w:vAlign w:val="center"/>
                </w:tcPr>
                <w:p>
                  <w:pPr>
                    <w:jc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b w:val="0"/>
                      <w:bCs w:val="0"/>
                      <w:spacing w:val="0"/>
                      <w:sz w:val="21"/>
                      <w:szCs w:val="21"/>
                      <w:vertAlign w:val="baseline"/>
                      <w:lang w:val="en-US" w:eastAsia="zh-CN"/>
                    </w:rPr>
                    <w:t>0.15</w:t>
                  </w:r>
                </w:p>
              </w:tc>
              <w:tc>
                <w:tcPr>
                  <w:tcW w:w="1205" w:type="dxa"/>
                  <w:vAlign w:val="center"/>
                </w:tcPr>
                <w:p>
                  <w:pPr>
                    <w:jc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b w:val="0"/>
                      <w:bCs w:val="0"/>
                      <w:spacing w:val="0"/>
                      <w:sz w:val="21"/>
                      <w:szCs w:val="21"/>
                      <w:vertAlign w:val="baseline"/>
                      <w:lang w:val="en-US" w:eastAsia="zh-CN"/>
                    </w:rPr>
                    <w:t>0.14</w:t>
                  </w:r>
                </w:p>
              </w:tc>
              <w:tc>
                <w:tcPr>
                  <w:tcW w:w="1267" w:type="dxa"/>
                  <w:vAlign w:val="center"/>
                </w:tcPr>
                <w:p>
                  <w:pPr>
                    <w:jc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b w:val="0"/>
                      <w:bCs w:val="0"/>
                      <w:spacing w:val="0"/>
                      <w:sz w:val="21"/>
                      <w:szCs w:val="21"/>
                      <w:vertAlign w:val="baseli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dxa"/>
                  <w:vMerge w:val="continue"/>
                  <w:vAlign w:val="center"/>
                </w:tcPr>
                <w:p>
                  <w:pPr>
                    <w:jc w:val="center"/>
                    <w:rPr>
                      <w:rFonts w:hint="default" w:ascii="Times New Roman" w:hAnsi="Times New Roman" w:cs="Times New Roman"/>
                      <w:szCs w:val="21"/>
                    </w:rPr>
                  </w:pPr>
                </w:p>
              </w:tc>
              <w:tc>
                <w:tcPr>
                  <w:tcW w:w="135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bCs/>
                      <w:sz w:val="21"/>
                      <w:szCs w:val="21"/>
                      <w:vertAlign w:val="baseline"/>
                      <w:lang w:val="en-US" w:eastAsia="zh-CN"/>
                    </w:rPr>
                    <w:t>排放速率（kg/h）</w:t>
                  </w:r>
                </w:p>
              </w:tc>
              <w:tc>
                <w:tcPr>
                  <w:tcW w:w="1106"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 xml:space="preserve">0.021 </w:t>
                  </w:r>
                </w:p>
              </w:tc>
              <w:tc>
                <w:tcPr>
                  <w:tcW w:w="1168"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 xml:space="preserve">0.021 </w:t>
                  </w:r>
                </w:p>
              </w:tc>
              <w:tc>
                <w:tcPr>
                  <w:tcW w:w="1232"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 xml:space="preserve">0.020 </w:t>
                  </w:r>
                </w:p>
              </w:tc>
              <w:tc>
                <w:tcPr>
                  <w:tcW w:w="122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 xml:space="preserve">0.002 </w:t>
                  </w:r>
                </w:p>
              </w:tc>
              <w:tc>
                <w:tcPr>
                  <w:tcW w:w="1205"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 xml:space="preserve">0.002 </w:t>
                  </w:r>
                </w:p>
              </w:tc>
              <w:tc>
                <w:tcPr>
                  <w:tcW w:w="1267"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sz w:val="21"/>
                      <w:szCs w:val="21"/>
                      <w:vertAlign w:val="baseline"/>
                      <w:lang w:val="en-US" w:eastAsia="zh-CN"/>
                    </w:rPr>
                    <w:t xml:space="preserve">0.002 </w:t>
                  </w:r>
                </w:p>
              </w:tc>
            </w:tr>
          </w:tbl>
          <w:p>
            <w:pPr>
              <w:pStyle w:val="111"/>
              <w:rPr>
                <w:rFonts w:hint="default" w:ascii="Times New Roman" w:hAnsi="Times New Roman" w:cs="Times New Roman"/>
              </w:rPr>
            </w:pPr>
            <w:r>
              <w:rPr>
                <w:rFonts w:hint="default" w:ascii="Times New Roman" w:hAnsi="Times New Roman" w:cs="Times New Roman"/>
              </w:rPr>
              <w:t>（2）无组织废气监测结果</w:t>
            </w:r>
          </w:p>
          <w:p>
            <w:pPr>
              <w:pStyle w:val="113"/>
              <w:spacing w:before="0" w:beforeLines="0" w:line="240" w:lineRule="auto"/>
              <w:rPr>
                <w:rFonts w:hint="default" w:ascii="Times New Roman" w:hAnsi="Times New Roman" w:cs="Times New Roman"/>
              </w:rPr>
            </w:pPr>
            <w:r>
              <w:rPr>
                <w:rFonts w:hint="default" w:ascii="Times New Roman" w:hAnsi="Times New Roman" w:cs="Times New Roman"/>
              </w:rPr>
              <w:t>表7-</w:t>
            </w:r>
            <w:r>
              <w:rPr>
                <w:rFonts w:hint="eastAsia" w:cs="Times New Roman"/>
                <w:lang w:val="en-US" w:eastAsia="zh-CN"/>
              </w:rPr>
              <w:t>4</w:t>
            </w:r>
            <w:r>
              <w:rPr>
                <w:rFonts w:hint="default" w:ascii="Times New Roman" w:hAnsi="Times New Roman" w:cs="Times New Roman"/>
              </w:rPr>
              <w:t xml:space="preserve"> 无组织废气检测结果统计表</w:t>
            </w:r>
          </w:p>
          <w:tbl>
            <w:tblPr>
              <w:tblStyle w:val="32"/>
              <w:tblpPr w:leftFromText="180" w:rightFromText="180" w:vertAnchor="text" w:horzAnchor="margin" w:tblpXSpec="center" w:tblpY="6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2243"/>
              <w:gridCol w:w="2270"/>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widowControl/>
                    <w:jc w:val="center"/>
                    <w:textAlignment w:val="center"/>
                    <w:rPr>
                      <w:rFonts w:hint="default" w:ascii="Times New Roman" w:hAnsi="Times New Roman" w:cs="Times New Roman"/>
                      <w:bCs/>
                      <w:kern w:val="0"/>
                      <w:szCs w:val="21"/>
                    </w:rPr>
                  </w:pPr>
                  <w:r>
                    <w:rPr>
                      <w:rFonts w:hint="default" w:ascii="Times New Roman" w:hAnsi="Times New Roman" w:cs="Times New Roman"/>
                      <w:b/>
                      <w:kern w:val="0"/>
                      <w:szCs w:val="21"/>
                    </w:rPr>
                    <w:t>监测点位</w:t>
                  </w:r>
                </w:p>
              </w:tc>
              <w:tc>
                <w:tcPr>
                  <w:tcW w:w="3737" w:type="pct"/>
                  <w:gridSpan w:val="3"/>
                  <w:vAlign w:val="center"/>
                </w:tcPr>
                <w:p>
                  <w:pPr>
                    <w:jc w:val="center"/>
                    <w:textAlignment w:val="bottom"/>
                    <w:rPr>
                      <w:rFonts w:hint="default" w:ascii="Times New Roman" w:hAnsi="Times New Roman" w:cs="Times New Roman"/>
                      <w:b/>
                      <w:bCs/>
                      <w:szCs w:val="21"/>
                    </w:rPr>
                  </w:pPr>
                  <w:r>
                    <w:rPr>
                      <w:rFonts w:hint="default" w:ascii="Times New Roman" w:hAnsi="Times New Roman" w:cs="Times New Roman"/>
                      <w:b/>
                      <w:szCs w:val="21"/>
                    </w:rPr>
                    <w:t>分析项目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widowControl/>
                    <w:jc w:val="center"/>
                    <w:textAlignment w:val="center"/>
                    <w:rPr>
                      <w:rFonts w:hint="default" w:ascii="Times New Roman" w:hAnsi="Times New Roman" w:cs="Times New Roman"/>
                      <w:b/>
                      <w:kern w:val="0"/>
                      <w:szCs w:val="21"/>
                    </w:rPr>
                  </w:pPr>
                </w:p>
              </w:tc>
              <w:tc>
                <w:tcPr>
                  <w:tcW w:w="123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szCs w:val="21"/>
                    </w:rPr>
                  </w:pPr>
                  <w:r>
                    <w:rPr>
                      <w:rFonts w:hint="default" w:ascii="Times New Roman" w:hAnsi="Times New Roman" w:cs="Times New Roman"/>
                      <w:b/>
                      <w:bCs/>
                      <w:spacing w:val="0"/>
                      <w:sz w:val="21"/>
                      <w:szCs w:val="21"/>
                      <w:vertAlign w:val="baseline"/>
                      <w:lang w:val="en-US" w:eastAsia="zh-CN"/>
                    </w:rPr>
                    <w:t>颗粒物</w:t>
                  </w:r>
                  <w:r>
                    <w:rPr>
                      <w:rFonts w:hint="default" w:ascii="Times New Roman" w:hAnsi="Times New Roman" w:eastAsia="宋体" w:cs="Times New Roman"/>
                      <w:b/>
                      <w:bCs/>
                      <w:spacing w:val="0"/>
                      <w:sz w:val="21"/>
                      <w:szCs w:val="21"/>
                      <w:vertAlign w:val="baseline"/>
                      <w:lang w:val="en-US" w:eastAsia="zh-CN"/>
                    </w:rPr>
                    <w:t>（mg/m</w:t>
                  </w:r>
                  <w:r>
                    <w:rPr>
                      <w:rFonts w:hint="default" w:ascii="Times New Roman" w:hAnsi="Times New Roman" w:eastAsia="宋体" w:cs="Times New Roman"/>
                      <w:b/>
                      <w:bCs/>
                      <w:spacing w:val="0"/>
                      <w:sz w:val="21"/>
                      <w:szCs w:val="21"/>
                      <w:vertAlign w:val="superscript"/>
                      <w:lang w:val="en-US" w:eastAsia="zh-CN"/>
                    </w:rPr>
                    <w:t>3</w:t>
                  </w:r>
                  <w:r>
                    <w:rPr>
                      <w:rFonts w:hint="default" w:ascii="Times New Roman" w:hAnsi="Times New Roman" w:eastAsia="宋体" w:cs="Times New Roman"/>
                      <w:b/>
                      <w:bCs/>
                      <w:spacing w:val="0"/>
                      <w:sz w:val="21"/>
                      <w:szCs w:val="21"/>
                      <w:vertAlign w:val="baseline"/>
                      <w:lang w:val="en-US" w:eastAsia="zh-CN"/>
                    </w:rPr>
                    <w:t>）</w:t>
                  </w:r>
                </w:p>
              </w:tc>
              <w:tc>
                <w:tcPr>
                  <w:tcW w:w="1253"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szCs w:val="21"/>
                    </w:rPr>
                  </w:pPr>
                  <w:r>
                    <w:rPr>
                      <w:rFonts w:hint="default" w:ascii="Times New Roman" w:hAnsi="Times New Roman" w:cs="Times New Roman"/>
                      <w:b/>
                      <w:bCs/>
                      <w:spacing w:val="0"/>
                      <w:sz w:val="21"/>
                      <w:szCs w:val="21"/>
                      <w:vertAlign w:val="baseline"/>
                      <w:lang w:val="en-US" w:eastAsia="zh-CN"/>
                    </w:rPr>
                    <w:t>非甲烷总烃</w:t>
                  </w:r>
                  <w:r>
                    <w:rPr>
                      <w:rFonts w:hint="default" w:ascii="Times New Roman" w:hAnsi="Times New Roman" w:eastAsia="宋体" w:cs="Times New Roman"/>
                      <w:b/>
                      <w:bCs/>
                      <w:spacing w:val="0"/>
                      <w:sz w:val="21"/>
                      <w:szCs w:val="21"/>
                      <w:vertAlign w:val="baseline"/>
                      <w:lang w:val="en-US" w:eastAsia="zh-CN"/>
                    </w:rPr>
                    <w:t>（mg/m</w:t>
                  </w:r>
                  <w:r>
                    <w:rPr>
                      <w:rFonts w:hint="default" w:ascii="Times New Roman" w:hAnsi="Times New Roman" w:eastAsia="宋体" w:cs="Times New Roman"/>
                      <w:b/>
                      <w:bCs/>
                      <w:spacing w:val="0"/>
                      <w:sz w:val="21"/>
                      <w:szCs w:val="21"/>
                      <w:vertAlign w:val="superscript"/>
                      <w:lang w:val="en-US" w:eastAsia="zh-CN"/>
                    </w:rPr>
                    <w:t>3</w:t>
                  </w:r>
                  <w:r>
                    <w:rPr>
                      <w:rFonts w:hint="default" w:ascii="Times New Roman" w:hAnsi="Times New Roman" w:eastAsia="宋体" w:cs="Times New Roman"/>
                      <w:b/>
                      <w:bCs/>
                      <w:spacing w:val="0"/>
                      <w:sz w:val="21"/>
                      <w:szCs w:val="21"/>
                      <w:vertAlign w:val="baseline"/>
                      <w:lang w:val="en-US" w:eastAsia="zh-CN"/>
                    </w:rPr>
                    <w:t>）</w:t>
                  </w:r>
                </w:p>
              </w:tc>
              <w:tc>
                <w:tcPr>
                  <w:tcW w:w="1245"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szCs w:val="21"/>
                    </w:rPr>
                  </w:pPr>
                  <w:r>
                    <w:rPr>
                      <w:rFonts w:hint="default" w:ascii="Times New Roman" w:hAnsi="Times New Roman" w:cs="Times New Roman"/>
                      <w:b/>
                      <w:bCs/>
                      <w:spacing w:val="0"/>
                      <w:sz w:val="21"/>
                      <w:szCs w:val="21"/>
                      <w:vertAlign w:val="baseline"/>
                      <w:lang w:val="en-US" w:eastAsia="zh-CN"/>
                    </w:rPr>
                    <w:t>硫化氢</w:t>
                  </w:r>
                  <w:r>
                    <w:rPr>
                      <w:rFonts w:hint="default" w:ascii="Times New Roman" w:hAnsi="Times New Roman" w:eastAsia="宋体" w:cs="Times New Roman"/>
                      <w:b/>
                      <w:bCs/>
                      <w:spacing w:val="0"/>
                      <w:sz w:val="21"/>
                      <w:szCs w:val="21"/>
                      <w:vertAlign w:val="baseline"/>
                      <w:lang w:val="en-US" w:eastAsia="zh-CN"/>
                    </w:rPr>
                    <w:t>（mg/m</w:t>
                  </w:r>
                  <w:r>
                    <w:rPr>
                      <w:rFonts w:hint="default" w:ascii="Times New Roman" w:hAnsi="Times New Roman" w:eastAsia="宋体" w:cs="Times New Roman"/>
                      <w:b/>
                      <w:bCs/>
                      <w:spacing w:val="0"/>
                      <w:sz w:val="21"/>
                      <w:szCs w:val="21"/>
                      <w:vertAlign w:val="superscript"/>
                      <w:lang w:val="en-US" w:eastAsia="zh-CN"/>
                    </w:rPr>
                    <w:t>3</w:t>
                  </w:r>
                  <w:r>
                    <w:rPr>
                      <w:rFonts w:hint="default" w:ascii="Times New Roman" w:hAnsi="Times New Roman" w:eastAsia="宋体" w:cs="Times New Roman"/>
                      <w:b/>
                      <w:bCs/>
                      <w:spacing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pPr>
                    <w:jc w:val="left"/>
                    <w:textAlignment w:val="bottom"/>
                    <w:rPr>
                      <w:rFonts w:hint="default" w:ascii="Times New Roman" w:hAnsi="Times New Roman" w:cs="Times New Roman"/>
                      <w:b/>
                      <w:szCs w:val="21"/>
                    </w:rPr>
                  </w:pPr>
                  <w:r>
                    <w:rPr>
                      <w:rFonts w:hint="default" w:ascii="Times New Roman" w:hAnsi="Times New Roman" w:cs="Times New Roman"/>
                      <w:b/>
                      <w:szCs w:val="21"/>
                    </w:rPr>
                    <w:t>监测日期：</w:t>
                  </w:r>
                  <w:r>
                    <w:rPr>
                      <w:rFonts w:hint="default" w:ascii="Times New Roman" w:hAnsi="Times New Roman" w:cs="Times New Roman"/>
                      <w:b/>
                      <w:szCs w:val="21"/>
                      <w:lang w:val="en-US" w:eastAsia="zh-CN"/>
                    </w:rPr>
                    <w:t>2022年9月21日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上风向参照点</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0.186</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0.76</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0.188</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0.88</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0.193</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0.85</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下风向监控点1#</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0.234</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0.93</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0.228</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1.03</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0.226</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1.05</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下风向监控点2#</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0.234</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1.02</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0.246</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0.97</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0.239</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0.99</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下风向监控点3#</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0.237</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1.05</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0.226</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1.02</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0.235</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1.03</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eastAsia" w:asciiTheme="minorEastAsia" w:hAnsiTheme="minorEastAsia" w:eastAsiaTheme="minorEastAsia" w:cstheme="minorEastAsia"/>
                      <w:b/>
                      <w:bCs/>
                      <w:sz w:val="21"/>
                      <w:szCs w:val="21"/>
                      <w:vertAlign w:val="baseline"/>
                      <w:lang w:val="en-US" w:eastAsia="zh-CN"/>
                    </w:rPr>
                    <w:t>厂房外厂区内</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c>
                <w:tcPr>
                  <w:tcW w:w="1253" w:type="pct"/>
                  <w:vAlign w:val="center"/>
                </w:tcPr>
                <w:p>
                  <w:pPr>
                    <w:jc w:val="center"/>
                    <w:rPr>
                      <w:rFonts w:hint="default" w:ascii="Times New Roman" w:hAnsi="Times New Roman" w:cs="Times New Roman"/>
                      <w:szCs w:val="21"/>
                      <w:lang w:val="en-US" w:bidi="zh-CN"/>
                    </w:rPr>
                  </w:pPr>
                  <w:r>
                    <w:rPr>
                      <w:rFonts w:hint="default" w:ascii="Times New Roman" w:hAnsi="Times New Roman" w:cs="Times New Roman" w:eastAsiaTheme="minorEastAsia"/>
                      <w:b w:val="0"/>
                      <w:bCs w:val="0"/>
                      <w:kern w:val="2"/>
                      <w:sz w:val="21"/>
                      <w:szCs w:val="21"/>
                      <w:vertAlign w:val="baseline"/>
                      <w:lang w:val="en-US" w:eastAsia="zh-CN" w:bidi="zh-CN"/>
                    </w:rPr>
                    <w:t>1.11</w:t>
                  </w:r>
                </w:p>
              </w:tc>
              <w:tc>
                <w:tcPr>
                  <w:tcW w:w="1245" w:type="pct"/>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262" w:type="pct"/>
                  <w:vMerge w:val="continue"/>
                  <w:vAlign w:val="center"/>
                </w:tcPr>
                <w:p>
                  <w:pPr>
                    <w:jc w:val="center"/>
                    <w:rPr>
                      <w:rFonts w:hint="eastAsia" w:asciiTheme="minorEastAsia" w:hAnsiTheme="minorEastAsia" w:eastAsiaTheme="minorEastAsia" w:cstheme="minorEastAsia"/>
                      <w:b/>
                      <w:bCs/>
                      <w:sz w:val="21"/>
                      <w:szCs w:val="21"/>
                      <w:vertAlign w:val="baseline"/>
                      <w:lang w:val="en-US" w:eastAsia="zh-CN"/>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1.16</w:t>
                  </w:r>
                </w:p>
              </w:tc>
              <w:tc>
                <w:tcPr>
                  <w:tcW w:w="1245" w:type="pct"/>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eastAsia" w:asciiTheme="minorEastAsia" w:hAnsiTheme="minorEastAsia" w:eastAsiaTheme="minorEastAsia" w:cstheme="minorEastAsia"/>
                      <w:b/>
                      <w:bCs/>
                      <w:sz w:val="21"/>
                      <w:szCs w:val="21"/>
                      <w:vertAlign w:val="baseline"/>
                      <w:lang w:val="en-US" w:eastAsia="zh-CN"/>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1.22</w:t>
                  </w:r>
                </w:p>
              </w:tc>
              <w:tc>
                <w:tcPr>
                  <w:tcW w:w="1245" w:type="pct"/>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widowControl/>
                    <w:jc w:val="center"/>
                    <w:textAlignment w:val="center"/>
                    <w:rPr>
                      <w:rFonts w:hint="default" w:ascii="Times New Roman" w:hAnsi="Times New Roman" w:cs="Times New Roman"/>
                      <w:bCs/>
                      <w:kern w:val="0"/>
                      <w:szCs w:val="21"/>
                    </w:rPr>
                  </w:pPr>
                  <w:r>
                    <w:rPr>
                      <w:rFonts w:hint="default" w:ascii="Times New Roman" w:hAnsi="Times New Roman" w:cs="Times New Roman"/>
                      <w:b/>
                      <w:kern w:val="0"/>
                      <w:szCs w:val="21"/>
                    </w:rPr>
                    <w:t>监测点位</w:t>
                  </w:r>
                </w:p>
              </w:tc>
              <w:tc>
                <w:tcPr>
                  <w:tcW w:w="3737" w:type="pct"/>
                  <w:gridSpan w:val="3"/>
                  <w:vAlign w:val="center"/>
                </w:tcPr>
                <w:p>
                  <w:pPr>
                    <w:jc w:val="center"/>
                    <w:textAlignment w:val="bottom"/>
                    <w:rPr>
                      <w:rFonts w:hint="default" w:ascii="Times New Roman" w:hAnsi="Times New Roman" w:cs="Times New Roman"/>
                      <w:b/>
                      <w:bCs/>
                      <w:szCs w:val="21"/>
                    </w:rPr>
                  </w:pPr>
                  <w:r>
                    <w:rPr>
                      <w:rFonts w:hint="default" w:ascii="Times New Roman" w:hAnsi="Times New Roman" w:cs="Times New Roman"/>
                      <w:b/>
                      <w:szCs w:val="21"/>
                    </w:rPr>
                    <w:t>分析项目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widowControl/>
                    <w:jc w:val="center"/>
                    <w:textAlignment w:val="center"/>
                    <w:rPr>
                      <w:rFonts w:hint="default" w:ascii="Times New Roman" w:hAnsi="Times New Roman" w:cs="Times New Roman"/>
                      <w:b/>
                      <w:kern w:val="0"/>
                      <w:szCs w:val="21"/>
                    </w:rPr>
                  </w:pPr>
                </w:p>
              </w:tc>
              <w:tc>
                <w:tcPr>
                  <w:tcW w:w="123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szCs w:val="21"/>
                    </w:rPr>
                  </w:pPr>
                  <w:r>
                    <w:rPr>
                      <w:rFonts w:hint="default" w:ascii="Times New Roman" w:hAnsi="Times New Roman" w:cs="Times New Roman"/>
                      <w:b/>
                      <w:bCs/>
                      <w:spacing w:val="0"/>
                      <w:sz w:val="21"/>
                      <w:szCs w:val="21"/>
                      <w:vertAlign w:val="baseline"/>
                      <w:lang w:val="en-US" w:eastAsia="zh-CN"/>
                    </w:rPr>
                    <w:t>颗粒物</w:t>
                  </w:r>
                  <w:r>
                    <w:rPr>
                      <w:rFonts w:hint="default" w:ascii="Times New Roman" w:hAnsi="Times New Roman" w:eastAsia="宋体" w:cs="Times New Roman"/>
                      <w:b/>
                      <w:bCs/>
                      <w:spacing w:val="0"/>
                      <w:sz w:val="21"/>
                      <w:szCs w:val="21"/>
                      <w:vertAlign w:val="baseline"/>
                      <w:lang w:val="en-US" w:eastAsia="zh-CN"/>
                    </w:rPr>
                    <w:t>（mg/m</w:t>
                  </w:r>
                  <w:r>
                    <w:rPr>
                      <w:rFonts w:hint="default" w:ascii="Times New Roman" w:hAnsi="Times New Roman" w:eastAsia="宋体" w:cs="Times New Roman"/>
                      <w:b/>
                      <w:bCs/>
                      <w:spacing w:val="0"/>
                      <w:sz w:val="21"/>
                      <w:szCs w:val="21"/>
                      <w:vertAlign w:val="superscript"/>
                      <w:lang w:val="en-US" w:eastAsia="zh-CN"/>
                    </w:rPr>
                    <w:t>3</w:t>
                  </w:r>
                  <w:r>
                    <w:rPr>
                      <w:rFonts w:hint="default" w:ascii="Times New Roman" w:hAnsi="Times New Roman" w:eastAsia="宋体" w:cs="Times New Roman"/>
                      <w:b/>
                      <w:bCs/>
                      <w:spacing w:val="0"/>
                      <w:sz w:val="21"/>
                      <w:szCs w:val="21"/>
                      <w:vertAlign w:val="baseline"/>
                      <w:lang w:val="en-US" w:eastAsia="zh-CN"/>
                    </w:rPr>
                    <w:t>）</w:t>
                  </w:r>
                </w:p>
              </w:tc>
              <w:tc>
                <w:tcPr>
                  <w:tcW w:w="1253"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szCs w:val="21"/>
                    </w:rPr>
                  </w:pPr>
                  <w:r>
                    <w:rPr>
                      <w:rFonts w:hint="default" w:ascii="Times New Roman" w:hAnsi="Times New Roman" w:cs="Times New Roman"/>
                      <w:b/>
                      <w:bCs/>
                      <w:spacing w:val="0"/>
                      <w:sz w:val="21"/>
                      <w:szCs w:val="21"/>
                      <w:vertAlign w:val="baseline"/>
                      <w:lang w:val="en-US" w:eastAsia="zh-CN"/>
                    </w:rPr>
                    <w:t>非甲烷总烃</w:t>
                  </w:r>
                  <w:r>
                    <w:rPr>
                      <w:rFonts w:hint="default" w:ascii="Times New Roman" w:hAnsi="Times New Roman" w:eastAsia="宋体" w:cs="Times New Roman"/>
                      <w:b/>
                      <w:bCs/>
                      <w:spacing w:val="0"/>
                      <w:sz w:val="21"/>
                      <w:szCs w:val="21"/>
                      <w:vertAlign w:val="baseline"/>
                      <w:lang w:val="en-US" w:eastAsia="zh-CN"/>
                    </w:rPr>
                    <w:t>（mg/m</w:t>
                  </w:r>
                  <w:r>
                    <w:rPr>
                      <w:rFonts w:hint="default" w:ascii="Times New Roman" w:hAnsi="Times New Roman" w:eastAsia="宋体" w:cs="Times New Roman"/>
                      <w:b/>
                      <w:bCs/>
                      <w:spacing w:val="0"/>
                      <w:sz w:val="21"/>
                      <w:szCs w:val="21"/>
                      <w:vertAlign w:val="superscript"/>
                      <w:lang w:val="en-US" w:eastAsia="zh-CN"/>
                    </w:rPr>
                    <w:t>3</w:t>
                  </w:r>
                  <w:r>
                    <w:rPr>
                      <w:rFonts w:hint="default" w:ascii="Times New Roman" w:hAnsi="Times New Roman" w:eastAsia="宋体" w:cs="Times New Roman"/>
                      <w:b/>
                      <w:bCs/>
                      <w:spacing w:val="0"/>
                      <w:sz w:val="21"/>
                      <w:szCs w:val="21"/>
                      <w:vertAlign w:val="baseline"/>
                      <w:lang w:val="en-US" w:eastAsia="zh-CN"/>
                    </w:rPr>
                    <w:t>）</w:t>
                  </w:r>
                </w:p>
              </w:tc>
              <w:tc>
                <w:tcPr>
                  <w:tcW w:w="1245"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szCs w:val="21"/>
                    </w:rPr>
                  </w:pPr>
                  <w:r>
                    <w:rPr>
                      <w:rFonts w:hint="default" w:ascii="Times New Roman" w:hAnsi="Times New Roman" w:cs="Times New Roman"/>
                      <w:b/>
                      <w:bCs/>
                      <w:spacing w:val="0"/>
                      <w:sz w:val="21"/>
                      <w:szCs w:val="21"/>
                      <w:vertAlign w:val="baseline"/>
                      <w:lang w:val="en-US" w:eastAsia="zh-CN"/>
                    </w:rPr>
                    <w:t>硫化氢</w:t>
                  </w:r>
                  <w:r>
                    <w:rPr>
                      <w:rFonts w:hint="default" w:ascii="Times New Roman" w:hAnsi="Times New Roman" w:eastAsia="宋体" w:cs="Times New Roman"/>
                      <w:b/>
                      <w:bCs/>
                      <w:spacing w:val="0"/>
                      <w:sz w:val="21"/>
                      <w:szCs w:val="21"/>
                      <w:vertAlign w:val="baseline"/>
                      <w:lang w:val="en-US" w:eastAsia="zh-CN"/>
                    </w:rPr>
                    <w:t>（mg/m</w:t>
                  </w:r>
                  <w:r>
                    <w:rPr>
                      <w:rFonts w:hint="default" w:ascii="Times New Roman" w:hAnsi="Times New Roman" w:eastAsia="宋体" w:cs="Times New Roman"/>
                      <w:b/>
                      <w:bCs/>
                      <w:spacing w:val="0"/>
                      <w:sz w:val="21"/>
                      <w:szCs w:val="21"/>
                      <w:vertAlign w:val="superscript"/>
                      <w:lang w:val="en-US" w:eastAsia="zh-CN"/>
                    </w:rPr>
                    <w:t>3</w:t>
                  </w:r>
                  <w:r>
                    <w:rPr>
                      <w:rFonts w:hint="default" w:ascii="Times New Roman" w:hAnsi="Times New Roman" w:eastAsia="宋体" w:cs="Times New Roman"/>
                      <w:b/>
                      <w:bCs/>
                      <w:spacing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pPr>
                    <w:jc w:val="left"/>
                    <w:textAlignment w:val="bottom"/>
                    <w:rPr>
                      <w:rFonts w:hint="default" w:ascii="Times New Roman" w:hAnsi="Times New Roman" w:cs="Times New Roman"/>
                      <w:b/>
                      <w:szCs w:val="21"/>
                    </w:rPr>
                  </w:pPr>
                  <w:r>
                    <w:rPr>
                      <w:rFonts w:hint="default" w:ascii="Times New Roman" w:hAnsi="Times New Roman" w:cs="Times New Roman"/>
                      <w:b/>
                      <w:szCs w:val="21"/>
                    </w:rPr>
                    <w:t>监测日期：2022年</w:t>
                  </w:r>
                  <w:r>
                    <w:rPr>
                      <w:rFonts w:hint="eastAsia" w:cs="Times New Roman"/>
                      <w:b/>
                      <w:szCs w:val="21"/>
                      <w:lang w:val="en-US" w:eastAsia="zh-CN"/>
                    </w:rPr>
                    <w:t>9</w:t>
                  </w:r>
                  <w:r>
                    <w:rPr>
                      <w:rFonts w:hint="default" w:ascii="Times New Roman" w:hAnsi="Times New Roman" w:cs="Times New Roman"/>
                      <w:b/>
                      <w:szCs w:val="21"/>
                    </w:rPr>
                    <w:t>月</w:t>
                  </w:r>
                  <w:r>
                    <w:rPr>
                      <w:rFonts w:hint="eastAsia" w:cs="Times New Roman"/>
                      <w:b/>
                      <w:szCs w:val="21"/>
                      <w:lang w:val="en-US" w:eastAsia="zh-CN"/>
                    </w:rPr>
                    <w:t>22</w:t>
                  </w:r>
                  <w:r>
                    <w:rPr>
                      <w:rFonts w:hint="default" w:ascii="Times New Roman" w:hAnsi="Times New Roman" w:cs="Times New Roman"/>
                      <w:b/>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上风向参照点</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0.193</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0.77</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0.187</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0.79</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0.191</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0.83</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下风向监控点1#</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0.208</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0.97</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0.227</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1.02</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0.216</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1.05</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下风向监控点2#</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0.231</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1.06</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0.225</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0.95</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0.234</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1.03</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下风向监控点3#</w:t>
                  </w: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0.233</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0.93</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0.229</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0.95</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1238"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0.241</w:t>
                  </w:r>
                </w:p>
              </w:tc>
              <w:tc>
                <w:tcPr>
                  <w:tcW w:w="1253" w:type="pct"/>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1.01</w:t>
                  </w:r>
                </w:p>
              </w:tc>
              <w:tc>
                <w:tcPr>
                  <w:tcW w:w="1245" w:type="pct"/>
                  <w:vAlign w:val="center"/>
                </w:tcPr>
                <w:p>
                  <w:pPr>
                    <w:jc w:val="center"/>
                    <w:rPr>
                      <w:rFonts w:hint="default" w:ascii="Times New Roman" w:hAnsi="Times New Roman" w:cs="Times New Roman" w:eastAsiaTheme="minorEastAsia"/>
                      <w:b w:val="0"/>
                      <w:bCs w:val="0"/>
                      <w:kern w:val="2"/>
                      <w:sz w:val="21"/>
                      <w:szCs w:val="21"/>
                      <w:vertAlign w:val="baseline"/>
                      <w:lang w:val="en-US" w:eastAsia="zh-CN" w:bidi="zh-CN"/>
                    </w:rPr>
                  </w:pPr>
                  <w:r>
                    <w:rPr>
                      <w:rFonts w:hint="default" w:ascii="Times New Roman" w:hAnsi="Times New Roman" w:cs="Times New Roman" w:eastAsiaTheme="minorEastAsia"/>
                      <w:b w:val="0"/>
                      <w:bCs w:val="0"/>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restart"/>
                  <w:vAlign w:val="center"/>
                </w:tcPr>
                <w:p>
                  <w:pPr>
                    <w:jc w:val="center"/>
                    <w:rPr>
                      <w:rFonts w:hint="default" w:ascii="Times New Roman" w:hAnsi="Times New Roman" w:cs="Times New Roman"/>
                      <w:b/>
                      <w:bCs/>
                      <w:szCs w:val="21"/>
                    </w:rPr>
                  </w:pPr>
                  <w:r>
                    <w:rPr>
                      <w:rFonts w:hint="eastAsia" w:asciiTheme="minorEastAsia" w:hAnsiTheme="minorEastAsia" w:eastAsiaTheme="minorEastAsia" w:cstheme="minorEastAsia"/>
                      <w:b/>
                      <w:bCs/>
                      <w:sz w:val="21"/>
                      <w:szCs w:val="21"/>
                      <w:vertAlign w:val="baseline"/>
                      <w:lang w:val="en-US" w:eastAsia="zh-CN"/>
                    </w:rPr>
                    <w:t>厂房外厂区内</w:t>
                  </w:r>
                </w:p>
              </w:tc>
              <w:tc>
                <w:tcPr>
                  <w:tcW w:w="2243" w:type="dxa"/>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c>
                <w:tcPr>
                  <w:tcW w:w="2270" w:type="dxa"/>
                  <w:vAlign w:val="center"/>
                </w:tcPr>
                <w:p>
                  <w:pPr>
                    <w:jc w:val="center"/>
                    <w:rPr>
                      <w:rFonts w:hint="default" w:ascii="Times New Roman" w:hAnsi="Times New Roman" w:cs="Times New Roman"/>
                      <w:szCs w:val="21"/>
                      <w:lang w:val="en-US" w:bidi="zh-CN"/>
                    </w:rPr>
                  </w:pPr>
                  <w:r>
                    <w:rPr>
                      <w:rFonts w:hint="default" w:ascii="Times New Roman" w:hAnsi="Times New Roman" w:cs="Times New Roman" w:eastAsiaTheme="minorEastAsia"/>
                      <w:b w:val="0"/>
                      <w:bCs w:val="0"/>
                      <w:kern w:val="2"/>
                      <w:sz w:val="21"/>
                      <w:szCs w:val="21"/>
                      <w:vertAlign w:val="baseline"/>
                      <w:lang w:val="en-US" w:eastAsia="zh-CN" w:bidi="zh-CN"/>
                    </w:rPr>
                    <w:t>1.15</w:t>
                  </w:r>
                </w:p>
              </w:tc>
              <w:tc>
                <w:tcPr>
                  <w:tcW w:w="2259" w:type="dxa"/>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2243" w:type="dxa"/>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c>
                <w:tcPr>
                  <w:tcW w:w="2270" w:type="dxa"/>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1.18</w:t>
                  </w:r>
                </w:p>
              </w:tc>
              <w:tc>
                <w:tcPr>
                  <w:tcW w:w="2259" w:type="dxa"/>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262" w:type="pct"/>
                  <w:vMerge w:val="continue"/>
                  <w:vAlign w:val="center"/>
                </w:tcPr>
                <w:p>
                  <w:pPr>
                    <w:jc w:val="center"/>
                    <w:rPr>
                      <w:rFonts w:hint="default" w:ascii="Times New Roman" w:hAnsi="Times New Roman" w:cs="Times New Roman"/>
                      <w:b/>
                      <w:bCs/>
                      <w:szCs w:val="21"/>
                    </w:rPr>
                  </w:pPr>
                </w:p>
              </w:tc>
              <w:tc>
                <w:tcPr>
                  <w:tcW w:w="2243" w:type="dxa"/>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c>
                <w:tcPr>
                  <w:tcW w:w="2270" w:type="dxa"/>
                  <w:vAlign w:val="center"/>
                </w:tcPr>
                <w:p>
                  <w:pPr>
                    <w:jc w:val="center"/>
                    <w:rPr>
                      <w:rFonts w:hint="default" w:ascii="Times New Roman" w:hAnsi="Times New Roman" w:cs="Times New Roman"/>
                      <w:szCs w:val="21"/>
                      <w:lang w:bidi="zh-CN"/>
                    </w:rPr>
                  </w:pPr>
                  <w:r>
                    <w:rPr>
                      <w:rFonts w:hint="default" w:ascii="Times New Roman" w:hAnsi="Times New Roman" w:cs="Times New Roman" w:eastAsiaTheme="minorEastAsia"/>
                      <w:b w:val="0"/>
                      <w:bCs w:val="0"/>
                      <w:kern w:val="2"/>
                      <w:sz w:val="21"/>
                      <w:szCs w:val="21"/>
                      <w:vertAlign w:val="baseline"/>
                      <w:lang w:val="en-US" w:eastAsia="zh-CN" w:bidi="zh-CN"/>
                    </w:rPr>
                    <w:t>1.19</w:t>
                  </w:r>
                </w:p>
              </w:tc>
              <w:tc>
                <w:tcPr>
                  <w:tcW w:w="2259" w:type="dxa"/>
                  <w:vAlign w:val="center"/>
                </w:tcPr>
                <w:p>
                  <w:pPr>
                    <w:jc w:val="center"/>
                    <w:rPr>
                      <w:rFonts w:hint="default" w:ascii="Times New Roman" w:hAnsi="Times New Roman" w:cs="Times New Roman"/>
                      <w:szCs w:val="21"/>
                      <w:lang w:bidi="zh-CN"/>
                    </w:rPr>
                  </w:pPr>
                  <w:r>
                    <w:rPr>
                      <w:rFonts w:hint="default" w:ascii="Times New Roman" w:hAnsi="Times New Roman" w:cs="Times New Roman"/>
                      <w:szCs w:val="21"/>
                      <w:lang w:bidi="zh-CN"/>
                    </w:rPr>
                    <w:t>-</w:t>
                  </w:r>
                </w:p>
              </w:tc>
            </w:tr>
          </w:tbl>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r>
              <w:rPr>
                <w:rFonts w:hint="default" w:ascii="Times New Roman" w:hAnsi="Times New Roman" w:cs="Times New Roman"/>
                <w:b/>
                <w:bCs/>
              </w:rPr>
              <w:t>3、废水检测结果</w:t>
            </w:r>
          </w:p>
          <w:p>
            <w:pPr>
              <w:pStyle w:val="111"/>
              <w:rPr>
                <w:rFonts w:hint="default" w:ascii="Times New Roman" w:hAnsi="Times New Roman" w:cs="Times New Roman"/>
              </w:rPr>
            </w:pPr>
            <w:r>
              <w:rPr>
                <w:rFonts w:hint="default" w:ascii="Times New Roman" w:hAnsi="Times New Roman" w:cs="Times New Roman"/>
              </w:rPr>
              <w:t>项目废水总排口检测结果见表7-</w:t>
            </w:r>
            <w:r>
              <w:rPr>
                <w:rFonts w:hint="eastAsia" w:cs="Times New Roman"/>
                <w:lang w:val="en-US" w:eastAsia="zh-CN"/>
              </w:rPr>
              <w:t>5</w:t>
            </w:r>
            <w:r>
              <w:rPr>
                <w:rFonts w:hint="default" w:ascii="Times New Roman" w:hAnsi="Times New Roman" w:cs="Times New Roman"/>
              </w:rPr>
              <w:t>。</w:t>
            </w:r>
          </w:p>
          <w:p>
            <w:pPr>
              <w:pStyle w:val="113"/>
              <w:rPr>
                <w:rFonts w:hint="default" w:ascii="Times New Roman" w:hAnsi="Times New Roman" w:cs="Times New Roman"/>
              </w:rPr>
            </w:pPr>
            <w:r>
              <w:rPr>
                <w:rFonts w:hint="default" w:ascii="Times New Roman" w:hAnsi="Times New Roman" w:cs="Times New Roman"/>
              </w:rPr>
              <w:t>表7-</w:t>
            </w:r>
            <w:r>
              <w:rPr>
                <w:rFonts w:hint="eastAsia" w:cs="Times New Roman"/>
                <w:lang w:val="en-US" w:eastAsia="zh-CN"/>
              </w:rPr>
              <w:t xml:space="preserve">5 </w:t>
            </w:r>
            <w:r>
              <w:rPr>
                <w:rFonts w:hint="default" w:ascii="Times New Roman" w:hAnsi="Times New Roman" w:cs="Times New Roman"/>
              </w:rPr>
              <w:t>废水监测结果统计表</w:t>
            </w:r>
          </w:p>
          <w:tbl>
            <w:tblPr>
              <w:tblStyle w:val="32"/>
              <w:tblpPr w:leftFromText="180" w:rightFromText="180" w:vertAnchor="text" w:horzAnchor="margin" w:tblpXSpec="center" w:tblpY="6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387"/>
              <w:gridCol w:w="1488"/>
              <w:gridCol w:w="1488"/>
              <w:gridCol w:w="1486"/>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2" w:type="pct"/>
                  <w:gridSpan w:val="2"/>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监测点位</w:t>
                  </w:r>
                </w:p>
              </w:tc>
              <w:tc>
                <w:tcPr>
                  <w:tcW w:w="3287" w:type="pct"/>
                  <w:gridSpan w:val="4"/>
                  <w:vAlign w:val="center"/>
                </w:tcPr>
                <w:p>
                  <w:pPr>
                    <w:jc w:val="center"/>
                    <w:rPr>
                      <w:rFonts w:hint="default" w:ascii="Times New Roman" w:hAnsi="Times New Roman" w:eastAsia="宋体" w:cs="Times New Roman"/>
                      <w:b/>
                      <w:szCs w:val="21"/>
                      <w:lang w:val="en-US" w:eastAsia="zh-CN"/>
                    </w:rPr>
                  </w:pPr>
                  <w:r>
                    <w:rPr>
                      <w:rFonts w:hint="eastAsia" w:cs="Times New Roman"/>
                      <w:b/>
                      <w:szCs w:val="21"/>
                      <w:lang w:val="en-US" w:eastAsia="zh-CN"/>
                    </w:rPr>
                    <w:t>厂区总排口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6"/>
                  <w:vAlign w:val="center"/>
                </w:tcPr>
                <w:p>
                  <w:pPr>
                    <w:jc w:val="left"/>
                    <w:textAlignment w:val="bottom"/>
                    <w:rPr>
                      <w:rFonts w:hint="default" w:ascii="Times New Roman" w:hAnsi="Times New Roman" w:cs="Times New Roman"/>
                      <w:b/>
                      <w:color w:val="000000"/>
                      <w:szCs w:val="21"/>
                    </w:rPr>
                  </w:pPr>
                  <w:r>
                    <w:rPr>
                      <w:rFonts w:hint="default" w:ascii="Times New Roman" w:hAnsi="Times New Roman" w:cs="Times New Roman"/>
                      <w:b/>
                      <w:color w:val="000000"/>
                      <w:szCs w:val="21"/>
                    </w:rPr>
                    <w:t>监测日期：2022年</w:t>
                  </w:r>
                  <w:r>
                    <w:rPr>
                      <w:rFonts w:hint="eastAsia" w:cs="Times New Roman"/>
                      <w:b/>
                      <w:color w:val="000000"/>
                      <w:szCs w:val="21"/>
                      <w:lang w:val="en-US" w:eastAsia="zh-CN"/>
                    </w:rPr>
                    <w:t>9</w:t>
                  </w:r>
                  <w:r>
                    <w:rPr>
                      <w:rFonts w:hint="default" w:ascii="Times New Roman" w:hAnsi="Times New Roman" w:cs="Times New Roman"/>
                      <w:b/>
                      <w:color w:val="000000"/>
                      <w:szCs w:val="21"/>
                    </w:rPr>
                    <w:t>月2</w:t>
                  </w:r>
                  <w:r>
                    <w:rPr>
                      <w:rFonts w:hint="eastAsia" w:cs="Times New Roman"/>
                      <w:b/>
                      <w:color w:val="000000"/>
                      <w:szCs w:val="21"/>
                      <w:lang w:val="en-US" w:eastAsia="zh-CN"/>
                    </w:rPr>
                    <w:t>1</w:t>
                  </w:r>
                  <w:r>
                    <w:rPr>
                      <w:rFonts w:hint="default" w:ascii="Times New Roman" w:hAnsi="Times New Roman" w:cs="Times New Roman"/>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restart"/>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分析项目</w:t>
                  </w:r>
                </w:p>
              </w:tc>
              <w:tc>
                <w:tcPr>
                  <w:tcW w:w="2387" w:type="dxa"/>
                  <w:vAlign w:val="center"/>
                </w:tcPr>
                <w:p>
                  <w:pPr>
                    <w:jc w:val="center"/>
                    <w:rPr>
                      <w:rFonts w:hint="default" w:ascii="Times New Roman" w:hAnsi="Times New Roman" w:cs="Times New Roman"/>
                      <w:color w:val="000000"/>
                      <w:szCs w:val="21"/>
                    </w:rPr>
                  </w:pPr>
                  <w:r>
                    <w:rPr>
                      <w:rFonts w:hint="eastAsia" w:ascii="宋体" w:hAnsi="宋体" w:cs="宋体"/>
                      <w:b w:val="0"/>
                      <w:bCs/>
                      <w:sz w:val="21"/>
                      <w:szCs w:val="21"/>
                      <w:vertAlign w:val="baseline"/>
                      <w:lang w:val="en-US" w:eastAsia="zh-CN"/>
                    </w:rPr>
                    <w:t>pH（无量纲）</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7.3</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7.6</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7.5</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eastAsia="宋体" w:cs="宋体"/>
                      <w:b w:val="0"/>
                      <w:bCs/>
                      <w:sz w:val="21"/>
                      <w:szCs w:val="21"/>
                      <w:vertAlign w:val="baseline"/>
                      <w:lang w:val="en-US" w:eastAsia="zh-CN"/>
                    </w:rPr>
                    <w:t>化学需氧量</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156</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148</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144</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cs="宋体"/>
                      <w:b w:val="0"/>
                      <w:bCs/>
                      <w:sz w:val="21"/>
                      <w:szCs w:val="21"/>
                      <w:vertAlign w:val="baseline"/>
                      <w:lang w:val="en-US" w:eastAsia="zh-CN"/>
                    </w:rPr>
                    <w:t>五日生化需氧量</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54.6</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51.8</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50.4</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eastAsia="宋体" w:cs="宋体"/>
                      <w:color w:val="000000"/>
                      <w:kern w:val="2"/>
                      <w:sz w:val="21"/>
                      <w:szCs w:val="21"/>
                      <w:lang w:val="en-US" w:eastAsia="zh-CN" w:bidi="ar-SA"/>
                    </w:rPr>
                    <w:t>氨氮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9.38</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8.76</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8.85</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eastAsia="宋体" w:cs="宋体"/>
                      <w:color w:val="000000"/>
                      <w:kern w:val="2"/>
                      <w:sz w:val="21"/>
                      <w:szCs w:val="21"/>
                      <w:lang w:val="en-US" w:eastAsia="zh-CN" w:bidi="ar-SA"/>
                    </w:rPr>
                    <w:t>悬浮物</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111</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103</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105</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cs="宋体"/>
                      <w:color w:val="000000"/>
                      <w:kern w:val="2"/>
                      <w:sz w:val="21"/>
                      <w:szCs w:val="21"/>
                      <w:lang w:val="en-US" w:eastAsia="zh-CN" w:bidi="ar-SA"/>
                    </w:rPr>
                    <w:t>动植物油</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3.85</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3.76</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3.88</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cs="宋体"/>
                      <w:color w:val="000000"/>
                      <w:kern w:val="2"/>
                      <w:sz w:val="21"/>
                      <w:szCs w:val="21"/>
                      <w:lang w:val="en-US" w:eastAsia="zh-CN" w:bidi="ar-SA"/>
                    </w:rPr>
                    <w:t>石油类</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sz w:val="21"/>
                      <w:szCs w:val="21"/>
                      <w:lang w:val="en-US" w:eastAsia="zh-CN"/>
                    </w:rPr>
                  </w:pPr>
                  <w:r>
                    <w:rPr>
                      <w:rFonts w:hint="default" w:ascii="Times New Roman" w:hAnsi="Times New Roman" w:cs="Times New Roman"/>
                      <w:bCs/>
                      <w:color w:val="000000"/>
                      <w:sz w:val="21"/>
                      <w:szCs w:val="21"/>
                      <w:lang w:val="en-US" w:eastAsia="zh-CN"/>
                    </w:rPr>
                    <w:t>3.13</w:t>
                  </w:r>
                </w:p>
              </w:tc>
              <w:tc>
                <w:tcPr>
                  <w:tcW w:w="1488" w:type="dxa"/>
                  <w:vAlign w:val="center"/>
                </w:tcPr>
                <w:p>
                  <w:pPr>
                    <w:jc w:val="center"/>
                    <w:textAlignment w:val="bottom"/>
                    <w:rPr>
                      <w:rFonts w:hint="default" w:ascii="Times New Roman" w:hAnsi="Times New Roman" w:cs="Times New Roman"/>
                      <w:bCs/>
                      <w:sz w:val="21"/>
                      <w:szCs w:val="21"/>
                      <w:lang w:val="en-US" w:eastAsia="zh-CN"/>
                    </w:rPr>
                  </w:pPr>
                  <w:r>
                    <w:rPr>
                      <w:rFonts w:hint="default" w:ascii="Times New Roman" w:hAnsi="Times New Roman" w:cs="Times New Roman"/>
                      <w:bCs/>
                      <w:color w:val="000000"/>
                      <w:sz w:val="21"/>
                      <w:szCs w:val="21"/>
                      <w:lang w:val="en-US" w:eastAsia="zh-CN"/>
                    </w:rPr>
                    <w:t>3.25</w:t>
                  </w:r>
                </w:p>
              </w:tc>
              <w:tc>
                <w:tcPr>
                  <w:tcW w:w="1488" w:type="dxa"/>
                  <w:vAlign w:val="center"/>
                </w:tcPr>
                <w:p>
                  <w:pPr>
                    <w:jc w:val="center"/>
                    <w:textAlignment w:val="bottom"/>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3.33</w:t>
                  </w:r>
                </w:p>
              </w:tc>
              <w:tc>
                <w:tcPr>
                  <w:tcW w:w="1495" w:type="dxa"/>
                  <w:vAlign w:val="center"/>
                </w:tcPr>
                <w:p>
                  <w:pPr>
                    <w:jc w:val="center"/>
                    <w:textAlignment w:val="bottom"/>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cs="宋体"/>
                      <w:color w:val="000000"/>
                      <w:kern w:val="2"/>
                      <w:sz w:val="21"/>
                      <w:szCs w:val="21"/>
                      <w:lang w:val="en-US" w:eastAsia="zh-CN" w:bidi="ar-SA"/>
                    </w:rPr>
                    <w:t>总磷</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sz w:val="21"/>
                      <w:szCs w:val="21"/>
                      <w:lang w:val="en-US" w:eastAsia="zh-CN"/>
                    </w:rPr>
                  </w:pPr>
                  <w:r>
                    <w:rPr>
                      <w:rFonts w:hint="default" w:ascii="Times New Roman" w:hAnsi="Times New Roman" w:cs="Times New Roman"/>
                      <w:bCs/>
                      <w:color w:val="000000"/>
                      <w:sz w:val="21"/>
                      <w:szCs w:val="21"/>
                      <w:lang w:val="en-US" w:eastAsia="zh-CN"/>
                    </w:rPr>
                    <w:t>0.88</w:t>
                  </w:r>
                </w:p>
              </w:tc>
              <w:tc>
                <w:tcPr>
                  <w:tcW w:w="1488" w:type="dxa"/>
                  <w:vAlign w:val="center"/>
                </w:tcPr>
                <w:p>
                  <w:pPr>
                    <w:jc w:val="center"/>
                    <w:textAlignment w:val="bottom"/>
                    <w:rPr>
                      <w:rFonts w:hint="default" w:ascii="Times New Roman" w:hAnsi="Times New Roman" w:cs="Times New Roman"/>
                      <w:bCs/>
                      <w:sz w:val="21"/>
                      <w:szCs w:val="21"/>
                      <w:lang w:val="en-US" w:eastAsia="zh-CN"/>
                    </w:rPr>
                  </w:pPr>
                  <w:r>
                    <w:rPr>
                      <w:rFonts w:hint="default" w:ascii="Times New Roman" w:hAnsi="Times New Roman" w:cs="Times New Roman"/>
                      <w:bCs/>
                      <w:color w:val="000000"/>
                      <w:sz w:val="21"/>
                      <w:szCs w:val="21"/>
                      <w:lang w:val="en-US" w:eastAsia="zh-CN"/>
                    </w:rPr>
                    <w:t>0.94</w:t>
                  </w:r>
                </w:p>
              </w:tc>
              <w:tc>
                <w:tcPr>
                  <w:tcW w:w="1488" w:type="dxa"/>
                  <w:vAlign w:val="center"/>
                </w:tcPr>
                <w:p>
                  <w:pPr>
                    <w:jc w:val="center"/>
                    <w:textAlignment w:val="bottom"/>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0.86</w:t>
                  </w:r>
                </w:p>
              </w:tc>
              <w:tc>
                <w:tcPr>
                  <w:tcW w:w="1495" w:type="dxa"/>
                  <w:vAlign w:val="center"/>
                </w:tcPr>
                <w:p>
                  <w:pPr>
                    <w:jc w:val="center"/>
                    <w:textAlignment w:val="bottom"/>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eastAsia" w:ascii="宋体" w:hAnsi="宋体" w:cs="宋体"/>
                      <w:color w:val="000000"/>
                      <w:kern w:val="2"/>
                      <w:sz w:val="21"/>
                      <w:szCs w:val="21"/>
                      <w:lang w:val="en-US" w:eastAsia="zh-CN" w:bidi="ar-SA"/>
                    </w:rPr>
                    <w:t>总氮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mg/L</w:t>
                  </w:r>
                  <w:r>
                    <w:rPr>
                      <w:rFonts w:hint="eastAsia" w:ascii="宋体" w:hAnsi="宋体" w:eastAsia="宋体" w:cs="宋体"/>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15.7</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16.2</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15.8</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712" w:type="pct"/>
                  <w:gridSpan w:val="2"/>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监测点位</w:t>
                  </w:r>
                </w:p>
              </w:tc>
              <w:tc>
                <w:tcPr>
                  <w:tcW w:w="3287" w:type="pct"/>
                  <w:gridSpan w:val="4"/>
                  <w:vAlign w:val="center"/>
                </w:tcPr>
                <w:p>
                  <w:pPr>
                    <w:jc w:val="center"/>
                    <w:rPr>
                      <w:rFonts w:hint="default" w:ascii="Times New Roman" w:hAnsi="Times New Roman" w:cs="Times New Roman"/>
                      <w:b/>
                      <w:szCs w:val="21"/>
                    </w:rPr>
                  </w:pPr>
                  <w:r>
                    <w:rPr>
                      <w:rFonts w:hint="eastAsia" w:cs="Times New Roman"/>
                      <w:b/>
                      <w:szCs w:val="21"/>
                      <w:lang w:val="en-US" w:eastAsia="zh-CN"/>
                    </w:rPr>
                    <w:t>厂区总排口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6"/>
                  <w:vAlign w:val="center"/>
                </w:tcPr>
                <w:p>
                  <w:pPr>
                    <w:jc w:val="left"/>
                    <w:textAlignment w:val="bottom"/>
                    <w:rPr>
                      <w:rFonts w:hint="default" w:ascii="Times New Roman" w:hAnsi="Times New Roman" w:cs="Times New Roman"/>
                      <w:b/>
                      <w:color w:val="000000"/>
                      <w:szCs w:val="21"/>
                    </w:rPr>
                  </w:pPr>
                  <w:r>
                    <w:rPr>
                      <w:rFonts w:hint="default" w:ascii="Times New Roman" w:hAnsi="Times New Roman" w:cs="Times New Roman"/>
                      <w:b/>
                      <w:color w:val="000000"/>
                      <w:szCs w:val="21"/>
                    </w:rPr>
                    <w:t>监测日期：2022年</w:t>
                  </w:r>
                  <w:r>
                    <w:rPr>
                      <w:rFonts w:hint="eastAsia" w:cs="Times New Roman"/>
                      <w:b/>
                      <w:color w:val="000000"/>
                      <w:szCs w:val="21"/>
                      <w:lang w:val="en-US" w:eastAsia="zh-CN"/>
                    </w:rPr>
                    <w:t>9</w:t>
                  </w:r>
                  <w:r>
                    <w:rPr>
                      <w:rFonts w:hint="default" w:ascii="Times New Roman" w:hAnsi="Times New Roman" w:cs="Times New Roman"/>
                      <w:b/>
                      <w:color w:val="000000"/>
                      <w:szCs w:val="21"/>
                    </w:rPr>
                    <w:t>月</w:t>
                  </w:r>
                  <w:r>
                    <w:rPr>
                      <w:rFonts w:hint="eastAsia" w:cs="Times New Roman"/>
                      <w:b/>
                      <w:color w:val="000000"/>
                      <w:szCs w:val="21"/>
                      <w:lang w:val="en-US" w:eastAsia="zh-CN"/>
                    </w:rPr>
                    <w:t>22</w:t>
                  </w:r>
                  <w:r>
                    <w:rPr>
                      <w:rFonts w:hint="default" w:ascii="Times New Roman" w:hAnsi="Times New Roman" w:cs="Times New Roman"/>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restart"/>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分析项目</w:t>
                  </w: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b w:val="0"/>
                      <w:bCs/>
                      <w:sz w:val="21"/>
                      <w:szCs w:val="21"/>
                      <w:vertAlign w:val="baseline"/>
                      <w:lang w:val="en-US" w:eastAsia="zh-CN"/>
                    </w:rPr>
                    <w:t>pH（无量纲）</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7.5</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7.7</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7.8</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eastAsia="宋体" w:cs="Times New Roman"/>
                      <w:b w:val="0"/>
                      <w:bCs/>
                      <w:sz w:val="21"/>
                      <w:szCs w:val="21"/>
                      <w:vertAlign w:val="baseline"/>
                      <w:lang w:val="en-US" w:eastAsia="zh-CN"/>
                    </w:rPr>
                    <w:t>化学需氧量</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147</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155</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157</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b w:val="0"/>
                      <w:bCs/>
                      <w:sz w:val="21"/>
                      <w:szCs w:val="21"/>
                      <w:vertAlign w:val="baseline"/>
                      <w:lang w:val="en-US" w:eastAsia="zh-CN"/>
                    </w:rPr>
                    <w:t>五日生化需氧量</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51.4</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54.2</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54.9</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eastAsia="宋体" w:cs="Times New Roman"/>
                      <w:color w:val="000000"/>
                      <w:kern w:val="2"/>
                      <w:sz w:val="21"/>
                      <w:szCs w:val="21"/>
                      <w:lang w:val="en-US" w:eastAsia="zh-CN" w:bidi="ar-SA"/>
                    </w:rPr>
                    <w:t>氨氮</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8.58</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8.49</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8.67</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kern w:val="2"/>
                      <w:sz w:val="21"/>
                      <w:szCs w:val="21"/>
                      <w:lang w:val="en-US" w:eastAsia="zh-CN" w:bidi="ar-SA"/>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eastAsia="宋体" w:cs="Times New Roman"/>
                      <w:color w:val="000000"/>
                      <w:kern w:val="2"/>
                      <w:sz w:val="21"/>
                      <w:szCs w:val="21"/>
                      <w:lang w:val="en-US" w:eastAsia="zh-CN" w:bidi="ar-SA"/>
                    </w:rPr>
                    <w:t>悬浮物</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109</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113</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115</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kern w:val="2"/>
                      <w:sz w:val="21"/>
                      <w:szCs w:val="21"/>
                      <w:lang w:val="en-US" w:eastAsia="zh-CN" w:bidi="ar-SA"/>
                    </w:rPr>
                    <w:t>动植物油</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4.11</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4.08</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3.97</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kern w:val="2"/>
                      <w:sz w:val="21"/>
                      <w:szCs w:val="21"/>
                      <w:lang w:val="en-US" w:eastAsia="zh-CN" w:bidi="ar-SA"/>
                    </w:rPr>
                    <w:t>石油类</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kern w:val="2"/>
                      <w:sz w:val="21"/>
                      <w:szCs w:val="21"/>
                      <w:lang w:val="en-US" w:eastAsia="zh-CN" w:bidi="ar-SA"/>
                    </w:rPr>
                  </w:pPr>
                  <w:r>
                    <w:rPr>
                      <w:rFonts w:hint="default" w:ascii="Times New Roman" w:hAnsi="Times New Roman" w:cs="Times New Roman"/>
                      <w:bCs/>
                      <w:color w:val="000000"/>
                      <w:sz w:val="21"/>
                      <w:szCs w:val="21"/>
                      <w:lang w:val="en-US" w:eastAsia="zh-CN"/>
                    </w:rPr>
                    <w:t>3.57</w:t>
                  </w:r>
                </w:p>
              </w:tc>
              <w:tc>
                <w:tcPr>
                  <w:tcW w:w="1488" w:type="dxa"/>
                  <w:vAlign w:val="center"/>
                </w:tcPr>
                <w:p>
                  <w:pPr>
                    <w:jc w:val="center"/>
                    <w:textAlignment w:val="bottom"/>
                    <w:rPr>
                      <w:rFonts w:hint="default" w:ascii="Times New Roman" w:hAnsi="Times New Roman" w:cs="Times New Roman"/>
                      <w:bCs/>
                      <w:kern w:val="2"/>
                      <w:sz w:val="21"/>
                      <w:szCs w:val="21"/>
                      <w:lang w:val="en-US" w:eastAsia="zh-CN" w:bidi="ar-SA"/>
                    </w:rPr>
                  </w:pPr>
                  <w:r>
                    <w:rPr>
                      <w:rFonts w:hint="default" w:ascii="Times New Roman" w:hAnsi="Times New Roman" w:cs="Times New Roman"/>
                      <w:bCs/>
                      <w:color w:val="000000"/>
                      <w:sz w:val="21"/>
                      <w:szCs w:val="21"/>
                      <w:lang w:val="en-US" w:eastAsia="zh-CN"/>
                    </w:rPr>
                    <w:t>3.46</w:t>
                  </w:r>
                </w:p>
              </w:tc>
              <w:tc>
                <w:tcPr>
                  <w:tcW w:w="1488" w:type="dxa"/>
                  <w:vAlign w:val="center"/>
                </w:tcPr>
                <w:p>
                  <w:pPr>
                    <w:jc w:val="center"/>
                    <w:textAlignment w:val="bottom"/>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 w:val="21"/>
                      <w:szCs w:val="21"/>
                      <w:lang w:val="en-US" w:eastAsia="zh-CN"/>
                    </w:rPr>
                    <w:t>3.38</w:t>
                  </w:r>
                </w:p>
              </w:tc>
              <w:tc>
                <w:tcPr>
                  <w:tcW w:w="1495" w:type="dxa"/>
                  <w:vAlign w:val="center"/>
                </w:tcPr>
                <w:p>
                  <w:pPr>
                    <w:jc w:val="center"/>
                    <w:textAlignment w:val="bottom"/>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 w:val="21"/>
                      <w:szCs w:val="21"/>
                      <w:lang w:val="en-US"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kern w:val="2"/>
                      <w:sz w:val="21"/>
                      <w:szCs w:val="21"/>
                      <w:lang w:val="en-US" w:eastAsia="zh-CN" w:bidi="ar-SA"/>
                    </w:rPr>
                    <w:t>总磷</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kern w:val="2"/>
                      <w:sz w:val="21"/>
                      <w:szCs w:val="21"/>
                      <w:lang w:val="en-US" w:eastAsia="zh-CN" w:bidi="ar-SA"/>
                    </w:rPr>
                  </w:pPr>
                  <w:r>
                    <w:rPr>
                      <w:rFonts w:hint="default" w:ascii="Times New Roman" w:hAnsi="Times New Roman" w:cs="Times New Roman"/>
                      <w:bCs/>
                      <w:color w:val="000000"/>
                      <w:sz w:val="21"/>
                      <w:szCs w:val="21"/>
                      <w:lang w:val="en-US" w:eastAsia="zh-CN"/>
                    </w:rPr>
                    <w:t>0.78</w:t>
                  </w:r>
                </w:p>
              </w:tc>
              <w:tc>
                <w:tcPr>
                  <w:tcW w:w="1488" w:type="dxa"/>
                  <w:vAlign w:val="center"/>
                </w:tcPr>
                <w:p>
                  <w:pPr>
                    <w:jc w:val="center"/>
                    <w:textAlignment w:val="bottom"/>
                    <w:rPr>
                      <w:rFonts w:hint="default" w:ascii="Times New Roman" w:hAnsi="Times New Roman" w:cs="Times New Roman"/>
                      <w:bCs/>
                      <w:kern w:val="2"/>
                      <w:sz w:val="21"/>
                      <w:szCs w:val="21"/>
                      <w:lang w:val="en-US" w:eastAsia="zh-CN" w:bidi="ar-SA"/>
                    </w:rPr>
                  </w:pPr>
                  <w:r>
                    <w:rPr>
                      <w:rFonts w:hint="default" w:ascii="Times New Roman" w:hAnsi="Times New Roman" w:cs="Times New Roman"/>
                      <w:bCs/>
                      <w:color w:val="000000"/>
                      <w:sz w:val="21"/>
                      <w:szCs w:val="21"/>
                      <w:lang w:val="en-US" w:eastAsia="zh-CN"/>
                    </w:rPr>
                    <w:t>0.82</w:t>
                  </w:r>
                </w:p>
              </w:tc>
              <w:tc>
                <w:tcPr>
                  <w:tcW w:w="1488" w:type="dxa"/>
                  <w:vAlign w:val="center"/>
                </w:tcPr>
                <w:p>
                  <w:pPr>
                    <w:jc w:val="center"/>
                    <w:textAlignment w:val="bottom"/>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 w:val="21"/>
                      <w:szCs w:val="21"/>
                      <w:lang w:val="en-US" w:eastAsia="zh-CN"/>
                    </w:rPr>
                    <w:t>0.83</w:t>
                  </w:r>
                </w:p>
              </w:tc>
              <w:tc>
                <w:tcPr>
                  <w:tcW w:w="1495" w:type="dxa"/>
                  <w:vAlign w:val="center"/>
                </w:tcPr>
                <w:p>
                  <w:pPr>
                    <w:jc w:val="center"/>
                    <w:textAlignment w:val="bottom"/>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 w:val="21"/>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Merge w:val="continue"/>
                  <w:vAlign w:val="center"/>
                </w:tcPr>
                <w:p>
                  <w:pPr>
                    <w:jc w:val="center"/>
                    <w:rPr>
                      <w:rFonts w:hint="default" w:ascii="Times New Roman" w:hAnsi="Times New Roman" w:cs="Times New Roman"/>
                      <w:bCs/>
                      <w:szCs w:val="21"/>
                    </w:rPr>
                  </w:pPr>
                </w:p>
              </w:tc>
              <w:tc>
                <w:tcPr>
                  <w:tcW w:w="238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kern w:val="2"/>
                      <w:sz w:val="21"/>
                      <w:szCs w:val="21"/>
                      <w:lang w:val="en-US" w:eastAsia="zh-CN" w:bidi="ar-SA"/>
                    </w:rPr>
                    <w:t>总氮</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mg/L</w:t>
                  </w:r>
                  <w:r>
                    <w:rPr>
                      <w:rFonts w:hint="default" w:ascii="Times New Roman" w:hAnsi="Times New Roman" w:eastAsia="宋体" w:cs="Times New Roman"/>
                      <w:color w:val="000000"/>
                      <w:sz w:val="21"/>
                      <w:szCs w:val="21"/>
                      <w:lang w:eastAsia="zh-CN"/>
                    </w:rPr>
                    <w:t>）</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17.4</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16.5</w:t>
                  </w:r>
                </w:p>
              </w:tc>
              <w:tc>
                <w:tcPr>
                  <w:tcW w:w="1488"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16.9</w:t>
                  </w:r>
                </w:p>
              </w:tc>
              <w:tc>
                <w:tcPr>
                  <w:tcW w:w="1495" w:type="dxa"/>
                  <w:vAlign w:val="center"/>
                </w:tcPr>
                <w:p>
                  <w:pPr>
                    <w:jc w:val="center"/>
                    <w:textAlignment w:val="bottom"/>
                    <w:rPr>
                      <w:rFonts w:hint="default" w:ascii="Times New Roman" w:hAnsi="Times New Roman" w:cs="Times New Roman"/>
                      <w:bCs/>
                      <w:color w:val="000000"/>
                      <w:szCs w:val="21"/>
                    </w:rPr>
                  </w:pPr>
                  <w:r>
                    <w:rPr>
                      <w:rFonts w:hint="default" w:ascii="Times New Roman" w:hAnsi="Times New Roman" w:cs="Times New Roman"/>
                      <w:bCs/>
                      <w:color w:val="000000"/>
                      <w:sz w:val="21"/>
                      <w:szCs w:val="21"/>
                      <w:lang w:val="en-US" w:eastAsia="zh-CN"/>
                    </w:rPr>
                    <w:t>16.3</w:t>
                  </w:r>
                </w:p>
              </w:tc>
            </w:tr>
          </w:tbl>
          <w:p>
            <w:pPr>
              <w:pStyle w:val="111"/>
              <w:ind w:firstLine="482"/>
              <w:rPr>
                <w:rFonts w:hint="default" w:ascii="Times New Roman" w:hAnsi="Times New Roman" w:cs="Times New Roman"/>
                <w:b/>
                <w:bCs/>
              </w:rPr>
            </w:pPr>
            <w:r>
              <w:rPr>
                <w:rFonts w:hint="default" w:ascii="Times New Roman" w:hAnsi="Times New Roman" w:cs="Times New Roman"/>
                <w:b/>
                <w:bCs/>
              </w:rPr>
              <w:t>4、噪声检测结果</w:t>
            </w:r>
            <w:bookmarkEnd w:id="15"/>
            <w:bookmarkEnd w:id="16"/>
          </w:p>
          <w:p>
            <w:pPr>
              <w:pStyle w:val="111"/>
              <w:rPr>
                <w:rFonts w:hint="default" w:ascii="Times New Roman" w:hAnsi="Times New Roman" w:cs="Times New Roman"/>
              </w:rPr>
            </w:pPr>
            <w:r>
              <w:rPr>
                <w:rFonts w:hint="default" w:ascii="Times New Roman" w:hAnsi="Times New Roman" w:cs="Times New Roman"/>
              </w:rPr>
              <w:t>噪声检测结果如下表7-</w:t>
            </w:r>
            <w:r>
              <w:rPr>
                <w:rFonts w:hint="eastAsia" w:cs="Times New Roman"/>
                <w:lang w:val="en-US" w:eastAsia="zh-CN"/>
              </w:rPr>
              <w:t>6</w:t>
            </w:r>
            <w:r>
              <w:rPr>
                <w:rFonts w:hint="default" w:ascii="Times New Roman" w:hAnsi="Times New Roman" w:cs="Times New Roman"/>
              </w:rPr>
              <w:t>所示。</w:t>
            </w:r>
          </w:p>
          <w:p>
            <w:pPr>
              <w:spacing w:line="360" w:lineRule="auto"/>
              <w:jc w:val="center"/>
              <w:rPr>
                <w:rFonts w:hint="default" w:ascii="Times New Roman" w:hAnsi="Times New Roman" w:cs="Times New Roman"/>
                <w:b/>
                <w:szCs w:val="24"/>
              </w:rPr>
            </w:pPr>
            <w:r>
              <w:rPr>
                <w:rFonts w:hint="default" w:ascii="Times New Roman" w:hAnsi="Times New Roman" w:cs="Times New Roman"/>
                <w:b/>
                <w:szCs w:val="24"/>
              </w:rPr>
              <w:t>表7-</w:t>
            </w:r>
            <w:r>
              <w:rPr>
                <w:rFonts w:hint="eastAsia" w:cs="Times New Roman"/>
                <w:b/>
                <w:szCs w:val="24"/>
                <w:lang w:val="en-US" w:eastAsia="zh-CN"/>
              </w:rPr>
              <w:t>6</w:t>
            </w:r>
            <w:r>
              <w:rPr>
                <w:rFonts w:hint="default" w:ascii="Times New Roman" w:hAnsi="Times New Roman" w:cs="Times New Roman"/>
                <w:b/>
                <w:szCs w:val="24"/>
              </w:rPr>
              <w:t xml:space="preserve">  噪声检测结果统计表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824"/>
              <w:gridCol w:w="1461"/>
              <w:gridCol w:w="1461"/>
              <w:gridCol w:w="1461"/>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Merge w:val="restart"/>
                  <w:vAlign w:val="center"/>
                </w:tcPr>
                <w:p>
                  <w:pPr>
                    <w:adjustRightInd w:val="0"/>
                    <w:snapToGrid w:val="0"/>
                    <w:spacing w:line="240" w:lineRule="atLeast"/>
                    <w:jc w:val="center"/>
                    <w:rPr>
                      <w:rFonts w:hint="default" w:ascii="Times New Roman" w:hAnsi="Times New Roman" w:cs="Times New Roman"/>
                      <w:szCs w:val="21"/>
                    </w:rPr>
                  </w:pPr>
                  <w:r>
                    <w:rPr>
                      <w:rFonts w:hint="default" w:ascii="Times New Roman" w:hAnsi="Times New Roman" w:cs="Times New Roman"/>
                      <w:szCs w:val="21"/>
                    </w:rPr>
                    <w:t>测点编号</w:t>
                  </w:r>
                </w:p>
              </w:tc>
              <w:tc>
                <w:tcPr>
                  <w:tcW w:w="1006" w:type="pct"/>
                  <w:vMerge w:val="restart"/>
                  <w:vAlign w:val="center"/>
                </w:tcPr>
                <w:p>
                  <w:pPr>
                    <w:adjustRightInd w:val="0"/>
                    <w:snapToGrid w:val="0"/>
                    <w:spacing w:line="240" w:lineRule="atLeast"/>
                    <w:jc w:val="center"/>
                    <w:rPr>
                      <w:rFonts w:hint="default" w:ascii="Times New Roman" w:hAnsi="Times New Roman" w:cs="Times New Roman"/>
                      <w:szCs w:val="21"/>
                    </w:rPr>
                  </w:pPr>
                  <w:r>
                    <w:rPr>
                      <w:rFonts w:hint="default" w:ascii="Times New Roman" w:hAnsi="Times New Roman" w:cs="Times New Roman"/>
                      <w:szCs w:val="21"/>
                    </w:rPr>
                    <w:t>测点位置</w:t>
                  </w:r>
                </w:p>
              </w:tc>
              <w:tc>
                <w:tcPr>
                  <w:tcW w:w="1612" w:type="pct"/>
                  <w:gridSpan w:val="2"/>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kern w:val="0"/>
                      <w:szCs w:val="21"/>
                      <w:lang w:bidi="ar"/>
                    </w:rPr>
                    <w:t>202</w:t>
                  </w:r>
                  <w:r>
                    <w:rPr>
                      <w:rFonts w:hint="eastAsia" w:ascii="Times New Roman" w:hAnsi="Times New Roman" w:cs="Times New Roman"/>
                      <w:kern w:val="0"/>
                      <w:szCs w:val="21"/>
                      <w:lang w:val="en-US" w:eastAsia="zh-CN" w:bidi="ar"/>
                    </w:rPr>
                    <w:t>2.</w:t>
                  </w:r>
                  <w:r>
                    <w:rPr>
                      <w:rFonts w:hint="eastAsia" w:cs="Times New Roman"/>
                      <w:kern w:val="0"/>
                      <w:szCs w:val="21"/>
                      <w:lang w:val="en-US" w:eastAsia="zh-CN" w:bidi="ar"/>
                    </w:rPr>
                    <w:t>9.21</w:t>
                  </w:r>
                </w:p>
              </w:tc>
              <w:tc>
                <w:tcPr>
                  <w:tcW w:w="1612" w:type="pct"/>
                  <w:gridSpan w:val="2"/>
                  <w:vAlign w:val="center"/>
                </w:tcPr>
                <w:p>
                  <w:pPr>
                    <w:widowControl/>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bidi="ar"/>
                    </w:rPr>
                    <w:t>202</w:t>
                  </w:r>
                  <w:r>
                    <w:rPr>
                      <w:rFonts w:hint="eastAsia" w:ascii="Times New Roman" w:hAnsi="Times New Roman" w:cs="Times New Roman"/>
                      <w:kern w:val="0"/>
                      <w:szCs w:val="21"/>
                      <w:lang w:val="en-US" w:eastAsia="zh-CN" w:bidi="ar"/>
                    </w:rPr>
                    <w:t>2.</w:t>
                  </w:r>
                  <w:r>
                    <w:rPr>
                      <w:rFonts w:hint="eastAsia" w:cs="Times New Roman"/>
                      <w:kern w:val="0"/>
                      <w:szCs w:val="21"/>
                      <w:lang w:val="en-US" w:eastAsia="zh-CN" w:bidi="ar"/>
                    </w:rPr>
                    <w:t>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Merge w:val="continue"/>
                  <w:vAlign w:val="center"/>
                </w:tcPr>
                <w:p>
                  <w:pPr>
                    <w:adjustRightInd w:val="0"/>
                    <w:snapToGrid w:val="0"/>
                    <w:spacing w:line="240" w:lineRule="atLeast"/>
                    <w:jc w:val="center"/>
                    <w:rPr>
                      <w:rFonts w:hint="default" w:ascii="Times New Roman" w:hAnsi="Times New Roman" w:cs="Times New Roman"/>
                      <w:szCs w:val="21"/>
                    </w:rPr>
                  </w:pPr>
                </w:p>
              </w:tc>
              <w:tc>
                <w:tcPr>
                  <w:tcW w:w="1006" w:type="pct"/>
                  <w:vMerge w:val="continue"/>
                  <w:vAlign w:val="center"/>
                </w:tcPr>
                <w:p>
                  <w:pPr>
                    <w:adjustRightInd w:val="0"/>
                    <w:snapToGrid w:val="0"/>
                    <w:spacing w:line="240" w:lineRule="atLeast"/>
                    <w:jc w:val="center"/>
                    <w:rPr>
                      <w:rFonts w:hint="default" w:ascii="Times New Roman" w:hAnsi="Times New Roman" w:cs="Times New Roman"/>
                      <w:szCs w:val="21"/>
                    </w:rPr>
                  </w:pPr>
                </w:p>
              </w:tc>
              <w:tc>
                <w:tcPr>
                  <w:tcW w:w="806" w:type="pct"/>
                  <w:vAlign w:val="center"/>
                </w:tcPr>
                <w:p>
                  <w:pPr>
                    <w:adjustRightInd w:val="0"/>
                    <w:snapToGrid w:val="0"/>
                    <w:spacing w:line="240" w:lineRule="atLeast"/>
                    <w:jc w:val="center"/>
                    <w:rPr>
                      <w:rFonts w:hint="default" w:ascii="Times New Roman" w:hAnsi="Times New Roman" w:cs="Times New Roman"/>
                      <w:szCs w:val="21"/>
                    </w:rPr>
                  </w:pPr>
                  <w:r>
                    <w:rPr>
                      <w:rFonts w:hint="default" w:ascii="Times New Roman" w:hAnsi="Times New Roman" w:cs="Times New Roman"/>
                      <w:szCs w:val="21"/>
                    </w:rPr>
                    <w:t>昼间</w:t>
                  </w:r>
                </w:p>
              </w:tc>
              <w:tc>
                <w:tcPr>
                  <w:tcW w:w="806" w:type="pct"/>
                  <w:vAlign w:val="center"/>
                </w:tcPr>
                <w:p>
                  <w:pPr>
                    <w:adjustRightInd w:val="0"/>
                    <w:snapToGrid w:val="0"/>
                    <w:spacing w:line="240" w:lineRule="atLeast"/>
                    <w:jc w:val="center"/>
                    <w:rPr>
                      <w:rFonts w:hint="default" w:ascii="Times New Roman" w:hAnsi="Times New Roman" w:cs="Times New Roman"/>
                      <w:szCs w:val="21"/>
                    </w:rPr>
                  </w:pPr>
                  <w:r>
                    <w:rPr>
                      <w:rFonts w:hint="default" w:ascii="Times New Roman" w:hAnsi="Times New Roman" w:cs="Times New Roman"/>
                      <w:szCs w:val="21"/>
                    </w:rPr>
                    <w:t>夜间</w:t>
                  </w:r>
                </w:p>
              </w:tc>
              <w:tc>
                <w:tcPr>
                  <w:tcW w:w="806" w:type="pct"/>
                  <w:vAlign w:val="center"/>
                </w:tcPr>
                <w:p>
                  <w:pPr>
                    <w:adjustRightInd w:val="0"/>
                    <w:snapToGrid w:val="0"/>
                    <w:spacing w:line="240" w:lineRule="atLeast"/>
                    <w:jc w:val="center"/>
                    <w:rPr>
                      <w:rFonts w:hint="default" w:ascii="Times New Roman" w:hAnsi="Times New Roman" w:cs="Times New Roman"/>
                      <w:szCs w:val="21"/>
                    </w:rPr>
                  </w:pPr>
                  <w:r>
                    <w:rPr>
                      <w:rFonts w:hint="default" w:ascii="Times New Roman" w:hAnsi="Times New Roman" w:cs="Times New Roman"/>
                      <w:szCs w:val="21"/>
                    </w:rPr>
                    <w:t>昼间</w:t>
                  </w:r>
                </w:p>
              </w:tc>
              <w:tc>
                <w:tcPr>
                  <w:tcW w:w="806" w:type="pct"/>
                  <w:vAlign w:val="center"/>
                </w:tcPr>
                <w:p>
                  <w:pPr>
                    <w:adjustRightInd w:val="0"/>
                    <w:snapToGrid w:val="0"/>
                    <w:spacing w:line="240" w:lineRule="atLeast"/>
                    <w:jc w:val="center"/>
                    <w:rPr>
                      <w:rFonts w:hint="default" w:ascii="Times New Roman" w:hAnsi="Times New Roman" w:cs="Times New Roman"/>
                      <w:szCs w:val="21"/>
                    </w:rPr>
                  </w:pPr>
                  <w:r>
                    <w:rPr>
                      <w:rFonts w:hint="default" w:ascii="Times New Roman" w:hAnsi="Times New Roman"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pPr>
                    <w:jc w:val="center"/>
                    <w:rPr>
                      <w:rFonts w:hint="default" w:ascii="Times New Roman" w:hAnsi="Times New Roman" w:cs="Times New Roman"/>
                      <w:szCs w:val="21"/>
                    </w:rPr>
                  </w:pPr>
                  <w:r>
                    <w:rPr>
                      <w:rFonts w:hint="default" w:ascii="Times New Roman" w:hAnsi="Times New Roman" w:eastAsia="新宋体" w:cs="Times New Roman"/>
                      <w:b/>
                      <w:bCs/>
                      <w:sz w:val="21"/>
                      <w:szCs w:val="21"/>
                      <w:lang w:val="en-US" w:eastAsia="zh-CN"/>
                    </w:rPr>
                    <w:t>N</w:t>
                  </w:r>
                  <w:r>
                    <w:rPr>
                      <w:rFonts w:hint="default" w:ascii="Times New Roman" w:hAnsi="Times New Roman" w:eastAsia="新宋体" w:cs="Times New Roman"/>
                      <w:b/>
                      <w:bCs/>
                      <w:sz w:val="21"/>
                      <w:szCs w:val="21"/>
                    </w:rPr>
                    <w:t>1</w:t>
                  </w:r>
                </w:p>
              </w:tc>
              <w:tc>
                <w:tcPr>
                  <w:tcW w:w="10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厂界东侧</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58</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47</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57</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pPr>
                    <w:jc w:val="center"/>
                    <w:rPr>
                      <w:rFonts w:hint="default" w:ascii="Times New Roman" w:hAnsi="Times New Roman" w:cs="Times New Roman"/>
                      <w:szCs w:val="21"/>
                    </w:rPr>
                  </w:pPr>
                  <w:r>
                    <w:rPr>
                      <w:rFonts w:hint="default" w:ascii="Times New Roman" w:hAnsi="Times New Roman" w:eastAsia="新宋体" w:cs="Times New Roman"/>
                      <w:b/>
                      <w:bCs/>
                      <w:sz w:val="21"/>
                      <w:szCs w:val="21"/>
                      <w:lang w:val="en-US" w:eastAsia="zh-CN"/>
                    </w:rPr>
                    <w:t>N2</w:t>
                  </w:r>
                </w:p>
              </w:tc>
              <w:tc>
                <w:tcPr>
                  <w:tcW w:w="10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厂界南侧</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56</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46</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57</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pPr>
                    <w:jc w:val="center"/>
                    <w:rPr>
                      <w:rFonts w:hint="default" w:ascii="Times New Roman" w:hAnsi="Times New Roman" w:cs="Times New Roman"/>
                      <w:szCs w:val="21"/>
                    </w:rPr>
                  </w:pPr>
                  <w:r>
                    <w:rPr>
                      <w:rFonts w:hint="default" w:ascii="Times New Roman" w:hAnsi="Times New Roman" w:eastAsia="新宋体" w:cs="Times New Roman"/>
                      <w:b/>
                      <w:bCs/>
                      <w:sz w:val="21"/>
                      <w:szCs w:val="21"/>
                      <w:lang w:val="en-US" w:eastAsia="zh-CN"/>
                    </w:rPr>
                    <w:t>N3</w:t>
                  </w:r>
                </w:p>
              </w:tc>
              <w:tc>
                <w:tcPr>
                  <w:tcW w:w="10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厂界西侧</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58</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47</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55</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pPr>
                    <w:jc w:val="center"/>
                    <w:rPr>
                      <w:rFonts w:hint="default" w:ascii="Times New Roman" w:hAnsi="Times New Roman" w:cs="Times New Roman"/>
                      <w:szCs w:val="21"/>
                    </w:rPr>
                  </w:pPr>
                  <w:r>
                    <w:rPr>
                      <w:rFonts w:hint="default" w:ascii="Times New Roman" w:hAnsi="Times New Roman" w:eastAsia="新宋体" w:cs="Times New Roman"/>
                      <w:b/>
                      <w:bCs/>
                      <w:sz w:val="21"/>
                      <w:szCs w:val="21"/>
                      <w:lang w:val="en-US" w:eastAsia="zh-CN"/>
                    </w:rPr>
                    <w:t>N4</w:t>
                  </w:r>
                </w:p>
              </w:tc>
              <w:tc>
                <w:tcPr>
                  <w:tcW w:w="10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厂界北侧</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57</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45</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56</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pPr>
                    <w:jc w:val="center"/>
                    <w:rPr>
                      <w:rFonts w:hint="default" w:ascii="Times New Roman" w:hAnsi="Times New Roman" w:cs="Times New Roman"/>
                      <w:szCs w:val="21"/>
                    </w:rPr>
                  </w:pPr>
                  <w:r>
                    <w:rPr>
                      <w:rFonts w:hint="default" w:ascii="Times New Roman" w:hAnsi="Times New Roman" w:eastAsia="新宋体" w:cs="Times New Roman"/>
                      <w:b/>
                      <w:bCs/>
                      <w:sz w:val="21"/>
                      <w:szCs w:val="21"/>
                      <w:lang w:val="en-US" w:eastAsia="zh-CN"/>
                    </w:rPr>
                    <w:t>N5</w:t>
                  </w:r>
                </w:p>
              </w:tc>
              <w:tc>
                <w:tcPr>
                  <w:tcW w:w="10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上杨村</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54</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43</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53</w:t>
                  </w:r>
                </w:p>
              </w:tc>
              <w:tc>
                <w:tcPr>
                  <w:tcW w:w="806" w:type="pct"/>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42</w:t>
                  </w:r>
                </w:p>
              </w:tc>
            </w:tr>
          </w:tbl>
          <w:p>
            <w:pPr>
              <w:pStyle w:val="111"/>
              <w:ind w:firstLine="482"/>
              <w:rPr>
                <w:rFonts w:hint="default" w:ascii="Times New Roman" w:hAnsi="Times New Roman" w:cs="Times New Roman"/>
                <w:b/>
                <w:bCs/>
              </w:rPr>
            </w:pPr>
            <w:r>
              <w:rPr>
                <w:rFonts w:hint="default" w:ascii="Times New Roman" w:hAnsi="Times New Roman" w:cs="Times New Roman"/>
                <w:b/>
                <w:bCs/>
              </w:rPr>
              <w:t>5、环境质量检测结果</w:t>
            </w:r>
          </w:p>
          <w:p>
            <w:pPr>
              <w:pStyle w:val="16"/>
              <w:jc w:val="center"/>
              <w:rPr>
                <w:rFonts w:hint="default" w:ascii="Times New Roman" w:hAnsi="Times New Roman" w:cs="Times New Roman"/>
                <w:b/>
                <w:color w:val="0000FF"/>
                <w:sz w:val="21"/>
                <w:szCs w:val="24"/>
              </w:rPr>
            </w:pPr>
            <w:r>
              <w:rPr>
                <w:rFonts w:hint="default" w:ascii="Times New Roman" w:hAnsi="Times New Roman" w:cs="Times New Roman"/>
                <w:b/>
                <w:color w:val="0000FF"/>
                <w:sz w:val="21"/>
                <w:szCs w:val="24"/>
              </w:rPr>
              <w:t>表7-</w:t>
            </w:r>
            <w:r>
              <w:rPr>
                <w:rFonts w:hint="eastAsia" w:ascii="Times New Roman" w:cs="Times New Roman"/>
                <w:b/>
                <w:color w:val="0000FF"/>
                <w:sz w:val="21"/>
                <w:szCs w:val="24"/>
                <w:lang w:val="en-US" w:eastAsia="zh-CN"/>
              </w:rPr>
              <w:t xml:space="preserve">7 </w:t>
            </w:r>
            <w:r>
              <w:rPr>
                <w:rFonts w:hint="default" w:ascii="Times New Roman" w:hAnsi="Times New Roman" w:cs="Times New Roman"/>
                <w:b/>
                <w:color w:val="0000FF"/>
                <w:sz w:val="21"/>
                <w:szCs w:val="24"/>
              </w:rPr>
              <w:t xml:space="preserve"> 环境空气监测结果统计表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751"/>
              <w:gridCol w:w="1839"/>
              <w:gridCol w:w="1839"/>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78" w:type="pct"/>
                  <w:vMerge w:val="restar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监测时间</w:t>
                  </w:r>
                </w:p>
              </w:tc>
              <w:tc>
                <w:tcPr>
                  <w:tcW w:w="967" w:type="pct"/>
                  <w:vMerge w:val="restar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监测时间</w:t>
                  </w:r>
                </w:p>
              </w:tc>
              <w:tc>
                <w:tcPr>
                  <w:tcW w:w="3054" w:type="pct"/>
                  <w:gridSpan w:val="3"/>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pct"/>
                  <w:vMerge w:val="continue"/>
                  <w:shd w:val="clear" w:color="auto" w:fill="auto"/>
                  <w:vAlign w:val="center"/>
                </w:tcPr>
                <w:p>
                  <w:pPr>
                    <w:pStyle w:val="16"/>
                    <w:spacing w:line="240" w:lineRule="auto"/>
                    <w:jc w:val="center"/>
                    <w:rPr>
                      <w:rFonts w:hint="default" w:ascii="Times New Roman" w:hAnsi="Times New Roman" w:cs="Times New Roman"/>
                      <w:color w:val="0000FF"/>
                      <w:sz w:val="21"/>
                      <w:szCs w:val="21"/>
                    </w:rPr>
                  </w:pPr>
                </w:p>
              </w:tc>
              <w:tc>
                <w:tcPr>
                  <w:tcW w:w="967" w:type="pct"/>
                  <w:vMerge w:val="continue"/>
                  <w:shd w:val="clear" w:color="auto" w:fill="auto"/>
                  <w:vAlign w:val="center"/>
                </w:tcPr>
                <w:p>
                  <w:pPr>
                    <w:pStyle w:val="16"/>
                    <w:spacing w:line="240" w:lineRule="auto"/>
                    <w:jc w:val="center"/>
                    <w:rPr>
                      <w:rFonts w:hint="default" w:ascii="Times New Roman" w:hAnsi="Times New Roman" w:cs="Times New Roman"/>
                      <w:color w:val="0000FF"/>
                      <w:sz w:val="21"/>
                      <w:szCs w:val="21"/>
                    </w:rPr>
                  </w:pPr>
                </w:p>
              </w:tc>
              <w:tc>
                <w:tcPr>
                  <w:tcW w:w="1015" w:type="pct"/>
                  <w:shd w:val="clear" w:color="auto" w:fill="auto"/>
                  <w:vAlign w:val="center"/>
                </w:tcPr>
                <w:p>
                  <w:pPr>
                    <w:pStyle w:val="16"/>
                    <w:spacing w:line="240" w:lineRule="auto"/>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非甲烷总烃</w:t>
                  </w:r>
                </w:p>
                <w:p>
                  <w:pPr>
                    <w:pStyle w:val="16"/>
                    <w:spacing w:line="240" w:lineRule="auto"/>
                    <w:jc w:val="center"/>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w:t>
                  </w:r>
                  <w:r>
                    <w:rPr>
                      <w:rFonts w:hint="eastAsia" w:ascii="Times New Roman" w:hAnsi="Times New Roman" w:eastAsia="宋体" w:cs="Times New Roman"/>
                      <w:color w:val="0000FF"/>
                      <w:sz w:val="21"/>
                      <w:szCs w:val="21"/>
                    </w:rPr>
                    <w:t>mg/m</w:t>
                  </w:r>
                  <w:r>
                    <w:rPr>
                      <w:rFonts w:hint="eastAsia" w:ascii="Times New Roman" w:hAnsi="Times New Roman" w:eastAsia="宋体" w:cs="Times New Roman"/>
                      <w:color w:val="0000FF"/>
                      <w:sz w:val="21"/>
                      <w:szCs w:val="21"/>
                      <w:vertAlign w:val="superscript"/>
                    </w:rPr>
                    <w:t>3</w:t>
                  </w:r>
                  <w:r>
                    <w:rPr>
                      <w:rFonts w:hint="eastAsia" w:ascii="Times New Roman" w:hAnsi="Times New Roman" w:eastAsia="宋体" w:cs="Times New Roman"/>
                      <w:color w:val="0000FF"/>
                      <w:sz w:val="21"/>
                      <w:szCs w:val="21"/>
                      <w:lang w:val="en-US" w:eastAsia="zh-CN"/>
                    </w:rPr>
                    <w:t>）</w:t>
                  </w:r>
                </w:p>
              </w:tc>
              <w:tc>
                <w:tcPr>
                  <w:tcW w:w="1015" w:type="pct"/>
                  <w:shd w:val="clear" w:color="auto" w:fill="auto"/>
                  <w:vAlign w:val="center"/>
                </w:tcPr>
                <w:p>
                  <w:pPr>
                    <w:pStyle w:val="16"/>
                    <w:spacing w:line="240" w:lineRule="auto"/>
                    <w:jc w:val="center"/>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总悬浮颗粒物（</w:t>
                  </w:r>
                  <w:r>
                    <w:rPr>
                      <w:rFonts w:hint="eastAsia" w:ascii="Times New Roman" w:hAnsi="Times New Roman" w:eastAsia="宋体" w:cs="Times New Roman"/>
                      <w:color w:val="0000FF"/>
                      <w:sz w:val="21"/>
                      <w:szCs w:val="21"/>
                    </w:rPr>
                    <w:t>mg/m</w:t>
                  </w:r>
                  <w:r>
                    <w:rPr>
                      <w:rFonts w:hint="eastAsia" w:ascii="Times New Roman" w:hAnsi="Times New Roman" w:eastAsia="宋体" w:cs="Times New Roman"/>
                      <w:color w:val="0000FF"/>
                      <w:sz w:val="21"/>
                      <w:szCs w:val="21"/>
                      <w:vertAlign w:val="superscript"/>
                    </w:rPr>
                    <w:t>3</w:t>
                  </w:r>
                  <w:r>
                    <w:rPr>
                      <w:rFonts w:hint="eastAsia" w:ascii="Times New Roman" w:hAnsi="Times New Roman" w:eastAsia="宋体" w:cs="Times New Roman"/>
                      <w:color w:val="0000FF"/>
                      <w:sz w:val="21"/>
                      <w:szCs w:val="21"/>
                      <w:lang w:val="en-US" w:eastAsia="zh-CN"/>
                    </w:rPr>
                    <w:t>）</w:t>
                  </w:r>
                </w:p>
              </w:tc>
              <w:tc>
                <w:tcPr>
                  <w:tcW w:w="1024" w:type="pct"/>
                  <w:shd w:val="clear" w:color="auto" w:fill="auto"/>
                  <w:vAlign w:val="center"/>
                </w:tcPr>
                <w:p>
                  <w:pPr>
                    <w:pStyle w:val="16"/>
                    <w:spacing w:line="240" w:lineRule="auto"/>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硫化氢</w:t>
                  </w:r>
                </w:p>
                <w:p>
                  <w:pPr>
                    <w:pStyle w:val="16"/>
                    <w:spacing w:line="240" w:lineRule="auto"/>
                    <w:jc w:val="center"/>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w:t>
                  </w:r>
                  <w:r>
                    <w:rPr>
                      <w:rFonts w:hint="eastAsia" w:ascii="Times New Roman" w:hAnsi="Times New Roman" w:eastAsia="宋体" w:cs="Times New Roman"/>
                      <w:color w:val="0000FF"/>
                      <w:sz w:val="21"/>
                      <w:szCs w:val="21"/>
                    </w:rPr>
                    <w:t>mg/m</w:t>
                  </w:r>
                  <w:r>
                    <w:rPr>
                      <w:rFonts w:hint="eastAsia" w:ascii="Times New Roman" w:hAnsi="Times New Roman" w:eastAsia="宋体" w:cs="Times New Roman"/>
                      <w:color w:val="0000FF"/>
                      <w:sz w:val="21"/>
                      <w:szCs w:val="21"/>
                      <w:vertAlign w:val="superscript"/>
                    </w:rPr>
                    <w:t>3</w:t>
                  </w:r>
                  <w:r>
                    <w:rPr>
                      <w:rFonts w:hint="eastAsia" w:ascii="Times New Roman" w:hAnsi="Times New Roman" w:eastAsia="宋体" w:cs="Times New Roman"/>
                      <w:color w:val="0000FF"/>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000" w:type="pct"/>
                  <w:gridSpan w:val="5"/>
                  <w:shd w:val="clear" w:color="auto" w:fill="auto"/>
                  <w:vAlign w:val="center"/>
                </w:tcPr>
                <w:p>
                  <w:pPr>
                    <w:pStyle w:val="16"/>
                    <w:spacing w:line="240" w:lineRule="auto"/>
                    <w:jc w:val="left"/>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监测点位：</w:t>
                  </w:r>
                  <w:r>
                    <w:rPr>
                      <w:rFonts w:hint="eastAsia" w:ascii="Times New Roman" w:cs="Times New Roman"/>
                      <w:color w:val="0000FF"/>
                      <w:sz w:val="21"/>
                      <w:szCs w:val="21"/>
                      <w:lang w:val="en-US" w:eastAsia="zh-CN"/>
                    </w:rPr>
                    <w:t>上杨村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78" w:type="pct"/>
                  <w:vMerge w:val="restart"/>
                  <w:shd w:val="clear" w:color="auto" w:fill="auto"/>
                  <w:vAlign w:val="center"/>
                </w:tcPr>
                <w:p>
                  <w:pPr>
                    <w:jc w:val="center"/>
                    <w:rPr>
                      <w:rFonts w:hint="default" w:ascii="Times New Roman" w:hAnsi="Times New Roman" w:cs="Times New Roman"/>
                      <w:b/>
                      <w:bCs/>
                      <w:color w:val="0000FF"/>
                      <w:szCs w:val="21"/>
                    </w:rPr>
                  </w:pPr>
                  <w:r>
                    <w:rPr>
                      <w:rFonts w:hint="default" w:ascii="Times New Roman" w:hAnsi="Times New Roman" w:cs="Times New Roman"/>
                      <w:b/>
                      <w:bCs/>
                      <w:color w:val="0000FF"/>
                      <w:szCs w:val="21"/>
                      <w:lang w:val="en-US" w:eastAsia="zh-CN"/>
                    </w:rPr>
                    <w:t>2022年9月21日</w:t>
                  </w: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2:00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1.03</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lang w:bidi="zh-CN"/>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8:00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1.06</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14:00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1.02</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20:00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1.04</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日均值</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0.208</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78" w:type="pct"/>
                  <w:vMerge w:val="restart"/>
                  <w:shd w:val="clear" w:color="auto" w:fill="auto"/>
                  <w:vAlign w:val="center"/>
                </w:tcPr>
                <w:p>
                  <w:pPr>
                    <w:jc w:val="center"/>
                    <w:rPr>
                      <w:rFonts w:hint="default" w:ascii="Times New Roman" w:hAnsi="Times New Roman" w:cs="Times New Roman"/>
                      <w:b/>
                      <w:bCs/>
                      <w:color w:val="0000FF"/>
                      <w:szCs w:val="21"/>
                    </w:rPr>
                  </w:pPr>
                  <w:r>
                    <w:rPr>
                      <w:rFonts w:hint="default" w:ascii="Times New Roman" w:hAnsi="Times New Roman" w:cs="Times New Roman"/>
                      <w:b/>
                      <w:bCs/>
                      <w:color w:val="0000FF"/>
                      <w:szCs w:val="21"/>
                      <w:lang w:val="en-US" w:eastAsia="zh-CN"/>
                    </w:rPr>
                    <w:t>2022年9月22日</w:t>
                  </w: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2:00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1.03</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lang w:bidi="zh-CN"/>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8:00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1.05</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14:00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1.06</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20:00</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1.07</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eastAsiaTheme="minorEastAsia"/>
                      <w:b w:val="0"/>
                      <w:bCs w:val="0"/>
                      <w:color w:val="0000FF"/>
                      <w:kern w:val="2"/>
                      <w:sz w:val="21"/>
                      <w:szCs w:val="21"/>
                      <w:vertAlign w:val="baseline"/>
                      <w:lang w:val="en-US" w:eastAsia="zh-CN" w:bidi="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78" w:type="pct"/>
                  <w:vMerge w:val="continue"/>
                  <w:shd w:val="clear" w:color="auto" w:fill="auto"/>
                  <w:vAlign w:val="center"/>
                </w:tcPr>
                <w:p>
                  <w:pPr>
                    <w:jc w:val="center"/>
                    <w:rPr>
                      <w:rFonts w:hint="default" w:ascii="Times New Roman" w:hAnsi="Times New Roman" w:cs="Times New Roman"/>
                      <w:b/>
                      <w:bCs/>
                      <w:color w:val="0000FF"/>
                      <w:szCs w:val="21"/>
                    </w:rPr>
                  </w:pPr>
                </w:p>
              </w:tc>
              <w:tc>
                <w:tcPr>
                  <w:tcW w:w="967" w:type="pct"/>
                  <w:shd w:val="clear" w:color="auto" w:fill="auto"/>
                  <w:vAlign w:val="center"/>
                </w:tcPr>
                <w:p>
                  <w:pPr>
                    <w:pStyle w:val="16"/>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color w:val="0000FF"/>
                      <w:sz w:val="21"/>
                      <w:szCs w:val="21"/>
                      <w:vertAlign w:val="baseline"/>
                      <w:lang w:val="en-US" w:eastAsia="zh-CN"/>
                    </w:rPr>
                    <w:t>日均值</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c>
                <w:tcPr>
                  <w:tcW w:w="1015"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0.210</w:t>
                  </w:r>
                </w:p>
              </w:tc>
              <w:tc>
                <w:tcPr>
                  <w:tcW w:w="1024" w:type="pc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0000FF"/>
                      <w:szCs w:val="21"/>
                    </w:rPr>
                  </w:pPr>
                  <w:r>
                    <w:rPr>
                      <w:rFonts w:hint="default" w:ascii="Times New Roman" w:hAnsi="Times New Roman" w:cs="Times New Roman"/>
                      <w:i w:val="0"/>
                      <w:color w:val="0000FF"/>
                      <w:kern w:val="0"/>
                      <w:sz w:val="21"/>
                      <w:szCs w:val="21"/>
                      <w:u w:val="none"/>
                      <w:lang w:val="en-US" w:eastAsia="zh-CN" w:bidi="ar"/>
                    </w:rPr>
                    <w:t>-</w:t>
                  </w:r>
                </w:p>
              </w:tc>
            </w:tr>
          </w:tbl>
          <w:p>
            <w:pPr>
              <w:pStyle w:val="111"/>
              <w:rPr>
                <w:rFonts w:hint="eastAsia" w:ascii="Times New Roman" w:hAnsi="Times New Roman" w:eastAsia="宋体" w:cs="Times New Roman"/>
                <w:color w:val="0000FF"/>
                <w:lang w:eastAsia="zh-CN"/>
              </w:rPr>
            </w:pPr>
            <w:r>
              <w:rPr>
                <w:rFonts w:hint="default" w:ascii="Times New Roman" w:hAnsi="Times New Roman" w:cs="Times New Roman"/>
                <w:color w:val="0000FF"/>
              </w:rPr>
              <w:t>厂区周边敏感点</w:t>
            </w:r>
            <w:r>
              <w:rPr>
                <w:rFonts w:hint="default" w:ascii="Times New Roman" w:hAnsi="Times New Roman" w:cs="Times New Roman"/>
                <w:color w:val="0000FF"/>
                <w:lang w:val="en-US" w:eastAsia="zh-CN"/>
              </w:rPr>
              <w:t>上杨村</w:t>
            </w:r>
            <w:r>
              <w:rPr>
                <w:rFonts w:hint="default" w:ascii="Times New Roman" w:hAnsi="Times New Roman" w:cs="Times New Roman"/>
                <w:color w:val="0000FF"/>
              </w:rPr>
              <w:t>的环境质量监测值TSP可以满足《环境空气质量标准》（GB3095-2012）中二级标准限值要求；非甲烷总烃满足《大气污染物综合排放标准详解》中标准限值要求</w:t>
            </w:r>
            <w:r>
              <w:rPr>
                <w:rFonts w:hint="eastAsia" w:cs="Times New Roman"/>
                <w:color w:val="0000FF"/>
                <w:lang w:eastAsia="zh-CN"/>
              </w:rPr>
              <w:t>；</w:t>
            </w:r>
            <w:r>
              <w:rPr>
                <w:rFonts w:hint="eastAsia" w:cs="Times New Roman"/>
                <w:color w:val="0000FF"/>
                <w:lang w:val="en-US" w:eastAsia="zh-CN"/>
              </w:rPr>
              <w:t>硫化氢</w:t>
            </w:r>
            <w:r>
              <w:rPr>
                <w:rFonts w:hint="default" w:ascii="Times New Roman" w:hAnsi="Times New Roman" w:cs="Times New Roman"/>
                <w:color w:val="0000FF"/>
              </w:rPr>
              <w:t>可以满足</w:t>
            </w:r>
            <w:r>
              <w:rPr>
                <w:rFonts w:hint="default" w:ascii="Times New Roman" w:hAnsi="Times New Roman" w:cs="Times New Roman"/>
                <w:color w:val="0000FF"/>
                <w:kern w:val="0"/>
                <w:sz w:val="24"/>
              </w:rPr>
              <w:t>《环境影响评价技术导则 大气环境》（HJ2.2-2018）附录D</w:t>
            </w:r>
            <w:r>
              <w:rPr>
                <w:rFonts w:hint="default" w:ascii="Times New Roman" w:hAnsi="Times New Roman" w:cs="Times New Roman"/>
                <w:color w:val="0000FF"/>
                <w:kern w:val="0"/>
                <w:sz w:val="24"/>
                <w:szCs w:val="21"/>
              </w:rPr>
              <w:t>其他污染物空气质量浓度</w:t>
            </w:r>
            <w:r>
              <w:rPr>
                <w:rFonts w:hint="default" w:ascii="Times New Roman" w:hAnsi="Times New Roman" w:cs="Times New Roman"/>
                <w:color w:val="0000FF"/>
                <w:kern w:val="0"/>
                <w:sz w:val="24"/>
              </w:rPr>
              <w:t>参考限值</w:t>
            </w:r>
            <w:r>
              <w:rPr>
                <w:rFonts w:hint="eastAsia" w:cs="Times New Roman"/>
                <w:color w:val="0000FF"/>
                <w:kern w:val="0"/>
                <w:sz w:val="24"/>
                <w:lang w:eastAsia="zh-CN"/>
              </w:rPr>
              <w:t>；</w:t>
            </w:r>
          </w:p>
          <w:p>
            <w:pPr>
              <w:pStyle w:val="111"/>
              <w:rPr>
                <w:rFonts w:hint="default" w:ascii="Times New Roman" w:hAnsi="Times New Roman" w:cs="Times New Roman"/>
              </w:rPr>
            </w:pPr>
          </w:p>
          <w:p>
            <w:pPr>
              <w:pStyle w:val="5"/>
              <w:rPr>
                <w:rFonts w:hint="default" w:ascii="Times New Roman" w:hAnsi="Times New Roman" w:cs="Times New Roman"/>
                <w:kern w:val="2"/>
                <w:sz w:val="24"/>
                <w:szCs w:val="24"/>
              </w:rPr>
            </w:pPr>
            <w:bookmarkStart w:id="17" w:name="_Toc505687210"/>
            <w:bookmarkStart w:id="18" w:name="_Toc513559117"/>
            <w:r>
              <w:rPr>
                <w:rFonts w:hint="default" w:ascii="Times New Roman" w:hAnsi="Times New Roman" w:cs="Times New Roman"/>
                <w:kern w:val="2"/>
                <w:sz w:val="24"/>
                <w:szCs w:val="24"/>
              </w:rPr>
              <w:t>7.3验收检测结果分析</w:t>
            </w:r>
          </w:p>
          <w:p>
            <w:pPr>
              <w:pStyle w:val="111"/>
              <w:ind w:firstLine="482"/>
              <w:rPr>
                <w:rFonts w:hint="default" w:ascii="Times New Roman" w:hAnsi="Times New Roman" w:cs="Times New Roman"/>
                <w:b/>
                <w:bCs/>
              </w:rPr>
            </w:pPr>
            <w:r>
              <w:rPr>
                <w:rFonts w:hint="default" w:ascii="Times New Roman" w:hAnsi="Times New Roman" w:cs="Times New Roman"/>
                <w:b/>
                <w:bCs/>
              </w:rPr>
              <w:t>1、废气检测结果分析</w:t>
            </w:r>
          </w:p>
          <w:p>
            <w:pPr>
              <w:pStyle w:val="111"/>
              <w:rPr>
                <w:rFonts w:hint="default" w:ascii="Times New Roman" w:hAnsi="Times New Roman" w:cs="Times New Roman"/>
              </w:rPr>
            </w:pPr>
            <w:r>
              <w:rPr>
                <w:rFonts w:hint="default" w:ascii="Times New Roman" w:hAnsi="Times New Roman" w:cs="Times New Roman"/>
              </w:rPr>
              <w:t>（1）有组织</w:t>
            </w:r>
          </w:p>
          <w:p>
            <w:pPr>
              <w:pStyle w:val="111"/>
              <w:rPr>
                <w:rFonts w:hint="default" w:ascii="Times New Roman" w:hAnsi="Times New Roman" w:eastAsia="宋体" w:cs="Times New Roman"/>
                <w:lang w:val="en-US" w:eastAsia="zh-CN"/>
              </w:rPr>
            </w:pPr>
            <w:r>
              <w:rPr>
                <w:rFonts w:hint="default" w:ascii="Times New Roman" w:hAnsi="Times New Roman" w:cs="Times New Roman"/>
              </w:rPr>
              <w:t>验收监测期间，项目</w:t>
            </w:r>
            <w:r>
              <w:rPr>
                <w:rFonts w:hint="eastAsia" w:cs="Times New Roman"/>
                <w:color w:val="000000"/>
                <w:kern w:val="0"/>
                <w:szCs w:val="21"/>
                <w:lang w:val="en-US" w:eastAsia="zh-CN" w:bidi="ar"/>
              </w:rPr>
              <w:t>锅炉</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SO</w:t>
            </w:r>
            <w:r>
              <w:rPr>
                <w:rFonts w:hint="eastAsia" w:cs="Times New Roman"/>
                <w:vertAlign w:val="subscript"/>
                <w:lang w:val="en-US" w:eastAsia="zh-CN"/>
              </w:rPr>
              <w:t>2</w:t>
            </w:r>
            <w:r>
              <w:rPr>
                <w:rFonts w:hint="default" w:ascii="Times New Roman" w:hAnsi="Times New Roman" w:cs="Times New Roman"/>
              </w:rPr>
              <w:t>浓度在</w:t>
            </w:r>
            <w:r>
              <w:rPr>
                <w:rFonts w:hint="eastAsia" w:cs="Times New Roman"/>
                <w:lang w:val="en-US" w:eastAsia="zh-CN"/>
              </w:rPr>
              <w:t>11</w:t>
            </w:r>
            <w:r>
              <w:rPr>
                <w:rFonts w:hint="default" w:ascii="Times New Roman" w:hAnsi="Times New Roman" w:cs="Times New Roman"/>
              </w:rPr>
              <w:t>~</w:t>
            </w:r>
            <w:r>
              <w:rPr>
                <w:rFonts w:hint="eastAsia" w:cs="Times New Roman"/>
                <w:lang w:val="en-US" w:eastAsia="zh-CN"/>
              </w:rPr>
              <w:t>14</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13</w:t>
            </w:r>
            <w:r>
              <w:rPr>
                <w:rFonts w:hint="default" w:ascii="Times New Roman" w:hAnsi="Times New Roman" w:cs="Times New Roman"/>
              </w:rPr>
              <w:t>~0.0</w:t>
            </w:r>
            <w:r>
              <w:rPr>
                <w:rFonts w:hint="eastAsia" w:cs="Times New Roman"/>
                <w:lang w:val="en-US" w:eastAsia="zh-CN"/>
              </w:rPr>
              <w:t>18</w:t>
            </w:r>
            <w:r>
              <w:rPr>
                <w:rFonts w:hint="default" w:ascii="Times New Roman" w:hAnsi="Times New Roman" w:cs="Times New Roman"/>
              </w:rPr>
              <w:t>kg/h之间。项目</w:t>
            </w:r>
            <w:r>
              <w:rPr>
                <w:rFonts w:hint="eastAsia" w:cs="Times New Roman"/>
                <w:color w:val="000000"/>
                <w:kern w:val="0"/>
                <w:szCs w:val="21"/>
                <w:lang w:val="en-US" w:eastAsia="zh-CN" w:bidi="ar"/>
              </w:rPr>
              <w:t>锅炉</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NOx</w:t>
            </w:r>
            <w:r>
              <w:rPr>
                <w:rFonts w:hint="default" w:ascii="Times New Roman" w:hAnsi="Times New Roman" w:cs="Times New Roman"/>
              </w:rPr>
              <w:t>浓度在</w:t>
            </w:r>
            <w:r>
              <w:rPr>
                <w:rFonts w:hint="eastAsia" w:cs="Times New Roman"/>
                <w:lang w:val="en-US" w:eastAsia="zh-CN"/>
              </w:rPr>
              <w:t>24</w:t>
            </w:r>
            <w:r>
              <w:rPr>
                <w:rFonts w:hint="default" w:ascii="Times New Roman" w:hAnsi="Times New Roman" w:cs="Times New Roman"/>
              </w:rPr>
              <w:t>~</w:t>
            </w:r>
            <w:r>
              <w:rPr>
                <w:rFonts w:hint="eastAsia" w:cs="Times New Roman"/>
                <w:lang w:val="en-US" w:eastAsia="zh-CN"/>
              </w:rPr>
              <w:t>30</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30</w:t>
            </w:r>
            <w:r>
              <w:rPr>
                <w:rFonts w:hint="default" w:ascii="Times New Roman" w:hAnsi="Times New Roman" w:cs="Times New Roman"/>
              </w:rPr>
              <w:t>~0.0</w:t>
            </w:r>
            <w:r>
              <w:rPr>
                <w:rFonts w:hint="eastAsia" w:cs="Times New Roman"/>
                <w:lang w:val="en-US" w:eastAsia="zh-CN"/>
              </w:rPr>
              <w:t>36</w:t>
            </w:r>
            <w:r>
              <w:rPr>
                <w:rFonts w:hint="default" w:ascii="Times New Roman" w:hAnsi="Times New Roman" w:cs="Times New Roman"/>
              </w:rPr>
              <w:t>kg/h之间</w:t>
            </w:r>
            <w:r>
              <w:rPr>
                <w:rFonts w:hint="eastAsia" w:ascii="Times New Roman" w:hAnsi="Times New Roman" w:cs="Times New Roman"/>
                <w:lang w:eastAsia="zh-CN"/>
              </w:rPr>
              <w:t>。</w:t>
            </w:r>
            <w:r>
              <w:rPr>
                <w:rFonts w:hint="default" w:ascii="Times New Roman" w:hAnsi="Times New Roman" w:cs="Times New Roman"/>
              </w:rPr>
              <w:t>项目</w:t>
            </w:r>
            <w:r>
              <w:rPr>
                <w:rFonts w:hint="eastAsia" w:cs="Times New Roman"/>
                <w:color w:val="000000"/>
                <w:kern w:val="0"/>
                <w:szCs w:val="21"/>
                <w:lang w:val="en-US" w:eastAsia="zh-CN" w:bidi="ar"/>
              </w:rPr>
              <w:t>锅炉</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颗粒物</w:t>
            </w:r>
            <w:r>
              <w:rPr>
                <w:rFonts w:hint="default" w:ascii="Times New Roman" w:hAnsi="Times New Roman" w:cs="Times New Roman"/>
              </w:rPr>
              <w:t>浓度在</w:t>
            </w:r>
            <w:r>
              <w:rPr>
                <w:rFonts w:hint="eastAsia" w:cs="Times New Roman"/>
                <w:lang w:val="en-US" w:eastAsia="zh-CN"/>
              </w:rPr>
              <w:t>5.7</w:t>
            </w:r>
            <w:r>
              <w:rPr>
                <w:rFonts w:hint="default" w:ascii="Times New Roman" w:hAnsi="Times New Roman" w:cs="Times New Roman"/>
              </w:rPr>
              <w:t>~</w:t>
            </w:r>
            <w:r>
              <w:rPr>
                <w:rFonts w:hint="eastAsia" w:cs="Times New Roman"/>
                <w:lang w:val="en-US" w:eastAsia="zh-CN"/>
              </w:rPr>
              <w:t>6.4</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07</w:t>
            </w:r>
            <w:r>
              <w:rPr>
                <w:rFonts w:hint="default" w:ascii="Times New Roman" w:hAnsi="Times New Roman" w:cs="Times New Roman"/>
              </w:rPr>
              <w:t>~0.0</w:t>
            </w:r>
            <w:r>
              <w:rPr>
                <w:rFonts w:hint="eastAsia" w:cs="Times New Roman"/>
                <w:lang w:val="en-US" w:eastAsia="zh-CN"/>
              </w:rPr>
              <w:t>08</w:t>
            </w:r>
            <w:r>
              <w:rPr>
                <w:rFonts w:hint="default" w:ascii="Times New Roman" w:hAnsi="Times New Roman" w:cs="Times New Roman"/>
              </w:rPr>
              <w:t>kg/h之间</w:t>
            </w:r>
            <w:r>
              <w:rPr>
                <w:rFonts w:hint="eastAsia" w:ascii="Times New Roman" w:hAnsi="Times New Roman" w:cs="Times New Roman"/>
                <w:lang w:eastAsia="zh-CN"/>
              </w:rPr>
              <w:t>，</w:t>
            </w:r>
            <w:r>
              <w:rPr>
                <w:rFonts w:hint="default" w:ascii="Times New Roman" w:hAnsi="Times New Roman" w:cs="Times New Roman"/>
              </w:rPr>
              <w:t>排放浓度</w:t>
            </w:r>
            <w:r>
              <w:rPr>
                <w:rFonts w:hint="eastAsia" w:ascii="Times New Roman" w:hAnsi="Times New Roman" w:cs="Times New Roman"/>
                <w:lang w:val="en-US" w:eastAsia="zh-CN"/>
              </w:rPr>
              <w:t>均</w:t>
            </w:r>
            <w:r>
              <w:rPr>
                <w:rFonts w:hint="default" w:ascii="Times New Roman" w:hAnsi="Times New Roman" w:cs="Times New Roman"/>
              </w:rPr>
              <w:t>满足《</w:t>
            </w:r>
            <w:r>
              <w:rPr>
                <w:rFonts w:hint="eastAsia" w:cs="Times New Roman"/>
                <w:lang w:val="en-US" w:eastAsia="zh-CN"/>
              </w:rPr>
              <w:t>锅炉大气污染物排放标准</w:t>
            </w:r>
            <w:r>
              <w:rPr>
                <w:rFonts w:hint="default" w:ascii="Times New Roman" w:hAnsi="Times New Roman" w:cs="Times New Roman"/>
              </w:rPr>
              <w:t>》（</w:t>
            </w:r>
            <w:r>
              <w:rPr>
                <w:rFonts w:hint="eastAsia" w:cs="Times New Roman"/>
                <w:lang w:val="en-US" w:eastAsia="zh-CN"/>
              </w:rPr>
              <w:t>G</w:t>
            </w:r>
            <w:r>
              <w:rPr>
                <w:rFonts w:hint="default" w:ascii="Times New Roman" w:hAnsi="Times New Roman" w:cs="Times New Roman"/>
              </w:rPr>
              <w:t>B</w:t>
            </w:r>
            <w:r>
              <w:rPr>
                <w:rFonts w:hint="eastAsia" w:cs="Times New Roman"/>
                <w:lang w:val="en-US" w:eastAsia="zh-CN"/>
              </w:rPr>
              <w:t>13271-2014</w:t>
            </w:r>
            <w:r>
              <w:rPr>
                <w:rFonts w:hint="default" w:ascii="Times New Roman" w:hAnsi="Times New Roman" w:cs="Times New Roman"/>
              </w:rPr>
              <w:t>）中相关限值要求。</w:t>
            </w:r>
            <w:r>
              <w:rPr>
                <w:rFonts w:hint="eastAsia" w:ascii="Times New Roman" w:hAnsi="Times New Roman" w:cs="Times New Roman"/>
                <w:lang w:val="en-US" w:eastAsia="zh-CN"/>
              </w:rPr>
              <w:t>同时，</w:t>
            </w:r>
            <w:r>
              <w:rPr>
                <w:rFonts w:hint="default" w:ascii="Times New Roman" w:hAnsi="Times New Roman" w:cs="Times New Roman"/>
                <w:color w:val="auto"/>
                <w:kern w:val="0"/>
                <w:sz w:val="24"/>
              </w:rPr>
              <w:t>NOx排放</w:t>
            </w:r>
            <w:r>
              <w:rPr>
                <w:rFonts w:hint="eastAsia" w:cs="Times New Roman"/>
                <w:color w:val="auto"/>
                <w:kern w:val="0"/>
                <w:sz w:val="24"/>
                <w:lang w:val="en-US" w:eastAsia="zh-CN"/>
              </w:rPr>
              <w:t>可以满足</w:t>
            </w:r>
            <w:r>
              <w:rPr>
                <w:rFonts w:hint="default" w:ascii="Times New Roman" w:hAnsi="Times New Roman" w:cs="Times New Roman"/>
                <w:color w:val="auto"/>
                <w:kern w:val="0"/>
                <w:sz w:val="24"/>
              </w:rPr>
              <w:t>安徽省大气办关于印发《安徽省2020年大气污染防治重点工作任务》的通知（皖大气办[2020]2号）中的要求</w:t>
            </w:r>
            <w:r>
              <w:rPr>
                <w:rFonts w:hint="eastAsia" w:cs="Times New Roman"/>
                <w:color w:val="auto"/>
                <w:kern w:val="0"/>
                <w:sz w:val="24"/>
                <w:lang w:eastAsia="zh-CN"/>
              </w:rPr>
              <w:t>（</w:t>
            </w:r>
            <w:r>
              <w:rPr>
                <w:rFonts w:hint="eastAsia" w:cs="Times New Roman"/>
                <w:lang w:val="en-US" w:eastAsia="zh-CN"/>
              </w:rPr>
              <w:t>50</w:t>
            </w:r>
            <w:r>
              <w:rPr>
                <w:rFonts w:hint="default" w:ascii="Times New Roman" w:hAnsi="Times New Roman" w:cs="Times New Roman"/>
              </w:rPr>
              <w:t>mg/m</w:t>
            </w:r>
            <w:r>
              <w:rPr>
                <w:rFonts w:hint="default" w:ascii="Times New Roman" w:hAnsi="Times New Roman" w:cs="Times New Roman"/>
                <w:vertAlign w:val="superscript"/>
              </w:rPr>
              <w:t>3</w:t>
            </w:r>
            <w:r>
              <w:rPr>
                <w:rFonts w:hint="eastAsia" w:cs="Times New Roman"/>
                <w:color w:val="auto"/>
                <w:kern w:val="0"/>
                <w:sz w:val="24"/>
                <w:lang w:eastAsia="zh-CN"/>
              </w:rPr>
              <w:t>）</w:t>
            </w:r>
            <w:r>
              <w:rPr>
                <w:rFonts w:hint="default" w:ascii="Times New Roman" w:hAnsi="Times New Roman" w:cs="Times New Roman"/>
              </w:rPr>
              <w:t>。</w:t>
            </w:r>
          </w:p>
          <w:p>
            <w:pPr>
              <w:pStyle w:val="111"/>
              <w:rPr>
                <w:rFonts w:hint="eastAsia" w:ascii="Times New Roman" w:hAnsi="Times New Roman" w:eastAsia="宋体" w:cs="Times New Roman"/>
                <w:lang w:val="en-US" w:eastAsia="zh-CN"/>
              </w:rPr>
            </w:pPr>
            <w:r>
              <w:rPr>
                <w:rFonts w:hint="default" w:ascii="Times New Roman" w:hAnsi="Times New Roman" w:cs="Times New Roman"/>
              </w:rPr>
              <w:t>验收监测期间，项目</w:t>
            </w:r>
            <w:r>
              <w:rPr>
                <w:rFonts w:hint="eastAsia" w:cs="Times New Roman"/>
                <w:color w:val="000000"/>
                <w:kern w:val="0"/>
                <w:szCs w:val="21"/>
                <w:lang w:val="en-US" w:eastAsia="zh-CN" w:bidi="ar"/>
              </w:rPr>
              <w:t>硫化</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非甲烷总烃</w:t>
            </w:r>
            <w:r>
              <w:rPr>
                <w:rFonts w:hint="default" w:ascii="Times New Roman" w:hAnsi="Times New Roman" w:cs="Times New Roman"/>
              </w:rPr>
              <w:t>浓度在</w:t>
            </w:r>
            <w:r>
              <w:rPr>
                <w:rFonts w:hint="eastAsia" w:cs="Times New Roman"/>
                <w:lang w:val="en-US" w:eastAsia="zh-CN"/>
              </w:rPr>
              <w:t>1.58</w:t>
            </w:r>
            <w:r>
              <w:rPr>
                <w:rFonts w:hint="default" w:ascii="Times New Roman" w:hAnsi="Times New Roman" w:cs="Times New Roman"/>
              </w:rPr>
              <w:t>~</w:t>
            </w:r>
            <w:r>
              <w:rPr>
                <w:rFonts w:hint="eastAsia" w:cs="Times New Roman"/>
                <w:lang w:val="en-US" w:eastAsia="zh-CN"/>
              </w:rPr>
              <w:t>1.97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24</w:t>
            </w:r>
            <w:r>
              <w:rPr>
                <w:rFonts w:hint="default" w:ascii="Times New Roman" w:hAnsi="Times New Roman" w:cs="Times New Roman"/>
              </w:rPr>
              <w:t>~0.0</w:t>
            </w:r>
            <w:r>
              <w:rPr>
                <w:rFonts w:hint="eastAsia" w:cs="Times New Roman"/>
                <w:lang w:val="en-US" w:eastAsia="zh-CN"/>
              </w:rPr>
              <w:t>31</w:t>
            </w:r>
            <w:r>
              <w:rPr>
                <w:rFonts w:hint="default" w:ascii="Times New Roman" w:hAnsi="Times New Roman" w:cs="Times New Roman"/>
              </w:rPr>
              <w:t>kg/h之间，排放浓度及排放速率满足</w:t>
            </w:r>
            <w:r>
              <w:rPr>
                <w:rFonts w:hint="default" w:ascii="Times New Roman" w:hAnsi="Times New Roman" w:cs="Times New Roman"/>
                <w:lang w:val="en-US" w:eastAsia="zh-CN"/>
              </w:rPr>
              <w:t>《橡胶制品工业污染物排放标准》（GB27632-2011）</w:t>
            </w:r>
            <w:r>
              <w:rPr>
                <w:rFonts w:hint="default" w:ascii="Times New Roman" w:hAnsi="Times New Roman" w:cs="Times New Roman"/>
              </w:rPr>
              <w:t>中相关限值要求。</w:t>
            </w:r>
            <w:r>
              <w:rPr>
                <w:rFonts w:hint="eastAsia" w:cs="Times New Roman"/>
                <w:lang w:val="en-US" w:eastAsia="zh-CN"/>
              </w:rPr>
              <w:t>硫化废气中H</w:t>
            </w:r>
            <w:r>
              <w:rPr>
                <w:rFonts w:hint="eastAsia" w:cs="Times New Roman"/>
                <w:vertAlign w:val="subscript"/>
                <w:lang w:val="en-US" w:eastAsia="zh-CN"/>
              </w:rPr>
              <w:t>2</w:t>
            </w:r>
            <w:r>
              <w:rPr>
                <w:rFonts w:hint="eastAsia" w:cs="Times New Roman"/>
                <w:lang w:val="en-US" w:eastAsia="zh-CN"/>
              </w:rPr>
              <w:t>S排放浓度</w:t>
            </w:r>
            <w:r>
              <w:rPr>
                <w:rFonts w:hint="default" w:ascii="Times New Roman" w:hAnsi="Times New Roman" w:cs="Times New Roman"/>
              </w:rPr>
              <w:t>在</w:t>
            </w:r>
            <w:r>
              <w:rPr>
                <w:rFonts w:hint="eastAsia" w:cs="Times New Roman"/>
                <w:lang w:val="en-US" w:eastAsia="zh-CN"/>
              </w:rPr>
              <w:t>0.11</w:t>
            </w:r>
            <w:r>
              <w:rPr>
                <w:rFonts w:hint="default" w:ascii="Times New Roman" w:hAnsi="Times New Roman" w:cs="Times New Roman"/>
              </w:rPr>
              <w:t>~</w:t>
            </w:r>
            <w:r>
              <w:rPr>
                <w:rFonts w:hint="eastAsia" w:cs="Times New Roman"/>
                <w:lang w:val="en-US" w:eastAsia="zh-CN"/>
              </w:rPr>
              <w:t>0.18</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w:t>
            </w:r>
            <w:r>
              <w:rPr>
                <w:rFonts w:hint="eastAsia" w:ascii="Times New Roman" w:hAnsi="Times New Roman" w:cs="Times New Roman"/>
                <w:lang w:eastAsia="zh-CN"/>
              </w:rPr>
              <w:t>，</w:t>
            </w:r>
            <w:r>
              <w:rPr>
                <w:rFonts w:hint="default" w:ascii="Times New Roman" w:hAnsi="Times New Roman" w:cs="Times New Roman"/>
              </w:rPr>
              <w:t>排放浓度满足</w:t>
            </w:r>
            <w:r>
              <w:rPr>
                <w:color w:val="auto"/>
                <w:szCs w:val="21"/>
              </w:rPr>
              <w:t>《恶臭污染物排放标准》（GB14554-93）</w:t>
            </w:r>
            <w:r>
              <w:rPr>
                <w:rFonts w:hint="default" w:ascii="Times New Roman" w:hAnsi="Times New Roman" w:cs="Times New Roman"/>
              </w:rPr>
              <w:t>中相关限值要求</w:t>
            </w:r>
            <w:r>
              <w:rPr>
                <w:rFonts w:hint="eastAsia" w:ascii="Times New Roman" w:hAnsi="Times New Roman" w:cs="Times New Roman"/>
                <w:lang w:eastAsia="zh-CN"/>
              </w:rPr>
              <w:t>。</w:t>
            </w:r>
          </w:p>
          <w:p>
            <w:pPr>
              <w:pStyle w:val="111"/>
              <w:rPr>
                <w:rFonts w:hint="default" w:ascii="Times New Roman" w:hAnsi="Times New Roman" w:cs="Times New Roman"/>
                <w:color w:val="auto"/>
              </w:rPr>
            </w:pPr>
            <w:r>
              <w:rPr>
                <w:rFonts w:hint="default" w:ascii="Times New Roman" w:hAnsi="Times New Roman" w:cs="Times New Roman"/>
                <w:color w:val="auto"/>
              </w:rPr>
              <w:t>（2）无组织</w:t>
            </w:r>
          </w:p>
          <w:p>
            <w:pPr>
              <w:pStyle w:val="111"/>
              <w:rPr>
                <w:rFonts w:hint="eastAsia" w:ascii="Times New Roman" w:hAnsi="Times New Roman" w:eastAsia="宋体" w:cs="Times New Roman"/>
                <w:color w:val="auto"/>
                <w:lang w:eastAsia="zh-CN"/>
              </w:rPr>
            </w:pPr>
            <w:r>
              <w:rPr>
                <w:rFonts w:hint="default" w:ascii="Times New Roman" w:hAnsi="Times New Roman" w:cs="Times New Roman"/>
                <w:color w:val="auto"/>
              </w:rPr>
              <w:t>厂界上风向非甲烷总烃一次值浓度范围为</w:t>
            </w:r>
            <w:r>
              <w:rPr>
                <w:rFonts w:hint="eastAsia" w:cs="Times New Roman"/>
                <w:color w:val="auto"/>
                <w:lang w:val="en-US" w:eastAsia="zh-CN"/>
              </w:rPr>
              <w:t>0.76</w:t>
            </w:r>
            <w:r>
              <w:rPr>
                <w:rFonts w:hint="default" w:ascii="Times New Roman" w:hAnsi="Times New Roman" w:cs="Times New Roman"/>
                <w:color w:val="auto"/>
              </w:rPr>
              <w:t>~</w:t>
            </w:r>
            <w:r>
              <w:rPr>
                <w:rFonts w:hint="eastAsia" w:cs="Times New Roman"/>
                <w:color w:val="auto"/>
                <w:lang w:val="en-US" w:eastAsia="zh-CN"/>
              </w:rPr>
              <w:t>0.88</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，下风向非甲烷总烃一次值浓度范围为</w:t>
            </w:r>
            <w:r>
              <w:rPr>
                <w:rFonts w:hint="eastAsia" w:cs="Times New Roman"/>
                <w:color w:val="auto"/>
                <w:lang w:val="en-US" w:eastAsia="zh-CN"/>
              </w:rPr>
              <w:t>0.93</w:t>
            </w:r>
            <w:r>
              <w:rPr>
                <w:rFonts w:hint="default" w:ascii="Times New Roman" w:hAnsi="Times New Roman" w:cs="Times New Roman"/>
                <w:color w:val="auto"/>
              </w:rPr>
              <w:t>~1.</w:t>
            </w:r>
            <w:r>
              <w:rPr>
                <w:rFonts w:hint="eastAsia" w:cs="Times New Roman"/>
                <w:color w:val="auto"/>
                <w:lang w:val="en-US" w:eastAsia="zh-CN"/>
              </w:rPr>
              <w:t>06</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，满足满足</w:t>
            </w:r>
            <w:r>
              <w:rPr>
                <w:rFonts w:hint="default" w:ascii="Times New Roman" w:hAnsi="Times New Roman" w:cs="Times New Roman"/>
                <w:color w:val="auto"/>
                <w:lang w:val="en-US" w:eastAsia="zh-CN"/>
              </w:rPr>
              <w:t>《橡胶制品工业污染物排放标准》（GB27632-2011）</w:t>
            </w:r>
            <w:r>
              <w:rPr>
                <w:rFonts w:hint="eastAsia" w:ascii="Times New Roman" w:hAnsi="Times New Roman" w:cs="Times New Roman"/>
                <w:color w:val="auto"/>
                <w:lang w:val="en-US" w:eastAsia="zh-CN"/>
              </w:rPr>
              <w:t>中</w:t>
            </w:r>
            <w:r>
              <w:rPr>
                <w:rFonts w:hint="default" w:ascii="Times New Roman" w:hAnsi="Times New Roman" w:cs="Times New Roman"/>
                <w:color w:val="auto"/>
              </w:rPr>
              <w:t>企业边界大气污染物浓度限值（4.0mg/m</w:t>
            </w:r>
            <w:r>
              <w:rPr>
                <w:rFonts w:hint="default" w:ascii="Times New Roman" w:hAnsi="Times New Roman" w:cs="Times New Roman"/>
                <w:color w:val="auto"/>
                <w:vertAlign w:val="superscript"/>
              </w:rPr>
              <w:t>3</w:t>
            </w:r>
            <w:r>
              <w:rPr>
                <w:rFonts w:hint="default" w:ascii="Times New Roman" w:hAnsi="Times New Roman" w:cs="Times New Roman"/>
                <w:color w:val="auto"/>
              </w:rPr>
              <w:t>）；厂界上风向颗粒物一次值浓度范围为0.153~0.173mg/m</w:t>
            </w:r>
            <w:r>
              <w:rPr>
                <w:rFonts w:hint="default" w:ascii="Times New Roman" w:hAnsi="Times New Roman" w:cs="Times New Roman"/>
                <w:color w:val="auto"/>
                <w:vertAlign w:val="superscript"/>
              </w:rPr>
              <w:t>3</w:t>
            </w:r>
            <w:r>
              <w:rPr>
                <w:rFonts w:hint="default" w:ascii="Times New Roman" w:hAnsi="Times New Roman" w:cs="Times New Roman"/>
                <w:color w:val="auto"/>
              </w:rPr>
              <w:t>，下风向颗粒物一次值浓度范围为0.</w:t>
            </w:r>
            <w:r>
              <w:rPr>
                <w:rFonts w:hint="eastAsia" w:cs="Times New Roman"/>
                <w:color w:val="auto"/>
                <w:lang w:val="en-US" w:eastAsia="zh-CN"/>
              </w:rPr>
              <w:t>186~</w:t>
            </w:r>
            <w:r>
              <w:rPr>
                <w:rFonts w:hint="default" w:ascii="Times New Roman" w:hAnsi="Times New Roman" w:cs="Times New Roman"/>
                <w:color w:val="auto"/>
              </w:rPr>
              <w:t>0.</w:t>
            </w:r>
            <w:r>
              <w:rPr>
                <w:rFonts w:hint="eastAsia" w:cs="Times New Roman"/>
                <w:color w:val="auto"/>
                <w:lang w:val="en-US" w:eastAsia="zh-CN"/>
              </w:rPr>
              <w:t>193</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cs="Times New Roman"/>
                <w:color w:val="auto"/>
                <w:vertAlign w:val="baseline"/>
                <w:lang w:eastAsia="zh-CN"/>
              </w:rPr>
              <w:t>；</w:t>
            </w:r>
          </w:p>
          <w:p>
            <w:pPr>
              <w:pStyle w:val="111"/>
              <w:rPr>
                <w:rFonts w:hint="default" w:ascii="Times New Roman" w:hAnsi="Times New Roman" w:cs="Times New Roman"/>
                <w:color w:val="0000FF"/>
              </w:rPr>
            </w:pPr>
            <w:r>
              <w:rPr>
                <w:rFonts w:hint="eastAsia" w:cs="Times New Roman"/>
                <w:color w:val="auto"/>
                <w:lang w:val="en-US" w:eastAsia="zh-CN"/>
              </w:rPr>
              <w:t>3#生产</w:t>
            </w:r>
            <w:r>
              <w:rPr>
                <w:rFonts w:hint="default" w:ascii="Times New Roman" w:hAnsi="Times New Roman" w:cs="Times New Roman"/>
                <w:color w:val="auto"/>
              </w:rPr>
              <w:t>车间外非甲烷总烃一次浓度值为1.</w:t>
            </w:r>
            <w:r>
              <w:rPr>
                <w:rFonts w:hint="eastAsia" w:cs="Times New Roman"/>
                <w:color w:val="auto"/>
                <w:lang w:val="en-US" w:eastAsia="zh-CN"/>
              </w:rPr>
              <w:t>11</w:t>
            </w:r>
            <w:r>
              <w:rPr>
                <w:rFonts w:hint="default" w:ascii="Times New Roman" w:hAnsi="Times New Roman" w:cs="Times New Roman"/>
                <w:color w:val="auto"/>
              </w:rPr>
              <w:t>~1.</w:t>
            </w:r>
            <w:r>
              <w:rPr>
                <w:rFonts w:hint="eastAsia" w:cs="Times New Roman"/>
                <w:color w:val="auto"/>
                <w:lang w:val="en-US" w:eastAsia="zh-CN"/>
              </w:rPr>
              <w:t>22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可以</w:t>
            </w:r>
            <w:r>
              <w:rPr>
                <w:rFonts w:hint="default" w:ascii="Times New Roman" w:hAnsi="Times New Roman" w:cs="Times New Roman"/>
                <w:color w:val="auto"/>
              </w:rPr>
              <w:t>满足《挥发性有机物无组织排放控制标准》（GB37822-2019）特别排放限值要求（20mg/m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1"/>
              <w:ind w:firstLine="482"/>
              <w:rPr>
                <w:rFonts w:hint="default" w:ascii="Times New Roman" w:hAnsi="Times New Roman" w:cs="Times New Roman"/>
                <w:b/>
                <w:bCs/>
              </w:rPr>
            </w:pPr>
            <w:r>
              <w:rPr>
                <w:rFonts w:hint="default" w:ascii="Times New Roman" w:hAnsi="Times New Roman" w:cs="Times New Roman"/>
                <w:b/>
                <w:bCs/>
              </w:rPr>
              <w:t>2、废水检测结果分析</w:t>
            </w:r>
          </w:p>
          <w:p>
            <w:pPr>
              <w:pStyle w:val="111"/>
              <w:rPr>
                <w:rFonts w:hint="default" w:ascii="Times New Roman" w:hAnsi="Times New Roman" w:cs="Times New Roman"/>
              </w:rPr>
            </w:pPr>
            <w:r>
              <w:rPr>
                <w:rFonts w:hint="default" w:ascii="Times New Roman" w:hAnsi="Times New Roman" w:cs="Times New Roman"/>
              </w:rPr>
              <w:t>根据检测结果，项目污水总排口pH值在7.</w:t>
            </w:r>
            <w:r>
              <w:rPr>
                <w:rFonts w:hint="eastAsia" w:cs="Times New Roman"/>
                <w:lang w:val="en-US" w:eastAsia="zh-CN"/>
              </w:rPr>
              <w:t>3</w:t>
            </w:r>
            <w:r>
              <w:rPr>
                <w:rFonts w:hint="default" w:ascii="Times New Roman" w:hAnsi="Times New Roman" w:cs="Times New Roman"/>
              </w:rPr>
              <w:t>~7.</w:t>
            </w:r>
            <w:r>
              <w:rPr>
                <w:rFonts w:hint="eastAsia" w:cs="Times New Roman"/>
                <w:lang w:val="en-US" w:eastAsia="zh-CN"/>
              </w:rPr>
              <w:t>8</w:t>
            </w:r>
            <w:r>
              <w:rPr>
                <w:rFonts w:hint="default" w:ascii="Times New Roman" w:hAnsi="Times New Roman" w:cs="Times New Roman"/>
              </w:rPr>
              <w:t>之间，SS浓度范围在</w:t>
            </w:r>
            <w:r>
              <w:rPr>
                <w:rFonts w:hint="eastAsia" w:cs="Times New Roman"/>
                <w:lang w:val="en-US" w:eastAsia="zh-CN"/>
              </w:rPr>
              <w:t>103</w:t>
            </w:r>
            <w:r>
              <w:rPr>
                <w:rFonts w:hint="default" w:ascii="Times New Roman" w:hAnsi="Times New Roman" w:cs="Times New Roman"/>
              </w:rPr>
              <w:t>~</w:t>
            </w:r>
            <w:r>
              <w:rPr>
                <w:rFonts w:hint="eastAsia" w:cs="Times New Roman"/>
                <w:lang w:val="en-US" w:eastAsia="zh-CN"/>
              </w:rPr>
              <w:t>117</w:t>
            </w:r>
            <w:r>
              <w:rPr>
                <w:rFonts w:hint="default" w:ascii="Times New Roman" w:hAnsi="Times New Roman" w:cs="Times New Roman"/>
              </w:rPr>
              <w:t>mg/L，氨氮浓度范围在</w:t>
            </w:r>
            <w:r>
              <w:rPr>
                <w:rFonts w:hint="eastAsia" w:cs="Times New Roman"/>
                <w:lang w:val="en-US" w:eastAsia="zh-CN"/>
              </w:rPr>
              <w:t>8.49</w:t>
            </w:r>
            <w:r>
              <w:rPr>
                <w:rFonts w:hint="default" w:ascii="Times New Roman" w:hAnsi="Times New Roman" w:cs="Times New Roman"/>
              </w:rPr>
              <w:t>~</w:t>
            </w:r>
            <w:r>
              <w:rPr>
                <w:rFonts w:hint="eastAsia" w:cs="Times New Roman"/>
                <w:lang w:val="en-US" w:eastAsia="zh-CN"/>
              </w:rPr>
              <w:t>9.38</w:t>
            </w:r>
            <w:r>
              <w:rPr>
                <w:rFonts w:hint="default" w:ascii="Times New Roman" w:hAnsi="Times New Roman" w:cs="Times New Roman"/>
              </w:rPr>
              <w:t>mg/L，COD浓度范围在</w:t>
            </w:r>
            <w:r>
              <w:rPr>
                <w:rFonts w:hint="eastAsia" w:cs="Times New Roman"/>
                <w:lang w:val="en-US" w:eastAsia="zh-CN"/>
              </w:rPr>
              <w:t>144</w:t>
            </w:r>
            <w:r>
              <w:rPr>
                <w:rFonts w:hint="default" w:ascii="Times New Roman" w:hAnsi="Times New Roman" w:cs="Times New Roman"/>
              </w:rPr>
              <w:t>~1</w:t>
            </w:r>
            <w:r>
              <w:rPr>
                <w:rFonts w:hint="eastAsia" w:cs="Times New Roman"/>
                <w:lang w:val="en-US" w:eastAsia="zh-CN"/>
              </w:rPr>
              <w:t>57</w:t>
            </w:r>
            <w:r>
              <w:rPr>
                <w:rFonts w:hint="default" w:ascii="Times New Roman" w:hAnsi="Times New Roman" w:cs="Times New Roman"/>
              </w:rPr>
              <w:t>mg/L，BOD</w:t>
            </w:r>
            <w:r>
              <w:rPr>
                <w:rFonts w:hint="default" w:ascii="Times New Roman" w:hAnsi="Times New Roman" w:cs="Times New Roman"/>
                <w:vertAlign w:val="subscript"/>
              </w:rPr>
              <w:t>5</w:t>
            </w:r>
            <w:r>
              <w:rPr>
                <w:rFonts w:hint="default" w:ascii="Times New Roman" w:hAnsi="Times New Roman" w:cs="Times New Roman"/>
              </w:rPr>
              <w:t>浓度范围在</w:t>
            </w:r>
            <w:r>
              <w:rPr>
                <w:rFonts w:hint="eastAsia" w:cs="Times New Roman"/>
                <w:lang w:val="en-US" w:eastAsia="zh-CN"/>
              </w:rPr>
              <w:t>50.4</w:t>
            </w:r>
            <w:r>
              <w:rPr>
                <w:rFonts w:hint="default" w:ascii="Times New Roman" w:hAnsi="Times New Roman" w:cs="Times New Roman"/>
              </w:rPr>
              <w:t>~</w:t>
            </w:r>
            <w:r>
              <w:rPr>
                <w:rFonts w:hint="eastAsia" w:cs="Times New Roman"/>
                <w:lang w:val="en-US" w:eastAsia="zh-CN"/>
              </w:rPr>
              <w:t>54.9</w:t>
            </w:r>
            <w:r>
              <w:rPr>
                <w:rFonts w:hint="default" w:ascii="Times New Roman" w:hAnsi="Times New Roman" w:cs="Times New Roman"/>
              </w:rPr>
              <w:t>mg/L，TP浓度范围在0.7</w:t>
            </w:r>
            <w:r>
              <w:rPr>
                <w:rFonts w:hint="eastAsia" w:cs="Times New Roman"/>
                <w:lang w:val="en-US" w:eastAsia="zh-CN"/>
              </w:rPr>
              <w:t>8</w:t>
            </w:r>
            <w:r>
              <w:rPr>
                <w:rFonts w:hint="default" w:ascii="Times New Roman" w:hAnsi="Times New Roman" w:cs="Times New Roman"/>
              </w:rPr>
              <w:t>~0.</w:t>
            </w:r>
            <w:r>
              <w:rPr>
                <w:rFonts w:hint="eastAsia" w:cs="Times New Roman"/>
                <w:lang w:val="en-US" w:eastAsia="zh-CN"/>
              </w:rPr>
              <w:t>94</w:t>
            </w:r>
            <w:r>
              <w:rPr>
                <w:rFonts w:hint="default" w:ascii="Times New Roman" w:hAnsi="Times New Roman" w:cs="Times New Roman"/>
              </w:rPr>
              <w:t>mg/L，动植物油浓度范围在</w:t>
            </w:r>
            <w:r>
              <w:rPr>
                <w:rFonts w:hint="eastAsia" w:cs="Times New Roman"/>
                <w:lang w:val="en-US" w:eastAsia="zh-CN"/>
              </w:rPr>
              <w:t>3.76</w:t>
            </w:r>
            <w:r>
              <w:rPr>
                <w:rFonts w:hint="default" w:ascii="Times New Roman" w:hAnsi="Times New Roman" w:cs="Times New Roman"/>
              </w:rPr>
              <w:t>~</w:t>
            </w:r>
            <w:r>
              <w:rPr>
                <w:rFonts w:hint="eastAsia" w:cs="Times New Roman"/>
                <w:lang w:val="en-US" w:eastAsia="zh-CN"/>
              </w:rPr>
              <w:t>4.11</w:t>
            </w:r>
            <w:r>
              <w:rPr>
                <w:rFonts w:hint="default" w:ascii="Times New Roman" w:hAnsi="Times New Roman" w:cs="Times New Roman"/>
              </w:rPr>
              <w:t>mg/L，石油类浓度范围在</w:t>
            </w:r>
            <w:r>
              <w:rPr>
                <w:rFonts w:hint="eastAsia" w:cs="Times New Roman"/>
                <w:lang w:val="en-US" w:eastAsia="zh-CN"/>
              </w:rPr>
              <w:t>3.13</w:t>
            </w:r>
            <w:r>
              <w:rPr>
                <w:rFonts w:hint="default" w:ascii="Times New Roman" w:hAnsi="Times New Roman" w:cs="Times New Roman"/>
              </w:rPr>
              <w:t>~</w:t>
            </w:r>
            <w:r>
              <w:rPr>
                <w:rFonts w:hint="eastAsia" w:cs="Times New Roman"/>
                <w:lang w:val="en-US" w:eastAsia="zh-CN"/>
              </w:rPr>
              <w:t>3.57</w:t>
            </w:r>
            <w:r>
              <w:rPr>
                <w:rFonts w:hint="default" w:ascii="Times New Roman" w:hAnsi="Times New Roman" w:cs="Times New Roman"/>
              </w:rPr>
              <w:t>mg/L，均满足</w:t>
            </w:r>
            <w:r>
              <w:rPr>
                <w:rFonts w:hint="default" w:ascii="Times New Roman" w:hAnsi="Times New Roman" w:cs="Times New Roman"/>
                <w:kern w:val="0"/>
                <w:sz w:val="24"/>
                <w:szCs w:val="24"/>
                <w:lang w:val="en-US" w:eastAsia="zh-CN"/>
              </w:rPr>
              <w:t>《橡胶制品工业污染物排放标准》(GB27632-2011)</w:t>
            </w:r>
            <w:r>
              <w:rPr>
                <w:rFonts w:hint="eastAsia" w:ascii="Times New Roman" w:hAnsi="Times New Roman" w:cs="Times New Roman"/>
                <w:kern w:val="0"/>
                <w:sz w:val="24"/>
                <w:szCs w:val="24"/>
                <w:lang w:val="en-US" w:eastAsia="zh-CN"/>
              </w:rPr>
              <w:t>表2中新建企业水污染物间接排放标准限值和南山园区</w:t>
            </w:r>
            <w:r>
              <w:t>污水接管标准</w:t>
            </w:r>
            <w:r>
              <w:rPr>
                <w:rFonts w:hint="default" w:ascii="Times New Roman" w:hAnsi="Times New Roman" w:cs="Times New Roman"/>
              </w:rPr>
              <w:t>。</w:t>
            </w:r>
          </w:p>
          <w:p>
            <w:pPr>
              <w:pStyle w:val="111"/>
              <w:ind w:firstLine="482"/>
              <w:rPr>
                <w:rFonts w:hint="default" w:ascii="Times New Roman" w:hAnsi="Times New Roman" w:cs="Times New Roman"/>
                <w:b/>
                <w:bCs/>
              </w:rPr>
            </w:pPr>
            <w:r>
              <w:rPr>
                <w:rFonts w:hint="default" w:ascii="Times New Roman" w:hAnsi="Times New Roman" w:cs="Times New Roman"/>
                <w:b/>
                <w:bCs/>
              </w:rPr>
              <w:t>3、噪声检测结果分析</w:t>
            </w:r>
            <w:bookmarkEnd w:id="17"/>
            <w:bookmarkEnd w:id="18"/>
          </w:p>
          <w:p>
            <w:pPr>
              <w:pStyle w:val="111"/>
              <w:rPr>
                <w:rFonts w:hint="default" w:ascii="Times New Roman" w:hAnsi="Times New Roman" w:eastAsia="宋体" w:cs="Times New Roman"/>
                <w:lang w:val="en-US" w:eastAsia="zh-CN"/>
              </w:rPr>
            </w:pPr>
            <w:bookmarkStart w:id="19" w:name="_Toc497001494"/>
            <w:r>
              <w:rPr>
                <w:rFonts w:hint="default" w:ascii="Times New Roman" w:hAnsi="Times New Roman" w:cs="Times New Roman"/>
              </w:rPr>
              <w:t>经噪声检测</w:t>
            </w:r>
            <w:bookmarkEnd w:id="19"/>
            <w:r>
              <w:rPr>
                <w:rFonts w:hint="default" w:ascii="Times New Roman" w:hAnsi="Times New Roman" w:cs="Times New Roman"/>
              </w:rPr>
              <w:t>，项目东、南、西、北厂界昼间噪声值范围为5</w:t>
            </w:r>
            <w:r>
              <w:rPr>
                <w:rFonts w:hint="eastAsia" w:cs="Times New Roman"/>
                <w:lang w:val="en-US" w:eastAsia="zh-CN"/>
              </w:rPr>
              <w:t>6</w:t>
            </w:r>
            <w:r>
              <w:rPr>
                <w:rFonts w:hint="default" w:ascii="Times New Roman" w:hAnsi="Times New Roman" w:cs="Times New Roman"/>
              </w:rPr>
              <w:t>～</w:t>
            </w:r>
            <w:r>
              <w:rPr>
                <w:rFonts w:hint="eastAsia" w:cs="Times New Roman"/>
                <w:lang w:val="en-US" w:eastAsia="zh-CN"/>
              </w:rPr>
              <w:t>58</w:t>
            </w:r>
            <w:r>
              <w:rPr>
                <w:rFonts w:hint="default" w:ascii="Times New Roman" w:hAnsi="Times New Roman" w:cs="Times New Roman"/>
              </w:rPr>
              <w:t>dB（A），夜间噪声值范围为45～4</w:t>
            </w:r>
            <w:r>
              <w:rPr>
                <w:rFonts w:hint="eastAsia" w:cs="Times New Roman"/>
                <w:lang w:val="en-US" w:eastAsia="zh-CN"/>
              </w:rPr>
              <w:t>8</w:t>
            </w:r>
            <w:r>
              <w:rPr>
                <w:rFonts w:hint="default" w:ascii="Times New Roman" w:hAnsi="Times New Roman" w:cs="Times New Roman"/>
              </w:rPr>
              <w:t>dB（A）满足《工业企业厂界环境噪声排放标准》（GB12348-2008）3类标准限值</w:t>
            </w:r>
            <w:r>
              <w:rPr>
                <w:rFonts w:hint="eastAsia" w:cs="Times New Roman"/>
                <w:lang w:eastAsia="zh-CN"/>
              </w:rPr>
              <w:t>。</w:t>
            </w:r>
            <w:r>
              <w:rPr>
                <w:rFonts w:hint="eastAsia" w:cs="Times New Roman"/>
                <w:lang w:val="en-US" w:eastAsia="zh-CN"/>
              </w:rPr>
              <w:t>上杨村敏感点</w:t>
            </w:r>
            <w:r>
              <w:rPr>
                <w:rFonts w:hint="default" w:ascii="Times New Roman" w:hAnsi="Times New Roman" w:cs="Times New Roman"/>
              </w:rPr>
              <w:t>昼间噪声值范围为5</w:t>
            </w:r>
            <w:r>
              <w:rPr>
                <w:rFonts w:hint="eastAsia" w:cs="Times New Roman"/>
                <w:lang w:val="en-US" w:eastAsia="zh-CN"/>
              </w:rPr>
              <w:t>3</w:t>
            </w:r>
            <w:r>
              <w:rPr>
                <w:rFonts w:hint="default" w:ascii="Times New Roman" w:hAnsi="Times New Roman" w:cs="Times New Roman"/>
              </w:rPr>
              <w:t>～</w:t>
            </w:r>
            <w:r>
              <w:rPr>
                <w:rFonts w:hint="eastAsia" w:cs="Times New Roman"/>
                <w:lang w:val="en-US" w:eastAsia="zh-CN"/>
              </w:rPr>
              <w:t>54</w:t>
            </w:r>
            <w:r>
              <w:rPr>
                <w:rFonts w:hint="default" w:ascii="Times New Roman" w:hAnsi="Times New Roman" w:cs="Times New Roman"/>
              </w:rPr>
              <w:t>dB（A），夜间噪声值范围为4</w:t>
            </w:r>
            <w:r>
              <w:rPr>
                <w:rFonts w:hint="eastAsia" w:ascii="Times New Roman" w:hAnsi="Times New Roman" w:cs="Times New Roman"/>
                <w:lang w:val="en-US" w:eastAsia="zh-CN"/>
              </w:rPr>
              <w:t>2</w:t>
            </w:r>
            <w:r>
              <w:rPr>
                <w:rFonts w:hint="default" w:ascii="Times New Roman" w:hAnsi="Times New Roman" w:cs="Times New Roman"/>
              </w:rPr>
              <w:t>～4</w:t>
            </w:r>
            <w:r>
              <w:rPr>
                <w:rFonts w:hint="eastAsia" w:cs="Times New Roman"/>
                <w:lang w:val="en-US" w:eastAsia="zh-CN"/>
              </w:rPr>
              <w:t>3</w:t>
            </w:r>
            <w:r>
              <w:rPr>
                <w:rFonts w:hint="default" w:ascii="Times New Roman" w:hAnsi="Times New Roman" w:cs="Times New Roman"/>
              </w:rPr>
              <w:t>dB（A）</w:t>
            </w:r>
            <w:r>
              <w:rPr>
                <w:rFonts w:hint="eastAsia" w:ascii="Times New Roman" w:hAnsi="Times New Roman" w:cs="Times New Roman"/>
                <w:lang w:val="en-US" w:eastAsia="zh-CN"/>
              </w:rPr>
              <w:t>满足</w:t>
            </w:r>
            <w:r>
              <w:rPr>
                <w:rFonts w:hint="default" w:ascii="Times New Roman" w:hAnsi="Times New Roman" w:cs="Times New Roman"/>
                <w:color w:val="auto"/>
                <w:kern w:val="0"/>
                <w:sz w:val="24"/>
              </w:rPr>
              <w:t>《声环境质量标准》（GB3096-2008）</w:t>
            </w:r>
            <w:r>
              <w:rPr>
                <w:rFonts w:hint="eastAsia" w:ascii="Times New Roman" w:hAnsi="Times New Roman" w:cs="Times New Roman"/>
                <w:color w:val="auto"/>
                <w:kern w:val="0"/>
                <w:sz w:val="24"/>
                <w:lang w:val="en-US" w:eastAsia="zh-CN"/>
              </w:rPr>
              <w:t>2类区标准要求。</w:t>
            </w:r>
          </w:p>
          <w:p>
            <w:pPr>
              <w:pStyle w:val="111"/>
              <w:ind w:firstLine="482"/>
              <w:rPr>
                <w:rFonts w:hint="default" w:ascii="Times New Roman" w:hAnsi="Times New Roman" w:cs="Times New Roman"/>
                <w:b/>
                <w:bCs/>
              </w:rPr>
            </w:pPr>
            <w:r>
              <w:rPr>
                <w:rFonts w:hint="default" w:ascii="Times New Roman" w:hAnsi="Times New Roman" w:cs="Times New Roman"/>
                <w:b/>
                <w:bCs/>
              </w:rPr>
              <w:t>4、固废调查结果</w:t>
            </w:r>
          </w:p>
          <w:p>
            <w:pPr>
              <w:pStyle w:val="111"/>
              <w:rPr>
                <w:rFonts w:hint="default" w:ascii="Times New Roman" w:hAnsi="Times New Roman" w:cs="Times New Roman"/>
              </w:rPr>
            </w:pPr>
            <w:r>
              <w:rPr>
                <w:rFonts w:hint="default" w:ascii="Times New Roman" w:hAnsi="Times New Roman" w:cs="Times New Roman"/>
              </w:rPr>
              <w:t>项目危险废物收集、贮存、运输符合</w:t>
            </w:r>
            <w:r>
              <w:rPr>
                <w:rFonts w:hint="default" w:ascii="Times New Roman" w:hAnsi="Times New Roman" w:cs="Times New Roman"/>
                <w:bCs/>
              </w:rPr>
              <w:t>《危险废物贮存污染控制标准》（GB18596-2001）及其2013年修改单中的相关规定。一般工业固体废物贮存符合《一般工业固体废物贮存和填埋污染控制标准》（GB18599-2020）中的相关规定。</w:t>
            </w:r>
          </w:p>
          <w:p>
            <w:pPr>
              <w:pStyle w:val="111"/>
              <w:ind w:firstLine="482"/>
              <w:rPr>
                <w:rFonts w:hint="default" w:ascii="Times New Roman" w:hAnsi="Times New Roman" w:cs="Times New Roman"/>
                <w:b/>
                <w:bCs/>
              </w:rPr>
            </w:pPr>
          </w:p>
          <w:p>
            <w:pPr>
              <w:pStyle w:val="5"/>
              <w:rPr>
                <w:rFonts w:hint="default" w:ascii="Times New Roman" w:hAnsi="Times New Roman" w:cs="Times New Roman"/>
                <w:kern w:val="2"/>
                <w:sz w:val="24"/>
                <w:szCs w:val="24"/>
              </w:rPr>
            </w:pPr>
            <w:r>
              <w:rPr>
                <w:rFonts w:hint="default" w:ascii="Times New Roman" w:hAnsi="Times New Roman" w:cs="Times New Roman"/>
                <w:kern w:val="2"/>
                <w:sz w:val="24"/>
                <w:szCs w:val="24"/>
              </w:rPr>
              <w:t>7.4污染物排放总量核算</w:t>
            </w:r>
          </w:p>
          <w:p>
            <w:pPr>
              <w:pStyle w:val="111"/>
              <w:ind w:firstLine="482"/>
              <w:rPr>
                <w:rFonts w:hint="default" w:ascii="Times New Roman" w:hAnsi="Times New Roman" w:cs="Times New Roman"/>
                <w:b/>
                <w:bCs/>
              </w:rPr>
            </w:pPr>
            <w:r>
              <w:rPr>
                <w:rFonts w:hint="default" w:ascii="Times New Roman" w:hAnsi="Times New Roman" w:cs="Times New Roman"/>
                <w:b/>
                <w:bCs/>
              </w:rPr>
              <w:t>1、水污染物排放总量</w:t>
            </w:r>
          </w:p>
          <w:p>
            <w:pPr>
              <w:pStyle w:val="111"/>
              <w:rPr>
                <w:rFonts w:hint="default" w:ascii="Times New Roman" w:hAnsi="Times New Roman" w:cs="Times New Roman"/>
              </w:rPr>
            </w:pPr>
            <w:r>
              <w:rPr>
                <w:rFonts w:hint="default" w:ascii="Times New Roman" w:hAnsi="Times New Roman" w:cs="Times New Roman"/>
              </w:rPr>
              <w:t>本次结合企业统计的实际用水量数据并结合排污口监测数据，计算本工程主要污染物排放总量。审批部门对本项目下达污水总量控制指标</w:t>
            </w:r>
            <w:r>
              <w:rPr>
                <w:rFonts w:hint="eastAsia" w:cs="Times New Roman"/>
                <w:lang w:val="en-US" w:eastAsia="zh-CN"/>
              </w:rPr>
              <w:t>为最终排入外环境总量</w:t>
            </w:r>
            <w:r>
              <w:rPr>
                <w:rFonts w:hint="default" w:ascii="Times New Roman" w:hAnsi="Times New Roman" w:cs="Times New Roman"/>
              </w:rPr>
              <w:t>。</w:t>
            </w:r>
          </w:p>
          <w:p>
            <w:pPr>
              <w:pStyle w:val="111"/>
              <w:rPr>
                <w:rFonts w:hint="default" w:ascii="Times New Roman" w:hAnsi="Times New Roman" w:cs="Times New Roman"/>
              </w:rPr>
            </w:pPr>
            <w:r>
              <w:rPr>
                <w:rFonts w:hint="default" w:ascii="Times New Roman" w:hAnsi="Times New Roman" w:cs="Times New Roman"/>
              </w:rPr>
              <w:t>项目水污染物排放量计算情况详见下表：</w:t>
            </w:r>
          </w:p>
          <w:p>
            <w:pPr>
              <w:pStyle w:val="7"/>
              <w:numPr>
                <w:ilvl w:val="7"/>
                <w:numId w:val="0"/>
              </w:numPr>
              <w:rPr>
                <w:rFonts w:hint="default" w:ascii="Times New Roman" w:hAnsi="Times New Roman" w:cs="Times New Roman"/>
              </w:rPr>
            </w:pPr>
            <w:bookmarkStart w:id="20" w:name="_Toc7633"/>
            <w:r>
              <w:rPr>
                <w:rFonts w:hint="default" w:ascii="Times New Roman" w:hAnsi="Times New Roman" w:cs="Times New Roman"/>
              </w:rPr>
              <w:t>表7-</w:t>
            </w:r>
            <w:r>
              <w:rPr>
                <w:rFonts w:hint="eastAsia" w:cs="Times New Roman"/>
                <w:lang w:val="en-US" w:eastAsia="zh-CN"/>
              </w:rPr>
              <w:t>8</w:t>
            </w:r>
            <w:r>
              <w:rPr>
                <w:rFonts w:hint="default" w:ascii="Times New Roman" w:hAnsi="Times New Roman" w:cs="Times New Roman"/>
              </w:rPr>
              <w:t xml:space="preserve"> 水污染物排放量计算过程参数及结果一览表</w:t>
            </w:r>
            <w:bookmarkEnd w:id="20"/>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967"/>
              <w:gridCol w:w="1201"/>
              <w:gridCol w:w="1025"/>
              <w:gridCol w:w="875"/>
              <w:gridCol w:w="1060"/>
              <w:gridCol w:w="1103"/>
              <w:gridCol w:w="1103"/>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1" w:type="dxa"/>
                  <w:vMerge w:val="restart"/>
                  <w:vAlign w:val="center"/>
                </w:tcPr>
                <w:p>
                  <w:pPr>
                    <w:pStyle w:val="122"/>
                    <w:rPr>
                      <w:rFonts w:hint="default" w:ascii="Times New Roman" w:hAnsi="Times New Roman" w:cs="Times New Roman"/>
                    </w:rPr>
                  </w:pPr>
                  <w:r>
                    <w:rPr>
                      <w:rFonts w:hint="default" w:ascii="Times New Roman" w:hAnsi="Times New Roman" w:cs="Times New Roman"/>
                    </w:rPr>
                    <w:t>环节</w:t>
                  </w:r>
                </w:p>
              </w:tc>
              <w:tc>
                <w:tcPr>
                  <w:tcW w:w="967" w:type="dxa"/>
                  <w:vMerge w:val="restart"/>
                  <w:vAlign w:val="center"/>
                </w:tcPr>
                <w:p>
                  <w:pPr>
                    <w:pStyle w:val="122"/>
                    <w:rPr>
                      <w:rFonts w:hint="default" w:ascii="Times New Roman" w:hAnsi="Times New Roman" w:cs="Times New Roman"/>
                    </w:rPr>
                  </w:pPr>
                  <w:r>
                    <w:rPr>
                      <w:rFonts w:hint="default" w:ascii="Times New Roman" w:hAnsi="Times New Roman" w:cs="Times New Roman"/>
                    </w:rPr>
                    <w:t>主要污染物</w:t>
                  </w:r>
                </w:p>
              </w:tc>
              <w:tc>
                <w:tcPr>
                  <w:tcW w:w="2226" w:type="dxa"/>
                  <w:gridSpan w:val="2"/>
                  <w:vAlign w:val="center"/>
                </w:tcPr>
                <w:p>
                  <w:pPr>
                    <w:pStyle w:val="122"/>
                    <w:rPr>
                      <w:rFonts w:hint="default" w:ascii="Times New Roman" w:hAnsi="Times New Roman" w:cs="Times New Roman"/>
                    </w:rPr>
                  </w:pPr>
                  <w:r>
                    <w:rPr>
                      <w:rFonts w:hint="eastAsia" w:cs="Times New Roman"/>
                      <w:lang w:val="en-US" w:eastAsia="zh-CN"/>
                    </w:rPr>
                    <w:t>全厂</w:t>
                  </w:r>
                  <w:r>
                    <w:rPr>
                      <w:rFonts w:hint="default" w:ascii="Times New Roman" w:hAnsi="Times New Roman" w:cs="Times New Roman"/>
                    </w:rPr>
                    <w:t>接管情况</w:t>
                  </w:r>
                </w:p>
              </w:tc>
              <w:tc>
                <w:tcPr>
                  <w:tcW w:w="875" w:type="dxa"/>
                  <w:vAlign w:val="center"/>
                </w:tcPr>
                <w:p>
                  <w:pPr>
                    <w:pStyle w:val="122"/>
                    <w:rPr>
                      <w:rFonts w:hint="default" w:ascii="Times New Roman" w:hAnsi="Times New Roman" w:cs="Times New Roman"/>
                    </w:rPr>
                  </w:pPr>
                  <w:r>
                    <w:rPr>
                      <w:rFonts w:hint="default" w:ascii="Times New Roman" w:hAnsi="Times New Roman" w:cs="Times New Roman"/>
                    </w:rPr>
                    <w:t>年产生天数</w:t>
                  </w:r>
                </w:p>
              </w:tc>
              <w:tc>
                <w:tcPr>
                  <w:tcW w:w="1060" w:type="dxa"/>
                  <w:vAlign w:val="center"/>
                </w:tcPr>
                <w:p>
                  <w:pPr>
                    <w:pStyle w:val="122"/>
                    <w:rPr>
                      <w:rFonts w:hint="default" w:ascii="Times New Roman" w:hAnsi="Times New Roman" w:cs="Times New Roman"/>
                    </w:rPr>
                  </w:pPr>
                  <w:r>
                    <w:rPr>
                      <w:rFonts w:hint="default" w:ascii="Times New Roman" w:hAnsi="Times New Roman" w:cs="Times New Roman"/>
                    </w:rPr>
                    <w:t>验收实测接管量核算值</w:t>
                  </w:r>
                </w:p>
              </w:tc>
              <w:tc>
                <w:tcPr>
                  <w:tcW w:w="1103"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验收最终外排核总量</w:t>
                  </w:r>
                </w:p>
              </w:tc>
              <w:tc>
                <w:tcPr>
                  <w:tcW w:w="1103" w:type="dxa"/>
                  <w:vAlign w:val="center"/>
                </w:tcPr>
                <w:p>
                  <w:pPr>
                    <w:pStyle w:val="122"/>
                    <w:rPr>
                      <w:rFonts w:hint="default" w:ascii="Times New Roman" w:hAnsi="Times New Roman" w:eastAsia="宋体" w:cs="Times New Roman"/>
                      <w:lang w:val="en-US" w:eastAsia="zh-CN"/>
                    </w:rPr>
                  </w:pPr>
                  <w:r>
                    <w:rPr>
                      <w:rFonts w:hint="default" w:ascii="Times New Roman" w:hAnsi="Times New Roman" w:cs="Times New Roman"/>
                    </w:rPr>
                    <w:t>环评</w:t>
                  </w:r>
                  <w:r>
                    <w:rPr>
                      <w:rFonts w:hint="eastAsia" w:cs="Times New Roman"/>
                      <w:lang w:val="en-US" w:eastAsia="zh-CN"/>
                    </w:rPr>
                    <w:t>批复最终外排总量</w:t>
                  </w:r>
                </w:p>
              </w:tc>
              <w:tc>
                <w:tcPr>
                  <w:tcW w:w="1012" w:type="dxa"/>
                  <w:vAlign w:val="center"/>
                </w:tcPr>
                <w:p>
                  <w:pPr>
                    <w:pStyle w:val="122"/>
                    <w:rPr>
                      <w:rFonts w:hint="default" w:ascii="Times New Roman" w:hAnsi="Times New Roman" w:cs="Times New Roman"/>
                    </w:rPr>
                  </w:pPr>
                  <w:r>
                    <w:rPr>
                      <w:rFonts w:hint="default" w:ascii="Times New Roman" w:hAnsi="Times New Roman" w:cs="Times New Roman"/>
                    </w:rPr>
                    <w:t>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vMerge w:val="continue"/>
                  <w:vAlign w:val="center"/>
                </w:tcPr>
                <w:p>
                  <w:pPr>
                    <w:pStyle w:val="122"/>
                    <w:rPr>
                      <w:rFonts w:hint="default" w:ascii="Times New Roman" w:hAnsi="Times New Roman" w:cs="Times New Roman"/>
                    </w:rPr>
                  </w:pPr>
                </w:p>
              </w:tc>
              <w:tc>
                <w:tcPr>
                  <w:tcW w:w="967" w:type="dxa"/>
                  <w:vMerge w:val="continue"/>
                  <w:vAlign w:val="center"/>
                </w:tcPr>
                <w:p>
                  <w:pPr>
                    <w:pStyle w:val="122"/>
                    <w:rPr>
                      <w:rFonts w:hint="default" w:ascii="Times New Roman" w:hAnsi="Times New Roman" w:cs="Times New Roman"/>
                    </w:rPr>
                  </w:pPr>
                </w:p>
              </w:tc>
              <w:tc>
                <w:tcPr>
                  <w:tcW w:w="1201" w:type="dxa"/>
                  <w:vAlign w:val="center"/>
                </w:tcPr>
                <w:p>
                  <w:pPr>
                    <w:pStyle w:val="122"/>
                    <w:rPr>
                      <w:rFonts w:hint="default" w:ascii="Times New Roman" w:hAnsi="Times New Roman" w:cs="Times New Roman"/>
                    </w:rPr>
                  </w:pPr>
                  <w:r>
                    <w:rPr>
                      <w:rFonts w:hint="default" w:ascii="Times New Roman" w:hAnsi="Times New Roman" w:cs="Times New Roman"/>
                    </w:rPr>
                    <w:t>数据（日均最大值）</w:t>
                  </w:r>
                </w:p>
              </w:tc>
              <w:tc>
                <w:tcPr>
                  <w:tcW w:w="1025" w:type="dxa"/>
                  <w:vAlign w:val="center"/>
                </w:tcPr>
                <w:p>
                  <w:pPr>
                    <w:pStyle w:val="122"/>
                    <w:rPr>
                      <w:rFonts w:hint="default" w:ascii="Times New Roman" w:hAnsi="Times New Roman" w:cs="Times New Roman"/>
                    </w:rPr>
                  </w:pPr>
                  <w:r>
                    <w:rPr>
                      <w:rFonts w:hint="default" w:ascii="Times New Roman" w:hAnsi="Times New Roman" w:cs="Times New Roman"/>
                    </w:rPr>
                    <w:t>单位</w:t>
                  </w:r>
                </w:p>
              </w:tc>
              <w:tc>
                <w:tcPr>
                  <w:tcW w:w="875" w:type="dxa"/>
                  <w:vAlign w:val="center"/>
                </w:tcPr>
                <w:p>
                  <w:pPr>
                    <w:pStyle w:val="122"/>
                    <w:rPr>
                      <w:rFonts w:hint="default" w:ascii="Times New Roman" w:hAnsi="Times New Roman" w:cs="Times New Roman"/>
                    </w:rPr>
                  </w:pPr>
                  <w:r>
                    <w:rPr>
                      <w:rFonts w:hint="default" w:ascii="Times New Roman" w:hAnsi="Times New Roman" w:cs="Times New Roman"/>
                    </w:rPr>
                    <w:t>d/a</w:t>
                  </w:r>
                </w:p>
              </w:tc>
              <w:tc>
                <w:tcPr>
                  <w:tcW w:w="1060" w:type="dxa"/>
                  <w:vAlign w:val="center"/>
                </w:tcPr>
                <w:p>
                  <w:pPr>
                    <w:pStyle w:val="122"/>
                    <w:rPr>
                      <w:rFonts w:hint="default" w:ascii="Times New Roman" w:hAnsi="Times New Roman" w:cs="Times New Roman"/>
                    </w:rPr>
                  </w:pPr>
                  <w:r>
                    <w:rPr>
                      <w:rFonts w:hint="default" w:ascii="Times New Roman" w:hAnsi="Times New Roman" w:cs="Times New Roman"/>
                    </w:rPr>
                    <w:t>t/a</w:t>
                  </w:r>
                </w:p>
              </w:tc>
              <w:tc>
                <w:tcPr>
                  <w:tcW w:w="1103" w:type="dxa"/>
                  <w:vAlign w:val="center"/>
                </w:tcPr>
                <w:p>
                  <w:pPr>
                    <w:pStyle w:val="122"/>
                    <w:rPr>
                      <w:rFonts w:hint="default" w:ascii="Times New Roman" w:hAnsi="Times New Roman" w:cs="Times New Roman"/>
                    </w:rPr>
                  </w:pPr>
                  <w:r>
                    <w:rPr>
                      <w:rFonts w:hint="default" w:ascii="Times New Roman" w:hAnsi="Times New Roman" w:cs="Times New Roman"/>
                    </w:rPr>
                    <w:t>t/a</w:t>
                  </w:r>
                </w:p>
              </w:tc>
              <w:tc>
                <w:tcPr>
                  <w:tcW w:w="1103" w:type="dxa"/>
                  <w:vAlign w:val="center"/>
                </w:tcPr>
                <w:p>
                  <w:pPr>
                    <w:pStyle w:val="122"/>
                    <w:rPr>
                      <w:rFonts w:hint="default" w:ascii="Times New Roman" w:hAnsi="Times New Roman" w:cs="Times New Roman"/>
                    </w:rPr>
                  </w:pPr>
                  <w:r>
                    <w:rPr>
                      <w:rFonts w:hint="default" w:ascii="Times New Roman" w:hAnsi="Times New Roman" w:cs="Times New Roman"/>
                    </w:rPr>
                    <w:t>t/a</w:t>
                  </w:r>
                </w:p>
              </w:tc>
              <w:tc>
                <w:tcPr>
                  <w:tcW w:w="1012" w:type="dxa"/>
                  <w:vAlign w:val="center"/>
                </w:tcPr>
                <w:p>
                  <w:pPr>
                    <w:pStyle w:val="122"/>
                    <w:rPr>
                      <w:rFonts w:hint="default" w:ascii="Times New Roman" w:hAnsi="Times New Roman" w:cs="Times New Roman"/>
                    </w:rPr>
                  </w:pPr>
                  <w:r>
                    <w:rPr>
                      <w:rFonts w:hint="default" w:ascii="Times New Roman" w:hAnsi="Times New Roman" w:cs="Times New Roma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1" w:type="dxa"/>
                  <w:vMerge w:val="restart"/>
                  <w:vAlign w:val="center"/>
                </w:tcPr>
                <w:p>
                  <w:pPr>
                    <w:pStyle w:val="122"/>
                    <w:rPr>
                      <w:rFonts w:hint="default" w:ascii="Times New Roman" w:hAnsi="Times New Roman" w:cs="Times New Roman"/>
                    </w:rPr>
                  </w:pPr>
                  <w:r>
                    <w:rPr>
                      <w:rFonts w:hint="default" w:ascii="Times New Roman" w:hAnsi="Times New Roman" w:cs="Times New Roman"/>
                    </w:rPr>
                    <w:t>总排口</w:t>
                  </w:r>
                </w:p>
              </w:tc>
              <w:tc>
                <w:tcPr>
                  <w:tcW w:w="967" w:type="dxa"/>
                  <w:vAlign w:val="center"/>
                </w:tcPr>
                <w:p>
                  <w:pPr>
                    <w:pStyle w:val="122"/>
                    <w:rPr>
                      <w:rFonts w:hint="default" w:ascii="Times New Roman" w:hAnsi="Times New Roman" w:cs="Times New Roman"/>
                    </w:rPr>
                  </w:pPr>
                  <w:r>
                    <w:rPr>
                      <w:rFonts w:hint="default" w:ascii="Times New Roman" w:hAnsi="Times New Roman" w:cs="Times New Roman"/>
                    </w:rPr>
                    <w:t>废水量</w:t>
                  </w:r>
                </w:p>
              </w:tc>
              <w:tc>
                <w:tcPr>
                  <w:tcW w:w="1201" w:type="dxa"/>
                  <w:vAlign w:val="center"/>
                </w:tcPr>
                <w:p>
                  <w:pPr>
                    <w:pStyle w:val="122"/>
                    <w:rPr>
                      <w:rFonts w:hint="default" w:ascii="Times New Roman" w:hAnsi="Times New Roman" w:cs="Times New Roman"/>
                    </w:rPr>
                  </w:pPr>
                  <w:r>
                    <w:rPr>
                      <w:rFonts w:hint="eastAsia" w:cs="Times New Roman"/>
                      <w:lang w:val="en-US" w:eastAsia="zh-CN"/>
                    </w:rPr>
                    <w:t>12</w:t>
                  </w:r>
                  <w:r>
                    <w:rPr>
                      <w:rFonts w:hint="default" w:ascii="Times New Roman" w:hAnsi="Times New Roman" w:cs="Times New Roman"/>
                    </w:rPr>
                    <w:t>.2</w:t>
                  </w:r>
                </w:p>
              </w:tc>
              <w:tc>
                <w:tcPr>
                  <w:tcW w:w="1025" w:type="dxa"/>
                  <w:vAlign w:val="center"/>
                </w:tcPr>
                <w:p>
                  <w:pPr>
                    <w:pStyle w:val="122"/>
                    <w:rPr>
                      <w:rFonts w:hint="default" w:ascii="Times New Roman" w:hAnsi="Times New Roman" w:cs="Times New Roman"/>
                    </w:rPr>
                  </w:pPr>
                  <w:r>
                    <w:rPr>
                      <w:rFonts w:hint="default" w:ascii="Times New Roman" w:hAnsi="Times New Roman" w:cs="Times New Roman"/>
                    </w:rPr>
                    <w:t>m³/d</w:t>
                  </w:r>
                </w:p>
              </w:tc>
              <w:tc>
                <w:tcPr>
                  <w:tcW w:w="875" w:type="dxa"/>
                  <w:vMerge w:val="restart"/>
                  <w:vAlign w:val="center"/>
                </w:tcPr>
                <w:p>
                  <w:pPr>
                    <w:pStyle w:val="122"/>
                    <w:rPr>
                      <w:rFonts w:hint="default" w:ascii="Times New Roman" w:hAnsi="Times New Roman" w:cs="Times New Roman"/>
                    </w:rPr>
                  </w:pPr>
                  <w:r>
                    <w:rPr>
                      <w:rFonts w:hint="default" w:ascii="Times New Roman" w:hAnsi="Times New Roman" w:cs="Times New Roman"/>
                    </w:rPr>
                    <w:t>3</w:t>
                  </w:r>
                  <w:r>
                    <w:rPr>
                      <w:rFonts w:hint="eastAsia" w:cs="Times New Roman"/>
                      <w:lang w:val="en-US" w:eastAsia="zh-CN"/>
                    </w:rPr>
                    <w:t>0</w:t>
                  </w:r>
                  <w:r>
                    <w:rPr>
                      <w:rFonts w:hint="default" w:ascii="Times New Roman" w:hAnsi="Times New Roman" w:cs="Times New Roman"/>
                    </w:rPr>
                    <w:t>0</w:t>
                  </w:r>
                </w:p>
              </w:tc>
              <w:tc>
                <w:tcPr>
                  <w:tcW w:w="1060" w:type="dxa"/>
                  <w:vAlign w:val="center"/>
                </w:tcPr>
                <w:p>
                  <w:pPr>
                    <w:pStyle w:val="12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3660 </w:t>
                  </w:r>
                </w:p>
              </w:tc>
              <w:tc>
                <w:tcPr>
                  <w:tcW w:w="1103" w:type="dxa"/>
                  <w:vAlign w:val="center"/>
                </w:tcPr>
                <w:p>
                  <w:pPr>
                    <w:pStyle w:val="122"/>
                    <w:rPr>
                      <w:rFonts w:hint="default" w:ascii="Times New Roman" w:hAnsi="Times New Roman" w:eastAsia="宋体" w:cs="Times New Roman"/>
                      <w:lang w:val="en-US"/>
                    </w:rPr>
                  </w:pPr>
                  <w:r>
                    <w:rPr>
                      <w:rFonts w:hint="eastAsia" w:ascii="Times New Roman" w:hAnsi="Times New Roman" w:eastAsia="宋体" w:cs="Times New Roman"/>
                      <w:lang w:val="en-US" w:eastAsia="zh-CN"/>
                    </w:rPr>
                    <w:t>3660</w:t>
                  </w:r>
                </w:p>
              </w:tc>
              <w:tc>
                <w:tcPr>
                  <w:tcW w:w="1103" w:type="dxa"/>
                  <w:vAlign w:val="center"/>
                </w:tcPr>
                <w:p>
                  <w:pPr>
                    <w:pStyle w:val="12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4492.95</w:t>
                  </w:r>
                </w:p>
              </w:tc>
              <w:tc>
                <w:tcPr>
                  <w:tcW w:w="1012" w:type="dxa"/>
                  <w:vMerge w:val="restart"/>
                  <w:vAlign w:val="center"/>
                </w:tcPr>
                <w:p>
                  <w:pPr>
                    <w:pStyle w:val="122"/>
                    <w:rPr>
                      <w:rFonts w:hint="default" w:ascii="Times New Roman" w:hAnsi="Times New Roman" w:cs="Times New Roman"/>
                    </w:rPr>
                  </w:pPr>
                  <w:r>
                    <w:rPr>
                      <w:rFonts w:hint="default" w:ascii="Times New Roman" w:hAnsi="Times New Roman" w:cs="Times New Roman"/>
                    </w:rPr>
                    <w:t>满足环评纳管量要求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1" w:type="dxa"/>
                  <w:vMerge w:val="continue"/>
                  <w:vAlign w:val="center"/>
                </w:tcPr>
                <w:p>
                  <w:pPr>
                    <w:pStyle w:val="122"/>
                    <w:rPr>
                      <w:rFonts w:hint="default" w:ascii="Times New Roman" w:hAnsi="Times New Roman" w:cs="Times New Roman"/>
                    </w:rPr>
                  </w:pPr>
                </w:p>
              </w:tc>
              <w:tc>
                <w:tcPr>
                  <w:tcW w:w="967" w:type="dxa"/>
                  <w:vAlign w:val="center"/>
                </w:tcPr>
                <w:p>
                  <w:pPr>
                    <w:pStyle w:val="122"/>
                    <w:rPr>
                      <w:rFonts w:hint="default" w:ascii="Times New Roman" w:hAnsi="Times New Roman" w:cs="Times New Roman"/>
                    </w:rPr>
                  </w:pPr>
                  <w:r>
                    <w:rPr>
                      <w:rFonts w:hint="default" w:ascii="Times New Roman" w:hAnsi="Times New Roman" w:cs="Times New Roman"/>
                    </w:rPr>
                    <w:t>COD</w:t>
                  </w:r>
                </w:p>
              </w:tc>
              <w:tc>
                <w:tcPr>
                  <w:tcW w:w="1201"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118</w:t>
                  </w:r>
                </w:p>
              </w:tc>
              <w:tc>
                <w:tcPr>
                  <w:tcW w:w="1025" w:type="dxa"/>
                  <w:vAlign w:val="center"/>
                </w:tcPr>
                <w:p>
                  <w:pPr>
                    <w:pStyle w:val="122"/>
                    <w:rPr>
                      <w:rFonts w:hint="default" w:ascii="Times New Roman" w:hAnsi="Times New Roman" w:cs="Times New Roman"/>
                    </w:rPr>
                  </w:pPr>
                  <w:r>
                    <w:rPr>
                      <w:rFonts w:hint="default" w:ascii="Times New Roman" w:hAnsi="Times New Roman" w:cs="Times New Roman"/>
                      <w:color w:val="000000"/>
                    </w:rPr>
                    <w:t>mg/L</w:t>
                  </w:r>
                </w:p>
              </w:tc>
              <w:tc>
                <w:tcPr>
                  <w:tcW w:w="875" w:type="dxa"/>
                  <w:vMerge w:val="continue"/>
                  <w:vAlign w:val="center"/>
                </w:tcPr>
                <w:p>
                  <w:pPr>
                    <w:pStyle w:val="122"/>
                    <w:rPr>
                      <w:rFonts w:hint="default" w:ascii="Times New Roman" w:hAnsi="Times New Roman" w:cs="Times New Roman"/>
                    </w:rPr>
                  </w:pPr>
                </w:p>
              </w:tc>
              <w:tc>
                <w:tcPr>
                  <w:tcW w:w="1060" w:type="dxa"/>
                  <w:vAlign w:val="center"/>
                </w:tcPr>
                <w:p>
                  <w:pPr>
                    <w:pStyle w:val="12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0.432 </w:t>
                  </w:r>
                </w:p>
              </w:tc>
              <w:tc>
                <w:tcPr>
                  <w:tcW w:w="1103" w:type="dxa"/>
                  <w:vAlign w:val="center"/>
                </w:tcPr>
                <w:p>
                  <w:pPr>
                    <w:pStyle w:val="12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0.183 </w:t>
                  </w:r>
                </w:p>
              </w:tc>
              <w:tc>
                <w:tcPr>
                  <w:tcW w:w="1103" w:type="dxa"/>
                  <w:vAlign w:val="center"/>
                </w:tcPr>
                <w:p>
                  <w:pPr>
                    <w:pStyle w:val="122"/>
                    <w:rPr>
                      <w:rFonts w:hint="default" w:ascii="Times New Roman" w:hAnsi="Times New Roman" w:eastAsia="宋体" w:cs="Times New Roman"/>
                      <w:lang w:val="en-US" w:eastAsia="zh-CN"/>
                    </w:rPr>
                  </w:pPr>
                  <w:r>
                    <w:rPr>
                      <w:rFonts w:hint="default" w:ascii="Times New Roman" w:hAnsi="Times New Roman" w:eastAsia="宋体" w:cs="Times New Roman"/>
                    </w:rPr>
                    <w:t>0.</w:t>
                  </w:r>
                  <w:r>
                    <w:rPr>
                      <w:rFonts w:hint="eastAsia" w:ascii="Times New Roman" w:hAnsi="Times New Roman" w:eastAsia="宋体" w:cs="Times New Roman"/>
                      <w:lang w:val="en-US" w:eastAsia="zh-CN"/>
                    </w:rPr>
                    <w:t>496</w:t>
                  </w:r>
                </w:p>
              </w:tc>
              <w:tc>
                <w:tcPr>
                  <w:tcW w:w="1012" w:type="dxa"/>
                  <w:vMerge w:val="continue"/>
                  <w:vAlign w:val="center"/>
                </w:tcPr>
                <w:p>
                  <w:pPr>
                    <w:pStyle w:val="122"/>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vMerge w:val="continue"/>
                  <w:vAlign w:val="center"/>
                </w:tcPr>
                <w:p>
                  <w:pPr>
                    <w:pStyle w:val="122"/>
                    <w:rPr>
                      <w:rFonts w:hint="default" w:ascii="Times New Roman" w:hAnsi="Times New Roman" w:cs="Times New Roman"/>
                    </w:rPr>
                  </w:pPr>
                </w:p>
              </w:tc>
              <w:tc>
                <w:tcPr>
                  <w:tcW w:w="967" w:type="dxa"/>
                  <w:vAlign w:val="center"/>
                </w:tcPr>
                <w:p>
                  <w:pPr>
                    <w:pStyle w:val="122"/>
                    <w:rPr>
                      <w:rFonts w:hint="default" w:ascii="Times New Roman" w:hAnsi="Times New Roman" w:cs="Times New Roman"/>
                    </w:rPr>
                  </w:pPr>
                  <w:r>
                    <w:rPr>
                      <w:rFonts w:hint="default" w:ascii="Times New Roman" w:hAnsi="Times New Roman" w:cs="Times New Roman"/>
                    </w:rPr>
                    <w:t>氨氮</w:t>
                  </w:r>
                </w:p>
              </w:tc>
              <w:tc>
                <w:tcPr>
                  <w:tcW w:w="1201" w:type="dxa"/>
                  <w:vAlign w:val="center"/>
                </w:tcPr>
                <w:p>
                  <w:pPr>
                    <w:pStyle w:val="122"/>
                    <w:rPr>
                      <w:rFonts w:hint="default" w:ascii="Times New Roman" w:hAnsi="Times New Roman" w:eastAsia="宋体" w:cs="Times New Roman"/>
                      <w:lang w:val="en-US" w:eastAsia="zh-CN"/>
                    </w:rPr>
                  </w:pPr>
                  <w:r>
                    <w:rPr>
                      <w:rFonts w:hint="default" w:ascii="Times New Roman" w:hAnsi="Times New Roman" w:cs="Times New Roman"/>
                    </w:rPr>
                    <w:t>9.</w:t>
                  </w:r>
                  <w:r>
                    <w:rPr>
                      <w:rFonts w:hint="eastAsia" w:cs="Times New Roman"/>
                      <w:lang w:val="en-US" w:eastAsia="zh-CN"/>
                    </w:rPr>
                    <w:t>25</w:t>
                  </w:r>
                </w:p>
              </w:tc>
              <w:tc>
                <w:tcPr>
                  <w:tcW w:w="1025" w:type="dxa"/>
                  <w:vAlign w:val="center"/>
                </w:tcPr>
                <w:p>
                  <w:pPr>
                    <w:pStyle w:val="122"/>
                    <w:rPr>
                      <w:rFonts w:hint="default" w:ascii="Times New Roman" w:hAnsi="Times New Roman" w:cs="Times New Roman"/>
                    </w:rPr>
                  </w:pPr>
                  <w:r>
                    <w:rPr>
                      <w:rFonts w:hint="default" w:ascii="Times New Roman" w:hAnsi="Times New Roman" w:cs="Times New Roman"/>
                      <w:color w:val="000000"/>
                    </w:rPr>
                    <w:t>mg/L</w:t>
                  </w:r>
                </w:p>
              </w:tc>
              <w:tc>
                <w:tcPr>
                  <w:tcW w:w="875" w:type="dxa"/>
                  <w:vMerge w:val="continue"/>
                  <w:vAlign w:val="center"/>
                </w:tcPr>
                <w:p>
                  <w:pPr>
                    <w:pStyle w:val="122"/>
                    <w:rPr>
                      <w:rFonts w:hint="default" w:ascii="Times New Roman" w:hAnsi="Times New Roman" w:cs="Times New Roman"/>
                    </w:rPr>
                  </w:pPr>
                </w:p>
              </w:tc>
              <w:tc>
                <w:tcPr>
                  <w:tcW w:w="1060" w:type="dxa"/>
                  <w:vAlign w:val="center"/>
                </w:tcPr>
                <w:p>
                  <w:pPr>
                    <w:pStyle w:val="12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0.034 </w:t>
                  </w:r>
                </w:p>
              </w:tc>
              <w:tc>
                <w:tcPr>
                  <w:tcW w:w="1103" w:type="dxa"/>
                  <w:vAlign w:val="center"/>
                </w:tcPr>
                <w:p>
                  <w:pPr>
                    <w:pStyle w:val="12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0.018 </w:t>
                  </w:r>
                </w:p>
              </w:tc>
              <w:tc>
                <w:tcPr>
                  <w:tcW w:w="1103" w:type="dxa"/>
                  <w:vAlign w:val="center"/>
                </w:tcPr>
                <w:p>
                  <w:pPr>
                    <w:pStyle w:val="122"/>
                    <w:rPr>
                      <w:rFonts w:hint="default" w:ascii="Times New Roman" w:hAnsi="Times New Roman" w:eastAsia="宋体" w:cs="Times New Roman"/>
                      <w:lang w:val="en-US" w:eastAsia="zh-CN"/>
                    </w:rPr>
                  </w:pPr>
                  <w:r>
                    <w:rPr>
                      <w:rFonts w:hint="default" w:ascii="Times New Roman" w:hAnsi="Times New Roman" w:eastAsia="宋体" w:cs="Times New Roman"/>
                    </w:rPr>
                    <w:t>0.0</w:t>
                  </w:r>
                  <w:r>
                    <w:rPr>
                      <w:rFonts w:hint="eastAsia" w:ascii="Times New Roman" w:hAnsi="Times New Roman" w:eastAsia="宋体" w:cs="Times New Roman"/>
                      <w:lang w:val="en-US" w:eastAsia="zh-CN"/>
                    </w:rPr>
                    <w:t>5</w:t>
                  </w:r>
                </w:p>
              </w:tc>
              <w:tc>
                <w:tcPr>
                  <w:tcW w:w="1012" w:type="dxa"/>
                  <w:vMerge w:val="continue"/>
                  <w:vAlign w:val="center"/>
                </w:tcPr>
                <w:p>
                  <w:pPr>
                    <w:pStyle w:val="122"/>
                    <w:rPr>
                      <w:rFonts w:hint="default" w:ascii="Times New Roman" w:hAnsi="Times New Roman" w:cs="Times New Roman"/>
                    </w:rPr>
                  </w:pPr>
                </w:p>
              </w:tc>
            </w:tr>
          </w:tbl>
          <w:p>
            <w:pPr>
              <w:pStyle w:val="123"/>
              <w:rPr>
                <w:rFonts w:hint="default" w:ascii="Times New Roman" w:hAnsi="Times New Roman" w:cs="Times New Roman"/>
              </w:rPr>
            </w:pPr>
            <w:r>
              <w:rPr>
                <w:rFonts w:hint="default" w:ascii="Times New Roman" w:hAnsi="Times New Roman" w:cs="Times New Roman"/>
              </w:rPr>
              <w:t>注：上表中水量数据为统计值，浓度数据为监测值。</w:t>
            </w:r>
          </w:p>
          <w:p>
            <w:pPr>
              <w:pStyle w:val="111"/>
              <w:ind w:firstLine="482"/>
              <w:rPr>
                <w:rFonts w:hint="default" w:ascii="Times New Roman" w:hAnsi="Times New Roman" w:cs="Times New Roman"/>
                <w:b/>
                <w:bCs/>
              </w:rPr>
            </w:pPr>
            <w:r>
              <w:rPr>
                <w:rFonts w:hint="default" w:ascii="Times New Roman" w:hAnsi="Times New Roman" w:cs="Times New Roman"/>
                <w:b/>
                <w:bCs/>
              </w:rPr>
              <w:t>2、大气污染物排放总量</w:t>
            </w:r>
          </w:p>
          <w:p>
            <w:pPr>
              <w:pStyle w:val="111"/>
              <w:rPr>
                <w:rFonts w:hint="default" w:ascii="Times New Roman" w:hAnsi="Times New Roman" w:cs="Times New Roman"/>
              </w:rPr>
            </w:pPr>
            <w:r>
              <w:rPr>
                <w:rFonts w:hint="default" w:ascii="Times New Roman" w:hAnsi="Times New Roman" w:cs="Times New Roman"/>
              </w:rPr>
              <w:t>由监测结果可知，项目大气污染物排放情况详见下表：</w:t>
            </w:r>
          </w:p>
          <w:p>
            <w:pPr>
              <w:pStyle w:val="111"/>
              <w:rPr>
                <w:rFonts w:hint="default" w:ascii="Times New Roman" w:hAnsi="Times New Roman" w:eastAsia="宋体" w:cs="Times New Roman"/>
                <w:lang w:val="en-US" w:eastAsia="zh-CN"/>
              </w:rPr>
            </w:pPr>
            <w:r>
              <w:rPr>
                <w:rFonts w:hint="default" w:ascii="Times New Roman" w:hAnsi="Times New Roman" w:cs="Times New Roman"/>
              </w:rPr>
              <w:t>实际生产制度为年生产3</w:t>
            </w:r>
            <w:r>
              <w:rPr>
                <w:rFonts w:hint="eastAsia" w:cs="Times New Roman"/>
                <w:lang w:val="en-US" w:eastAsia="zh-CN"/>
              </w:rPr>
              <w:t>0</w:t>
            </w:r>
            <w:r>
              <w:rPr>
                <w:rFonts w:hint="default" w:ascii="Times New Roman" w:hAnsi="Times New Roman" w:cs="Times New Roman"/>
              </w:rPr>
              <w:t>0天，每日生产8h</w:t>
            </w:r>
            <w:r>
              <w:rPr>
                <w:rFonts w:hint="eastAsia" w:cs="Times New Roman"/>
                <w:lang w:eastAsia="zh-CN"/>
              </w:rPr>
              <w:t>，</w:t>
            </w:r>
            <w:r>
              <w:rPr>
                <w:rFonts w:hint="eastAsia" w:cs="Times New Roman"/>
                <w:lang w:val="en-US" w:eastAsia="zh-CN"/>
              </w:rPr>
              <w:t>环评批复中总量为全厂总量控制指标，项目环评中核算本次项目</w:t>
            </w:r>
            <w:r>
              <w:rPr>
                <w:rFonts w:hint="eastAsia" w:cs="Times New Roman"/>
                <w:color w:val="auto"/>
                <w:sz w:val="24"/>
                <w:highlight w:val="none"/>
                <w:lang w:val="en-US" w:eastAsia="zh-CN"/>
              </w:rPr>
              <w:t>申请总量为SO</w:t>
            </w:r>
            <w:r>
              <w:rPr>
                <w:rFonts w:hint="eastAsia" w:cs="Times New Roman"/>
                <w:color w:val="auto"/>
                <w:sz w:val="24"/>
                <w:highlight w:val="none"/>
                <w:vertAlign w:val="subscript"/>
                <w:lang w:val="en-US" w:eastAsia="zh-CN"/>
              </w:rPr>
              <w:t>2</w:t>
            </w:r>
            <w:r>
              <w:rPr>
                <w:rFonts w:hint="eastAsia" w:cs="Times New Roman"/>
                <w:color w:val="auto"/>
                <w:sz w:val="24"/>
                <w:highlight w:val="none"/>
                <w:vertAlign w:val="baseline"/>
                <w:lang w:val="en-US" w:eastAsia="zh-CN"/>
              </w:rPr>
              <w:t>：0.038t/a</w:t>
            </w:r>
            <w:r>
              <w:rPr>
                <w:rFonts w:hint="eastAsia" w:cs="Times New Roman"/>
                <w:color w:val="auto"/>
                <w:sz w:val="24"/>
                <w:highlight w:val="none"/>
                <w:lang w:val="en-US" w:eastAsia="zh-CN"/>
              </w:rPr>
              <w:t>、NOx：0.157</w:t>
            </w:r>
            <w:r>
              <w:rPr>
                <w:rFonts w:hint="eastAsia" w:cs="Times New Roman"/>
                <w:color w:val="auto"/>
                <w:sz w:val="24"/>
                <w:highlight w:val="none"/>
                <w:vertAlign w:val="baseline"/>
                <w:lang w:val="en-US" w:eastAsia="zh-CN"/>
              </w:rPr>
              <w:t>t/a</w:t>
            </w:r>
            <w:r>
              <w:rPr>
                <w:rFonts w:hint="eastAsia" w:cs="Times New Roman"/>
                <w:color w:val="auto"/>
                <w:sz w:val="24"/>
                <w:highlight w:val="none"/>
                <w:lang w:val="en-US" w:eastAsia="zh-CN"/>
              </w:rPr>
              <w:t>、烟（粉）尘：0.33</w:t>
            </w:r>
            <w:r>
              <w:rPr>
                <w:rFonts w:hint="eastAsia" w:cs="Times New Roman"/>
                <w:color w:val="auto"/>
                <w:sz w:val="24"/>
                <w:highlight w:val="none"/>
                <w:vertAlign w:val="baseline"/>
                <w:lang w:val="en-US" w:eastAsia="zh-CN"/>
              </w:rPr>
              <w:t>t/a</w:t>
            </w:r>
            <w:r>
              <w:rPr>
                <w:rFonts w:hint="eastAsia" w:cs="Times New Roman"/>
                <w:color w:val="auto"/>
                <w:sz w:val="24"/>
                <w:highlight w:val="none"/>
                <w:lang w:val="en-US" w:eastAsia="zh-CN"/>
              </w:rPr>
              <w:t>、VOCs：0.088t/a。</w:t>
            </w:r>
          </w:p>
          <w:p>
            <w:pPr>
              <w:pStyle w:val="7"/>
              <w:numPr>
                <w:ilvl w:val="7"/>
                <w:numId w:val="0"/>
              </w:numPr>
              <w:rPr>
                <w:rFonts w:hint="default" w:ascii="Times New Roman" w:hAnsi="Times New Roman" w:cs="Times New Roman"/>
              </w:rPr>
            </w:pPr>
            <w:r>
              <w:rPr>
                <w:rFonts w:hint="default" w:ascii="Times New Roman" w:hAnsi="Times New Roman" w:cs="Times New Roman"/>
              </w:rPr>
              <w:t>表7-</w:t>
            </w:r>
            <w:r>
              <w:rPr>
                <w:rFonts w:hint="eastAsia" w:cs="Times New Roman"/>
                <w:lang w:val="en-US" w:eastAsia="zh-CN"/>
              </w:rPr>
              <w:t>9</w:t>
            </w:r>
            <w:r>
              <w:rPr>
                <w:rFonts w:hint="default" w:ascii="Times New Roman" w:hAnsi="Times New Roman" w:cs="Times New Roman"/>
              </w:rPr>
              <w:t xml:space="preserve"> </w:t>
            </w:r>
            <w:r>
              <w:rPr>
                <w:rFonts w:hint="eastAsia" w:cs="Times New Roman"/>
                <w:lang w:val="en-US" w:eastAsia="zh-CN"/>
              </w:rPr>
              <w:t>本次新增</w:t>
            </w:r>
            <w:r>
              <w:rPr>
                <w:rFonts w:hint="default" w:ascii="Times New Roman" w:hAnsi="Times New Roman" w:cs="Times New Roman"/>
              </w:rPr>
              <w:t>大气污染物排放量计算结果一览表</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1002"/>
              <w:gridCol w:w="1117"/>
              <w:gridCol w:w="1631"/>
              <w:gridCol w:w="1521"/>
              <w:gridCol w:w="1393"/>
              <w:gridCol w:w="1338"/>
              <w:gridCol w:w="1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42" w:hRule="atLeast"/>
              </w:trPr>
              <w:tc>
                <w:tcPr>
                  <w:tcW w:w="1002" w:type="dxa"/>
                  <w:vMerge w:val="restart"/>
                  <w:vAlign w:val="center"/>
                </w:tcPr>
                <w:p>
                  <w:pPr>
                    <w:pStyle w:val="122"/>
                    <w:rPr>
                      <w:rFonts w:hint="default" w:ascii="Times New Roman" w:hAnsi="Times New Roman" w:cs="Times New Roman"/>
                    </w:rPr>
                  </w:pPr>
                  <w:r>
                    <w:rPr>
                      <w:rFonts w:hint="default" w:ascii="Times New Roman" w:hAnsi="Times New Roman" w:cs="Times New Roman"/>
                    </w:rPr>
                    <w:t>污染物</w:t>
                  </w:r>
                </w:p>
              </w:tc>
              <w:tc>
                <w:tcPr>
                  <w:tcW w:w="1117" w:type="dxa"/>
                  <w:vMerge w:val="restart"/>
                  <w:vAlign w:val="center"/>
                </w:tcPr>
                <w:p>
                  <w:pPr>
                    <w:pStyle w:val="122"/>
                    <w:rPr>
                      <w:rFonts w:hint="default" w:ascii="Times New Roman" w:hAnsi="Times New Roman" w:cs="Times New Roman"/>
                    </w:rPr>
                  </w:pPr>
                  <w:r>
                    <w:rPr>
                      <w:rFonts w:hint="default" w:ascii="Times New Roman" w:hAnsi="Times New Roman" w:cs="Times New Roman"/>
                    </w:rPr>
                    <w:t>监测日期</w:t>
                  </w:r>
                </w:p>
              </w:tc>
              <w:tc>
                <w:tcPr>
                  <w:tcW w:w="1631" w:type="dxa"/>
                  <w:vAlign w:val="center"/>
                </w:tcPr>
                <w:p>
                  <w:pPr>
                    <w:pStyle w:val="122"/>
                    <w:rPr>
                      <w:rFonts w:hint="default" w:ascii="Times New Roman" w:hAnsi="Times New Roman" w:cs="Times New Roman"/>
                    </w:rPr>
                  </w:pPr>
                  <w:r>
                    <w:rPr>
                      <w:rFonts w:hint="default" w:ascii="Times New Roman" w:hAnsi="Times New Roman" w:cs="Times New Roman"/>
                    </w:rPr>
                    <w:t>排气筒实测排放速率最大值</w:t>
                  </w:r>
                </w:p>
              </w:tc>
              <w:tc>
                <w:tcPr>
                  <w:tcW w:w="1521" w:type="dxa"/>
                  <w:vAlign w:val="center"/>
                </w:tcPr>
                <w:p>
                  <w:pPr>
                    <w:pStyle w:val="122"/>
                    <w:rPr>
                      <w:rFonts w:hint="default" w:ascii="Times New Roman" w:hAnsi="Times New Roman" w:cs="Times New Roman"/>
                    </w:rPr>
                  </w:pPr>
                  <w:r>
                    <w:rPr>
                      <w:rFonts w:hint="default" w:ascii="Times New Roman" w:hAnsi="Times New Roman" w:cs="Times New Roman"/>
                    </w:rPr>
                    <w:t>生产时间</w:t>
                  </w:r>
                </w:p>
                <w:p>
                  <w:pPr>
                    <w:jc w:val="center"/>
                    <w:rPr>
                      <w:rFonts w:hint="default" w:ascii="Times New Roman" w:hAnsi="Times New Roman" w:cs="Times New Roman"/>
                    </w:rPr>
                  </w:pPr>
                  <w:r>
                    <w:rPr>
                      <w:rFonts w:hint="default" w:ascii="Times New Roman" w:hAnsi="Times New Roman" w:cs="Times New Roman"/>
                    </w:rPr>
                    <w:t>（实际操作）</w:t>
                  </w:r>
                </w:p>
              </w:tc>
              <w:tc>
                <w:tcPr>
                  <w:tcW w:w="1393" w:type="dxa"/>
                  <w:vAlign w:val="center"/>
                </w:tcPr>
                <w:p>
                  <w:pPr>
                    <w:pStyle w:val="122"/>
                    <w:rPr>
                      <w:rFonts w:hint="default" w:ascii="Times New Roman" w:hAnsi="Times New Roman" w:cs="Times New Roman"/>
                    </w:rPr>
                  </w:pPr>
                  <w:r>
                    <w:rPr>
                      <w:rFonts w:hint="default" w:ascii="Times New Roman" w:hAnsi="Times New Roman" w:cs="Times New Roman"/>
                    </w:rPr>
                    <w:t>项目实际排放量计算值</w:t>
                  </w:r>
                </w:p>
              </w:tc>
              <w:tc>
                <w:tcPr>
                  <w:tcW w:w="1338" w:type="dxa"/>
                  <w:vAlign w:val="center"/>
                </w:tcPr>
                <w:p>
                  <w:pPr>
                    <w:pStyle w:val="122"/>
                    <w:rPr>
                      <w:rFonts w:hint="default" w:ascii="Times New Roman" w:hAnsi="Times New Roman" w:cs="Times New Roman"/>
                    </w:rPr>
                  </w:pPr>
                  <w:r>
                    <w:rPr>
                      <w:rFonts w:hint="default" w:ascii="Times New Roman" w:hAnsi="Times New Roman" w:cs="Times New Roman"/>
                    </w:rPr>
                    <w:t>环评核算值</w:t>
                  </w:r>
                </w:p>
              </w:tc>
              <w:tc>
                <w:tcPr>
                  <w:tcW w:w="1060" w:type="dxa"/>
                  <w:vAlign w:val="center"/>
                </w:tcPr>
                <w:p>
                  <w:pPr>
                    <w:pStyle w:val="122"/>
                    <w:rPr>
                      <w:rFonts w:hint="default" w:ascii="Times New Roman" w:hAnsi="Times New Roman" w:cs="Times New Roman"/>
                    </w:rPr>
                  </w:pPr>
                  <w:r>
                    <w:rPr>
                      <w:rFonts w:hint="default" w:ascii="Times New Roman" w:hAnsi="Times New Roman" w:cs="Times New Roman"/>
                    </w:rPr>
                    <w:t>总量指标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3" w:hRule="atLeast"/>
              </w:trPr>
              <w:tc>
                <w:tcPr>
                  <w:tcW w:w="1002" w:type="dxa"/>
                  <w:vMerge w:val="continue"/>
                  <w:vAlign w:val="center"/>
                </w:tcPr>
                <w:p>
                  <w:pPr>
                    <w:pStyle w:val="122"/>
                    <w:rPr>
                      <w:rFonts w:hint="default" w:ascii="Times New Roman" w:hAnsi="Times New Roman" w:cs="Times New Roman"/>
                    </w:rPr>
                  </w:pPr>
                </w:p>
              </w:tc>
              <w:tc>
                <w:tcPr>
                  <w:tcW w:w="1117" w:type="dxa"/>
                  <w:vMerge w:val="continue"/>
                  <w:vAlign w:val="center"/>
                </w:tcPr>
                <w:p>
                  <w:pPr>
                    <w:pStyle w:val="122"/>
                    <w:rPr>
                      <w:rFonts w:hint="default" w:ascii="Times New Roman" w:hAnsi="Times New Roman" w:cs="Times New Roman"/>
                    </w:rPr>
                  </w:pPr>
                </w:p>
              </w:tc>
              <w:tc>
                <w:tcPr>
                  <w:tcW w:w="1631" w:type="dxa"/>
                  <w:vAlign w:val="center"/>
                </w:tcPr>
                <w:p>
                  <w:pPr>
                    <w:pStyle w:val="122"/>
                    <w:rPr>
                      <w:rFonts w:hint="default" w:ascii="Times New Roman" w:hAnsi="Times New Roman" w:cs="Times New Roman"/>
                    </w:rPr>
                  </w:pPr>
                  <w:r>
                    <w:rPr>
                      <w:rFonts w:hint="default" w:ascii="Times New Roman" w:hAnsi="Times New Roman" w:cs="Times New Roman"/>
                    </w:rPr>
                    <w:t>kg/h</w:t>
                  </w:r>
                </w:p>
              </w:tc>
              <w:tc>
                <w:tcPr>
                  <w:tcW w:w="1521" w:type="dxa"/>
                  <w:vAlign w:val="center"/>
                </w:tcPr>
                <w:p>
                  <w:pPr>
                    <w:pStyle w:val="122"/>
                    <w:rPr>
                      <w:rFonts w:hint="default" w:ascii="Times New Roman" w:hAnsi="Times New Roman" w:cs="Times New Roman"/>
                    </w:rPr>
                  </w:pPr>
                  <w:r>
                    <w:rPr>
                      <w:rFonts w:hint="default" w:ascii="Times New Roman" w:hAnsi="Times New Roman" w:cs="Times New Roman"/>
                    </w:rPr>
                    <w:t>h/a</w:t>
                  </w:r>
                </w:p>
              </w:tc>
              <w:tc>
                <w:tcPr>
                  <w:tcW w:w="1393" w:type="dxa"/>
                  <w:vAlign w:val="center"/>
                </w:tcPr>
                <w:p>
                  <w:pPr>
                    <w:pStyle w:val="122"/>
                    <w:rPr>
                      <w:rFonts w:hint="default" w:ascii="Times New Roman" w:hAnsi="Times New Roman" w:cs="Times New Roman"/>
                    </w:rPr>
                  </w:pPr>
                  <w:r>
                    <w:rPr>
                      <w:rFonts w:hint="default" w:ascii="Times New Roman" w:hAnsi="Times New Roman" w:cs="Times New Roman"/>
                    </w:rPr>
                    <w:t>t/a</w:t>
                  </w:r>
                </w:p>
              </w:tc>
              <w:tc>
                <w:tcPr>
                  <w:tcW w:w="1338" w:type="dxa"/>
                  <w:vAlign w:val="center"/>
                </w:tcPr>
                <w:p>
                  <w:pPr>
                    <w:pStyle w:val="122"/>
                    <w:rPr>
                      <w:rFonts w:hint="default" w:ascii="Times New Roman" w:hAnsi="Times New Roman" w:cs="Times New Roman"/>
                    </w:rPr>
                  </w:pPr>
                  <w:r>
                    <w:rPr>
                      <w:rFonts w:hint="default" w:ascii="Times New Roman" w:hAnsi="Times New Roman" w:cs="Times New Roman"/>
                    </w:rPr>
                    <w:t>t/a</w:t>
                  </w:r>
                </w:p>
              </w:tc>
              <w:tc>
                <w:tcPr>
                  <w:tcW w:w="1060" w:type="dxa"/>
                  <w:vAlign w:val="center"/>
                </w:tcPr>
                <w:p>
                  <w:pPr>
                    <w:pStyle w:val="122"/>
                    <w:rPr>
                      <w:rFonts w:hint="default" w:ascii="Times New Roman" w:hAnsi="Times New Roman" w:cs="Times New Roman"/>
                    </w:rPr>
                  </w:pPr>
                  <w:r>
                    <w:rPr>
                      <w:rFonts w:hint="default" w:ascii="Times New Roman" w:hAnsi="Times New Roman" w:cs="Times New Roman"/>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8" w:hRule="atLeast"/>
              </w:trPr>
              <w:tc>
                <w:tcPr>
                  <w:tcW w:w="1002" w:type="dxa"/>
                  <w:vAlign w:val="center"/>
                </w:tcPr>
                <w:p>
                  <w:pPr>
                    <w:pStyle w:val="122"/>
                    <w:rPr>
                      <w:rFonts w:hint="default" w:ascii="Times New Roman" w:hAnsi="Times New Roman" w:cs="Times New Roman"/>
                    </w:rPr>
                  </w:pPr>
                  <w:r>
                    <w:rPr>
                      <w:rFonts w:hint="eastAsia" w:cs="Times New Roman"/>
                      <w:color w:val="auto"/>
                      <w:sz w:val="24"/>
                      <w:highlight w:val="none"/>
                      <w:lang w:val="en-US" w:eastAsia="zh-CN"/>
                    </w:rPr>
                    <w:t>SO</w:t>
                  </w:r>
                  <w:r>
                    <w:rPr>
                      <w:rFonts w:hint="eastAsia" w:cs="Times New Roman"/>
                      <w:color w:val="auto"/>
                      <w:sz w:val="24"/>
                      <w:highlight w:val="none"/>
                      <w:vertAlign w:val="subscript"/>
                      <w:lang w:val="en-US" w:eastAsia="zh-CN"/>
                    </w:rPr>
                    <w:t>2</w:t>
                  </w:r>
                </w:p>
              </w:tc>
              <w:tc>
                <w:tcPr>
                  <w:tcW w:w="1117" w:type="dxa"/>
                  <w:vAlign w:val="center"/>
                </w:tcPr>
                <w:p>
                  <w:pPr>
                    <w:pStyle w:val="122"/>
                    <w:rPr>
                      <w:rFonts w:hint="default" w:ascii="Times New Roman" w:hAnsi="Times New Roman" w:eastAsia="宋体" w:cs="Times New Roman"/>
                      <w:lang w:val="en-US" w:eastAsia="zh-CN"/>
                    </w:rPr>
                  </w:pPr>
                  <w:r>
                    <w:rPr>
                      <w:rFonts w:hint="default" w:ascii="Times New Roman" w:hAnsi="Times New Roman" w:cs="Times New Roman"/>
                    </w:rPr>
                    <w:t>202</w:t>
                  </w:r>
                  <w:r>
                    <w:rPr>
                      <w:rFonts w:hint="eastAsia" w:cs="Times New Roman"/>
                      <w:lang w:val="en-US" w:eastAsia="zh-CN"/>
                    </w:rPr>
                    <w:t>2</w:t>
                  </w:r>
                  <w:r>
                    <w:rPr>
                      <w:rFonts w:hint="default" w:ascii="Times New Roman" w:hAnsi="Times New Roman" w:cs="Times New Roman"/>
                    </w:rPr>
                    <w:t>.</w:t>
                  </w:r>
                  <w:r>
                    <w:rPr>
                      <w:rFonts w:hint="eastAsia" w:cs="Times New Roman"/>
                      <w:lang w:val="en-US" w:eastAsia="zh-CN"/>
                    </w:rPr>
                    <w:t>9.21</w:t>
                  </w:r>
                </w:p>
                <w:p>
                  <w:pPr>
                    <w:pStyle w:val="122"/>
                    <w:rPr>
                      <w:rFonts w:hint="default" w:ascii="Times New Roman" w:hAnsi="Times New Roman" w:cs="Times New Roman"/>
                      <w:lang w:val="en-US"/>
                    </w:rPr>
                  </w:pPr>
                  <w:r>
                    <w:rPr>
                      <w:rFonts w:hint="default" w:ascii="Times New Roman" w:hAnsi="Times New Roman" w:cs="Times New Roman"/>
                    </w:rPr>
                    <w:t>202</w:t>
                  </w:r>
                  <w:r>
                    <w:rPr>
                      <w:rFonts w:hint="eastAsia" w:ascii="Times New Roman" w:hAnsi="Times New Roman" w:cs="Times New Roman"/>
                      <w:lang w:val="en-US" w:eastAsia="zh-CN"/>
                    </w:rPr>
                    <w:t>2</w:t>
                  </w:r>
                  <w:r>
                    <w:rPr>
                      <w:rFonts w:hint="default" w:ascii="Times New Roman" w:hAnsi="Times New Roman" w:cs="Times New Roman"/>
                    </w:rPr>
                    <w:t>.</w:t>
                  </w:r>
                  <w:r>
                    <w:rPr>
                      <w:rFonts w:hint="eastAsia" w:cs="Times New Roman"/>
                      <w:lang w:val="en-US" w:eastAsia="zh-CN"/>
                    </w:rPr>
                    <w:t>9.22</w:t>
                  </w:r>
                </w:p>
              </w:tc>
              <w:tc>
                <w:tcPr>
                  <w:tcW w:w="1631"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0.016</w:t>
                  </w:r>
                </w:p>
              </w:tc>
              <w:tc>
                <w:tcPr>
                  <w:tcW w:w="1521"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2400</w:t>
                  </w:r>
                </w:p>
              </w:tc>
              <w:tc>
                <w:tcPr>
                  <w:tcW w:w="1393"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0.038</w:t>
                  </w:r>
                </w:p>
              </w:tc>
              <w:tc>
                <w:tcPr>
                  <w:tcW w:w="1338"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0.038</w:t>
                  </w:r>
                </w:p>
              </w:tc>
              <w:tc>
                <w:tcPr>
                  <w:tcW w:w="1060"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8" w:hRule="atLeast"/>
              </w:trPr>
              <w:tc>
                <w:tcPr>
                  <w:tcW w:w="1002" w:type="dxa"/>
                  <w:vAlign w:val="center"/>
                </w:tcPr>
                <w:p>
                  <w:pPr>
                    <w:pStyle w:val="122"/>
                    <w:rPr>
                      <w:rFonts w:hint="default" w:ascii="Times New Roman" w:hAnsi="Times New Roman" w:cs="Times New Roman"/>
                    </w:rPr>
                  </w:pPr>
                  <w:r>
                    <w:rPr>
                      <w:rFonts w:hint="eastAsia" w:cs="Times New Roman"/>
                      <w:color w:val="auto"/>
                      <w:sz w:val="24"/>
                      <w:highlight w:val="none"/>
                      <w:lang w:val="en-US" w:eastAsia="zh-CN"/>
                    </w:rPr>
                    <w:t>NOx</w:t>
                  </w:r>
                </w:p>
              </w:tc>
              <w:tc>
                <w:tcPr>
                  <w:tcW w:w="1117" w:type="dxa"/>
                  <w:vAlign w:val="center"/>
                </w:tcPr>
                <w:p>
                  <w:pPr>
                    <w:pStyle w:val="122"/>
                    <w:rPr>
                      <w:rFonts w:hint="default" w:ascii="Times New Roman" w:hAnsi="Times New Roman" w:eastAsia="宋体" w:cs="Times New Roman"/>
                      <w:lang w:val="en-US" w:eastAsia="zh-CN"/>
                    </w:rPr>
                  </w:pPr>
                  <w:r>
                    <w:rPr>
                      <w:rFonts w:hint="default" w:ascii="Times New Roman" w:hAnsi="Times New Roman" w:cs="Times New Roman"/>
                    </w:rPr>
                    <w:t>202</w:t>
                  </w:r>
                  <w:r>
                    <w:rPr>
                      <w:rFonts w:hint="eastAsia" w:cs="Times New Roman"/>
                      <w:lang w:val="en-US" w:eastAsia="zh-CN"/>
                    </w:rPr>
                    <w:t>2</w:t>
                  </w:r>
                  <w:r>
                    <w:rPr>
                      <w:rFonts w:hint="default" w:ascii="Times New Roman" w:hAnsi="Times New Roman" w:cs="Times New Roman"/>
                    </w:rPr>
                    <w:t>.</w:t>
                  </w:r>
                  <w:r>
                    <w:rPr>
                      <w:rFonts w:hint="eastAsia" w:cs="Times New Roman"/>
                      <w:lang w:val="en-US" w:eastAsia="zh-CN"/>
                    </w:rPr>
                    <w:t>9.21</w:t>
                  </w:r>
                </w:p>
                <w:p>
                  <w:pPr>
                    <w:pStyle w:val="122"/>
                    <w:rPr>
                      <w:rFonts w:hint="default" w:ascii="Times New Roman" w:hAnsi="Times New Roman" w:cs="Times New Roman"/>
                    </w:rPr>
                  </w:pPr>
                  <w:r>
                    <w:rPr>
                      <w:rFonts w:hint="default" w:ascii="Times New Roman" w:hAnsi="Times New Roman" w:cs="Times New Roman"/>
                    </w:rPr>
                    <w:t>202</w:t>
                  </w:r>
                  <w:r>
                    <w:rPr>
                      <w:rFonts w:hint="eastAsia" w:ascii="Times New Roman" w:hAnsi="Times New Roman" w:cs="Times New Roman"/>
                      <w:lang w:val="en-US" w:eastAsia="zh-CN"/>
                    </w:rPr>
                    <w:t>2</w:t>
                  </w:r>
                  <w:r>
                    <w:rPr>
                      <w:rFonts w:hint="default" w:ascii="Times New Roman" w:hAnsi="Times New Roman" w:cs="Times New Roman"/>
                    </w:rPr>
                    <w:t>.</w:t>
                  </w:r>
                  <w:r>
                    <w:rPr>
                      <w:rFonts w:hint="eastAsia" w:cs="Times New Roman"/>
                      <w:lang w:val="en-US" w:eastAsia="zh-CN"/>
                    </w:rPr>
                    <w:t>9.22</w:t>
                  </w:r>
                </w:p>
              </w:tc>
              <w:tc>
                <w:tcPr>
                  <w:tcW w:w="1631"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0.033</w:t>
                  </w:r>
                </w:p>
              </w:tc>
              <w:tc>
                <w:tcPr>
                  <w:tcW w:w="1521"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2400</w:t>
                  </w:r>
                </w:p>
              </w:tc>
              <w:tc>
                <w:tcPr>
                  <w:tcW w:w="1393"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0.079</w:t>
                  </w:r>
                </w:p>
              </w:tc>
              <w:tc>
                <w:tcPr>
                  <w:tcW w:w="1338"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0.157</w:t>
                  </w:r>
                </w:p>
              </w:tc>
              <w:tc>
                <w:tcPr>
                  <w:tcW w:w="1060"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02" w:type="dxa"/>
                  <w:vAlign w:val="center"/>
                </w:tcPr>
                <w:p>
                  <w:pPr>
                    <w:pStyle w:val="122"/>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rPr>
                    <w:t>颗粒物</w:t>
                  </w:r>
                </w:p>
              </w:tc>
              <w:tc>
                <w:tcPr>
                  <w:tcW w:w="1117" w:type="dxa"/>
                  <w:vAlign w:val="center"/>
                </w:tcPr>
                <w:p>
                  <w:pPr>
                    <w:pStyle w:val="122"/>
                    <w:rPr>
                      <w:rFonts w:hint="default" w:ascii="Times New Roman" w:hAnsi="Times New Roman" w:eastAsia="宋体" w:cs="Times New Roman"/>
                      <w:lang w:val="en-US" w:eastAsia="zh-CN"/>
                    </w:rPr>
                  </w:pPr>
                  <w:r>
                    <w:rPr>
                      <w:rFonts w:hint="default" w:ascii="Times New Roman" w:hAnsi="Times New Roman" w:cs="Times New Roman"/>
                    </w:rPr>
                    <w:t>202</w:t>
                  </w:r>
                  <w:r>
                    <w:rPr>
                      <w:rFonts w:hint="eastAsia" w:cs="Times New Roman"/>
                      <w:lang w:val="en-US" w:eastAsia="zh-CN"/>
                    </w:rPr>
                    <w:t>2</w:t>
                  </w:r>
                  <w:r>
                    <w:rPr>
                      <w:rFonts w:hint="default" w:ascii="Times New Roman" w:hAnsi="Times New Roman" w:cs="Times New Roman"/>
                    </w:rPr>
                    <w:t>.</w:t>
                  </w:r>
                  <w:r>
                    <w:rPr>
                      <w:rFonts w:hint="eastAsia" w:cs="Times New Roman"/>
                      <w:lang w:val="en-US" w:eastAsia="zh-CN"/>
                    </w:rPr>
                    <w:t>9.21</w:t>
                  </w:r>
                </w:p>
                <w:p>
                  <w:pPr>
                    <w:pStyle w:val="122"/>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202</w:t>
                  </w:r>
                  <w:r>
                    <w:rPr>
                      <w:rFonts w:hint="eastAsia" w:ascii="Times New Roman" w:hAnsi="Times New Roman" w:cs="Times New Roman"/>
                      <w:lang w:val="en-US" w:eastAsia="zh-CN"/>
                    </w:rPr>
                    <w:t>2</w:t>
                  </w:r>
                  <w:r>
                    <w:rPr>
                      <w:rFonts w:hint="default" w:ascii="Times New Roman" w:hAnsi="Times New Roman" w:cs="Times New Roman"/>
                    </w:rPr>
                    <w:t>.</w:t>
                  </w:r>
                  <w:r>
                    <w:rPr>
                      <w:rFonts w:hint="eastAsia" w:cs="Times New Roman"/>
                      <w:lang w:val="en-US" w:eastAsia="zh-CN"/>
                    </w:rPr>
                    <w:t>9.22</w:t>
                  </w:r>
                </w:p>
              </w:tc>
              <w:tc>
                <w:tcPr>
                  <w:tcW w:w="1631" w:type="dxa"/>
                  <w:vAlign w:val="center"/>
                </w:tcPr>
                <w:p>
                  <w:pPr>
                    <w:pStyle w:val="122"/>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0.0</w:t>
                  </w:r>
                  <w:r>
                    <w:rPr>
                      <w:rFonts w:hint="eastAsia" w:ascii="Times New Roman" w:hAnsi="Times New Roman" w:cs="Times New Roman"/>
                      <w:lang w:val="en-US" w:eastAsia="zh-CN"/>
                    </w:rPr>
                    <w:t>07</w:t>
                  </w:r>
                </w:p>
              </w:tc>
              <w:tc>
                <w:tcPr>
                  <w:tcW w:w="1521" w:type="dxa"/>
                  <w:vAlign w:val="center"/>
                </w:tcPr>
                <w:p>
                  <w:pPr>
                    <w:pStyle w:val="122"/>
                    <w:rPr>
                      <w:rFonts w:hint="default" w:ascii="Times New Roman" w:hAnsi="Times New Roman" w:eastAsia="宋体" w:cs="Times New Roman"/>
                      <w:kern w:val="2"/>
                      <w:sz w:val="21"/>
                      <w:szCs w:val="21"/>
                      <w:lang w:val="en-US" w:eastAsia="zh-CN" w:bidi="ar-SA"/>
                    </w:rPr>
                  </w:pPr>
                  <w:r>
                    <w:rPr>
                      <w:rFonts w:hint="eastAsia" w:cs="Times New Roman"/>
                      <w:lang w:val="en-US" w:eastAsia="zh-CN"/>
                    </w:rPr>
                    <w:t>2400</w:t>
                  </w:r>
                </w:p>
              </w:tc>
              <w:tc>
                <w:tcPr>
                  <w:tcW w:w="1393" w:type="dxa"/>
                  <w:vAlign w:val="center"/>
                </w:tcPr>
                <w:p>
                  <w:pPr>
                    <w:pStyle w:val="122"/>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0.0</w:t>
                  </w:r>
                  <w:r>
                    <w:rPr>
                      <w:rFonts w:hint="eastAsia" w:cs="Times New Roman"/>
                      <w:lang w:val="en-US" w:eastAsia="zh-CN"/>
                    </w:rPr>
                    <w:t>17</w:t>
                  </w:r>
                </w:p>
              </w:tc>
              <w:tc>
                <w:tcPr>
                  <w:tcW w:w="1338" w:type="dxa"/>
                  <w:vAlign w:val="center"/>
                </w:tcPr>
                <w:p>
                  <w:pPr>
                    <w:pStyle w:val="122"/>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0.</w:t>
                  </w:r>
                  <w:r>
                    <w:rPr>
                      <w:rFonts w:hint="eastAsia" w:ascii="Times New Roman" w:hAnsi="Times New Roman" w:cs="Times New Roman"/>
                      <w:lang w:val="en-US" w:eastAsia="zh-CN"/>
                    </w:rPr>
                    <w:t>33</w:t>
                  </w:r>
                </w:p>
              </w:tc>
              <w:tc>
                <w:tcPr>
                  <w:tcW w:w="1060" w:type="dxa"/>
                  <w:vAlign w:val="center"/>
                </w:tcPr>
                <w:p>
                  <w:pPr>
                    <w:pStyle w:val="122"/>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rPr>
                    <w:t>0.</w:t>
                  </w:r>
                  <w:r>
                    <w:rPr>
                      <w:rFonts w:hint="eastAsia" w:ascii="Times New Roman" w:hAnsi="Times New Roman" w:cs="Times New Roman"/>
                      <w:lang w:val="en-US" w:eastAsia="zh-CN"/>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7" w:hRule="atLeast"/>
              </w:trPr>
              <w:tc>
                <w:tcPr>
                  <w:tcW w:w="1002" w:type="dxa"/>
                  <w:vAlign w:val="center"/>
                </w:tcPr>
                <w:p>
                  <w:pPr>
                    <w:pStyle w:val="122"/>
                    <w:rPr>
                      <w:rFonts w:hint="default" w:ascii="Times New Roman" w:hAnsi="Times New Roman" w:cs="Times New Roman"/>
                    </w:rPr>
                  </w:pPr>
                  <w:r>
                    <w:rPr>
                      <w:rFonts w:hint="default" w:ascii="Times New Roman" w:hAnsi="Times New Roman" w:cs="Times New Roman"/>
                    </w:rPr>
                    <w:t>非甲烷总烃</w:t>
                  </w:r>
                </w:p>
              </w:tc>
              <w:tc>
                <w:tcPr>
                  <w:tcW w:w="1117" w:type="dxa"/>
                  <w:vAlign w:val="center"/>
                </w:tcPr>
                <w:p>
                  <w:pPr>
                    <w:pStyle w:val="122"/>
                    <w:rPr>
                      <w:rFonts w:hint="default" w:ascii="Times New Roman" w:hAnsi="Times New Roman" w:eastAsia="宋体" w:cs="Times New Roman"/>
                      <w:lang w:val="en-US" w:eastAsia="zh-CN"/>
                    </w:rPr>
                  </w:pPr>
                  <w:r>
                    <w:rPr>
                      <w:rFonts w:hint="default" w:ascii="Times New Roman" w:hAnsi="Times New Roman" w:cs="Times New Roman"/>
                    </w:rPr>
                    <w:t>202</w:t>
                  </w:r>
                  <w:r>
                    <w:rPr>
                      <w:rFonts w:hint="eastAsia" w:cs="Times New Roman"/>
                      <w:lang w:val="en-US" w:eastAsia="zh-CN"/>
                    </w:rPr>
                    <w:t>2</w:t>
                  </w:r>
                  <w:r>
                    <w:rPr>
                      <w:rFonts w:hint="default" w:ascii="Times New Roman" w:hAnsi="Times New Roman" w:cs="Times New Roman"/>
                    </w:rPr>
                    <w:t>.</w:t>
                  </w:r>
                  <w:r>
                    <w:rPr>
                      <w:rFonts w:hint="eastAsia" w:cs="Times New Roman"/>
                      <w:lang w:val="en-US" w:eastAsia="zh-CN"/>
                    </w:rPr>
                    <w:t>9.21</w:t>
                  </w:r>
                </w:p>
                <w:p>
                  <w:pPr>
                    <w:pStyle w:val="122"/>
                    <w:rPr>
                      <w:rFonts w:hint="eastAsia" w:ascii="Times New Roman" w:hAnsi="Times New Roman" w:eastAsia="宋体" w:cs="Times New Roman"/>
                      <w:lang w:eastAsia="zh-CN"/>
                    </w:rPr>
                  </w:pPr>
                  <w:r>
                    <w:rPr>
                      <w:rFonts w:hint="default" w:ascii="Times New Roman" w:hAnsi="Times New Roman" w:cs="Times New Roman"/>
                    </w:rPr>
                    <w:t>202</w:t>
                  </w:r>
                  <w:r>
                    <w:rPr>
                      <w:rFonts w:hint="eastAsia" w:ascii="Times New Roman" w:hAnsi="Times New Roman" w:cs="Times New Roman"/>
                      <w:lang w:val="en-US" w:eastAsia="zh-CN"/>
                    </w:rPr>
                    <w:t>2</w:t>
                  </w:r>
                  <w:r>
                    <w:rPr>
                      <w:rFonts w:hint="default" w:ascii="Times New Roman" w:hAnsi="Times New Roman" w:cs="Times New Roman"/>
                    </w:rPr>
                    <w:t>.</w:t>
                  </w:r>
                  <w:r>
                    <w:rPr>
                      <w:rFonts w:hint="eastAsia" w:cs="Times New Roman"/>
                      <w:lang w:val="en-US" w:eastAsia="zh-CN"/>
                    </w:rPr>
                    <w:t>9.22</w:t>
                  </w:r>
                </w:p>
              </w:tc>
              <w:tc>
                <w:tcPr>
                  <w:tcW w:w="1631" w:type="dxa"/>
                  <w:vAlign w:val="center"/>
                </w:tcPr>
                <w:p>
                  <w:pPr>
                    <w:pStyle w:val="122"/>
                    <w:rPr>
                      <w:rFonts w:hint="default" w:ascii="Times New Roman" w:hAnsi="Times New Roman" w:eastAsia="宋体" w:cs="Times New Roman"/>
                      <w:lang w:val="en-US" w:eastAsia="zh-CN"/>
                    </w:rPr>
                  </w:pPr>
                  <w:r>
                    <w:rPr>
                      <w:rFonts w:hint="default" w:ascii="Times New Roman" w:hAnsi="Times New Roman" w:cs="Times New Roman"/>
                    </w:rPr>
                    <w:t>0.0</w:t>
                  </w:r>
                  <w:r>
                    <w:rPr>
                      <w:rFonts w:hint="eastAsia" w:cs="Times New Roman"/>
                      <w:lang w:val="en-US" w:eastAsia="zh-CN"/>
                    </w:rPr>
                    <w:t>31</w:t>
                  </w:r>
                </w:p>
              </w:tc>
              <w:tc>
                <w:tcPr>
                  <w:tcW w:w="1521" w:type="dxa"/>
                  <w:vAlign w:val="center"/>
                </w:tcPr>
                <w:p>
                  <w:pPr>
                    <w:pStyle w:val="122"/>
                    <w:rPr>
                      <w:rFonts w:hint="default" w:ascii="Times New Roman" w:hAnsi="Times New Roman" w:cs="Times New Roman"/>
                      <w:lang w:val="en-US"/>
                    </w:rPr>
                  </w:pPr>
                  <w:r>
                    <w:rPr>
                      <w:rFonts w:hint="eastAsia" w:cs="Times New Roman"/>
                      <w:lang w:val="en-US" w:eastAsia="zh-CN"/>
                    </w:rPr>
                    <w:t>2000</w:t>
                  </w:r>
                </w:p>
              </w:tc>
              <w:tc>
                <w:tcPr>
                  <w:tcW w:w="1393"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0.062</w:t>
                  </w:r>
                </w:p>
              </w:tc>
              <w:tc>
                <w:tcPr>
                  <w:tcW w:w="1338"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0.088</w:t>
                  </w:r>
                </w:p>
              </w:tc>
              <w:tc>
                <w:tcPr>
                  <w:tcW w:w="1060" w:type="dxa"/>
                  <w:vAlign w:val="center"/>
                </w:tcPr>
                <w:p>
                  <w:pPr>
                    <w:pStyle w:val="122"/>
                    <w:rPr>
                      <w:rFonts w:hint="default" w:ascii="Times New Roman" w:hAnsi="Times New Roman" w:eastAsia="宋体" w:cs="Times New Roman"/>
                      <w:lang w:val="en-US" w:eastAsia="zh-CN"/>
                    </w:rPr>
                  </w:pPr>
                  <w:r>
                    <w:rPr>
                      <w:rFonts w:hint="eastAsia" w:cs="Times New Roman"/>
                      <w:lang w:val="en-US" w:eastAsia="zh-CN"/>
                    </w:rPr>
                    <w:t>0.088</w:t>
                  </w:r>
                </w:p>
              </w:tc>
            </w:tr>
          </w:tbl>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firstLine="482"/>
              <w:rPr>
                <w:rFonts w:hint="default" w:ascii="Times New Roman" w:hAnsi="Times New Roman" w:cs="Times New Roman"/>
                <w:b/>
                <w:bCs/>
              </w:rPr>
            </w:pPr>
          </w:p>
          <w:p>
            <w:pPr>
              <w:pStyle w:val="111"/>
              <w:ind w:left="0" w:leftChars="0" w:firstLine="0" w:firstLineChars="0"/>
              <w:rPr>
                <w:rFonts w:hint="default" w:ascii="Times New Roman" w:hAnsi="Times New Roman" w:cs="Times New Roman"/>
              </w:rPr>
            </w:pPr>
          </w:p>
        </w:tc>
      </w:tr>
    </w:tbl>
    <w:p>
      <w:pPr>
        <w:sectPr>
          <w:pgSz w:w="11906" w:h="16838"/>
          <w:pgMar w:top="1417" w:right="1417" w:bottom="1417" w:left="1417" w:header="851" w:footer="992" w:gutter="0"/>
          <w:cols w:space="425" w:num="1"/>
          <w:docGrid w:type="lines" w:linePitch="312" w:charSpace="0"/>
        </w:sectPr>
      </w:pPr>
    </w:p>
    <w:p>
      <w:pPr>
        <w:pStyle w:val="72"/>
        <w:keepNext w:val="0"/>
        <w:keepLines w:val="0"/>
        <w:spacing w:line="240" w:lineRule="auto"/>
        <w:outlineLvl w:val="0"/>
        <w:rPr>
          <w:rFonts w:ascii="Times New Roman" w:hAnsi="Times New Roman"/>
          <w:sz w:val="28"/>
        </w:rPr>
      </w:pPr>
      <w:r>
        <w:rPr>
          <w:rFonts w:hint="eastAsia" w:ascii="Times New Roman" w:hAnsi="Times New Roman"/>
          <w:sz w:val="28"/>
        </w:rPr>
        <w:t>表八 验收监测结论</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before="62" w:beforeLines="20" w:line="360" w:lineRule="auto"/>
              <w:rPr>
                <w:rFonts w:ascii="宋体" w:hAnsi="宋体"/>
                <w:b/>
                <w:sz w:val="24"/>
                <w:szCs w:val="24"/>
              </w:rPr>
            </w:pPr>
            <w:r>
              <w:rPr>
                <w:rFonts w:hint="eastAsia" w:ascii="宋体" w:hAnsi="宋体"/>
                <w:b/>
                <w:sz w:val="24"/>
                <w:szCs w:val="24"/>
              </w:rPr>
              <w:t>验收监测结果：</w:t>
            </w:r>
          </w:p>
          <w:p>
            <w:pPr>
              <w:pStyle w:val="5"/>
              <w:rPr>
                <w:kern w:val="2"/>
                <w:sz w:val="24"/>
                <w:szCs w:val="24"/>
              </w:rPr>
            </w:pPr>
            <w:r>
              <w:rPr>
                <w:rFonts w:hint="eastAsia"/>
                <w:kern w:val="2"/>
                <w:sz w:val="24"/>
                <w:szCs w:val="24"/>
              </w:rPr>
              <w:t>一、验收工程概况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szCs w:val="24"/>
              </w:rPr>
            </w:pPr>
            <w:r>
              <w:rPr>
                <w:rFonts w:hint="eastAsia"/>
                <w:sz w:val="24"/>
                <w:szCs w:val="24"/>
                <w:lang w:val="en-US" w:eastAsia="zh-CN"/>
              </w:rPr>
              <w:t>安徽都邦电器有限公司总</w:t>
            </w:r>
            <w:r>
              <w:rPr>
                <w:rFonts w:hint="eastAsia"/>
                <w:sz w:val="24"/>
                <w:szCs w:val="24"/>
              </w:rPr>
              <w:t>占地约</w:t>
            </w:r>
            <w:r>
              <w:rPr>
                <w:rFonts w:hint="eastAsia"/>
                <w:sz w:val="24"/>
                <w:szCs w:val="24"/>
                <w:lang w:val="en-US" w:eastAsia="zh-CN"/>
              </w:rPr>
              <w:t>27.38</w:t>
            </w:r>
            <w:r>
              <w:rPr>
                <w:rFonts w:hint="eastAsia"/>
                <w:sz w:val="24"/>
                <w:szCs w:val="24"/>
              </w:rPr>
              <w:t>亩（约</w:t>
            </w:r>
            <w:r>
              <w:rPr>
                <w:rFonts w:hint="eastAsia"/>
                <w:sz w:val="24"/>
                <w:szCs w:val="24"/>
                <w:lang w:val="en-US" w:eastAsia="zh-CN"/>
              </w:rPr>
              <w:t>18255</w:t>
            </w:r>
            <w:r>
              <w:rPr>
                <w:rFonts w:hint="eastAsia"/>
                <w:sz w:val="24"/>
                <w:szCs w:val="24"/>
              </w:rPr>
              <w:t>m</w:t>
            </w:r>
            <w:r>
              <w:rPr>
                <w:rFonts w:hint="eastAsia"/>
                <w:sz w:val="24"/>
                <w:szCs w:val="24"/>
                <w:vertAlign w:val="superscript"/>
              </w:rPr>
              <w:t>2</w:t>
            </w:r>
            <w:r>
              <w:rPr>
                <w:rFonts w:hint="eastAsia"/>
                <w:sz w:val="24"/>
                <w:szCs w:val="24"/>
              </w:rPr>
              <w:t>），</w:t>
            </w:r>
            <w:r>
              <w:rPr>
                <w:rFonts w:hint="eastAsia"/>
                <w:sz w:val="24"/>
                <w:szCs w:val="24"/>
                <w:lang w:val="en-US" w:eastAsia="zh-CN"/>
              </w:rPr>
              <w:t>已建成2栋生产车间</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sz w:val="24"/>
                <w:szCs w:val="24"/>
              </w:rPr>
            </w:pPr>
            <w:r>
              <w:rPr>
                <w:rFonts w:hint="eastAsia"/>
                <w:sz w:val="24"/>
                <w:szCs w:val="24"/>
              </w:rPr>
              <w:t>本项目建设内容及规模为：</w:t>
            </w:r>
            <w:r>
              <w:rPr>
                <w:rFonts w:hint="eastAsia"/>
                <w:sz w:val="24"/>
                <w:szCs w:val="24"/>
                <w:lang w:val="en-US" w:eastAsia="zh-CN"/>
              </w:rPr>
              <w:t>在现有厂房西侧新增3#生产车间，将变更后硫化工序调整至3#生产车间内。产品方案不变，</w:t>
            </w:r>
            <w:r>
              <w:rPr>
                <w:rFonts w:hint="eastAsia"/>
                <w:sz w:val="24"/>
                <w:szCs w:val="24"/>
              </w:rPr>
              <w:t>年产橡胶管1900万米，硅橡胶管163万米，硅橡胶电线310万米，电加热带350万只，PVC管280万米，编织软管147万米，铝箝管175万米。</w:t>
            </w:r>
          </w:p>
          <w:p>
            <w:pPr>
              <w:pStyle w:val="5"/>
              <w:rPr>
                <w:kern w:val="2"/>
                <w:sz w:val="24"/>
                <w:szCs w:val="24"/>
              </w:rPr>
            </w:pPr>
            <w:r>
              <w:rPr>
                <w:rFonts w:hint="eastAsia"/>
                <w:kern w:val="2"/>
                <w:sz w:val="24"/>
                <w:szCs w:val="24"/>
              </w:rPr>
              <w:t>二、验收期间工况</w:t>
            </w:r>
          </w:p>
          <w:p>
            <w:pPr>
              <w:pStyle w:val="111"/>
            </w:pPr>
            <w:r>
              <w:rPr>
                <w:rFonts w:hint="eastAsia"/>
              </w:rPr>
              <w:t>验收监测期间（202</w:t>
            </w:r>
            <w:r>
              <w:rPr>
                <w:rFonts w:hint="eastAsia"/>
                <w:lang w:val="en-US" w:eastAsia="zh-CN"/>
              </w:rPr>
              <w:t>2</w:t>
            </w:r>
            <w:r>
              <w:rPr>
                <w:rFonts w:hint="eastAsia"/>
              </w:rPr>
              <w:t>年</w:t>
            </w:r>
            <w:r>
              <w:rPr>
                <w:rFonts w:hint="eastAsia"/>
                <w:lang w:val="en-US" w:eastAsia="zh-CN"/>
              </w:rPr>
              <w:t>9</w:t>
            </w:r>
            <w:r>
              <w:rPr>
                <w:rFonts w:hint="eastAsia"/>
              </w:rPr>
              <w:t>月</w:t>
            </w:r>
            <w:r>
              <w:rPr>
                <w:rFonts w:hint="eastAsia"/>
                <w:lang w:val="en-US" w:eastAsia="zh-CN"/>
              </w:rPr>
              <w:t>21</w:t>
            </w:r>
            <w:r>
              <w:rPr>
                <w:rFonts w:hint="eastAsia"/>
              </w:rPr>
              <w:t>日~</w:t>
            </w:r>
            <w:r>
              <w:rPr>
                <w:rFonts w:hint="eastAsia"/>
                <w:lang w:val="en-US" w:eastAsia="zh-CN"/>
              </w:rPr>
              <w:t>9</w:t>
            </w:r>
            <w:r>
              <w:rPr>
                <w:rFonts w:hint="eastAsia"/>
              </w:rPr>
              <w:t>月2</w:t>
            </w:r>
            <w:r>
              <w:rPr>
                <w:rFonts w:hint="eastAsia"/>
                <w:lang w:val="en-US" w:eastAsia="zh-CN"/>
              </w:rPr>
              <w:t>2</w:t>
            </w:r>
            <w:r>
              <w:rPr>
                <w:rFonts w:hint="eastAsia"/>
              </w:rPr>
              <w:t>日），该项目配套各项环保治理设施已落实到位，已建部分生产负荷大于设计生产能力的75%，满足竣工验收监测工况条件的要求。</w:t>
            </w:r>
          </w:p>
          <w:p>
            <w:pPr>
              <w:pStyle w:val="5"/>
              <w:rPr>
                <w:kern w:val="2"/>
                <w:sz w:val="24"/>
                <w:szCs w:val="24"/>
              </w:rPr>
            </w:pPr>
            <w:r>
              <w:rPr>
                <w:rFonts w:hint="eastAsia"/>
                <w:kern w:val="2"/>
                <w:sz w:val="24"/>
                <w:szCs w:val="24"/>
              </w:rPr>
              <w:t>三、</w:t>
            </w:r>
            <w:r>
              <w:rPr>
                <w:kern w:val="2"/>
                <w:sz w:val="24"/>
                <w:szCs w:val="24"/>
              </w:rPr>
              <w:t>验收主要结论</w:t>
            </w:r>
          </w:p>
          <w:p>
            <w:pPr>
              <w:pStyle w:val="111"/>
              <w:rPr>
                <w:rFonts w:eastAsia="MingLiU_HKSCS-ExtB"/>
              </w:rPr>
            </w:pPr>
            <w:r>
              <w:t>（1）废水</w:t>
            </w:r>
          </w:p>
          <w:p>
            <w:pPr>
              <w:pStyle w:val="111"/>
            </w:pPr>
            <w:r>
              <w:rPr>
                <w:rFonts w:hint="eastAsia"/>
              </w:rPr>
              <w:t>从现场调查情况来看，车间</w:t>
            </w:r>
            <w:r>
              <w:rPr>
                <w:rFonts w:hint="eastAsia"/>
                <w:lang w:val="en-US" w:eastAsia="zh-CN"/>
              </w:rPr>
              <w:t>生产废水</w:t>
            </w:r>
            <w:r>
              <w:rPr>
                <w:rFonts w:hint="eastAsia"/>
              </w:rPr>
              <w:t>进入自建污水处理设施进行处理。生活污水进入化粪池预处理后，厂区污水经过处理后进入</w:t>
            </w:r>
            <w:r>
              <w:rPr>
                <w:rFonts w:hint="eastAsia"/>
                <w:lang w:val="en-US" w:eastAsia="zh-CN"/>
              </w:rPr>
              <w:t>南山</w:t>
            </w:r>
            <w:r>
              <w:rPr>
                <w:rFonts w:hint="eastAsia"/>
              </w:rPr>
              <w:t>污水处理厂进一步处理。</w:t>
            </w:r>
          </w:p>
          <w:p>
            <w:pPr>
              <w:pStyle w:val="111"/>
              <w:rPr>
                <w:rFonts w:hint="default" w:ascii="Times New Roman" w:hAnsi="Times New Roman" w:cs="Times New Roman"/>
              </w:rPr>
            </w:pPr>
            <w:r>
              <w:rPr>
                <w:rFonts w:hint="default" w:ascii="Times New Roman" w:hAnsi="Times New Roman" w:cs="Times New Roman"/>
              </w:rPr>
              <w:t>根据检测结果，项目污水总排口pH值在7.</w:t>
            </w:r>
            <w:r>
              <w:rPr>
                <w:rFonts w:hint="eastAsia" w:cs="Times New Roman"/>
                <w:lang w:val="en-US" w:eastAsia="zh-CN"/>
              </w:rPr>
              <w:t>3</w:t>
            </w:r>
            <w:r>
              <w:rPr>
                <w:rFonts w:hint="default" w:ascii="Times New Roman" w:hAnsi="Times New Roman" w:cs="Times New Roman"/>
              </w:rPr>
              <w:t>~7.</w:t>
            </w:r>
            <w:r>
              <w:rPr>
                <w:rFonts w:hint="eastAsia" w:cs="Times New Roman"/>
                <w:lang w:val="en-US" w:eastAsia="zh-CN"/>
              </w:rPr>
              <w:t>8</w:t>
            </w:r>
            <w:r>
              <w:rPr>
                <w:rFonts w:hint="default" w:ascii="Times New Roman" w:hAnsi="Times New Roman" w:cs="Times New Roman"/>
              </w:rPr>
              <w:t>之间，SS浓度范围在</w:t>
            </w:r>
            <w:r>
              <w:rPr>
                <w:rFonts w:hint="eastAsia" w:cs="Times New Roman"/>
                <w:lang w:val="en-US" w:eastAsia="zh-CN"/>
              </w:rPr>
              <w:t>103</w:t>
            </w:r>
            <w:r>
              <w:rPr>
                <w:rFonts w:hint="default" w:ascii="Times New Roman" w:hAnsi="Times New Roman" w:cs="Times New Roman"/>
              </w:rPr>
              <w:t>~</w:t>
            </w:r>
            <w:r>
              <w:rPr>
                <w:rFonts w:hint="eastAsia" w:cs="Times New Roman"/>
                <w:lang w:val="en-US" w:eastAsia="zh-CN"/>
              </w:rPr>
              <w:t>117</w:t>
            </w:r>
            <w:r>
              <w:rPr>
                <w:rFonts w:hint="default" w:ascii="Times New Roman" w:hAnsi="Times New Roman" w:cs="Times New Roman"/>
              </w:rPr>
              <w:t>mg/L，氨氮浓度范围在</w:t>
            </w:r>
            <w:r>
              <w:rPr>
                <w:rFonts w:hint="eastAsia" w:cs="Times New Roman"/>
                <w:lang w:val="en-US" w:eastAsia="zh-CN"/>
              </w:rPr>
              <w:t>8.49</w:t>
            </w:r>
            <w:r>
              <w:rPr>
                <w:rFonts w:hint="default" w:ascii="Times New Roman" w:hAnsi="Times New Roman" w:cs="Times New Roman"/>
              </w:rPr>
              <w:t>~</w:t>
            </w:r>
            <w:r>
              <w:rPr>
                <w:rFonts w:hint="eastAsia" w:cs="Times New Roman"/>
                <w:lang w:val="en-US" w:eastAsia="zh-CN"/>
              </w:rPr>
              <w:t>9.38</w:t>
            </w:r>
            <w:r>
              <w:rPr>
                <w:rFonts w:hint="default" w:ascii="Times New Roman" w:hAnsi="Times New Roman" w:cs="Times New Roman"/>
              </w:rPr>
              <w:t>mg/L，COD浓度范围在</w:t>
            </w:r>
            <w:r>
              <w:rPr>
                <w:rFonts w:hint="eastAsia" w:cs="Times New Roman"/>
                <w:lang w:val="en-US" w:eastAsia="zh-CN"/>
              </w:rPr>
              <w:t>144</w:t>
            </w:r>
            <w:r>
              <w:rPr>
                <w:rFonts w:hint="default" w:ascii="Times New Roman" w:hAnsi="Times New Roman" w:cs="Times New Roman"/>
              </w:rPr>
              <w:t>~1</w:t>
            </w:r>
            <w:r>
              <w:rPr>
                <w:rFonts w:hint="eastAsia" w:cs="Times New Roman"/>
                <w:lang w:val="en-US" w:eastAsia="zh-CN"/>
              </w:rPr>
              <w:t>57</w:t>
            </w:r>
            <w:r>
              <w:rPr>
                <w:rFonts w:hint="default" w:ascii="Times New Roman" w:hAnsi="Times New Roman" w:cs="Times New Roman"/>
              </w:rPr>
              <w:t>mg/L，BOD</w:t>
            </w:r>
            <w:r>
              <w:rPr>
                <w:rFonts w:hint="default" w:ascii="Times New Roman" w:hAnsi="Times New Roman" w:cs="Times New Roman"/>
                <w:vertAlign w:val="subscript"/>
              </w:rPr>
              <w:t>5</w:t>
            </w:r>
            <w:r>
              <w:rPr>
                <w:rFonts w:hint="default" w:ascii="Times New Roman" w:hAnsi="Times New Roman" w:cs="Times New Roman"/>
              </w:rPr>
              <w:t>浓度范围在</w:t>
            </w:r>
            <w:r>
              <w:rPr>
                <w:rFonts w:hint="eastAsia" w:cs="Times New Roman"/>
                <w:lang w:val="en-US" w:eastAsia="zh-CN"/>
              </w:rPr>
              <w:t>50.4</w:t>
            </w:r>
            <w:r>
              <w:rPr>
                <w:rFonts w:hint="default" w:ascii="Times New Roman" w:hAnsi="Times New Roman" w:cs="Times New Roman"/>
              </w:rPr>
              <w:t>~</w:t>
            </w:r>
            <w:r>
              <w:rPr>
                <w:rFonts w:hint="eastAsia" w:cs="Times New Roman"/>
                <w:lang w:val="en-US" w:eastAsia="zh-CN"/>
              </w:rPr>
              <w:t>54.9</w:t>
            </w:r>
            <w:r>
              <w:rPr>
                <w:rFonts w:hint="default" w:ascii="Times New Roman" w:hAnsi="Times New Roman" w:cs="Times New Roman"/>
              </w:rPr>
              <w:t>mg/L，TP浓度范围在0.7</w:t>
            </w:r>
            <w:r>
              <w:rPr>
                <w:rFonts w:hint="eastAsia" w:cs="Times New Roman"/>
                <w:lang w:val="en-US" w:eastAsia="zh-CN"/>
              </w:rPr>
              <w:t>8</w:t>
            </w:r>
            <w:r>
              <w:rPr>
                <w:rFonts w:hint="default" w:ascii="Times New Roman" w:hAnsi="Times New Roman" w:cs="Times New Roman"/>
              </w:rPr>
              <w:t>~0.</w:t>
            </w:r>
            <w:r>
              <w:rPr>
                <w:rFonts w:hint="eastAsia" w:cs="Times New Roman"/>
                <w:lang w:val="en-US" w:eastAsia="zh-CN"/>
              </w:rPr>
              <w:t>94</w:t>
            </w:r>
            <w:r>
              <w:rPr>
                <w:rFonts w:hint="default" w:ascii="Times New Roman" w:hAnsi="Times New Roman" w:cs="Times New Roman"/>
              </w:rPr>
              <w:t>mg/L，动植物油浓度范围在</w:t>
            </w:r>
            <w:r>
              <w:rPr>
                <w:rFonts w:hint="eastAsia" w:cs="Times New Roman"/>
                <w:lang w:val="en-US" w:eastAsia="zh-CN"/>
              </w:rPr>
              <w:t>3.76</w:t>
            </w:r>
            <w:r>
              <w:rPr>
                <w:rFonts w:hint="default" w:ascii="Times New Roman" w:hAnsi="Times New Roman" w:cs="Times New Roman"/>
              </w:rPr>
              <w:t>~</w:t>
            </w:r>
            <w:r>
              <w:rPr>
                <w:rFonts w:hint="eastAsia" w:cs="Times New Roman"/>
                <w:lang w:val="en-US" w:eastAsia="zh-CN"/>
              </w:rPr>
              <w:t>4.11</w:t>
            </w:r>
            <w:r>
              <w:rPr>
                <w:rFonts w:hint="default" w:ascii="Times New Roman" w:hAnsi="Times New Roman" w:cs="Times New Roman"/>
              </w:rPr>
              <w:t>mg/L，石油类浓度范围在</w:t>
            </w:r>
            <w:r>
              <w:rPr>
                <w:rFonts w:hint="eastAsia" w:cs="Times New Roman"/>
                <w:lang w:val="en-US" w:eastAsia="zh-CN"/>
              </w:rPr>
              <w:t>3.13</w:t>
            </w:r>
            <w:r>
              <w:rPr>
                <w:rFonts w:hint="default" w:ascii="Times New Roman" w:hAnsi="Times New Roman" w:cs="Times New Roman"/>
              </w:rPr>
              <w:t>~</w:t>
            </w:r>
            <w:r>
              <w:rPr>
                <w:rFonts w:hint="eastAsia" w:cs="Times New Roman"/>
                <w:lang w:val="en-US" w:eastAsia="zh-CN"/>
              </w:rPr>
              <w:t>3.57</w:t>
            </w:r>
            <w:r>
              <w:rPr>
                <w:rFonts w:hint="default" w:ascii="Times New Roman" w:hAnsi="Times New Roman" w:cs="Times New Roman"/>
              </w:rPr>
              <w:t>mg/L，均满足</w:t>
            </w:r>
            <w:r>
              <w:rPr>
                <w:rFonts w:hint="default" w:ascii="Times New Roman" w:hAnsi="Times New Roman" w:cs="Times New Roman"/>
                <w:kern w:val="0"/>
                <w:sz w:val="24"/>
                <w:szCs w:val="24"/>
                <w:lang w:val="en-US" w:eastAsia="zh-CN"/>
              </w:rPr>
              <w:t>《橡胶制品工业污染物排放标准》(GB27632-2011)</w:t>
            </w:r>
            <w:r>
              <w:rPr>
                <w:rFonts w:hint="eastAsia" w:ascii="Times New Roman" w:hAnsi="Times New Roman" w:cs="Times New Roman"/>
                <w:kern w:val="0"/>
                <w:sz w:val="24"/>
                <w:szCs w:val="24"/>
                <w:lang w:val="en-US" w:eastAsia="zh-CN"/>
              </w:rPr>
              <w:t>表2中新建企业水污染物间接排放标准限值和南山园区</w:t>
            </w:r>
            <w:r>
              <w:t>污水接管标准</w:t>
            </w:r>
            <w:r>
              <w:rPr>
                <w:rFonts w:hint="default" w:ascii="Times New Roman" w:hAnsi="Times New Roman" w:cs="Times New Roman"/>
              </w:rPr>
              <w:t>。</w:t>
            </w:r>
          </w:p>
          <w:p>
            <w:pPr>
              <w:pStyle w:val="111"/>
              <w:rPr>
                <w:rFonts w:eastAsia="MingLiU_HKSCS-ExtB"/>
              </w:rPr>
            </w:pPr>
            <w:r>
              <w:t>（</w:t>
            </w:r>
            <w:r>
              <w:rPr>
                <w:rFonts w:hint="eastAsia"/>
              </w:rPr>
              <w:t>2</w:t>
            </w:r>
            <w:r>
              <w:t>）废气</w:t>
            </w:r>
          </w:p>
          <w:p>
            <w:pPr>
              <w:pStyle w:val="111"/>
              <w:rPr>
                <w:rFonts w:hint="default" w:ascii="Times New Roman" w:hAnsi="Times New Roman" w:eastAsia="宋体" w:cs="Times New Roman"/>
                <w:lang w:val="en-US" w:eastAsia="zh-CN"/>
              </w:rPr>
            </w:pPr>
            <w:r>
              <w:rPr>
                <w:rFonts w:hint="default" w:ascii="Times New Roman" w:hAnsi="Times New Roman" w:cs="Times New Roman"/>
              </w:rPr>
              <w:t>验收监测期间，项目</w:t>
            </w:r>
            <w:r>
              <w:rPr>
                <w:rFonts w:hint="eastAsia" w:cs="Times New Roman"/>
                <w:color w:val="000000"/>
                <w:kern w:val="0"/>
                <w:szCs w:val="21"/>
                <w:lang w:val="en-US" w:eastAsia="zh-CN" w:bidi="ar"/>
              </w:rPr>
              <w:t>锅炉</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SO</w:t>
            </w:r>
            <w:r>
              <w:rPr>
                <w:rFonts w:hint="eastAsia" w:cs="Times New Roman"/>
                <w:vertAlign w:val="subscript"/>
                <w:lang w:val="en-US" w:eastAsia="zh-CN"/>
              </w:rPr>
              <w:t>2</w:t>
            </w:r>
            <w:r>
              <w:rPr>
                <w:rFonts w:hint="default" w:ascii="Times New Roman" w:hAnsi="Times New Roman" w:cs="Times New Roman"/>
              </w:rPr>
              <w:t>浓度在</w:t>
            </w:r>
            <w:r>
              <w:rPr>
                <w:rFonts w:hint="eastAsia" w:cs="Times New Roman"/>
                <w:lang w:val="en-US" w:eastAsia="zh-CN"/>
              </w:rPr>
              <w:t>11</w:t>
            </w:r>
            <w:r>
              <w:rPr>
                <w:rFonts w:hint="default" w:ascii="Times New Roman" w:hAnsi="Times New Roman" w:cs="Times New Roman"/>
              </w:rPr>
              <w:t>~</w:t>
            </w:r>
            <w:r>
              <w:rPr>
                <w:rFonts w:hint="eastAsia" w:cs="Times New Roman"/>
                <w:lang w:val="en-US" w:eastAsia="zh-CN"/>
              </w:rPr>
              <w:t>14</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13</w:t>
            </w:r>
            <w:r>
              <w:rPr>
                <w:rFonts w:hint="default" w:ascii="Times New Roman" w:hAnsi="Times New Roman" w:cs="Times New Roman"/>
              </w:rPr>
              <w:t>~0.0</w:t>
            </w:r>
            <w:r>
              <w:rPr>
                <w:rFonts w:hint="eastAsia" w:cs="Times New Roman"/>
                <w:lang w:val="en-US" w:eastAsia="zh-CN"/>
              </w:rPr>
              <w:t>18</w:t>
            </w:r>
            <w:r>
              <w:rPr>
                <w:rFonts w:hint="default" w:ascii="Times New Roman" w:hAnsi="Times New Roman" w:cs="Times New Roman"/>
              </w:rPr>
              <w:t>kg/h之间。项目</w:t>
            </w:r>
            <w:r>
              <w:rPr>
                <w:rFonts w:hint="eastAsia" w:cs="Times New Roman"/>
                <w:color w:val="000000"/>
                <w:kern w:val="0"/>
                <w:szCs w:val="21"/>
                <w:lang w:val="en-US" w:eastAsia="zh-CN" w:bidi="ar"/>
              </w:rPr>
              <w:t>锅炉</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NOx</w:t>
            </w:r>
            <w:r>
              <w:rPr>
                <w:rFonts w:hint="default" w:ascii="Times New Roman" w:hAnsi="Times New Roman" w:cs="Times New Roman"/>
              </w:rPr>
              <w:t>浓度在</w:t>
            </w:r>
            <w:r>
              <w:rPr>
                <w:rFonts w:hint="eastAsia" w:cs="Times New Roman"/>
                <w:lang w:val="en-US" w:eastAsia="zh-CN"/>
              </w:rPr>
              <w:t>24</w:t>
            </w:r>
            <w:r>
              <w:rPr>
                <w:rFonts w:hint="default" w:ascii="Times New Roman" w:hAnsi="Times New Roman" w:cs="Times New Roman"/>
              </w:rPr>
              <w:t>~</w:t>
            </w:r>
            <w:r>
              <w:rPr>
                <w:rFonts w:hint="eastAsia" w:cs="Times New Roman"/>
                <w:lang w:val="en-US" w:eastAsia="zh-CN"/>
              </w:rPr>
              <w:t>30</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30</w:t>
            </w:r>
            <w:r>
              <w:rPr>
                <w:rFonts w:hint="default" w:ascii="Times New Roman" w:hAnsi="Times New Roman" w:cs="Times New Roman"/>
              </w:rPr>
              <w:t>~0.0</w:t>
            </w:r>
            <w:r>
              <w:rPr>
                <w:rFonts w:hint="eastAsia" w:cs="Times New Roman"/>
                <w:lang w:val="en-US" w:eastAsia="zh-CN"/>
              </w:rPr>
              <w:t>36</w:t>
            </w:r>
            <w:r>
              <w:rPr>
                <w:rFonts w:hint="default" w:ascii="Times New Roman" w:hAnsi="Times New Roman" w:cs="Times New Roman"/>
              </w:rPr>
              <w:t>kg/h之间</w:t>
            </w:r>
            <w:r>
              <w:rPr>
                <w:rFonts w:hint="eastAsia" w:ascii="Times New Roman" w:hAnsi="Times New Roman" w:cs="Times New Roman"/>
                <w:lang w:eastAsia="zh-CN"/>
              </w:rPr>
              <w:t>。</w:t>
            </w:r>
            <w:r>
              <w:rPr>
                <w:rFonts w:hint="default" w:ascii="Times New Roman" w:hAnsi="Times New Roman" w:cs="Times New Roman"/>
              </w:rPr>
              <w:t>项目</w:t>
            </w:r>
            <w:r>
              <w:rPr>
                <w:rFonts w:hint="eastAsia" w:cs="Times New Roman"/>
                <w:color w:val="000000"/>
                <w:kern w:val="0"/>
                <w:szCs w:val="21"/>
                <w:lang w:val="en-US" w:eastAsia="zh-CN" w:bidi="ar"/>
              </w:rPr>
              <w:t>锅炉</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颗粒物</w:t>
            </w:r>
            <w:r>
              <w:rPr>
                <w:rFonts w:hint="default" w:ascii="Times New Roman" w:hAnsi="Times New Roman" w:cs="Times New Roman"/>
              </w:rPr>
              <w:t>浓度在</w:t>
            </w:r>
            <w:r>
              <w:rPr>
                <w:rFonts w:hint="eastAsia" w:cs="Times New Roman"/>
                <w:lang w:val="en-US" w:eastAsia="zh-CN"/>
              </w:rPr>
              <w:t>5.7</w:t>
            </w:r>
            <w:r>
              <w:rPr>
                <w:rFonts w:hint="default" w:ascii="Times New Roman" w:hAnsi="Times New Roman" w:cs="Times New Roman"/>
              </w:rPr>
              <w:t>~</w:t>
            </w:r>
            <w:r>
              <w:rPr>
                <w:rFonts w:hint="eastAsia" w:cs="Times New Roman"/>
                <w:lang w:val="en-US" w:eastAsia="zh-CN"/>
              </w:rPr>
              <w:t>6.4</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07</w:t>
            </w:r>
            <w:r>
              <w:rPr>
                <w:rFonts w:hint="default" w:ascii="Times New Roman" w:hAnsi="Times New Roman" w:cs="Times New Roman"/>
              </w:rPr>
              <w:t>~0.0</w:t>
            </w:r>
            <w:r>
              <w:rPr>
                <w:rFonts w:hint="eastAsia" w:cs="Times New Roman"/>
                <w:lang w:val="en-US" w:eastAsia="zh-CN"/>
              </w:rPr>
              <w:t>08</w:t>
            </w:r>
            <w:r>
              <w:rPr>
                <w:rFonts w:hint="default" w:ascii="Times New Roman" w:hAnsi="Times New Roman" w:cs="Times New Roman"/>
              </w:rPr>
              <w:t>kg/h之间</w:t>
            </w:r>
            <w:r>
              <w:rPr>
                <w:rFonts w:hint="eastAsia" w:ascii="Times New Roman" w:hAnsi="Times New Roman" w:cs="Times New Roman"/>
                <w:lang w:eastAsia="zh-CN"/>
              </w:rPr>
              <w:t>，</w:t>
            </w:r>
            <w:r>
              <w:rPr>
                <w:rFonts w:hint="default" w:ascii="Times New Roman" w:hAnsi="Times New Roman" w:cs="Times New Roman"/>
              </w:rPr>
              <w:t>排放浓度</w:t>
            </w:r>
            <w:r>
              <w:rPr>
                <w:rFonts w:hint="eastAsia" w:ascii="Times New Roman" w:hAnsi="Times New Roman" w:cs="Times New Roman"/>
                <w:lang w:val="en-US" w:eastAsia="zh-CN"/>
              </w:rPr>
              <w:t>均</w:t>
            </w:r>
            <w:r>
              <w:rPr>
                <w:rFonts w:hint="default" w:ascii="Times New Roman" w:hAnsi="Times New Roman" w:cs="Times New Roman"/>
              </w:rPr>
              <w:t>满足《</w:t>
            </w:r>
            <w:r>
              <w:rPr>
                <w:rFonts w:hint="eastAsia" w:cs="Times New Roman"/>
                <w:lang w:val="en-US" w:eastAsia="zh-CN"/>
              </w:rPr>
              <w:t>锅炉大气污染物排放标准</w:t>
            </w:r>
            <w:r>
              <w:rPr>
                <w:rFonts w:hint="default" w:ascii="Times New Roman" w:hAnsi="Times New Roman" w:cs="Times New Roman"/>
              </w:rPr>
              <w:t>》（</w:t>
            </w:r>
            <w:r>
              <w:rPr>
                <w:rFonts w:hint="eastAsia" w:cs="Times New Roman"/>
                <w:lang w:val="en-US" w:eastAsia="zh-CN"/>
              </w:rPr>
              <w:t>G</w:t>
            </w:r>
            <w:r>
              <w:rPr>
                <w:rFonts w:hint="default" w:ascii="Times New Roman" w:hAnsi="Times New Roman" w:cs="Times New Roman"/>
              </w:rPr>
              <w:t>B</w:t>
            </w:r>
            <w:r>
              <w:rPr>
                <w:rFonts w:hint="eastAsia" w:cs="Times New Roman"/>
                <w:lang w:val="en-US" w:eastAsia="zh-CN"/>
              </w:rPr>
              <w:t>13271-2014</w:t>
            </w:r>
            <w:r>
              <w:rPr>
                <w:rFonts w:hint="default" w:ascii="Times New Roman" w:hAnsi="Times New Roman" w:cs="Times New Roman"/>
              </w:rPr>
              <w:t>）中相关限值要求。</w:t>
            </w:r>
            <w:r>
              <w:rPr>
                <w:rFonts w:hint="eastAsia" w:ascii="Times New Roman" w:hAnsi="Times New Roman" w:cs="Times New Roman"/>
                <w:lang w:val="en-US" w:eastAsia="zh-CN"/>
              </w:rPr>
              <w:t>同时，</w:t>
            </w:r>
            <w:r>
              <w:rPr>
                <w:rFonts w:hint="default" w:ascii="Times New Roman" w:hAnsi="Times New Roman" w:cs="Times New Roman"/>
                <w:color w:val="auto"/>
                <w:kern w:val="0"/>
                <w:sz w:val="24"/>
              </w:rPr>
              <w:t>NOx排放</w:t>
            </w:r>
            <w:r>
              <w:rPr>
                <w:rFonts w:hint="eastAsia" w:cs="Times New Roman"/>
                <w:color w:val="auto"/>
                <w:kern w:val="0"/>
                <w:sz w:val="24"/>
                <w:lang w:val="en-US" w:eastAsia="zh-CN"/>
              </w:rPr>
              <w:t>可以满足</w:t>
            </w:r>
            <w:r>
              <w:rPr>
                <w:rFonts w:hint="default" w:ascii="Times New Roman" w:hAnsi="Times New Roman" w:cs="Times New Roman"/>
                <w:color w:val="auto"/>
                <w:kern w:val="0"/>
                <w:sz w:val="24"/>
              </w:rPr>
              <w:t>安徽省大气办关于印发《安徽省2020年大气污染防治重点工作任务》的通知（皖大气办[2020]2号）中的要求</w:t>
            </w:r>
            <w:r>
              <w:rPr>
                <w:rFonts w:hint="eastAsia" w:cs="Times New Roman"/>
                <w:color w:val="auto"/>
                <w:kern w:val="0"/>
                <w:sz w:val="24"/>
                <w:lang w:eastAsia="zh-CN"/>
              </w:rPr>
              <w:t>（</w:t>
            </w:r>
            <w:r>
              <w:rPr>
                <w:rFonts w:hint="eastAsia" w:cs="Times New Roman"/>
                <w:lang w:val="en-US" w:eastAsia="zh-CN"/>
              </w:rPr>
              <w:t>50</w:t>
            </w:r>
            <w:r>
              <w:rPr>
                <w:rFonts w:hint="default" w:ascii="Times New Roman" w:hAnsi="Times New Roman" w:cs="Times New Roman"/>
              </w:rPr>
              <w:t>mg/m</w:t>
            </w:r>
            <w:r>
              <w:rPr>
                <w:rFonts w:hint="default" w:ascii="Times New Roman" w:hAnsi="Times New Roman" w:cs="Times New Roman"/>
                <w:vertAlign w:val="superscript"/>
              </w:rPr>
              <w:t>3</w:t>
            </w:r>
            <w:r>
              <w:rPr>
                <w:rFonts w:hint="eastAsia" w:cs="Times New Roman"/>
                <w:color w:val="auto"/>
                <w:kern w:val="0"/>
                <w:sz w:val="24"/>
                <w:lang w:eastAsia="zh-CN"/>
              </w:rPr>
              <w:t>）</w:t>
            </w:r>
            <w:r>
              <w:rPr>
                <w:rFonts w:hint="default" w:ascii="Times New Roman" w:hAnsi="Times New Roman" w:cs="Times New Roman"/>
              </w:rPr>
              <w:t>。</w:t>
            </w:r>
          </w:p>
          <w:p>
            <w:pPr>
              <w:pStyle w:val="111"/>
              <w:rPr>
                <w:rFonts w:hint="eastAsia" w:ascii="Times New Roman" w:hAnsi="Times New Roman" w:eastAsia="宋体" w:cs="Times New Roman"/>
                <w:lang w:val="en-US" w:eastAsia="zh-CN"/>
              </w:rPr>
            </w:pPr>
            <w:r>
              <w:rPr>
                <w:rFonts w:hint="default" w:ascii="Times New Roman" w:hAnsi="Times New Roman" w:cs="Times New Roman"/>
              </w:rPr>
              <w:t>验收监测期间，项目</w:t>
            </w:r>
            <w:r>
              <w:rPr>
                <w:rFonts w:hint="eastAsia" w:cs="Times New Roman"/>
                <w:color w:val="000000"/>
                <w:kern w:val="0"/>
                <w:szCs w:val="21"/>
                <w:lang w:val="en-US" w:eastAsia="zh-CN" w:bidi="ar"/>
              </w:rPr>
              <w:t>硫化</w:t>
            </w:r>
            <w:r>
              <w:rPr>
                <w:rFonts w:hint="default" w:ascii="Times New Roman" w:hAnsi="Times New Roman" w:cs="Times New Roman"/>
                <w:color w:val="000000"/>
                <w:kern w:val="0"/>
                <w:szCs w:val="21"/>
                <w:lang w:val="en-US" w:eastAsia="zh-CN" w:bidi="ar"/>
              </w:rPr>
              <w:t>废气</w:t>
            </w:r>
            <w:r>
              <w:rPr>
                <w:rFonts w:hint="default" w:ascii="Times New Roman" w:hAnsi="Times New Roman" w:cs="Times New Roman"/>
              </w:rPr>
              <w:t>排放的</w:t>
            </w:r>
            <w:r>
              <w:rPr>
                <w:rFonts w:hint="eastAsia" w:cs="Times New Roman"/>
                <w:lang w:val="en-US" w:eastAsia="zh-CN"/>
              </w:rPr>
              <w:t>非甲烷总烃</w:t>
            </w:r>
            <w:r>
              <w:rPr>
                <w:rFonts w:hint="default" w:ascii="Times New Roman" w:hAnsi="Times New Roman" w:cs="Times New Roman"/>
              </w:rPr>
              <w:t>浓度在</w:t>
            </w:r>
            <w:r>
              <w:rPr>
                <w:rFonts w:hint="eastAsia" w:cs="Times New Roman"/>
                <w:lang w:val="en-US" w:eastAsia="zh-CN"/>
              </w:rPr>
              <w:t>1.58</w:t>
            </w:r>
            <w:r>
              <w:rPr>
                <w:rFonts w:hint="default" w:ascii="Times New Roman" w:hAnsi="Times New Roman" w:cs="Times New Roman"/>
              </w:rPr>
              <w:t>~</w:t>
            </w:r>
            <w:r>
              <w:rPr>
                <w:rFonts w:hint="eastAsia" w:cs="Times New Roman"/>
                <w:lang w:val="en-US" w:eastAsia="zh-CN"/>
              </w:rPr>
              <w:t>1.97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之间，排放速率在0.0</w:t>
            </w:r>
            <w:r>
              <w:rPr>
                <w:rFonts w:hint="eastAsia" w:cs="Times New Roman"/>
                <w:lang w:val="en-US" w:eastAsia="zh-CN"/>
              </w:rPr>
              <w:t>24</w:t>
            </w:r>
            <w:r>
              <w:rPr>
                <w:rFonts w:hint="default" w:ascii="Times New Roman" w:hAnsi="Times New Roman" w:cs="Times New Roman"/>
              </w:rPr>
              <w:t>~0.0</w:t>
            </w:r>
            <w:r>
              <w:rPr>
                <w:rFonts w:hint="eastAsia" w:cs="Times New Roman"/>
                <w:lang w:val="en-US" w:eastAsia="zh-CN"/>
              </w:rPr>
              <w:t>31</w:t>
            </w:r>
            <w:r>
              <w:rPr>
                <w:rFonts w:hint="default" w:ascii="Times New Roman" w:hAnsi="Times New Roman" w:cs="Times New Roman"/>
              </w:rPr>
              <w:t>kg/h之间，排放浓度及排放速率满足</w:t>
            </w:r>
            <w:r>
              <w:rPr>
                <w:rFonts w:hint="default" w:ascii="Times New Roman" w:hAnsi="Times New Roman" w:cs="Times New Roman"/>
                <w:lang w:val="en-US" w:eastAsia="zh-CN"/>
              </w:rPr>
              <w:t>《橡胶制品工业污染物排放标准》（GB27632-2011）</w:t>
            </w:r>
            <w:r>
              <w:rPr>
                <w:rFonts w:hint="default" w:ascii="Times New Roman" w:hAnsi="Times New Roman" w:cs="Times New Roman"/>
              </w:rPr>
              <w:t>中相关限值要求。</w:t>
            </w:r>
            <w:r>
              <w:rPr>
                <w:rFonts w:hint="eastAsia" w:cs="Times New Roman"/>
                <w:lang w:val="en-US" w:eastAsia="zh-CN"/>
              </w:rPr>
              <w:t>硫化废气中H</w:t>
            </w:r>
            <w:r>
              <w:rPr>
                <w:rFonts w:hint="eastAsia" w:cs="Times New Roman"/>
                <w:vertAlign w:val="subscript"/>
                <w:lang w:val="en-US" w:eastAsia="zh-CN"/>
              </w:rPr>
              <w:t>2</w:t>
            </w:r>
            <w:r>
              <w:rPr>
                <w:rFonts w:hint="eastAsia" w:cs="Times New Roman"/>
                <w:lang w:val="en-US" w:eastAsia="zh-CN"/>
              </w:rPr>
              <w:t>S排放浓度</w:t>
            </w:r>
            <w:r>
              <w:rPr>
                <w:rFonts w:hint="default" w:ascii="Times New Roman" w:hAnsi="Times New Roman" w:cs="Times New Roman"/>
              </w:rPr>
              <w:t>在</w:t>
            </w:r>
            <w:r>
              <w:rPr>
                <w:rFonts w:hint="eastAsia" w:cs="Times New Roman"/>
                <w:lang w:val="en-US" w:eastAsia="zh-CN"/>
              </w:rPr>
              <w:t>0.11</w:t>
            </w:r>
            <w:r>
              <w:rPr>
                <w:rFonts w:hint="default" w:ascii="Times New Roman" w:hAnsi="Times New Roman" w:cs="Times New Roman"/>
              </w:rPr>
              <w:t>~</w:t>
            </w:r>
            <w:r>
              <w:rPr>
                <w:rFonts w:hint="eastAsia" w:cs="Times New Roman"/>
                <w:lang w:val="en-US" w:eastAsia="zh-CN"/>
              </w:rPr>
              <w:t>0.18</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之间</w:t>
            </w:r>
            <w:r>
              <w:rPr>
                <w:rFonts w:hint="eastAsia" w:ascii="Times New Roman" w:hAnsi="Times New Roman" w:cs="Times New Roman"/>
                <w:lang w:eastAsia="zh-CN"/>
              </w:rPr>
              <w:t>，</w:t>
            </w:r>
            <w:r>
              <w:rPr>
                <w:rFonts w:hint="default" w:ascii="Times New Roman" w:hAnsi="Times New Roman" w:cs="Times New Roman"/>
              </w:rPr>
              <w:t>排放浓度满足</w:t>
            </w:r>
            <w:r>
              <w:rPr>
                <w:color w:val="auto"/>
                <w:szCs w:val="21"/>
              </w:rPr>
              <w:t>《恶臭污染物排放标准》（GB14554-93）</w:t>
            </w:r>
            <w:r>
              <w:rPr>
                <w:rFonts w:hint="default" w:ascii="Times New Roman" w:hAnsi="Times New Roman" w:cs="Times New Roman"/>
              </w:rPr>
              <w:t>中相关限值要求</w:t>
            </w:r>
            <w:r>
              <w:rPr>
                <w:rFonts w:hint="eastAsia" w:ascii="Times New Roman" w:hAnsi="Times New Roman" w:cs="Times New Roman"/>
                <w:lang w:eastAsia="zh-CN"/>
              </w:rPr>
              <w:t>。</w:t>
            </w:r>
          </w:p>
          <w:p>
            <w:pPr>
              <w:pStyle w:val="111"/>
              <w:rPr>
                <w:rFonts w:hint="eastAsia" w:ascii="Times New Roman" w:hAnsi="Times New Roman" w:eastAsia="宋体" w:cs="Times New Roman"/>
                <w:color w:val="auto"/>
                <w:lang w:eastAsia="zh-CN"/>
              </w:rPr>
            </w:pPr>
            <w:r>
              <w:rPr>
                <w:rFonts w:hint="default" w:ascii="Times New Roman" w:hAnsi="Times New Roman" w:cs="Times New Roman"/>
                <w:color w:val="auto"/>
              </w:rPr>
              <w:t>厂界上风向非甲烷总烃一次值浓度范围为</w:t>
            </w:r>
            <w:r>
              <w:rPr>
                <w:rFonts w:hint="eastAsia" w:cs="Times New Roman"/>
                <w:color w:val="auto"/>
                <w:lang w:val="en-US" w:eastAsia="zh-CN"/>
              </w:rPr>
              <w:t>0.76</w:t>
            </w:r>
            <w:r>
              <w:rPr>
                <w:rFonts w:hint="default" w:ascii="Times New Roman" w:hAnsi="Times New Roman" w:cs="Times New Roman"/>
                <w:color w:val="auto"/>
              </w:rPr>
              <w:t>~</w:t>
            </w:r>
            <w:r>
              <w:rPr>
                <w:rFonts w:hint="eastAsia" w:cs="Times New Roman"/>
                <w:color w:val="auto"/>
                <w:lang w:val="en-US" w:eastAsia="zh-CN"/>
              </w:rPr>
              <w:t>0.88</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，下风向非甲烷总烃一次值浓度范围为</w:t>
            </w:r>
            <w:r>
              <w:rPr>
                <w:rFonts w:hint="eastAsia" w:cs="Times New Roman"/>
                <w:color w:val="auto"/>
                <w:lang w:val="en-US" w:eastAsia="zh-CN"/>
              </w:rPr>
              <w:t>0.93</w:t>
            </w:r>
            <w:r>
              <w:rPr>
                <w:rFonts w:hint="default" w:ascii="Times New Roman" w:hAnsi="Times New Roman" w:cs="Times New Roman"/>
                <w:color w:val="auto"/>
              </w:rPr>
              <w:t>~1.</w:t>
            </w:r>
            <w:r>
              <w:rPr>
                <w:rFonts w:hint="eastAsia" w:cs="Times New Roman"/>
                <w:color w:val="auto"/>
                <w:lang w:val="en-US" w:eastAsia="zh-CN"/>
              </w:rPr>
              <w:t>06</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，满足满足</w:t>
            </w:r>
            <w:r>
              <w:rPr>
                <w:rFonts w:hint="default" w:ascii="Times New Roman" w:hAnsi="Times New Roman" w:cs="Times New Roman"/>
                <w:color w:val="auto"/>
                <w:lang w:val="en-US" w:eastAsia="zh-CN"/>
              </w:rPr>
              <w:t>《橡胶制品工业污染物排放标准》（GB27632-2011）</w:t>
            </w:r>
            <w:r>
              <w:rPr>
                <w:rFonts w:hint="eastAsia" w:ascii="Times New Roman" w:hAnsi="Times New Roman" w:cs="Times New Roman"/>
                <w:color w:val="auto"/>
                <w:lang w:val="en-US" w:eastAsia="zh-CN"/>
              </w:rPr>
              <w:t>中</w:t>
            </w:r>
            <w:r>
              <w:rPr>
                <w:rFonts w:hint="default" w:ascii="Times New Roman" w:hAnsi="Times New Roman" w:cs="Times New Roman"/>
                <w:color w:val="auto"/>
              </w:rPr>
              <w:t>企业边界大气污染物浓度限值（4.0mg/m</w:t>
            </w:r>
            <w:r>
              <w:rPr>
                <w:rFonts w:hint="default" w:ascii="Times New Roman" w:hAnsi="Times New Roman" w:cs="Times New Roman"/>
                <w:color w:val="auto"/>
                <w:vertAlign w:val="superscript"/>
              </w:rPr>
              <w:t>3</w:t>
            </w:r>
            <w:r>
              <w:rPr>
                <w:rFonts w:hint="default" w:ascii="Times New Roman" w:hAnsi="Times New Roman" w:cs="Times New Roman"/>
                <w:color w:val="auto"/>
              </w:rPr>
              <w:t>）；厂界上风向颗粒物一次值浓度范围为0.153~0.173mg/m</w:t>
            </w:r>
            <w:r>
              <w:rPr>
                <w:rFonts w:hint="default" w:ascii="Times New Roman" w:hAnsi="Times New Roman" w:cs="Times New Roman"/>
                <w:color w:val="auto"/>
                <w:vertAlign w:val="superscript"/>
              </w:rPr>
              <w:t>3</w:t>
            </w:r>
            <w:r>
              <w:rPr>
                <w:rFonts w:hint="default" w:ascii="Times New Roman" w:hAnsi="Times New Roman" w:cs="Times New Roman"/>
                <w:color w:val="auto"/>
              </w:rPr>
              <w:t>，下风向颗粒物一次值浓度范围为0.</w:t>
            </w:r>
            <w:r>
              <w:rPr>
                <w:rFonts w:hint="eastAsia" w:cs="Times New Roman"/>
                <w:color w:val="auto"/>
                <w:lang w:val="en-US" w:eastAsia="zh-CN"/>
              </w:rPr>
              <w:t>186~</w:t>
            </w:r>
            <w:r>
              <w:rPr>
                <w:rFonts w:hint="default" w:ascii="Times New Roman" w:hAnsi="Times New Roman" w:cs="Times New Roman"/>
                <w:color w:val="auto"/>
              </w:rPr>
              <w:t>0.</w:t>
            </w:r>
            <w:r>
              <w:rPr>
                <w:rFonts w:hint="eastAsia" w:cs="Times New Roman"/>
                <w:color w:val="auto"/>
                <w:lang w:val="en-US" w:eastAsia="zh-CN"/>
              </w:rPr>
              <w:t>193</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cs="Times New Roman"/>
                <w:color w:val="auto"/>
                <w:vertAlign w:val="baseline"/>
                <w:lang w:eastAsia="zh-CN"/>
              </w:rPr>
              <w:t>；</w:t>
            </w:r>
          </w:p>
          <w:p>
            <w:pPr>
              <w:pStyle w:val="111"/>
              <w:rPr>
                <w:rFonts w:hint="default" w:ascii="Times New Roman" w:hAnsi="Times New Roman" w:cs="Times New Roman"/>
              </w:rPr>
            </w:pPr>
            <w:r>
              <w:rPr>
                <w:rFonts w:hint="eastAsia" w:cs="Times New Roman"/>
                <w:color w:val="auto"/>
                <w:lang w:val="en-US" w:eastAsia="zh-CN"/>
              </w:rPr>
              <w:t>3#生产</w:t>
            </w:r>
            <w:r>
              <w:rPr>
                <w:rFonts w:hint="default" w:ascii="Times New Roman" w:hAnsi="Times New Roman" w:cs="Times New Roman"/>
                <w:color w:val="auto"/>
              </w:rPr>
              <w:t>车间外非甲烷总烃一次浓度值为1.</w:t>
            </w:r>
            <w:r>
              <w:rPr>
                <w:rFonts w:hint="eastAsia" w:cs="Times New Roman"/>
                <w:color w:val="auto"/>
                <w:lang w:val="en-US" w:eastAsia="zh-CN"/>
              </w:rPr>
              <w:t>11</w:t>
            </w:r>
            <w:r>
              <w:rPr>
                <w:rFonts w:hint="default" w:ascii="Times New Roman" w:hAnsi="Times New Roman" w:cs="Times New Roman"/>
                <w:color w:val="auto"/>
              </w:rPr>
              <w:t>~1.</w:t>
            </w:r>
            <w:r>
              <w:rPr>
                <w:rFonts w:hint="eastAsia" w:cs="Times New Roman"/>
                <w:color w:val="auto"/>
                <w:lang w:val="en-US" w:eastAsia="zh-CN"/>
              </w:rPr>
              <w:t>22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可以</w:t>
            </w:r>
            <w:r>
              <w:rPr>
                <w:rFonts w:hint="default" w:ascii="Times New Roman" w:hAnsi="Times New Roman" w:cs="Times New Roman"/>
                <w:color w:val="auto"/>
              </w:rPr>
              <w:t>满足《挥发性有机物无组织排放控制标准》（GB37822-2019）特别排放限值要求（20mg/m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rPr>
              <w:t>。</w:t>
            </w:r>
          </w:p>
          <w:p>
            <w:pPr>
              <w:pStyle w:val="111"/>
            </w:pPr>
            <w:r>
              <w:t>（</w:t>
            </w:r>
            <w:r>
              <w:rPr>
                <w:rFonts w:eastAsia="MingLiU_HKSCS-ExtB"/>
              </w:rPr>
              <w:t>3</w:t>
            </w:r>
            <w:r>
              <w:t>）噪声</w:t>
            </w:r>
          </w:p>
          <w:p>
            <w:pPr>
              <w:pStyle w:val="111"/>
              <w:rPr>
                <w:rFonts w:hint="default" w:ascii="Times New Roman" w:hAnsi="Times New Roman" w:cs="Times New Roman"/>
              </w:rPr>
            </w:pPr>
            <w:r>
              <w:rPr>
                <w:rFonts w:hint="default" w:ascii="Times New Roman" w:hAnsi="Times New Roman" w:cs="Times New Roman"/>
              </w:rPr>
              <w:t>经噪声检测，项目东、南、西、北厂界昼间噪声值范围为5</w:t>
            </w:r>
            <w:r>
              <w:rPr>
                <w:rFonts w:hint="eastAsia" w:cs="Times New Roman"/>
                <w:lang w:val="en-US" w:eastAsia="zh-CN"/>
              </w:rPr>
              <w:t>6</w:t>
            </w:r>
            <w:r>
              <w:rPr>
                <w:rFonts w:hint="default" w:ascii="Times New Roman" w:hAnsi="Times New Roman" w:cs="Times New Roman"/>
              </w:rPr>
              <w:t>～</w:t>
            </w:r>
            <w:r>
              <w:rPr>
                <w:rFonts w:hint="eastAsia" w:cs="Times New Roman"/>
                <w:lang w:val="en-US" w:eastAsia="zh-CN"/>
              </w:rPr>
              <w:t>58</w:t>
            </w:r>
            <w:r>
              <w:rPr>
                <w:rFonts w:hint="default" w:ascii="Times New Roman" w:hAnsi="Times New Roman" w:cs="Times New Roman"/>
              </w:rPr>
              <w:t>dB（A），夜间噪声值范围为45～4</w:t>
            </w:r>
            <w:r>
              <w:rPr>
                <w:rFonts w:hint="eastAsia" w:cs="Times New Roman"/>
                <w:lang w:val="en-US" w:eastAsia="zh-CN"/>
              </w:rPr>
              <w:t>8</w:t>
            </w:r>
            <w:r>
              <w:rPr>
                <w:rFonts w:hint="default" w:ascii="Times New Roman" w:hAnsi="Times New Roman" w:cs="Times New Roman"/>
              </w:rPr>
              <w:t>dB（A）满足《工业企业厂界环境噪声排放标准》（GB12348-2008）3类标准限值</w:t>
            </w:r>
            <w:r>
              <w:rPr>
                <w:rFonts w:hint="eastAsia" w:cs="Times New Roman"/>
                <w:lang w:eastAsia="zh-CN"/>
              </w:rPr>
              <w:t>。</w:t>
            </w:r>
            <w:r>
              <w:rPr>
                <w:rFonts w:hint="eastAsia" w:cs="Times New Roman"/>
                <w:lang w:val="en-US" w:eastAsia="zh-CN"/>
              </w:rPr>
              <w:t>上杨村敏感点</w:t>
            </w:r>
            <w:r>
              <w:rPr>
                <w:rFonts w:hint="default" w:ascii="Times New Roman" w:hAnsi="Times New Roman" w:cs="Times New Roman"/>
              </w:rPr>
              <w:t>昼间噪声值范围为5</w:t>
            </w:r>
            <w:r>
              <w:rPr>
                <w:rFonts w:hint="eastAsia" w:cs="Times New Roman"/>
                <w:lang w:val="en-US" w:eastAsia="zh-CN"/>
              </w:rPr>
              <w:t>3</w:t>
            </w:r>
            <w:r>
              <w:rPr>
                <w:rFonts w:hint="default" w:ascii="Times New Roman" w:hAnsi="Times New Roman" w:cs="Times New Roman"/>
              </w:rPr>
              <w:t>～</w:t>
            </w:r>
            <w:r>
              <w:rPr>
                <w:rFonts w:hint="eastAsia" w:cs="Times New Roman"/>
                <w:lang w:val="en-US" w:eastAsia="zh-CN"/>
              </w:rPr>
              <w:t>54</w:t>
            </w:r>
            <w:r>
              <w:rPr>
                <w:rFonts w:hint="default" w:ascii="Times New Roman" w:hAnsi="Times New Roman" w:cs="Times New Roman"/>
              </w:rPr>
              <w:t>dB（A），夜间噪声值范围为4</w:t>
            </w:r>
            <w:r>
              <w:rPr>
                <w:rFonts w:hint="eastAsia" w:ascii="Times New Roman" w:hAnsi="Times New Roman" w:cs="Times New Roman"/>
                <w:lang w:val="en-US" w:eastAsia="zh-CN"/>
              </w:rPr>
              <w:t>2</w:t>
            </w:r>
            <w:r>
              <w:rPr>
                <w:rFonts w:hint="default" w:ascii="Times New Roman" w:hAnsi="Times New Roman" w:cs="Times New Roman"/>
              </w:rPr>
              <w:t>～4</w:t>
            </w:r>
            <w:r>
              <w:rPr>
                <w:rFonts w:hint="eastAsia" w:cs="Times New Roman"/>
                <w:lang w:val="en-US" w:eastAsia="zh-CN"/>
              </w:rPr>
              <w:t>3</w:t>
            </w:r>
            <w:r>
              <w:rPr>
                <w:rFonts w:hint="default" w:ascii="Times New Roman" w:hAnsi="Times New Roman" w:cs="Times New Roman"/>
              </w:rPr>
              <w:t>dB（A）</w:t>
            </w:r>
            <w:r>
              <w:rPr>
                <w:rFonts w:hint="eastAsia" w:ascii="Times New Roman" w:hAnsi="Times New Roman" w:cs="Times New Roman"/>
                <w:lang w:val="en-US" w:eastAsia="zh-CN"/>
              </w:rPr>
              <w:t>满足</w:t>
            </w:r>
            <w:r>
              <w:rPr>
                <w:rFonts w:hint="default" w:ascii="Times New Roman" w:hAnsi="Times New Roman" w:cs="Times New Roman"/>
                <w:color w:val="auto"/>
                <w:kern w:val="0"/>
                <w:sz w:val="24"/>
              </w:rPr>
              <w:t>《声环境质量标准》（GB3096-2008）</w:t>
            </w:r>
            <w:r>
              <w:rPr>
                <w:rFonts w:hint="eastAsia" w:ascii="Times New Roman" w:hAnsi="Times New Roman" w:cs="Times New Roman"/>
                <w:color w:val="auto"/>
                <w:kern w:val="0"/>
                <w:sz w:val="24"/>
                <w:lang w:val="en-US" w:eastAsia="zh-CN"/>
              </w:rPr>
              <w:t>2类区标准要求</w:t>
            </w:r>
            <w:r>
              <w:rPr>
                <w:rFonts w:hint="default" w:ascii="Times New Roman" w:hAnsi="Times New Roman" w:cs="Times New Roman"/>
              </w:rPr>
              <w:t>。</w:t>
            </w:r>
          </w:p>
          <w:p>
            <w:pPr>
              <w:pStyle w:val="95"/>
              <w:widowControl/>
              <w:spacing w:line="360" w:lineRule="auto"/>
              <w:ind w:firstLine="480"/>
              <w:rPr>
                <w:rFonts w:eastAsia="MingLiU_HKSCS-ExtB"/>
                <w:color w:val="auto"/>
                <w:sz w:val="24"/>
                <w:szCs w:val="24"/>
              </w:rPr>
            </w:pPr>
            <w:r>
              <w:rPr>
                <w:color w:val="auto"/>
                <w:sz w:val="24"/>
                <w:szCs w:val="24"/>
              </w:rPr>
              <w:t>（</w:t>
            </w:r>
            <w:r>
              <w:rPr>
                <w:rFonts w:eastAsia="MingLiU_HKSCS-ExtB"/>
                <w:color w:val="auto"/>
                <w:sz w:val="24"/>
                <w:szCs w:val="24"/>
              </w:rPr>
              <w:t>4</w:t>
            </w:r>
            <w:r>
              <w:rPr>
                <w:color w:val="auto"/>
                <w:sz w:val="24"/>
                <w:szCs w:val="24"/>
              </w:rPr>
              <w:t>）固体废弃物</w:t>
            </w:r>
          </w:p>
          <w:p>
            <w:pPr>
              <w:pStyle w:val="111"/>
            </w:pPr>
            <w:bookmarkStart w:id="21" w:name="_Hlk11078186"/>
            <w:r>
              <w:rPr>
                <w:rFonts w:hint="default" w:ascii="Times New Roman" w:hAnsi="Times New Roman" w:cs="Times New Roman"/>
              </w:rPr>
              <w:t>项目危险废物收集、贮存、运输符合</w:t>
            </w:r>
            <w:r>
              <w:rPr>
                <w:rFonts w:hint="default" w:ascii="Times New Roman" w:hAnsi="Times New Roman" w:cs="Times New Roman"/>
                <w:bCs/>
              </w:rPr>
              <w:t>《危险废物贮存污染控制标准》（GB18596-2001）及其2013年修改单中的相关规定。一般工业固体废物贮存符合《一般工业固体废物贮存和填埋污染控制标准》（GB18599-2020）中的相关规定</w:t>
            </w:r>
            <w:r>
              <w:rPr>
                <w:rFonts w:hint="eastAsia"/>
              </w:rPr>
              <w:t>。</w:t>
            </w:r>
          </w:p>
          <w:bookmarkEnd w:id="21"/>
          <w:p>
            <w:pPr>
              <w:pStyle w:val="111"/>
            </w:pPr>
            <w:r>
              <w:rPr>
                <w:rFonts w:hint="eastAsia"/>
              </w:rPr>
              <w:t>（</w:t>
            </w:r>
            <w:r>
              <w:rPr>
                <w:rFonts w:hint="eastAsia"/>
                <w:lang w:val="en-US" w:eastAsia="zh-CN"/>
              </w:rPr>
              <w:t>5</w:t>
            </w:r>
            <w:r>
              <w:rPr>
                <w:rFonts w:hint="eastAsia"/>
              </w:rPr>
              <w:t>）工程建设对环境的影响</w:t>
            </w:r>
          </w:p>
          <w:p>
            <w:pPr>
              <w:pStyle w:val="111"/>
            </w:pPr>
            <w:r>
              <w:rPr>
                <w:rFonts w:hint="eastAsia"/>
              </w:rPr>
              <w:t>项目周边为工业企业。项目环境防护距离内目前没有小区住宅、学校、医院等环境保护目标，可以满足100m的环境防护</w:t>
            </w:r>
            <w:r>
              <w:t>距离</w:t>
            </w:r>
            <w:r>
              <w:rPr>
                <w:rFonts w:hint="eastAsia"/>
              </w:rPr>
              <w:t>的要求。</w:t>
            </w:r>
          </w:p>
          <w:p>
            <w:pPr>
              <w:pStyle w:val="111"/>
              <w:ind w:firstLine="482"/>
              <w:rPr>
                <w:b/>
                <w:bCs/>
              </w:rPr>
            </w:pPr>
            <w:r>
              <w:rPr>
                <w:rFonts w:hint="eastAsia"/>
                <w:b/>
                <w:bCs/>
              </w:rPr>
              <w:t>四、</w:t>
            </w:r>
            <w:r>
              <w:rPr>
                <w:b/>
                <w:bCs/>
              </w:rPr>
              <w:t>结论</w:t>
            </w:r>
          </w:p>
          <w:p>
            <w:pPr>
              <w:pStyle w:val="111"/>
            </w:pPr>
            <w:r>
              <w:t>综上分析，</w:t>
            </w:r>
            <w:r>
              <w:rPr>
                <w:rFonts w:hint="eastAsia"/>
                <w:sz w:val="24"/>
                <w:szCs w:val="24"/>
                <w:lang w:val="en-US" w:eastAsia="zh-CN"/>
              </w:rPr>
              <w:t>安徽都邦电器有限公司汽车零部件及家电配件生产项目硫化工艺变更环境影响说明</w:t>
            </w:r>
            <w:r>
              <w:rPr>
                <w:rFonts w:hint="eastAsia"/>
              </w:rPr>
              <w:t>已按环评及批复要求配套建设了环境保护设施，做到了环保设施与主体工程同时设计、同时施工、同时投入运行。监测结果可满足相关环境排放标准要求</w:t>
            </w:r>
            <w:r>
              <w:t>，</w:t>
            </w:r>
            <w:r>
              <w:rPr>
                <w:rFonts w:hint="eastAsia"/>
              </w:rPr>
              <w:t>固废得到合理处置。项目设置的100m</w:t>
            </w:r>
            <w:r>
              <w:t>环境防护距离内无敏感目标，符合</w:t>
            </w:r>
            <w:r>
              <w:rPr>
                <w:rFonts w:hint="eastAsia"/>
              </w:rPr>
              <w:t>竣工环保验收</w:t>
            </w:r>
            <w:r>
              <w:t>条件，建议该项目</w:t>
            </w:r>
            <w:r>
              <w:rPr>
                <w:rFonts w:hint="eastAsia"/>
              </w:rPr>
              <w:t>通过</w:t>
            </w:r>
            <w:r>
              <w:t>竣工环境保护验收。</w:t>
            </w:r>
          </w:p>
        </w:tc>
      </w:tr>
    </w:tbl>
    <w:p>
      <w:pPr>
        <w:pStyle w:val="72"/>
        <w:keepNext w:val="0"/>
        <w:keepLines w:val="0"/>
        <w:spacing w:line="240" w:lineRule="auto"/>
        <w:outlineLvl w:val="9"/>
        <w:rPr>
          <w:rFonts w:ascii="Times New Roman" w:hAnsi="Times New Roman"/>
          <w:szCs w:val="24"/>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font-weight : 400">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MingLiU_HKSCS-ExtB">
    <w:panose1 w:val="02020500000000000000"/>
    <w:charset w:val="88"/>
    <w:family w:val="roman"/>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t>1</w:t>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2</w:t>
    </w:r>
    <w:r>
      <w:fldChar w:fldCharType="end"/>
    </w:r>
  </w:p>
  <w:p>
    <w:pPr>
      <w:pStyle w:val="23"/>
      <w:rPr>
        <w:rFonts w:ascii="仿宋" w:hAnsi="仿宋" w:eastAsia="仿宋"/>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ascii="仿宋" w:hAnsi="仿宋" w:eastAsia="仿宋"/>
      </w:rPr>
      <w:t>年产400吨铝塑复合膜、6000万个铝塑复合垫片项目竣工环保验收监测报告表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ascii="仿宋" w:hAnsi="仿宋" w:eastAsia="仿宋"/>
      </w:rPr>
    </w:pPr>
    <w:bookmarkStart w:id="22" w:name="_GoBack"/>
    <w:r>
      <w:rPr>
        <w:rFonts w:hint="eastAsia" w:ascii="仿宋" w:hAnsi="仿宋" w:eastAsia="仿宋"/>
        <w:lang w:val="en-US" w:eastAsia="zh-CN"/>
      </w:rPr>
      <w:t>安徽都邦电器有限公司汽车零部件及家电配件生产项目硫化工艺变更环境影响说明</w:t>
    </w:r>
    <w:r>
      <w:rPr>
        <w:rFonts w:hint="eastAsia" w:ascii="仿宋" w:hAnsi="仿宋" w:eastAsia="仿宋"/>
      </w:rPr>
      <w:t>竣工环保验收监测报告</w:t>
    </w:r>
    <w:bookmarkEnd w:id="2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ascii="仿宋" w:hAnsi="仿宋" w:eastAsia="仿宋"/>
      </w:rPr>
    </w:pPr>
    <w:r>
      <w:rPr>
        <w:rFonts w:hint="eastAsia" w:ascii="仿宋" w:hAnsi="仿宋" w:eastAsia="仿宋"/>
        <w:lang w:val="en-US" w:eastAsia="zh-CN"/>
      </w:rPr>
      <w:t>安徽都邦电器有限公司汽车零部件及家电配件生产项目硫化工艺变更环境影响说明</w:t>
    </w:r>
    <w:r>
      <w:rPr>
        <w:rFonts w:hint="eastAsia" w:ascii="仿宋" w:hAnsi="仿宋" w:eastAsia="仿宋"/>
      </w:rPr>
      <w:t>竣工环保验收监测报告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89183"/>
    <w:multiLevelType w:val="multilevel"/>
    <w:tmpl w:val="02689183"/>
    <w:lvl w:ilvl="0" w:tentative="0">
      <w:start w:val="1"/>
      <w:numFmt w:val="decimal"/>
      <w:suff w:val="space"/>
      <w:lvlText w:val="表%1"/>
      <w:lvlJc w:val="center"/>
      <w:pPr>
        <w:tabs>
          <w:tab w:val="left" w:pos="420"/>
        </w:tabs>
        <w:ind w:left="0" w:firstLine="0"/>
      </w:pPr>
      <w:rPr>
        <w:rFonts w:hint="default" w:ascii="宋体" w:hAnsi="宋体" w:eastAsia="宋体" w:cs="宋体"/>
      </w:rPr>
    </w:lvl>
    <w:lvl w:ilvl="1" w:tentative="0">
      <w:start w:val="1"/>
      <w:numFmt w:val="decimal"/>
      <w:suff w:val="nothing"/>
      <w:lvlText w:val="%1.%2"/>
      <w:lvlJc w:val="left"/>
      <w:pPr>
        <w:tabs>
          <w:tab w:val="left" w:pos="420"/>
        </w:tabs>
        <w:ind w:left="0" w:firstLine="0"/>
      </w:pPr>
      <w:rPr>
        <w:rFonts w:hint="default" w:ascii="Times New Roman" w:hAnsi="Times New Roman" w:eastAsia="宋体" w:cs="宋体"/>
      </w:rPr>
    </w:lvl>
    <w:lvl w:ilvl="2" w:tentative="0">
      <w:start w:val="1"/>
      <w:numFmt w:val="decimal"/>
      <w:lvlText w:val="%1.%2.%3"/>
      <w:lvlJc w:val="left"/>
      <w:pPr>
        <w:tabs>
          <w:tab w:val="left" w:pos="420"/>
        </w:tabs>
        <w:ind w:left="0" w:firstLine="0"/>
      </w:pPr>
      <w:rPr>
        <w:rFonts w:hint="default" w:ascii="Times New Roman" w:hAnsi="Times New Roman" w:eastAsia="宋体" w:cs="宋体"/>
        <w:sz w:val="24"/>
        <w:szCs w:val="24"/>
      </w:rPr>
    </w:lvl>
    <w:lvl w:ilvl="3" w:tentative="0">
      <w:start w:val="1"/>
      <w:numFmt w:val="decimal"/>
      <w:suff w:val="nothing"/>
      <w:lvlText w:val="%1.%2.%3.%4"/>
      <w:lvlJc w:val="left"/>
      <w:pPr>
        <w:tabs>
          <w:tab w:val="left" w:pos="420"/>
        </w:tabs>
        <w:ind w:left="0" w:firstLine="0"/>
      </w:pPr>
      <w:rPr>
        <w:rFonts w:hint="default" w:ascii="Times New Roman" w:hAnsi="Times New Roman" w:eastAsia="宋体" w:cs="宋体"/>
        <w:sz w:val="24"/>
        <w:szCs w:val="24"/>
      </w:rPr>
    </w:lvl>
    <w:lvl w:ilvl="4" w:tentative="0">
      <w:start w:val="1"/>
      <w:numFmt w:val="decimal"/>
      <w:lvlText w:val="%5."/>
      <w:lvlJc w:val="left"/>
      <w:pPr>
        <w:tabs>
          <w:tab w:val="left" w:pos="420"/>
        </w:tabs>
        <w:ind w:left="992" w:hanging="992"/>
      </w:pPr>
      <w:rPr>
        <w:rFonts w:hint="default" w:ascii="Times New Roman" w:hAnsi="Times New Roman" w:eastAsia="宋体" w:cs="宋体"/>
      </w:rPr>
    </w:lvl>
    <w:lvl w:ilvl="5" w:tentative="0">
      <w:start w:val="1"/>
      <w:numFmt w:val="decimal"/>
      <w:suff w:val="nothing"/>
      <w:lvlText w:val="（%6）"/>
      <w:lvlJc w:val="left"/>
      <w:pPr>
        <w:tabs>
          <w:tab w:val="left" w:pos="1134"/>
        </w:tabs>
        <w:ind w:left="0" w:firstLine="0"/>
      </w:pPr>
      <w:rPr>
        <w:rFonts w:hint="default" w:ascii="Times New Roman" w:hAnsi="Times New Roman" w:eastAsia="宋体" w:cs="宋体"/>
      </w:rPr>
    </w:lvl>
    <w:lvl w:ilvl="6" w:tentative="0">
      <w:start w:val="1"/>
      <w:numFmt w:val="upperLetter"/>
      <w:lvlText w:val="%7."/>
      <w:lvlJc w:val="left"/>
      <w:pPr>
        <w:tabs>
          <w:tab w:val="left" w:pos="420"/>
        </w:tabs>
        <w:ind w:left="0" w:firstLine="0"/>
      </w:pPr>
      <w:rPr>
        <w:rFonts w:hint="default" w:ascii="Times New Roman" w:hAnsi="Times New Roman" w:eastAsia="宋体" w:cs="宋体"/>
      </w:rPr>
    </w:lvl>
    <w:lvl w:ilvl="7" w:tentative="0">
      <w:start w:val="1"/>
      <w:numFmt w:val="decimal"/>
      <w:lvlRestart w:val="3"/>
      <w:pStyle w:val="7"/>
      <w:suff w:val="space"/>
      <w:lvlText w:val="表%1.%2.%3-%8"/>
      <w:lvlJc w:val="left"/>
      <w:pPr>
        <w:tabs>
          <w:tab w:val="left" w:pos="420"/>
        </w:tabs>
        <w:ind w:left="0" w:firstLine="180"/>
      </w:pPr>
      <w:rPr>
        <w:rFonts w:hint="default" w:ascii="Times New Roman" w:hAnsi="Times New Roman" w:eastAsia="宋体" w:cs="宋体"/>
      </w:rPr>
    </w:lvl>
    <w:lvl w:ilvl="8" w:tentative="0">
      <w:start w:val="1"/>
      <w:numFmt w:val="decimal"/>
      <w:lvlRestart w:val="3"/>
      <w:suff w:val="space"/>
      <w:lvlText w:val="图%1.%2.%3-%9"/>
      <w:lvlJc w:val="left"/>
      <w:pPr>
        <w:tabs>
          <w:tab w:val="left" w:pos="0"/>
        </w:tabs>
        <w:ind w:left="0" w:firstLine="0"/>
      </w:pPr>
      <w:rPr>
        <w:rFonts w:hint="default" w:ascii="Times New Roman" w:hAnsi="Times New Roman" w:eastAsia="宋体" w:cs="宋体"/>
      </w:rPr>
    </w:lvl>
  </w:abstractNum>
  <w:abstractNum w:abstractNumId="1">
    <w:nsid w:val="6660DA21"/>
    <w:multiLevelType w:val="multilevel"/>
    <w:tmpl w:val="6660DA21"/>
    <w:lvl w:ilvl="0" w:tentative="0">
      <w:start w:val="1"/>
      <w:numFmt w:val="decimal"/>
      <w:suff w:val="nothing"/>
      <w:lvlText w:val="第%1章 "/>
      <w:lvlJc w:val="center"/>
      <w:pPr>
        <w:tabs>
          <w:tab w:val="left" w:pos="0"/>
        </w:tabs>
        <w:ind w:left="0" w:firstLine="0"/>
      </w:pPr>
      <w:rPr>
        <w:rFonts w:hint="default" w:ascii="宋体" w:hAnsi="宋体" w:eastAsia="宋体" w:cs="宋体"/>
        <w:b/>
        <w:bCs/>
        <w:sz w:val="44"/>
        <w:szCs w:val="44"/>
      </w:rPr>
    </w:lvl>
    <w:lvl w:ilvl="1" w:tentative="0">
      <w:start w:val="1"/>
      <w:numFmt w:val="decimal"/>
      <w:suff w:val="nothing"/>
      <w:lvlText w:val="%1.%2"/>
      <w:lvlJc w:val="left"/>
      <w:pPr>
        <w:tabs>
          <w:tab w:val="left" w:pos="0"/>
        </w:tabs>
        <w:ind w:left="0" w:firstLine="0"/>
      </w:pPr>
      <w:rPr>
        <w:rFonts w:hint="default" w:ascii="宋体" w:hAnsi="宋体" w:eastAsia="宋体" w:cs="宋体"/>
        <w:b/>
        <w:bCs/>
        <w:sz w:val="28"/>
        <w:szCs w:val="28"/>
      </w:rPr>
    </w:lvl>
    <w:lvl w:ilvl="2" w:tentative="0">
      <w:start w:val="1"/>
      <w:numFmt w:val="decimal"/>
      <w:suff w:val="nothing"/>
      <w:lvlText w:val="%1.%2.%3"/>
      <w:lvlJc w:val="left"/>
      <w:pPr>
        <w:tabs>
          <w:tab w:val="left" w:pos="0"/>
        </w:tabs>
        <w:ind w:left="0" w:firstLine="0"/>
      </w:pPr>
      <w:rPr>
        <w:rFonts w:hint="default" w:ascii="宋体" w:hAnsi="宋体" w:eastAsia="宋体" w:cs="宋体"/>
        <w:b/>
        <w:bCs/>
        <w:sz w:val="24"/>
        <w:szCs w:val="24"/>
      </w:rPr>
    </w:lvl>
    <w:lvl w:ilvl="3" w:tentative="0">
      <w:start w:val="1"/>
      <w:numFmt w:val="decimal"/>
      <w:suff w:val="nothing"/>
      <w:lvlText w:val="%1.%2.%3.%4"/>
      <w:lvlJc w:val="left"/>
      <w:pPr>
        <w:tabs>
          <w:tab w:val="left" w:pos="0"/>
        </w:tabs>
        <w:ind w:left="0" w:firstLine="0"/>
      </w:pPr>
      <w:rPr>
        <w:rFonts w:hint="default" w:ascii="宋体" w:hAnsi="宋体" w:eastAsia="宋体" w:cs="宋体"/>
        <w:b/>
        <w:bCs/>
        <w:sz w:val="24"/>
        <w:szCs w:val="24"/>
      </w:rPr>
    </w:lvl>
    <w:lvl w:ilvl="4" w:tentative="0">
      <w:start w:val="1"/>
      <w:numFmt w:val="decimal"/>
      <w:pStyle w:val="6"/>
      <w:suff w:val="nothing"/>
      <w:lvlText w:val="%5、"/>
      <w:lvlJc w:val="left"/>
      <w:pPr>
        <w:tabs>
          <w:tab w:val="left" w:pos="0"/>
        </w:tabs>
        <w:ind w:left="0" w:firstLine="40"/>
      </w:pPr>
      <w:rPr>
        <w:rFonts w:hint="default" w:ascii="Times New Roman" w:hAnsi="Times New Roman" w:eastAsia="宋体" w:cs="Times New Roman"/>
        <w:b/>
        <w:bCs/>
        <w:sz w:val="24"/>
        <w:szCs w:val="24"/>
      </w:rPr>
    </w:lvl>
    <w:lvl w:ilvl="5" w:tentative="0">
      <w:start w:val="1"/>
      <w:numFmt w:val="decimal"/>
      <w:suff w:val="nothing"/>
      <w:lvlText w:val="（%6）"/>
      <w:lvlJc w:val="left"/>
      <w:pPr>
        <w:tabs>
          <w:tab w:val="left" w:pos="0"/>
        </w:tabs>
        <w:ind w:left="0" w:firstLine="40"/>
      </w:pPr>
      <w:rPr>
        <w:rFonts w:hint="default" w:ascii="宋体" w:hAnsi="宋体" w:eastAsia="宋体" w:cs="宋体"/>
        <w:sz w:val="24"/>
        <w:szCs w:val="24"/>
      </w:rPr>
    </w:lvl>
    <w:lvl w:ilvl="6" w:tentative="0">
      <w:start w:val="1"/>
      <w:numFmt w:val="upperLetter"/>
      <w:suff w:val="nothing"/>
      <w:lvlText w:val="%7."/>
      <w:lvlJc w:val="center"/>
      <w:pPr>
        <w:tabs>
          <w:tab w:val="left" w:pos="0"/>
        </w:tabs>
        <w:ind w:left="0" w:firstLine="0"/>
      </w:pPr>
      <w:rPr>
        <w:rFonts w:hint="default" w:ascii="Times New Roman" w:hAnsi="Times New Roman" w:eastAsia="宋体" w:cs="宋体"/>
        <w:sz w:val="24"/>
        <w:szCs w:val="24"/>
      </w:rPr>
    </w:lvl>
    <w:lvl w:ilvl="7" w:tentative="0">
      <w:start w:val="1"/>
      <w:numFmt w:val="decimal"/>
      <w:lvlRestart w:val="3"/>
      <w:suff w:val="nothing"/>
      <w:lvlText w:val="表%1.%2.%3-%8 "/>
      <w:lvlJc w:val="left"/>
      <w:pPr>
        <w:tabs>
          <w:tab w:val="left" w:pos="420"/>
        </w:tabs>
        <w:ind w:left="0" w:firstLine="0"/>
      </w:pPr>
      <w:rPr>
        <w:rFonts w:hint="default" w:ascii="宋体" w:hAnsi="宋体" w:eastAsia="宋体" w:cs="宋体"/>
        <w:b/>
        <w:bCs/>
        <w:sz w:val="24"/>
        <w:szCs w:val="24"/>
      </w:rPr>
    </w:lvl>
    <w:lvl w:ilvl="8" w:tentative="0">
      <w:start w:val="1"/>
      <w:numFmt w:val="decimal"/>
      <w:lvlRestart w:val="3"/>
      <w:suff w:val="space"/>
      <w:lvlText w:val="图%1.%2.%3-%9"/>
      <w:lvlJc w:val="left"/>
      <w:pPr>
        <w:tabs>
          <w:tab w:val="left" w:pos="420"/>
        </w:tabs>
        <w:ind w:left="0" w:firstLine="0"/>
      </w:pPr>
      <w:rPr>
        <w:rFonts w:hint="default" w:ascii="宋体" w:hAnsi="宋体" w:eastAsia="宋体" w:cs="宋体"/>
        <w:b/>
        <w:bCs/>
        <w:sz w:val="24"/>
        <w:szCs w:val="24"/>
      </w:rPr>
    </w:lvl>
  </w:abstractNum>
  <w:abstractNum w:abstractNumId="2">
    <w:nsid w:val="7C7E42A4"/>
    <w:multiLevelType w:val="multilevel"/>
    <w:tmpl w:val="7C7E42A4"/>
    <w:lvl w:ilvl="0" w:tentative="0">
      <w:start w:val="1"/>
      <w:numFmt w:val="decimal"/>
      <w:pStyle w:val="9"/>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NotTrackMoves/>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FjN2E5NGU2Y2ExNTY1OTM1MTc4NmJkNmI0N2IxODYifQ=="/>
  </w:docVars>
  <w:rsids>
    <w:rsidRoot w:val="005E6842"/>
    <w:rsid w:val="0000039D"/>
    <w:rsid w:val="00000791"/>
    <w:rsid w:val="000017FC"/>
    <w:rsid w:val="000018C0"/>
    <w:rsid w:val="00001D1B"/>
    <w:rsid w:val="00001E91"/>
    <w:rsid w:val="000021AB"/>
    <w:rsid w:val="0000274B"/>
    <w:rsid w:val="0000288E"/>
    <w:rsid w:val="00002D28"/>
    <w:rsid w:val="00002D6F"/>
    <w:rsid w:val="00002D8F"/>
    <w:rsid w:val="00003340"/>
    <w:rsid w:val="00003A5A"/>
    <w:rsid w:val="0000402E"/>
    <w:rsid w:val="0000413A"/>
    <w:rsid w:val="0000544F"/>
    <w:rsid w:val="000054EC"/>
    <w:rsid w:val="00005742"/>
    <w:rsid w:val="00005817"/>
    <w:rsid w:val="000062E6"/>
    <w:rsid w:val="00006677"/>
    <w:rsid w:val="0000720F"/>
    <w:rsid w:val="000101CA"/>
    <w:rsid w:val="00010412"/>
    <w:rsid w:val="000104FF"/>
    <w:rsid w:val="0001056C"/>
    <w:rsid w:val="000105AB"/>
    <w:rsid w:val="000107EA"/>
    <w:rsid w:val="00010A6E"/>
    <w:rsid w:val="00010DEE"/>
    <w:rsid w:val="00010E3A"/>
    <w:rsid w:val="00010F7C"/>
    <w:rsid w:val="00011462"/>
    <w:rsid w:val="000116CF"/>
    <w:rsid w:val="0001170E"/>
    <w:rsid w:val="00011B9A"/>
    <w:rsid w:val="00011C8B"/>
    <w:rsid w:val="00012168"/>
    <w:rsid w:val="0001229A"/>
    <w:rsid w:val="00012670"/>
    <w:rsid w:val="00012C14"/>
    <w:rsid w:val="0001304A"/>
    <w:rsid w:val="0001367D"/>
    <w:rsid w:val="000138C9"/>
    <w:rsid w:val="00013F75"/>
    <w:rsid w:val="00013FF5"/>
    <w:rsid w:val="000145A2"/>
    <w:rsid w:val="00014E88"/>
    <w:rsid w:val="00015040"/>
    <w:rsid w:val="00015089"/>
    <w:rsid w:val="000151A4"/>
    <w:rsid w:val="00015289"/>
    <w:rsid w:val="00016292"/>
    <w:rsid w:val="000165DF"/>
    <w:rsid w:val="000166B6"/>
    <w:rsid w:val="00017470"/>
    <w:rsid w:val="000174F9"/>
    <w:rsid w:val="00017912"/>
    <w:rsid w:val="00017AD2"/>
    <w:rsid w:val="00017ADD"/>
    <w:rsid w:val="00017E4A"/>
    <w:rsid w:val="00020216"/>
    <w:rsid w:val="00020531"/>
    <w:rsid w:val="0002133D"/>
    <w:rsid w:val="0002183C"/>
    <w:rsid w:val="00021A09"/>
    <w:rsid w:val="00021F9E"/>
    <w:rsid w:val="000226DF"/>
    <w:rsid w:val="00022E49"/>
    <w:rsid w:val="000230D6"/>
    <w:rsid w:val="00023717"/>
    <w:rsid w:val="00023830"/>
    <w:rsid w:val="00023A25"/>
    <w:rsid w:val="00023D0F"/>
    <w:rsid w:val="000242A0"/>
    <w:rsid w:val="00024EE9"/>
    <w:rsid w:val="00025728"/>
    <w:rsid w:val="00025A85"/>
    <w:rsid w:val="00025ADB"/>
    <w:rsid w:val="00025E75"/>
    <w:rsid w:val="0002694A"/>
    <w:rsid w:val="00027324"/>
    <w:rsid w:val="00027558"/>
    <w:rsid w:val="00030543"/>
    <w:rsid w:val="00030C18"/>
    <w:rsid w:val="00030C79"/>
    <w:rsid w:val="0003109C"/>
    <w:rsid w:val="00031357"/>
    <w:rsid w:val="00031CE9"/>
    <w:rsid w:val="00031DB9"/>
    <w:rsid w:val="00032008"/>
    <w:rsid w:val="00032075"/>
    <w:rsid w:val="000321C2"/>
    <w:rsid w:val="00032541"/>
    <w:rsid w:val="000326CC"/>
    <w:rsid w:val="00033244"/>
    <w:rsid w:val="00033D4D"/>
    <w:rsid w:val="0003438C"/>
    <w:rsid w:val="000347E4"/>
    <w:rsid w:val="00034C12"/>
    <w:rsid w:val="00034CBE"/>
    <w:rsid w:val="00035438"/>
    <w:rsid w:val="00035DEA"/>
    <w:rsid w:val="00035FC9"/>
    <w:rsid w:val="00036004"/>
    <w:rsid w:val="00036528"/>
    <w:rsid w:val="000368D2"/>
    <w:rsid w:val="00037A73"/>
    <w:rsid w:val="00037CC7"/>
    <w:rsid w:val="00037FC2"/>
    <w:rsid w:val="00040EFE"/>
    <w:rsid w:val="00041864"/>
    <w:rsid w:val="000424EC"/>
    <w:rsid w:val="000426F1"/>
    <w:rsid w:val="00042E00"/>
    <w:rsid w:val="000433F5"/>
    <w:rsid w:val="000437B0"/>
    <w:rsid w:val="00043B01"/>
    <w:rsid w:val="00044121"/>
    <w:rsid w:val="000445DD"/>
    <w:rsid w:val="00044A03"/>
    <w:rsid w:val="00044A7F"/>
    <w:rsid w:val="00044EA5"/>
    <w:rsid w:val="00045050"/>
    <w:rsid w:val="00045067"/>
    <w:rsid w:val="0004576F"/>
    <w:rsid w:val="00045B0A"/>
    <w:rsid w:val="00045BB0"/>
    <w:rsid w:val="00045C4C"/>
    <w:rsid w:val="00045EB1"/>
    <w:rsid w:val="000462BF"/>
    <w:rsid w:val="0004699D"/>
    <w:rsid w:val="00046D77"/>
    <w:rsid w:val="00047397"/>
    <w:rsid w:val="00047F84"/>
    <w:rsid w:val="00050058"/>
    <w:rsid w:val="00050572"/>
    <w:rsid w:val="00050DA2"/>
    <w:rsid w:val="00050EED"/>
    <w:rsid w:val="000517B0"/>
    <w:rsid w:val="00051CE0"/>
    <w:rsid w:val="000526F4"/>
    <w:rsid w:val="00053D68"/>
    <w:rsid w:val="00053F9C"/>
    <w:rsid w:val="0005443A"/>
    <w:rsid w:val="00054692"/>
    <w:rsid w:val="000547DC"/>
    <w:rsid w:val="00054C96"/>
    <w:rsid w:val="00054E22"/>
    <w:rsid w:val="000551AD"/>
    <w:rsid w:val="0005532C"/>
    <w:rsid w:val="00055450"/>
    <w:rsid w:val="00055E90"/>
    <w:rsid w:val="00056016"/>
    <w:rsid w:val="0005641A"/>
    <w:rsid w:val="00056557"/>
    <w:rsid w:val="00056857"/>
    <w:rsid w:val="00056E31"/>
    <w:rsid w:val="00057085"/>
    <w:rsid w:val="000571B5"/>
    <w:rsid w:val="0006012B"/>
    <w:rsid w:val="00061043"/>
    <w:rsid w:val="000615BD"/>
    <w:rsid w:val="0006161C"/>
    <w:rsid w:val="000617C1"/>
    <w:rsid w:val="00061B4A"/>
    <w:rsid w:val="00062637"/>
    <w:rsid w:val="00062D77"/>
    <w:rsid w:val="00063C3B"/>
    <w:rsid w:val="000655A7"/>
    <w:rsid w:val="0006567B"/>
    <w:rsid w:val="00065954"/>
    <w:rsid w:val="00066273"/>
    <w:rsid w:val="000663A9"/>
    <w:rsid w:val="000663D9"/>
    <w:rsid w:val="000667BB"/>
    <w:rsid w:val="00066950"/>
    <w:rsid w:val="00066CDD"/>
    <w:rsid w:val="0006707A"/>
    <w:rsid w:val="00067529"/>
    <w:rsid w:val="00067874"/>
    <w:rsid w:val="0006788A"/>
    <w:rsid w:val="00067FBF"/>
    <w:rsid w:val="000700DE"/>
    <w:rsid w:val="00070561"/>
    <w:rsid w:val="00070C14"/>
    <w:rsid w:val="00071590"/>
    <w:rsid w:val="00071722"/>
    <w:rsid w:val="000717C1"/>
    <w:rsid w:val="00071B97"/>
    <w:rsid w:val="00071E3D"/>
    <w:rsid w:val="00072BB6"/>
    <w:rsid w:val="0007329E"/>
    <w:rsid w:val="000737E3"/>
    <w:rsid w:val="000745B2"/>
    <w:rsid w:val="00075368"/>
    <w:rsid w:val="0007634B"/>
    <w:rsid w:val="00077063"/>
    <w:rsid w:val="000775F5"/>
    <w:rsid w:val="00077E00"/>
    <w:rsid w:val="00077FA3"/>
    <w:rsid w:val="000804F7"/>
    <w:rsid w:val="00080679"/>
    <w:rsid w:val="00080741"/>
    <w:rsid w:val="00080D58"/>
    <w:rsid w:val="00081B7B"/>
    <w:rsid w:val="00081D64"/>
    <w:rsid w:val="00081D9C"/>
    <w:rsid w:val="00082D1D"/>
    <w:rsid w:val="0008303D"/>
    <w:rsid w:val="0008321E"/>
    <w:rsid w:val="0008359B"/>
    <w:rsid w:val="00083631"/>
    <w:rsid w:val="00083A39"/>
    <w:rsid w:val="00083AAD"/>
    <w:rsid w:val="00083BB6"/>
    <w:rsid w:val="000842E6"/>
    <w:rsid w:val="00084A47"/>
    <w:rsid w:val="00084B76"/>
    <w:rsid w:val="00084BD4"/>
    <w:rsid w:val="00084E64"/>
    <w:rsid w:val="0008598A"/>
    <w:rsid w:val="00085A68"/>
    <w:rsid w:val="00085B0F"/>
    <w:rsid w:val="00085E2A"/>
    <w:rsid w:val="00086A77"/>
    <w:rsid w:val="000872ED"/>
    <w:rsid w:val="00087660"/>
    <w:rsid w:val="000877DD"/>
    <w:rsid w:val="00090218"/>
    <w:rsid w:val="000903D6"/>
    <w:rsid w:val="000904EB"/>
    <w:rsid w:val="000908F0"/>
    <w:rsid w:val="00090B55"/>
    <w:rsid w:val="00090C63"/>
    <w:rsid w:val="00090E8F"/>
    <w:rsid w:val="00091779"/>
    <w:rsid w:val="00091B6E"/>
    <w:rsid w:val="00091D60"/>
    <w:rsid w:val="00092023"/>
    <w:rsid w:val="00092297"/>
    <w:rsid w:val="00093BD1"/>
    <w:rsid w:val="0009438C"/>
    <w:rsid w:val="000944F4"/>
    <w:rsid w:val="0009549F"/>
    <w:rsid w:val="00095874"/>
    <w:rsid w:val="00096C58"/>
    <w:rsid w:val="00096C82"/>
    <w:rsid w:val="00096EB7"/>
    <w:rsid w:val="00096FEC"/>
    <w:rsid w:val="00097072"/>
    <w:rsid w:val="000976B7"/>
    <w:rsid w:val="000979BC"/>
    <w:rsid w:val="000A01E5"/>
    <w:rsid w:val="000A0E47"/>
    <w:rsid w:val="000A0E75"/>
    <w:rsid w:val="000A0F9E"/>
    <w:rsid w:val="000A189A"/>
    <w:rsid w:val="000A2370"/>
    <w:rsid w:val="000A2BF7"/>
    <w:rsid w:val="000A2DA2"/>
    <w:rsid w:val="000A34F9"/>
    <w:rsid w:val="000A3549"/>
    <w:rsid w:val="000A3952"/>
    <w:rsid w:val="000A3F13"/>
    <w:rsid w:val="000A41AF"/>
    <w:rsid w:val="000A41BF"/>
    <w:rsid w:val="000A4709"/>
    <w:rsid w:val="000A48A4"/>
    <w:rsid w:val="000A5398"/>
    <w:rsid w:val="000A563A"/>
    <w:rsid w:val="000A6C78"/>
    <w:rsid w:val="000A70C4"/>
    <w:rsid w:val="000A77D3"/>
    <w:rsid w:val="000A7985"/>
    <w:rsid w:val="000A7A1E"/>
    <w:rsid w:val="000A7B4C"/>
    <w:rsid w:val="000B0752"/>
    <w:rsid w:val="000B0C2F"/>
    <w:rsid w:val="000B10B6"/>
    <w:rsid w:val="000B1B50"/>
    <w:rsid w:val="000B219B"/>
    <w:rsid w:val="000B2F22"/>
    <w:rsid w:val="000B300C"/>
    <w:rsid w:val="000B3423"/>
    <w:rsid w:val="000B3472"/>
    <w:rsid w:val="000B37D9"/>
    <w:rsid w:val="000B3979"/>
    <w:rsid w:val="000B3C1C"/>
    <w:rsid w:val="000B50E2"/>
    <w:rsid w:val="000B51D9"/>
    <w:rsid w:val="000B5FB5"/>
    <w:rsid w:val="000B6631"/>
    <w:rsid w:val="000C0122"/>
    <w:rsid w:val="000C0435"/>
    <w:rsid w:val="000C06BE"/>
    <w:rsid w:val="000C0AC2"/>
    <w:rsid w:val="000C1067"/>
    <w:rsid w:val="000C16B2"/>
    <w:rsid w:val="000C1DC4"/>
    <w:rsid w:val="000C2070"/>
    <w:rsid w:val="000C23AF"/>
    <w:rsid w:val="000C2849"/>
    <w:rsid w:val="000C2A5B"/>
    <w:rsid w:val="000C3480"/>
    <w:rsid w:val="000C34B0"/>
    <w:rsid w:val="000C3A45"/>
    <w:rsid w:val="000C3C38"/>
    <w:rsid w:val="000C42C2"/>
    <w:rsid w:val="000C4476"/>
    <w:rsid w:val="000C49B7"/>
    <w:rsid w:val="000C52E1"/>
    <w:rsid w:val="000C5C84"/>
    <w:rsid w:val="000C5D0E"/>
    <w:rsid w:val="000C5DEB"/>
    <w:rsid w:val="000C6687"/>
    <w:rsid w:val="000C6B5A"/>
    <w:rsid w:val="000C7680"/>
    <w:rsid w:val="000C799D"/>
    <w:rsid w:val="000C7CD4"/>
    <w:rsid w:val="000D011E"/>
    <w:rsid w:val="000D0310"/>
    <w:rsid w:val="000D0A12"/>
    <w:rsid w:val="000D0FA1"/>
    <w:rsid w:val="000D1D6E"/>
    <w:rsid w:val="000D216A"/>
    <w:rsid w:val="000D23C0"/>
    <w:rsid w:val="000D2445"/>
    <w:rsid w:val="000D2719"/>
    <w:rsid w:val="000D2736"/>
    <w:rsid w:val="000D2937"/>
    <w:rsid w:val="000D2AEF"/>
    <w:rsid w:val="000D31A2"/>
    <w:rsid w:val="000D41E2"/>
    <w:rsid w:val="000D4DD4"/>
    <w:rsid w:val="000D554B"/>
    <w:rsid w:val="000D5611"/>
    <w:rsid w:val="000D57E0"/>
    <w:rsid w:val="000D5E3E"/>
    <w:rsid w:val="000D611D"/>
    <w:rsid w:val="000D62B1"/>
    <w:rsid w:val="000D64F2"/>
    <w:rsid w:val="000D6908"/>
    <w:rsid w:val="000D6CED"/>
    <w:rsid w:val="000D7742"/>
    <w:rsid w:val="000D7B28"/>
    <w:rsid w:val="000D7B59"/>
    <w:rsid w:val="000D7F60"/>
    <w:rsid w:val="000E04D4"/>
    <w:rsid w:val="000E0C78"/>
    <w:rsid w:val="000E1C83"/>
    <w:rsid w:val="000E2433"/>
    <w:rsid w:val="000E24E7"/>
    <w:rsid w:val="000E2512"/>
    <w:rsid w:val="000E2B66"/>
    <w:rsid w:val="000E315C"/>
    <w:rsid w:val="000E4500"/>
    <w:rsid w:val="000E5195"/>
    <w:rsid w:val="000E5695"/>
    <w:rsid w:val="000E5A61"/>
    <w:rsid w:val="000E5B0A"/>
    <w:rsid w:val="000E5DB1"/>
    <w:rsid w:val="000E5E38"/>
    <w:rsid w:val="000E6259"/>
    <w:rsid w:val="000E661B"/>
    <w:rsid w:val="000E6810"/>
    <w:rsid w:val="000E70B4"/>
    <w:rsid w:val="000E75F3"/>
    <w:rsid w:val="000E78C5"/>
    <w:rsid w:val="000F0225"/>
    <w:rsid w:val="000F02D0"/>
    <w:rsid w:val="000F0A38"/>
    <w:rsid w:val="000F0D2F"/>
    <w:rsid w:val="000F12AD"/>
    <w:rsid w:val="000F140A"/>
    <w:rsid w:val="000F2257"/>
    <w:rsid w:val="000F2524"/>
    <w:rsid w:val="000F3197"/>
    <w:rsid w:val="000F3503"/>
    <w:rsid w:val="000F3660"/>
    <w:rsid w:val="000F36C1"/>
    <w:rsid w:val="000F39D0"/>
    <w:rsid w:val="000F3BEC"/>
    <w:rsid w:val="000F42AC"/>
    <w:rsid w:val="000F4571"/>
    <w:rsid w:val="000F5761"/>
    <w:rsid w:val="000F5D7A"/>
    <w:rsid w:val="000F68A4"/>
    <w:rsid w:val="000F6CCE"/>
    <w:rsid w:val="000F700A"/>
    <w:rsid w:val="000F7313"/>
    <w:rsid w:val="000F766A"/>
    <w:rsid w:val="00100236"/>
    <w:rsid w:val="00100460"/>
    <w:rsid w:val="0010060A"/>
    <w:rsid w:val="001007CD"/>
    <w:rsid w:val="001009B8"/>
    <w:rsid w:val="00100E5A"/>
    <w:rsid w:val="001015C9"/>
    <w:rsid w:val="0010177A"/>
    <w:rsid w:val="00101888"/>
    <w:rsid w:val="00101BDE"/>
    <w:rsid w:val="00101C04"/>
    <w:rsid w:val="00102535"/>
    <w:rsid w:val="00102726"/>
    <w:rsid w:val="00102A04"/>
    <w:rsid w:val="0010304D"/>
    <w:rsid w:val="00103D27"/>
    <w:rsid w:val="00103D41"/>
    <w:rsid w:val="00103FC1"/>
    <w:rsid w:val="0010418A"/>
    <w:rsid w:val="00104304"/>
    <w:rsid w:val="00104534"/>
    <w:rsid w:val="00105297"/>
    <w:rsid w:val="0010585F"/>
    <w:rsid w:val="0010591D"/>
    <w:rsid w:val="001059BC"/>
    <w:rsid w:val="00106459"/>
    <w:rsid w:val="00106633"/>
    <w:rsid w:val="001078AE"/>
    <w:rsid w:val="001079CF"/>
    <w:rsid w:val="0011076F"/>
    <w:rsid w:val="0011088F"/>
    <w:rsid w:val="00110B22"/>
    <w:rsid w:val="00110B28"/>
    <w:rsid w:val="00111CF6"/>
    <w:rsid w:val="00111F2D"/>
    <w:rsid w:val="00113110"/>
    <w:rsid w:val="001133E3"/>
    <w:rsid w:val="00113E4F"/>
    <w:rsid w:val="00114BD7"/>
    <w:rsid w:val="00114E60"/>
    <w:rsid w:val="00115E74"/>
    <w:rsid w:val="00116E5B"/>
    <w:rsid w:val="00117291"/>
    <w:rsid w:val="0011781D"/>
    <w:rsid w:val="00117D66"/>
    <w:rsid w:val="00120013"/>
    <w:rsid w:val="00120228"/>
    <w:rsid w:val="001203C4"/>
    <w:rsid w:val="001204B1"/>
    <w:rsid w:val="00120529"/>
    <w:rsid w:val="00120533"/>
    <w:rsid w:val="00120EF5"/>
    <w:rsid w:val="0012155F"/>
    <w:rsid w:val="001216BC"/>
    <w:rsid w:val="0012178C"/>
    <w:rsid w:val="00121C3B"/>
    <w:rsid w:val="00121EEF"/>
    <w:rsid w:val="001226DF"/>
    <w:rsid w:val="00122F99"/>
    <w:rsid w:val="00123479"/>
    <w:rsid w:val="001237E1"/>
    <w:rsid w:val="00123846"/>
    <w:rsid w:val="0012384B"/>
    <w:rsid w:val="001239F6"/>
    <w:rsid w:val="00124264"/>
    <w:rsid w:val="001245FB"/>
    <w:rsid w:val="00124AA9"/>
    <w:rsid w:val="00125342"/>
    <w:rsid w:val="001258A1"/>
    <w:rsid w:val="00125D6C"/>
    <w:rsid w:val="001267B9"/>
    <w:rsid w:val="00126F82"/>
    <w:rsid w:val="001300B4"/>
    <w:rsid w:val="00130257"/>
    <w:rsid w:val="00130386"/>
    <w:rsid w:val="00131744"/>
    <w:rsid w:val="00132A85"/>
    <w:rsid w:val="00133484"/>
    <w:rsid w:val="0013368A"/>
    <w:rsid w:val="001337EF"/>
    <w:rsid w:val="00133C6F"/>
    <w:rsid w:val="00133E44"/>
    <w:rsid w:val="00133EB6"/>
    <w:rsid w:val="00133FF2"/>
    <w:rsid w:val="00134489"/>
    <w:rsid w:val="00134CC5"/>
    <w:rsid w:val="001353BA"/>
    <w:rsid w:val="00135494"/>
    <w:rsid w:val="001359DD"/>
    <w:rsid w:val="00135C20"/>
    <w:rsid w:val="00136008"/>
    <w:rsid w:val="00136206"/>
    <w:rsid w:val="0013655F"/>
    <w:rsid w:val="00136611"/>
    <w:rsid w:val="00136616"/>
    <w:rsid w:val="001366E6"/>
    <w:rsid w:val="00136852"/>
    <w:rsid w:val="00136BAC"/>
    <w:rsid w:val="00137D43"/>
    <w:rsid w:val="001400EE"/>
    <w:rsid w:val="001407E2"/>
    <w:rsid w:val="00140A84"/>
    <w:rsid w:val="00140ACA"/>
    <w:rsid w:val="00140E53"/>
    <w:rsid w:val="001410EE"/>
    <w:rsid w:val="00143190"/>
    <w:rsid w:val="001440EF"/>
    <w:rsid w:val="00144114"/>
    <w:rsid w:val="0014491C"/>
    <w:rsid w:val="00144C94"/>
    <w:rsid w:val="00144DBF"/>
    <w:rsid w:val="00145569"/>
    <w:rsid w:val="001458FD"/>
    <w:rsid w:val="001462FF"/>
    <w:rsid w:val="001464C4"/>
    <w:rsid w:val="001464F8"/>
    <w:rsid w:val="001468B4"/>
    <w:rsid w:val="00146FC1"/>
    <w:rsid w:val="00147A29"/>
    <w:rsid w:val="001507D8"/>
    <w:rsid w:val="00150B33"/>
    <w:rsid w:val="00150F5F"/>
    <w:rsid w:val="00151159"/>
    <w:rsid w:val="001515B9"/>
    <w:rsid w:val="00152377"/>
    <w:rsid w:val="00152DDA"/>
    <w:rsid w:val="00152FCA"/>
    <w:rsid w:val="00153587"/>
    <w:rsid w:val="00154204"/>
    <w:rsid w:val="001545F3"/>
    <w:rsid w:val="00154BD5"/>
    <w:rsid w:val="00155298"/>
    <w:rsid w:val="001555F6"/>
    <w:rsid w:val="00155DDE"/>
    <w:rsid w:val="0015664C"/>
    <w:rsid w:val="00156D87"/>
    <w:rsid w:val="001570F6"/>
    <w:rsid w:val="001572E7"/>
    <w:rsid w:val="001573AD"/>
    <w:rsid w:val="001575A9"/>
    <w:rsid w:val="00157912"/>
    <w:rsid w:val="00157916"/>
    <w:rsid w:val="00157D97"/>
    <w:rsid w:val="00157F43"/>
    <w:rsid w:val="00160AE2"/>
    <w:rsid w:val="00160CC5"/>
    <w:rsid w:val="001611F9"/>
    <w:rsid w:val="00161F41"/>
    <w:rsid w:val="001620B8"/>
    <w:rsid w:val="00162F16"/>
    <w:rsid w:val="001647C2"/>
    <w:rsid w:val="00164EDC"/>
    <w:rsid w:val="001650B5"/>
    <w:rsid w:val="00165F6C"/>
    <w:rsid w:val="001661C6"/>
    <w:rsid w:val="00166478"/>
    <w:rsid w:val="001674C7"/>
    <w:rsid w:val="00167D49"/>
    <w:rsid w:val="00167FEB"/>
    <w:rsid w:val="00170275"/>
    <w:rsid w:val="001703D9"/>
    <w:rsid w:val="00170A6F"/>
    <w:rsid w:val="00170CC9"/>
    <w:rsid w:val="00170F51"/>
    <w:rsid w:val="00171913"/>
    <w:rsid w:val="0017269D"/>
    <w:rsid w:val="00173829"/>
    <w:rsid w:val="00173FBF"/>
    <w:rsid w:val="00174B83"/>
    <w:rsid w:val="001754EF"/>
    <w:rsid w:val="001756E5"/>
    <w:rsid w:val="00175760"/>
    <w:rsid w:val="00175919"/>
    <w:rsid w:val="00175942"/>
    <w:rsid w:val="00175AEB"/>
    <w:rsid w:val="001761EC"/>
    <w:rsid w:val="00176D64"/>
    <w:rsid w:val="00177643"/>
    <w:rsid w:val="001805E4"/>
    <w:rsid w:val="0018076D"/>
    <w:rsid w:val="00180830"/>
    <w:rsid w:val="001811A5"/>
    <w:rsid w:val="0018259D"/>
    <w:rsid w:val="0018263B"/>
    <w:rsid w:val="00182656"/>
    <w:rsid w:val="00182A16"/>
    <w:rsid w:val="00182E28"/>
    <w:rsid w:val="001830C2"/>
    <w:rsid w:val="00183744"/>
    <w:rsid w:val="0018458D"/>
    <w:rsid w:val="00184883"/>
    <w:rsid w:val="0018503B"/>
    <w:rsid w:val="001850B7"/>
    <w:rsid w:val="001850D7"/>
    <w:rsid w:val="00185810"/>
    <w:rsid w:val="00185F73"/>
    <w:rsid w:val="001860E6"/>
    <w:rsid w:val="0018640B"/>
    <w:rsid w:val="00186C83"/>
    <w:rsid w:val="00187640"/>
    <w:rsid w:val="00187984"/>
    <w:rsid w:val="00190061"/>
    <w:rsid w:val="00191AC9"/>
    <w:rsid w:val="00191CC7"/>
    <w:rsid w:val="001927EA"/>
    <w:rsid w:val="0019289A"/>
    <w:rsid w:val="00193674"/>
    <w:rsid w:val="001937A0"/>
    <w:rsid w:val="00194659"/>
    <w:rsid w:val="001947C7"/>
    <w:rsid w:val="00194AB4"/>
    <w:rsid w:val="00194BC9"/>
    <w:rsid w:val="00194CD4"/>
    <w:rsid w:val="001951C6"/>
    <w:rsid w:val="001952C4"/>
    <w:rsid w:val="001955BF"/>
    <w:rsid w:val="00195B72"/>
    <w:rsid w:val="00196011"/>
    <w:rsid w:val="001964EA"/>
    <w:rsid w:val="00196C84"/>
    <w:rsid w:val="00196FC7"/>
    <w:rsid w:val="00197300"/>
    <w:rsid w:val="001A0345"/>
    <w:rsid w:val="001A0AA6"/>
    <w:rsid w:val="001A12D5"/>
    <w:rsid w:val="001A12E4"/>
    <w:rsid w:val="001A295E"/>
    <w:rsid w:val="001A2C68"/>
    <w:rsid w:val="001A3242"/>
    <w:rsid w:val="001A3700"/>
    <w:rsid w:val="001A3D1C"/>
    <w:rsid w:val="001A407C"/>
    <w:rsid w:val="001A4535"/>
    <w:rsid w:val="001A4793"/>
    <w:rsid w:val="001A5655"/>
    <w:rsid w:val="001A5B3E"/>
    <w:rsid w:val="001A5EFC"/>
    <w:rsid w:val="001A6FCA"/>
    <w:rsid w:val="001A703D"/>
    <w:rsid w:val="001A712E"/>
    <w:rsid w:val="001A717F"/>
    <w:rsid w:val="001A7ABA"/>
    <w:rsid w:val="001B021B"/>
    <w:rsid w:val="001B11A2"/>
    <w:rsid w:val="001B1EDD"/>
    <w:rsid w:val="001B21A1"/>
    <w:rsid w:val="001B28D8"/>
    <w:rsid w:val="001B38A8"/>
    <w:rsid w:val="001B3B07"/>
    <w:rsid w:val="001B3B34"/>
    <w:rsid w:val="001B3E20"/>
    <w:rsid w:val="001B44F3"/>
    <w:rsid w:val="001B462E"/>
    <w:rsid w:val="001B466D"/>
    <w:rsid w:val="001B472E"/>
    <w:rsid w:val="001B4CD1"/>
    <w:rsid w:val="001B4E83"/>
    <w:rsid w:val="001B4E8F"/>
    <w:rsid w:val="001B5043"/>
    <w:rsid w:val="001B53CA"/>
    <w:rsid w:val="001B583A"/>
    <w:rsid w:val="001B6544"/>
    <w:rsid w:val="001B6613"/>
    <w:rsid w:val="001B66F4"/>
    <w:rsid w:val="001B6D4C"/>
    <w:rsid w:val="001B74B0"/>
    <w:rsid w:val="001B75A7"/>
    <w:rsid w:val="001B7719"/>
    <w:rsid w:val="001B78A8"/>
    <w:rsid w:val="001B7D43"/>
    <w:rsid w:val="001B7F0A"/>
    <w:rsid w:val="001C0B3E"/>
    <w:rsid w:val="001C0FC4"/>
    <w:rsid w:val="001C0FD2"/>
    <w:rsid w:val="001C1403"/>
    <w:rsid w:val="001C1C4E"/>
    <w:rsid w:val="001C2B3C"/>
    <w:rsid w:val="001C2BC6"/>
    <w:rsid w:val="001C323B"/>
    <w:rsid w:val="001C4441"/>
    <w:rsid w:val="001C45E0"/>
    <w:rsid w:val="001C4649"/>
    <w:rsid w:val="001C4C30"/>
    <w:rsid w:val="001C548F"/>
    <w:rsid w:val="001C54A0"/>
    <w:rsid w:val="001C5A1F"/>
    <w:rsid w:val="001C5A8B"/>
    <w:rsid w:val="001C6151"/>
    <w:rsid w:val="001C693F"/>
    <w:rsid w:val="001C6F3D"/>
    <w:rsid w:val="001C7671"/>
    <w:rsid w:val="001D0006"/>
    <w:rsid w:val="001D000E"/>
    <w:rsid w:val="001D0952"/>
    <w:rsid w:val="001D0ED9"/>
    <w:rsid w:val="001D11EB"/>
    <w:rsid w:val="001D1532"/>
    <w:rsid w:val="001D19BE"/>
    <w:rsid w:val="001D2209"/>
    <w:rsid w:val="001D2689"/>
    <w:rsid w:val="001D31F6"/>
    <w:rsid w:val="001D46EB"/>
    <w:rsid w:val="001D47C6"/>
    <w:rsid w:val="001D489F"/>
    <w:rsid w:val="001D5221"/>
    <w:rsid w:val="001D5C88"/>
    <w:rsid w:val="001D63DF"/>
    <w:rsid w:val="001D68FF"/>
    <w:rsid w:val="001D6A46"/>
    <w:rsid w:val="001D715E"/>
    <w:rsid w:val="001D736C"/>
    <w:rsid w:val="001D77DF"/>
    <w:rsid w:val="001E04A0"/>
    <w:rsid w:val="001E0811"/>
    <w:rsid w:val="001E13F6"/>
    <w:rsid w:val="001E1813"/>
    <w:rsid w:val="001E1AD7"/>
    <w:rsid w:val="001E2326"/>
    <w:rsid w:val="001E23BC"/>
    <w:rsid w:val="001E36B5"/>
    <w:rsid w:val="001E43D5"/>
    <w:rsid w:val="001E59C5"/>
    <w:rsid w:val="001E5C10"/>
    <w:rsid w:val="001E63D9"/>
    <w:rsid w:val="001E6460"/>
    <w:rsid w:val="001E6489"/>
    <w:rsid w:val="001E6984"/>
    <w:rsid w:val="001E6C7C"/>
    <w:rsid w:val="001E72F9"/>
    <w:rsid w:val="001E7CE8"/>
    <w:rsid w:val="001F02AF"/>
    <w:rsid w:val="001F0718"/>
    <w:rsid w:val="001F074B"/>
    <w:rsid w:val="001F08F4"/>
    <w:rsid w:val="001F17BE"/>
    <w:rsid w:val="001F1957"/>
    <w:rsid w:val="001F1A05"/>
    <w:rsid w:val="001F1E32"/>
    <w:rsid w:val="001F23D8"/>
    <w:rsid w:val="001F2558"/>
    <w:rsid w:val="001F2710"/>
    <w:rsid w:val="001F3227"/>
    <w:rsid w:val="001F3DDB"/>
    <w:rsid w:val="001F3DF3"/>
    <w:rsid w:val="001F4256"/>
    <w:rsid w:val="001F495A"/>
    <w:rsid w:val="001F5A0D"/>
    <w:rsid w:val="001F5D05"/>
    <w:rsid w:val="001F5F49"/>
    <w:rsid w:val="001F642D"/>
    <w:rsid w:val="001F6AF0"/>
    <w:rsid w:val="001F6F6F"/>
    <w:rsid w:val="001F7501"/>
    <w:rsid w:val="00200076"/>
    <w:rsid w:val="00200659"/>
    <w:rsid w:val="002006A5"/>
    <w:rsid w:val="002007A8"/>
    <w:rsid w:val="00200A54"/>
    <w:rsid w:val="00201796"/>
    <w:rsid w:val="00201838"/>
    <w:rsid w:val="00201985"/>
    <w:rsid w:val="00201F40"/>
    <w:rsid w:val="00202731"/>
    <w:rsid w:val="00202980"/>
    <w:rsid w:val="002032DB"/>
    <w:rsid w:val="00204E35"/>
    <w:rsid w:val="002052E9"/>
    <w:rsid w:val="002058FA"/>
    <w:rsid w:val="00205DBE"/>
    <w:rsid w:val="00206A9D"/>
    <w:rsid w:val="002070E5"/>
    <w:rsid w:val="0021022D"/>
    <w:rsid w:val="00210809"/>
    <w:rsid w:val="002109EF"/>
    <w:rsid w:val="00211388"/>
    <w:rsid w:val="00211591"/>
    <w:rsid w:val="00211671"/>
    <w:rsid w:val="00211712"/>
    <w:rsid w:val="00211B30"/>
    <w:rsid w:val="00211CFC"/>
    <w:rsid w:val="0021224E"/>
    <w:rsid w:val="00212871"/>
    <w:rsid w:val="00213770"/>
    <w:rsid w:val="00213F11"/>
    <w:rsid w:val="002147B5"/>
    <w:rsid w:val="00214F62"/>
    <w:rsid w:val="00214FBB"/>
    <w:rsid w:val="002156B9"/>
    <w:rsid w:val="00215C15"/>
    <w:rsid w:val="002163E3"/>
    <w:rsid w:val="002164AC"/>
    <w:rsid w:val="00216AFB"/>
    <w:rsid w:val="00216C32"/>
    <w:rsid w:val="00216F03"/>
    <w:rsid w:val="0021752F"/>
    <w:rsid w:val="002203AF"/>
    <w:rsid w:val="002205FD"/>
    <w:rsid w:val="0022087C"/>
    <w:rsid w:val="00220B6C"/>
    <w:rsid w:val="00220F8F"/>
    <w:rsid w:val="002212B0"/>
    <w:rsid w:val="0022156A"/>
    <w:rsid w:val="0022182D"/>
    <w:rsid w:val="00221BDF"/>
    <w:rsid w:val="00222118"/>
    <w:rsid w:val="00222635"/>
    <w:rsid w:val="002228FB"/>
    <w:rsid w:val="00223A7C"/>
    <w:rsid w:val="002241BF"/>
    <w:rsid w:val="00224489"/>
    <w:rsid w:val="002245FD"/>
    <w:rsid w:val="002247CB"/>
    <w:rsid w:val="002248F8"/>
    <w:rsid w:val="00224912"/>
    <w:rsid w:val="00224E59"/>
    <w:rsid w:val="00224F51"/>
    <w:rsid w:val="00225A35"/>
    <w:rsid w:val="00225FD2"/>
    <w:rsid w:val="00226D8E"/>
    <w:rsid w:val="00226DDB"/>
    <w:rsid w:val="00226E19"/>
    <w:rsid w:val="00226E3C"/>
    <w:rsid w:val="002275BA"/>
    <w:rsid w:val="00227783"/>
    <w:rsid w:val="002277C8"/>
    <w:rsid w:val="00227E56"/>
    <w:rsid w:val="002303A0"/>
    <w:rsid w:val="00230654"/>
    <w:rsid w:val="002307C0"/>
    <w:rsid w:val="00231223"/>
    <w:rsid w:val="00231574"/>
    <w:rsid w:val="00231707"/>
    <w:rsid w:val="00231D5F"/>
    <w:rsid w:val="002326F3"/>
    <w:rsid w:val="00232886"/>
    <w:rsid w:val="00232E0B"/>
    <w:rsid w:val="0023323E"/>
    <w:rsid w:val="00233293"/>
    <w:rsid w:val="0023388B"/>
    <w:rsid w:val="002339EA"/>
    <w:rsid w:val="0023406B"/>
    <w:rsid w:val="0023538E"/>
    <w:rsid w:val="00235D48"/>
    <w:rsid w:val="0023661B"/>
    <w:rsid w:val="00236AF2"/>
    <w:rsid w:val="0023710C"/>
    <w:rsid w:val="0023733B"/>
    <w:rsid w:val="002376E4"/>
    <w:rsid w:val="00237753"/>
    <w:rsid w:val="00237AE8"/>
    <w:rsid w:val="00237E18"/>
    <w:rsid w:val="002400B8"/>
    <w:rsid w:val="0024082C"/>
    <w:rsid w:val="00240ADC"/>
    <w:rsid w:val="00240EEB"/>
    <w:rsid w:val="002417B4"/>
    <w:rsid w:val="00241943"/>
    <w:rsid w:val="00241B7D"/>
    <w:rsid w:val="0024282D"/>
    <w:rsid w:val="00242E10"/>
    <w:rsid w:val="002437EF"/>
    <w:rsid w:val="00243C42"/>
    <w:rsid w:val="00244274"/>
    <w:rsid w:val="0024473F"/>
    <w:rsid w:val="00244CFE"/>
    <w:rsid w:val="00245958"/>
    <w:rsid w:val="00246A37"/>
    <w:rsid w:val="00246FA9"/>
    <w:rsid w:val="002474BE"/>
    <w:rsid w:val="002479F9"/>
    <w:rsid w:val="00247B7D"/>
    <w:rsid w:val="00247D98"/>
    <w:rsid w:val="0025111E"/>
    <w:rsid w:val="002513A2"/>
    <w:rsid w:val="00251DB0"/>
    <w:rsid w:val="00251DB3"/>
    <w:rsid w:val="00252249"/>
    <w:rsid w:val="002522AE"/>
    <w:rsid w:val="00252CFA"/>
    <w:rsid w:val="00252F0B"/>
    <w:rsid w:val="00253FC3"/>
    <w:rsid w:val="0025462C"/>
    <w:rsid w:val="00254820"/>
    <w:rsid w:val="00254D9A"/>
    <w:rsid w:val="00255275"/>
    <w:rsid w:val="0025563E"/>
    <w:rsid w:val="002558F6"/>
    <w:rsid w:val="00256523"/>
    <w:rsid w:val="002567CB"/>
    <w:rsid w:val="002573DA"/>
    <w:rsid w:val="002574D2"/>
    <w:rsid w:val="00257EBB"/>
    <w:rsid w:val="0026113A"/>
    <w:rsid w:val="00262374"/>
    <w:rsid w:val="002623FB"/>
    <w:rsid w:val="00262446"/>
    <w:rsid w:val="00262F0E"/>
    <w:rsid w:val="00262FE0"/>
    <w:rsid w:val="00263CF8"/>
    <w:rsid w:val="00263FAA"/>
    <w:rsid w:val="00264065"/>
    <w:rsid w:val="002645D3"/>
    <w:rsid w:val="002647AF"/>
    <w:rsid w:val="00264845"/>
    <w:rsid w:val="002652ED"/>
    <w:rsid w:val="002655C4"/>
    <w:rsid w:val="002658E5"/>
    <w:rsid w:val="00265EFC"/>
    <w:rsid w:val="0026616D"/>
    <w:rsid w:val="00266C7B"/>
    <w:rsid w:val="00267F2A"/>
    <w:rsid w:val="00270662"/>
    <w:rsid w:val="002708E8"/>
    <w:rsid w:val="00270B10"/>
    <w:rsid w:val="00271528"/>
    <w:rsid w:val="002716DB"/>
    <w:rsid w:val="002725A0"/>
    <w:rsid w:val="00273C27"/>
    <w:rsid w:val="002745EC"/>
    <w:rsid w:val="002746B7"/>
    <w:rsid w:val="00274CF6"/>
    <w:rsid w:val="002754BC"/>
    <w:rsid w:val="002755F1"/>
    <w:rsid w:val="002759E5"/>
    <w:rsid w:val="00275A05"/>
    <w:rsid w:val="00275B98"/>
    <w:rsid w:val="00276359"/>
    <w:rsid w:val="00276AEA"/>
    <w:rsid w:val="00276C67"/>
    <w:rsid w:val="002770E2"/>
    <w:rsid w:val="002772DA"/>
    <w:rsid w:val="00277561"/>
    <w:rsid w:val="0027757D"/>
    <w:rsid w:val="00277DB8"/>
    <w:rsid w:val="00277F46"/>
    <w:rsid w:val="00277F65"/>
    <w:rsid w:val="002800A6"/>
    <w:rsid w:val="002806DE"/>
    <w:rsid w:val="002809AA"/>
    <w:rsid w:val="00280EDD"/>
    <w:rsid w:val="002810DD"/>
    <w:rsid w:val="002812A1"/>
    <w:rsid w:val="0028177F"/>
    <w:rsid w:val="00281BC8"/>
    <w:rsid w:val="00281CC0"/>
    <w:rsid w:val="002827F5"/>
    <w:rsid w:val="00282A04"/>
    <w:rsid w:val="00282E0E"/>
    <w:rsid w:val="00283301"/>
    <w:rsid w:val="0028405B"/>
    <w:rsid w:val="0028435B"/>
    <w:rsid w:val="0028588A"/>
    <w:rsid w:val="00285EE6"/>
    <w:rsid w:val="002862A5"/>
    <w:rsid w:val="002869DE"/>
    <w:rsid w:val="00286AC7"/>
    <w:rsid w:val="00286D15"/>
    <w:rsid w:val="00287A10"/>
    <w:rsid w:val="0029089D"/>
    <w:rsid w:val="00291263"/>
    <w:rsid w:val="002912B1"/>
    <w:rsid w:val="00291732"/>
    <w:rsid w:val="00291A58"/>
    <w:rsid w:val="00291CDB"/>
    <w:rsid w:val="00292A56"/>
    <w:rsid w:val="00292F52"/>
    <w:rsid w:val="00293B93"/>
    <w:rsid w:val="002942AD"/>
    <w:rsid w:val="00294709"/>
    <w:rsid w:val="00294B70"/>
    <w:rsid w:val="00294BBD"/>
    <w:rsid w:val="00295C81"/>
    <w:rsid w:val="00296174"/>
    <w:rsid w:val="00296262"/>
    <w:rsid w:val="0029679A"/>
    <w:rsid w:val="00296ADB"/>
    <w:rsid w:val="00296E26"/>
    <w:rsid w:val="00297F78"/>
    <w:rsid w:val="002A018A"/>
    <w:rsid w:val="002A0BFB"/>
    <w:rsid w:val="002A0EEF"/>
    <w:rsid w:val="002A0F74"/>
    <w:rsid w:val="002A1A6B"/>
    <w:rsid w:val="002A2513"/>
    <w:rsid w:val="002A29C0"/>
    <w:rsid w:val="002A3251"/>
    <w:rsid w:val="002A332E"/>
    <w:rsid w:val="002A43D5"/>
    <w:rsid w:val="002A478D"/>
    <w:rsid w:val="002A4F08"/>
    <w:rsid w:val="002A6C52"/>
    <w:rsid w:val="002A6EA2"/>
    <w:rsid w:val="002A77C5"/>
    <w:rsid w:val="002A7AF6"/>
    <w:rsid w:val="002B065F"/>
    <w:rsid w:val="002B0D29"/>
    <w:rsid w:val="002B0DFE"/>
    <w:rsid w:val="002B114F"/>
    <w:rsid w:val="002B1724"/>
    <w:rsid w:val="002B1853"/>
    <w:rsid w:val="002B2491"/>
    <w:rsid w:val="002B2FB6"/>
    <w:rsid w:val="002B3487"/>
    <w:rsid w:val="002B36E8"/>
    <w:rsid w:val="002B3F1B"/>
    <w:rsid w:val="002B3FD5"/>
    <w:rsid w:val="002B41E3"/>
    <w:rsid w:val="002B4238"/>
    <w:rsid w:val="002B548D"/>
    <w:rsid w:val="002B5B75"/>
    <w:rsid w:val="002B5F06"/>
    <w:rsid w:val="002B6210"/>
    <w:rsid w:val="002B63D7"/>
    <w:rsid w:val="002B6456"/>
    <w:rsid w:val="002B6793"/>
    <w:rsid w:val="002B6967"/>
    <w:rsid w:val="002B6BC1"/>
    <w:rsid w:val="002B6BCF"/>
    <w:rsid w:val="002B6DD2"/>
    <w:rsid w:val="002B6E3F"/>
    <w:rsid w:val="002B7390"/>
    <w:rsid w:val="002B7725"/>
    <w:rsid w:val="002B79E4"/>
    <w:rsid w:val="002B7BB6"/>
    <w:rsid w:val="002B7E7E"/>
    <w:rsid w:val="002C023B"/>
    <w:rsid w:val="002C0677"/>
    <w:rsid w:val="002C06CB"/>
    <w:rsid w:val="002C06E2"/>
    <w:rsid w:val="002C074F"/>
    <w:rsid w:val="002C09D0"/>
    <w:rsid w:val="002C0A97"/>
    <w:rsid w:val="002C0E20"/>
    <w:rsid w:val="002C1408"/>
    <w:rsid w:val="002C1728"/>
    <w:rsid w:val="002C2129"/>
    <w:rsid w:val="002C259B"/>
    <w:rsid w:val="002C262F"/>
    <w:rsid w:val="002C2E81"/>
    <w:rsid w:val="002C312C"/>
    <w:rsid w:val="002C3923"/>
    <w:rsid w:val="002C4C9E"/>
    <w:rsid w:val="002C4D70"/>
    <w:rsid w:val="002C574E"/>
    <w:rsid w:val="002C57CB"/>
    <w:rsid w:val="002C5A1A"/>
    <w:rsid w:val="002C5F46"/>
    <w:rsid w:val="002C65A8"/>
    <w:rsid w:val="002C6724"/>
    <w:rsid w:val="002C67FB"/>
    <w:rsid w:val="002C6E58"/>
    <w:rsid w:val="002C73AA"/>
    <w:rsid w:val="002C7C27"/>
    <w:rsid w:val="002D0183"/>
    <w:rsid w:val="002D03F9"/>
    <w:rsid w:val="002D0824"/>
    <w:rsid w:val="002D082A"/>
    <w:rsid w:val="002D0B31"/>
    <w:rsid w:val="002D1086"/>
    <w:rsid w:val="002D110A"/>
    <w:rsid w:val="002D13D5"/>
    <w:rsid w:val="002D158E"/>
    <w:rsid w:val="002D172E"/>
    <w:rsid w:val="002D26FA"/>
    <w:rsid w:val="002D361B"/>
    <w:rsid w:val="002D3B8D"/>
    <w:rsid w:val="002D3CC4"/>
    <w:rsid w:val="002D3D57"/>
    <w:rsid w:val="002D4614"/>
    <w:rsid w:val="002D489F"/>
    <w:rsid w:val="002D4930"/>
    <w:rsid w:val="002D49C8"/>
    <w:rsid w:val="002D4A1D"/>
    <w:rsid w:val="002D5CB6"/>
    <w:rsid w:val="002D5FB0"/>
    <w:rsid w:val="002D62CA"/>
    <w:rsid w:val="002D633C"/>
    <w:rsid w:val="002D74E8"/>
    <w:rsid w:val="002D74F3"/>
    <w:rsid w:val="002D7E5F"/>
    <w:rsid w:val="002E0499"/>
    <w:rsid w:val="002E055C"/>
    <w:rsid w:val="002E0FA3"/>
    <w:rsid w:val="002E10AE"/>
    <w:rsid w:val="002E14F3"/>
    <w:rsid w:val="002E1579"/>
    <w:rsid w:val="002E1595"/>
    <w:rsid w:val="002E1793"/>
    <w:rsid w:val="002E19E0"/>
    <w:rsid w:val="002E1A09"/>
    <w:rsid w:val="002E26D4"/>
    <w:rsid w:val="002E27EE"/>
    <w:rsid w:val="002E3331"/>
    <w:rsid w:val="002E348B"/>
    <w:rsid w:val="002E34C0"/>
    <w:rsid w:val="002E38A3"/>
    <w:rsid w:val="002E3F56"/>
    <w:rsid w:val="002E4084"/>
    <w:rsid w:val="002E470F"/>
    <w:rsid w:val="002E478B"/>
    <w:rsid w:val="002E4BDB"/>
    <w:rsid w:val="002E52C8"/>
    <w:rsid w:val="002E5305"/>
    <w:rsid w:val="002E584B"/>
    <w:rsid w:val="002E5C22"/>
    <w:rsid w:val="002E60C5"/>
    <w:rsid w:val="002E7682"/>
    <w:rsid w:val="002E76AB"/>
    <w:rsid w:val="002E7AF0"/>
    <w:rsid w:val="002F07B2"/>
    <w:rsid w:val="002F0DE4"/>
    <w:rsid w:val="002F1609"/>
    <w:rsid w:val="002F1B97"/>
    <w:rsid w:val="002F31A2"/>
    <w:rsid w:val="002F3383"/>
    <w:rsid w:val="002F38AB"/>
    <w:rsid w:val="002F3983"/>
    <w:rsid w:val="002F3CB3"/>
    <w:rsid w:val="002F432B"/>
    <w:rsid w:val="002F492E"/>
    <w:rsid w:val="002F4A3B"/>
    <w:rsid w:val="002F4F13"/>
    <w:rsid w:val="002F50F6"/>
    <w:rsid w:val="002F57B1"/>
    <w:rsid w:val="002F59EE"/>
    <w:rsid w:val="002F6BB8"/>
    <w:rsid w:val="002F77AC"/>
    <w:rsid w:val="002F7C82"/>
    <w:rsid w:val="00302470"/>
    <w:rsid w:val="00302DCA"/>
    <w:rsid w:val="00302DD0"/>
    <w:rsid w:val="00302E6E"/>
    <w:rsid w:val="003031B8"/>
    <w:rsid w:val="0030394F"/>
    <w:rsid w:val="00304715"/>
    <w:rsid w:val="0030495D"/>
    <w:rsid w:val="0030499E"/>
    <w:rsid w:val="00305771"/>
    <w:rsid w:val="00306232"/>
    <w:rsid w:val="00306310"/>
    <w:rsid w:val="00306338"/>
    <w:rsid w:val="00306B7C"/>
    <w:rsid w:val="00306C90"/>
    <w:rsid w:val="00306D28"/>
    <w:rsid w:val="00306D2F"/>
    <w:rsid w:val="00307199"/>
    <w:rsid w:val="003071FE"/>
    <w:rsid w:val="003078B1"/>
    <w:rsid w:val="00307B01"/>
    <w:rsid w:val="00307E29"/>
    <w:rsid w:val="00307F4C"/>
    <w:rsid w:val="00310664"/>
    <w:rsid w:val="00310732"/>
    <w:rsid w:val="00310F35"/>
    <w:rsid w:val="00311436"/>
    <w:rsid w:val="003114B5"/>
    <w:rsid w:val="0031158A"/>
    <w:rsid w:val="00311981"/>
    <w:rsid w:val="00312561"/>
    <w:rsid w:val="00312E07"/>
    <w:rsid w:val="00313055"/>
    <w:rsid w:val="0031317A"/>
    <w:rsid w:val="00313A77"/>
    <w:rsid w:val="00313ACA"/>
    <w:rsid w:val="00313BC8"/>
    <w:rsid w:val="00313C1C"/>
    <w:rsid w:val="00313CB6"/>
    <w:rsid w:val="00314567"/>
    <w:rsid w:val="003150A3"/>
    <w:rsid w:val="00316B62"/>
    <w:rsid w:val="003170EB"/>
    <w:rsid w:val="003207CA"/>
    <w:rsid w:val="0032085E"/>
    <w:rsid w:val="00320896"/>
    <w:rsid w:val="00320A20"/>
    <w:rsid w:val="003211CE"/>
    <w:rsid w:val="0032158B"/>
    <w:rsid w:val="0032173E"/>
    <w:rsid w:val="00321B25"/>
    <w:rsid w:val="00322313"/>
    <w:rsid w:val="003228D0"/>
    <w:rsid w:val="00323082"/>
    <w:rsid w:val="0032330C"/>
    <w:rsid w:val="003233C9"/>
    <w:rsid w:val="0032377E"/>
    <w:rsid w:val="00323900"/>
    <w:rsid w:val="00323EFB"/>
    <w:rsid w:val="00325541"/>
    <w:rsid w:val="00325B76"/>
    <w:rsid w:val="00325D6B"/>
    <w:rsid w:val="00326821"/>
    <w:rsid w:val="00326B1E"/>
    <w:rsid w:val="00326FDD"/>
    <w:rsid w:val="00327217"/>
    <w:rsid w:val="003273F9"/>
    <w:rsid w:val="00327A52"/>
    <w:rsid w:val="00327A9F"/>
    <w:rsid w:val="00327C14"/>
    <w:rsid w:val="00327C9F"/>
    <w:rsid w:val="00327CA0"/>
    <w:rsid w:val="00327ED0"/>
    <w:rsid w:val="00327F6D"/>
    <w:rsid w:val="003306EF"/>
    <w:rsid w:val="00330FB8"/>
    <w:rsid w:val="00332458"/>
    <w:rsid w:val="0033283E"/>
    <w:rsid w:val="00332CD7"/>
    <w:rsid w:val="00333B26"/>
    <w:rsid w:val="003342E3"/>
    <w:rsid w:val="003350D3"/>
    <w:rsid w:val="003352F5"/>
    <w:rsid w:val="0033697D"/>
    <w:rsid w:val="00336AF7"/>
    <w:rsid w:val="00336CF0"/>
    <w:rsid w:val="00337465"/>
    <w:rsid w:val="003377C3"/>
    <w:rsid w:val="00337CE7"/>
    <w:rsid w:val="00337D25"/>
    <w:rsid w:val="00340027"/>
    <w:rsid w:val="00340144"/>
    <w:rsid w:val="0034028B"/>
    <w:rsid w:val="00340C0A"/>
    <w:rsid w:val="00341A4A"/>
    <w:rsid w:val="00341DE2"/>
    <w:rsid w:val="00342AB9"/>
    <w:rsid w:val="00342B9A"/>
    <w:rsid w:val="00342E67"/>
    <w:rsid w:val="003439CB"/>
    <w:rsid w:val="00343EA3"/>
    <w:rsid w:val="003441A6"/>
    <w:rsid w:val="00344293"/>
    <w:rsid w:val="00344C98"/>
    <w:rsid w:val="00345167"/>
    <w:rsid w:val="003457D4"/>
    <w:rsid w:val="00345A99"/>
    <w:rsid w:val="003465EE"/>
    <w:rsid w:val="00346C7C"/>
    <w:rsid w:val="003470FC"/>
    <w:rsid w:val="003473B3"/>
    <w:rsid w:val="003503C2"/>
    <w:rsid w:val="00350FC6"/>
    <w:rsid w:val="00350FF0"/>
    <w:rsid w:val="00351358"/>
    <w:rsid w:val="00351EC3"/>
    <w:rsid w:val="003521AE"/>
    <w:rsid w:val="003525E1"/>
    <w:rsid w:val="00352BFF"/>
    <w:rsid w:val="0035321D"/>
    <w:rsid w:val="00353464"/>
    <w:rsid w:val="00354975"/>
    <w:rsid w:val="003552F3"/>
    <w:rsid w:val="003556F1"/>
    <w:rsid w:val="0035581E"/>
    <w:rsid w:val="00356AB6"/>
    <w:rsid w:val="00356D0A"/>
    <w:rsid w:val="00356D44"/>
    <w:rsid w:val="0035761A"/>
    <w:rsid w:val="0035799A"/>
    <w:rsid w:val="00357B86"/>
    <w:rsid w:val="00357E20"/>
    <w:rsid w:val="00357F91"/>
    <w:rsid w:val="00360541"/>
    <w:rsid w:val="00360ADE"/>
    <w:rsid w:val="00361395"/>
    <w:rsid w:val="003613A7"/>
    <w:rsid w:val="003615AA"/>
    <w:rsid w:val="00362149"/>
    <w:rsid w:val="0036221E"/>
    <w:rsid w:val="003622B3"/>
    <w:rsid w:val="00362ADE"/>
    <w:rsid w:val="00362E67"/>
    <w:rsid w:val="00362F40"/>
    <w:rsid w:val="00362F4D"/>
    <w:rsid w:val="00363704"/>
    <w:rsid w:val="00363CD5"/>
    <w:rsid w:val="003642AD"/>
    <w:rsid w:val="00364993"/>
    <w:rsid w:val="00364D02"/>
    <w:rsid w:val="00364E07"/>
    <w:rsid w:val="00364FC5"/>
    <w:rsid w:val="0036573E"/>
    <w:rsid w:val="00365922"/>
    <w:rsid w:val="00365AAE"/>
    <w:rsid w:val="003660B2"/>
    <w:rsid w:val="00366228"/>
    <w:rsid w:val="003667AB"/>
    <w:rsid w:val="00367872"/>
    <w:rsid w:val="00367B6F"/>
    <w:rsid w:val="00367DC2"/>
    <w:rsid w:val="0037066D"/>
    <w:rsid w:val="003712D0"/>
    <w:rsid w:val="00371F74"/>
    <w:rsid w:val="0037236C"/>
    <w:rsid w:val="003726FA"/>
    <w:rsid w:val="00372872"/>
    <w:rsid w:val="00372E1F"/>
    <w:rsid w:val="00373EBB"/>
    <w:rsid w:val="00374045"/>
    <w:rsid w:val="00374490"/>
    <w:rsid w:val="00374CF5"/>
    <w:rsid w:val="00374D37"/>
    <w:rsid w:val="00374E92"/>
    <w:rsid w:val="0037517F"/>
    <w:rsid w:val="00376744"/>
    <w:rsid w:val="003767A1"/>
    <w:rsid w:val="00376993"/>
    <w:rsid w:val="0038084D"/>
    <w:rsid w:val="003808BB"/>
    <w:rsid w:val="00380BB4"/>
    <w:rsid w:val="00381531"/>
    <w:rsid w:val="00381726"/>
    <w:rsid w:val="00381D6C"/>
    <w:rsid w:val="00381E74"/>
    <w:rsid w:val="00381EEE"/>
    <w:rsid w:val="00382464"/>
    <w:rsid w:val="00382BAC"/>
    <w:rsid w:val="00382BE9"/>
    <w:rsid w:val="003834CB"/>
    <w:rsid w:val="003837D5"/>
    <w:rsid w:val="00383B50"/>
    <w:rsid w:val="00383F93"/>
    <w:rsid w:val="00384026"/>
    <w:rsid w:val="00385A99"/>
    <w:rsid w:val="00385E94"/>
    <w:rsid w:val="0038611B"/>
    <w:rsid w:val="003869F6"/>
    <w:rsid w:val="00386D0D"/>
    <w:rsid w:val="00386D3E"/>
    <w:rsid w:val="00387A89"/>
    <w:rsid w:val="00387A8A"/>
    <w:rsid w:val="00387FF6"/>
    <w:rsid w:val="00390775"/>
    <w:rsid w:val="00391305"/>
    <w:rsid w:val="00391503"/>
    <w:rsid w:val="00391FCC"/>
    <w:rsid w:val="0039230F"/>
    <w:rsid w:val="003925EF"/>
    <w:rsid w:val="003926CF"/>
    <w:rsid w:val="003930F5"/>
    <w:rsid w:val="003934DA"/>
    <w:rsid w:val="00393748"/>
    <w:rsid w:val="00393C02"/>
    <w:rsid w:val="00393F7E"/>
    <w:rsid w:val="0039412D"/>
    <w:rsid w:val="00394F76"/>
    <w:rsid w:val="00395202"/>
    <w:rsid w:val="003953A4"/>
    <w:rsid w:val="0039608E"/>
    <w:rsid w:val="00396C05"/>
    <w:rsid w:val="00397E67"/>
    <w:rsid w:val="003A0402"/>
    <w:rsid w:val="003A07AD"/>
    <w:rsid w:val="003A07D2"/>
    <w:rsid w:val="003A0ADA"/>
    <w:rsid w:val="003A0C30"/>
    <w:rsid w:val="003A0C85"/>
    <w:rsid w:val="003A0CC4"/>
    <w:rsid w:val="003A108E"/>
    <w:rsid w:val="003A11AD"/>
    <w:rsid w:val="003A18A6"/>
    <w:rsid w:val="003A1DAD"/>
    <w:rsid w:val="003A2672"/>
    <w:rsid w:val="003A3210"/>
    <w:rsid w:val="003A38F1"/>
    <w:rsid w:val="003A393E"/>
    <w:rsid w:val="003A3DAF"/>
    <w:rsid w:val="003A43A5"/>
    <w:rsid w:val="003A4A03"/>
    <w:rsid w:val="003A4CB1"/>
    <w:rsid w:val="003A4EF7"/>
    <w:rsid w:val="003A5817"/>
    <w:rsid w:val="003A5930"/>
    <w:rsid w:val="003A5A24"/>
    <w:rsid w:val="003A5E4B"/>
    <w:rsid w:val="003A65E2"/>
    <w:rsid w:val="003A661A"/>
    <w:rsid w:val="003A68CE"/>
    <w:rsid w:val="003A6956"/>
    <w:rsid w:val="003A6A5C"/>
    <w:rsid w:val="003A745B"/>
    <w:rsid w:val="003B009E"/>
    <w:rsid w:val="003B0A64"/>
    <w:rsid w:val="003B0E0B"/>
    <w:rsid w:val="003B0EE7"/>
    <w:rsid w:val="003B1122"/>
    <w:rsid w:val="003B1746"/>
    <w:rsid w:val="003B1E90"/>
    <w:rsid w:val="003B2271"/>
    <w:rsid w:val="003B27DE"/>
    <w:rsid w:val="003B2A16"/>
    <w:rsid w:val="003B2CEA"/>
    <w:rsid w:val="003B30F6"/>
    <w:rsid w:val="003B3279"/>
    <w:rsid w:val="003B3CD2"/>
    <w:rsid w:val="003B4259"/>
    <w:rsid w:val="003B4888"/>
    <w:rsid w:val="003B4B3E"/>
    <w:rsid w:val="003B4BA5"/>
    <w:rsid w:val="003B4BB0"/>
    <w:rsid w:val="003B4D3D"/>
    <w:rsid w:val="003B52AB"/>
    <w:rsid w:val="003B583D"/>
    <w:rsid w:val="003B58BB"/>
    <w:rsid w:val="003B6496"/>
    <w:rsid w:val="003B75BF"/>
    <w:rsid w:val="003B789D"/>
    <w:rsid w:val="003B7E1B"/>
    <w:rsid w:val="003C060F"/>
    <w:rsid w:val="003C090A"/>
    <w:rsid w:val="003C139A"/>
    <w:rsid w:val="003C2082"/>
    <w:rsid w:val="003C212D"/>
    <w:rsid w:val="003C2964"/>
    <w:rsid w:val="003C2D4B"/>
    <w:rsid w:val="003C45D7"/>
    <w:rsid w:val="003C46AA"/>
    <w:rsid w:val="003C4AA8"/>
    <w:rsid w:val="003C4FA3"/>
    <w:rsid w:val="003C5318"/>
    <w:rsid w:val="003C53AC"/>
    <w:rsid w:val="003C56F7"/>
    <w:rsid w:val="003C5953"/>
    <w:rsid w:val="003C6DD3"/>
    <w:rsid w:val="003C7067"/>
    <w:rsid w:val="003D03AB"/>
    <w:rsid w:val="003D0882"/>
    <w:rsid w:val="003D113C"/>
    <w:rsid w:val="003D161B"/>
    <w:rsid w:val="003D1703"/>
    <w:rsid w:val="003D1A74"/>
    <w:rsid w:val="003D1D41"/>
    <w:rsid w:val="003D36CC"/>
    <w:rsid w:val="003D409F"/>
    <w:rsid w:val="003D4231"/>
    <w:rsid w:val="003D4580"/>
    <w:rsid w:val="003D4C9B"/>
    <w:rsid w:val="003D5100"/>
    <w:rsid w:val="003D54F7"/>
    <w:rsid w:val="003D55AA"/>
    <w:rsid w:val="003D5843"/>
    <w:rsid w:val="003D5B9D"/>
    <w:rsid w:val="003D5E11"/>
    <w:rsid w:val="003D6383"/>
    <w:rsid w:val="003D6D5B"/>
    <w:rsid w:val="003D7395"/>
    <w:rsid w:val="003D77B1"/>
    <w:rsid w:val="003D7CCD"/>
    <w:rsid w:val="003E0096"/>
    <w:rsid w:val="003E00D2"/>
    <w:rsid w:val="003E0180"/>
    <w:rsid w:val="003E0257"/>
    <w:rsid w:val="003E0400"/>
    <w:rsid w:val="003E0ACF"/>
    <w:rsid w:val="003E1062"/>
    <w:rsid w:val="003E1303"/>
    <w:rsid w:val="003E15A2"/>
    <w:rsid w:val="003E17B9"/>
    <w:rsid w:val="003E2207"/>
    <w:rsid w:val="003E244D"/>
    <w:rsid w:val="003E2469"/>
    <w:rsid w:val="003E25A5"/>
    <w:rsid w:val="003E26DF"/>
    <w:rsid w:val="003E31F3"/>
    <w:rsid w:val="003E3414"/>
    <w:rsid w:val="003E398A"/>
    <w:rsid w:val="003E3BDE"/>
    <w:rsid w:val="003E4410"/>
    <w:rsid w:val="003E4D39"/>
    <w:rsid w:val="003E4E5E"/>
    <w:rsid w:val="003E5739"/>
    <w:rsid w:val="003E5869"/>
    <w:rsid w:val="003E595D"/>
    <w:rsid w:val="003E65C2"/>
    <w:rsid w:val="003E66FF"/>
    <w:rsid w:val="003E6E83"/>
    <w:rsid w:val="003E7439"/>
    <w:rsid w:val="003E7528"/>
    <w:rsid w:val="003E75E1"/>
    <w:rsid w:val="003F0B0E"/>
    <w:rsid w:val="003F0D9F"/>
    <w:rsid w:val="003F1449"/>
    <w:rsid w:val="003F1AE6"/>
    <w:rsid w:val="003F1DAE"/>
    <w:rsid w:val="003F1ED3"/>
    <w:rsid w:val="003F2831"/>
    <w:rsid w:val="003F299E"/>
    <w:rsid w:val="003F2DF9"/>
    <w:rsid w:val="003F31D8"/>
    <w:rsid w:val="003F32D0"/>
    <w:rsid w:val="003F413F"/>
    <w:rsid w:val="003F4469"/>
    <w:rsid w:val="003F4EDE"/>
    <w:rsid w:val="003F5052"/>
    <w:rsid w:val="003F5AF8"/>
    <w:rsid w:val="003F5BB2"/>
    <w:rsid w:val="003F7278"/>
    <w:rsid w:val="003F74BC"/>
    <w:rsid w:val="003F7849"/>
    <w:rsid w:val="003F7B4A"/>
    <w:rsid w:val="003F7D64"/>
    <w:rsid w:val="003F7F77"/>
    <w:rsid w:val="004005A8"/>
    <w:rsid w:val="0040085E"/>
    <w:rsid w:val="00400C84"/>
    <w:rsid w:val="00400E6F"/>
    <w:rsid w:val="004014CA"/>
    <w:rsid w:val="004014F9"/>
    <w:rsid w:val="004017B9"/>
    <w:rsid w:val="00402490"/>
    <w:rsid w:val="004024CA"/>
    <w:rsid w:val="004026CB"/>
    <w:rsid w:val="004027D0"/>
    <w:rsid w:val="00402833"/>
    <w:rsid w:val="00402CC0"/>
    <w:rsid w:val="00402EA0"/>
    <w:rsid w:val="004034C3"/>
    <w:rsid w:val="00403F0A"/>
    <w:rsid w:val="00404B69"/>
    <w:rsid w:val="00404B79"/>
    <w:rsid w:val="004050D1"/>
    <w:rsid w:val="004054F7"/>
    <w:rsid w:val="00405E88"/>
    <w:rsid w:val="0040616F"/>
    <w:rsid w:val="00406442"/>
    <w:rsid w:val="004064DE"/>
    <w:rsid w:val="00407AC4"/>
    <w:rsid w:val="00407CE7"/>
    <w:rsid w:val="00407DF9"/>
    <w:rsid w:val="00410203"/>
    <w:rsid w:val="00410A5A"/>
    <w:rsid w:val="00410E94"/>
    <w:rsid w:val="00412300"/>
    <w:rsid w:val="00412D27"/>
    <w:rsid w:val="0041307E"/>
    <w:rsid w:val="0041392E"/>
    <w:rsid w:val="004141F3"/>
    <w:rsid w:val="00414842"/>
    <w:rsid w:val="00416026"/>
    <w:rsid w:val="00416908"/>
    <w:rsid w:val="004173FD"/>
    <w:rsid w:val="00417739"/>
    <w:rsid w:val="0041787B"/>
    <w:rsid w:val="00417CCD"/>
    <w:rsid w:val="00420507"/>
    <w:rsid w:val="00420B1E"/>
    <w:rsid w:val="00421345"/>
    <w:rsid w:val="004214BE"/>
    <w:rsid w:val="00421F44"/>
    <w:rsid w:val="004225FD"/>
    <w:rsid w:val="00422984"/>
    <w:rsid w:val="00422A2F"/>
    <w:rsid w:val="00422B59"/>
    <w:rsid w:val="00422C6B"/>
    <w:rsid w:val="00422D1D"/>
    <w:rsid w:val="004235E5"/>
    <w:rsid w:val="004237EF"/>
    <w:rsid w:val="00423EBC"/>
    <w:rsid w:val="00424555"/>
    <w:rsid w:val="004255E8"/>
    <w:rsid w:val="004257A2"/>
    <w:rsid w:val="00426AB0"/>
    <w:rsid w:val="00426F17"/>
    <w:rsid w:val="004270D3"/>
    <w:rsid w:val="00427445"/>
    <w:rsid w:val="00427A4B"/>
    <w:rsid w:val="004307B5"/>
    <w:rsid w:val="00430E2A"/>
    <w:rsid w:val="00430FFA"/>
    <w:rsid w:val="00431707"/>
    <w:rsid w:val="00431BC4"/>
    <w:rsid w:val="00431FB4"/>
    <w:rsid w:val="0043279C"/>
    <w:rsid w:val="00432954"/>
    <w:rsid w:val="0043345D"/>
    <w:rsid w:val="0043485C"/>
    <w:rsid w:val="00434A83"/>
    <w:rsid w:val="00434E62"/>
    <w:rsid w:val="004355AB"/>
    <w:rsid w:val="00435BA3"/>
    <w:rsid w:val="00435CB9"/>
    <w:rsid w:val="00435DF5"/>
    <w:rsid w:val="00436651"/>
    <w:rsid w:val="00436B87"/>
    <w:rsid w:val="00440BFA"/>
    <w:rsid w:val="00442086"/>
    <w:rsid w:val="0044285A"/>
    <w:rsid w:val="00443889"/>
    <w:rsid w:val="004439B8"/>
    <w:rsid w:val="00443C5F"/>
    <w:rsid w:val="00444121"/>
    <w:rsid w:val="004442E7"/>
    <w:rsid w:val="004445FD"/>
    <w:rsid w:val="00444760"/>
    <w:rsid w:val="00444E24"/>
    <w:rsid w:val="00445600"/>
    <w:rsid w:val="00445CB9"/>
    <w:rsid w:val="00445CED"/>
    <w:rsid w:val="00446156"/>
    <w:rsid w:val="00446428"/>
    <w:rsid w:val="004474C2"/>
    <w:rsid w:val="0044752B"/>
    <w:rsid w:val="0044796B"/>
    <w:rsid w:val="00447D3D"/>
    <w:rsid w:val="00447F56"/>
    <w:rsid w:val="0045125A"/>
    <w:rsid w:val="00451B49"/>
    <w:rsid w:val="00452A62"/>
    <w:rsid w:val="00452BD4"/>
    <w:rsid w:val="00454727"/>
    <w:rsid w:val="00454DDB"/>
    <w:rsid w:val="00454E9C"/>
    <w:rsid w:val="00455042"/>
    <w:rsid w:val="00455E1A"/>
    <w:rsid w:val="0045707E"/>
    <w:rsid w:val="004571B4"/>
    <w:rsid w:val="004576FA"/>
    <w:rsid w:val="00457F6A"/>
    <w:rsid w:val="00460760"/>
    <w:rsid w:val="00460B23"/>
    <w:rsid w:val="00460B90"/>
    <w:rsid w:val="00461A4A"/>
    <w:rsid w:val="0046311E"/>
    <w:rsid w:val="00464103"/>
    <w:rsid w:val="0046422C"/>
    <w:rsid w:val="00464713"/>
    <w:rsid w:val="00464E20"/>
    <w:rsid w:val="0046547C"/>
    <w:rsid w:val="0046625D"/>
    <w:rsid w:val="00466848"/>
    <w:rsid w:val="00466885"/>
    <w:rsid w:val="0046698E"/>
    <w:rsid w:val="00466C44"/>
    <w:rsid w:val="00467329"/>
    <w:rsid w:val="00467933"/>
    <w:rsid w:val="00470964"/>
    <w:rsid w:val="0047188A"/>
    <w:rsid w:val="00471BD9"/>
    <w:rsid w:val="00471D1E"/>
    <w:rsid w:val="00471EDA"/>
    <w:rsid w:val="00472BE1"/>
    <w:rsid w:val="004733B6"/>
    <w:rsid w:val="00473CA7"/>
    <w:rsid w:val="00474100"/>
    <w:rsid w:val="00474379"/>
    <w:rsid w:val="00474837"/>
    <w:rsid w:val="00474C0A"/>
    <w:rsid w:val="00474F75"/>
    <w:rsid w:val="00475181"/>
    <w:rsid w:val="00475390"/>
    <w:rsid w:val="00475ECD"/>
    <w:rsid w:val="0047605C"/>
    <w:rsid w:val="00476418"/>
    <w:rsid w:val="00476521"/>
    <w:rsid w:val="004768ED"/>
    <w:rsid w:val="00476E4F"/>
    <w:rsid w:val="004771A9"/>
    <w:rsid w:val="00477518"/>
    <w:rsid w:val="00481757"/>
    <w:rsid w:val="004819AD"/>
    <w:rsid w:val="00481C06"/>
    <w:rsid w:val="004831F4"/>
    <w:rsid w:val="0048338E"/>
    <w:rsid w:val="004839AA"/>
    <w:rsid w:val="00483CFF"/>
    <w:rsid w:val="00483E6A"/>
    <w:rsid w:val="00483EC9"/>
    <w:rsid w:val="00483FCF"/>
    <w:rsid w:val="00484EBD"/>
    <w:rsid w:val="0048518F"/>
    <w:rsid w:val="00485208"/>
    <w:rsid w:val="0048533E"/>
    <w:rsid w:val="00485392"/>
    <w:rsid w:val="0048592C"/>
    <w:rsid w:val="004862A7"/>
    <w:rsid w:val="004865F9"/>
    <w:rsid w:val="00486780"/>
    <w:rsid w:val="004876A7"/>
    <w:rsid w:val="00487B71"/>
    <w:rsid w:val="00487F2E"/>
    <w:rsid w:val="00487F5F"/>
    <w:rsid w:val="0049058A"/>
    <w:rsid w:val="00490882"/>
    <w:rsid w:val="00490904"/>
    <w:rsid w:val="00491099"/>
    <w:rsid w:val="00491167"/>
    <w:rsid w:val="004911DC"/>
    <w:rsid w:val="00492310"/>
    <w:rsid w:val="00492A51"/>
    <w:rsid w:val="00492C23"/>
    <w:rsid w:val="00492EC8"/>
    <w:rsid w:val="00492F45"/>
    <w:rsid w:val="0049323B"/>
    <w:rsid w:val="00493A55"/>
    <w:rsid w:val="00493A9A"/>
    <w:rsid w:val="00494611"/>
    <w:rsid w:val="00494A5E"/>
    <w:rsid w:val="00495168"/>
    <w:rsid w:val="004954C6"/>
    <w:rsid w:val="00495EBC"/>
    <w:rsid w:val="00496FDB"/>
    <w:rsid w:val="00497037"/>
    <w:rsid w:val="00497803"/>
    <w:rsid w:val="00497FC4"/>
    <w:rsid w:val="00497FC6"/>
    <w:rsid w:val="004A023C"/>
    <w:rsid w:val="004A0498"/>
    <w:rsid w:val="004A1403"/>
    <w:rsid w:val="004A143E"/>
    <w:rsid w:val="004A15CC"/>
    <w:rsid w:val="004A1EB8"/>
    <w:rsid w:val="004A259A"/>
    <w:rsid w:val="004A2EF2"/>
    <w:rsid w:val="004A3272"/>
    <w:rsid w:val="004A380C"/>
    <w:rsid w:val="004A3BBF"/>
    <w:rsid w:val="004A3C06"/>
    <w:rsid w:val="004A3C40"/>
    <w:rsid w:val="004A4769"/>
    <w:rsid w:val="004A5C7D"/>
    <w:rsid w:val="004A5D2E"/>
    <w:rsid w:val="004A61D1"/>
    <w:rsid w:val="004A6428"/>
    <w:rsid w:val="004A6586"/>
    <w:rsid w:val="004A665D"/>
    <w:rsid w:val="004A68FA"/>
    <w:rsid w:val="004A6B28"/>
    <w:rsid w:val="004A6B44"/>
    <w:rsid w:val="004A736D"/>
    <w:rsid w:val="004A78F8"/>
    <w:rsid w:val="004A7E8E"/>
    <w:rsid w:val="004B00B6"/>
    <w:rsid w:val="004B03AD"/>
    <w:rsid w:val="004B0C1D"/>
    <w:rsid w:val="004B159D"/>
    <w:rsid w:val="004B1835"/>
    <w:rsid w:val="004B18BA"/>
    <w:rsid w:val="004B1B8C"/>
    <w:rsid w:val="004B1EAE"/>
    <w:rsid w:val="004B1FE2"/>
    <w:rsid w:val="004B20FE"/>
    <w:rsid w:val="004B2B45"/>
    <w:rsid w:val="004B2C4F"/>
    <w:rsid w:val="004B2C8B"/>
    <w:rsid w:val="004B2DA9"/>
    <w:rsid w:val="004B2DC1"/>
    <w:rsid w:val="004B31C7"/>
    <w:rsid w:val="004B34E7"/>
    <w:rsid w:val="004B485D"/>
    <w:rsid w:val="004B4912"/>
    <w:rsid w:val="004B4B92"/>
    <w:rsid w:val="004B4C5A"/>
    <w:rsid w:val="004B5413"/>
    <w:rsid w:val="004B5E37"/>
    <w:rsid w:val="004B6A7C"/>
    <w:rsid w:val="004B6B59"/>
    <w:rsid w:val="004B6D2E"/>
    <w:rsid w:val="004B6DCF"/>
    <w:rsid w:val="004B7126"/>
    <w:rsid w:val="004C0193"/>
    <w:rsid w:val="004C04C3"/>
    <w:rsid w:val="004C0BD5"/>
    <w:rsid w:val="004C0BE2"/>
    <w:rsid w:val="004C1345"/>
    <w:rsid w:val="004C1BDC"/>
    <w:rsid w:val="004C1D7C"/>
    <w:rsid w:val="004C208D"/>
    <w:rsid w:val="004C2A82"/>
    <w:rsid w:val="004C2E1D"/>
    <w:rsid w:val="004C3917"/>
    <w:rsid w:val="004C3D90"/>
    <w:rsid w:val="004C4047"/>
    <w:rsid w:val="004C4E5C"/>
    <w:rsid w:val="004C5545"/>
    <w:rsid w:val="004C5599"/>
    <w:rsid w:val="004C6129"/>
    <w:rsid w:val="004C6180"/>
    <w:rsid w:val="004C61CC"/>
    <w:rsid w:val="004C6842"/>
    <w:rsid w:val="004C7107"/>
    <w:rsid w:val="004C74CB"/>
    <w:rsid w:val="004C7958"/>
    <w:rsid w:val="004C7B1C"/>
    <w:rsid w:val="004D00C0"/>
    <w:rsid w:val="004D0980"/>
    <w:rsid w:val="004D0A59"/>
    <w:rsid w:val="004D0C11"/>
    <w:rsid w:val="004D0FB4"/>
    <w:rsid w:val="004D16E9"/>
    <w:rsid w:val="004D1D1C"/>
    <w:rsid w:val="004D1E91"/>
    <w:rsid w:val="004D2643"/>
    <w:rsid w:val="004D2704"/>
    <w:rsid w:val="004D3318"/>
    <w:rsid w:val="004D361F"/>
    <w:rsid w:val="004D3962"/>
    <w:rsid w:val="004D3DCB"/>
    <w:rsid w:val="004D4239"/>
    <w:rsid w:val="004D423F"/>
    <w:rsid w:val="004D4BCA"/>
    <w:rsid w:val="004D4E0C"/>
    <w:rsid w:val="004D5C02"/>
    <w:rsid w:val="004D5E2E"/>
    <w:rsid w:val="004D7910"/>
    <w:rsid w:val="004E026E"/>
    <w:rsid w:val="004E0496"/>
    <w:rsid w:val="004E0809"/>
    <w:rsid w:val="004E12BB"/>
    <w:rsid w:val="004E149F"/>
    <w:rsid w:val="004E1520"/>
    <w:rsid w:val="004E196E"/>
    <w:rsid w:val="004E1E54"/>
    <w:rsid w:val="004E2252"/>
    <w:rsid w:val="004E2F0E"/>
    <w:rsid w:val="004E2F8E"/>
    <w:rsid w:val="004E32EF"/>
    <w:rsid w:val="004E33F6"/>
    <w:rsid w:val="004E346C"/>
    <w:rsid w:val="004E3799"/>
    <w:rsid w:val="004E37AD"/>
    <w:rsid w:val="004E3874"/>
    <w:rsid w:val="004E3982"/>
    <w:rsid w:val="004E4CD8"/>
    <w:rsid w:val="004E520F"/>
    <w:rsid w:val="004E5264"/>
    <w:rsid w:val="004E5478"/>
    <w:rsid w:val="004E5735"/>
    <w:rsid w:val="004E57AF"/>
    <w:rsid w:val="004E5BBD"/>
    <w:rsid w:val="004E5E79"/>
    <w:rsid w:val="004E619A"/>
    <w:rsid w:val="004E6311"/>
    <w:rsid w:val="004E6B9C"/>
    <w:rsid w:val="004E7073"/>
    <w:rsid w:val="004E773C"/>
    <w:rsid w:val="004E790F"/>
    <w:rsid w:val="004F0018"/>
    <w:rsid w:val="004F039B"/>
    <w:rsid w:val="004F068D"/>
    <w:rsid w:val="004F0B96"/>
    <w:rsid w:val="004F16A0"/>
    <w:rsid w:val="004F170B"/>
    <w:rsid w:val="004F183B"/>
    <w:rsid w:val="004F1DE4"/>
    <w:rsid w:val="004F20F5"/>
    <w:rsid w:val="004F2147"/>
    <w:rsid w:val="004F28B9"/>
    <w:rsid w:val="004F2D5F"/>
    <w:rsid w:val="004F30CC"/>
    <w:rsid w:val="004F35C8"/>
    <w:rsid w:val="004F4AD2"/>
    <w:rsid w:val="004F4D49"/>
    <w:rsid w:val="004F580B"/>
    <w:rsid w:val="004F5CAB"/>
    <w:rsid w:val="004F5D16"/>
    <w:rsid w:val="004F5F40"/>
    <w:rsid w:val="004F6097"/>
    <w:rsid w:val="004F63E3"/>
    <w:rsid w:val="004F65BD"/>
    <w:rsid w:val="004F6605"/>
    <w:rsid w:val="004F669D"/>
    <w:rsid w:val="004F6B04"/>
    <w:rsid w:val="004F6D4D"/>
    <w:rsid w:val="004F7A6B"/>
    <w:rsid w:val="00500886"/>
    <w:rsid w:val="00500E41"/>
    <w:rsid w:val="00500E53"/>
    <w:rsid w:val="005014D3"/>
    <w:rsid w:val="00501FEA"/>
    <w:rsid w:val="00502505"/>
    <w:rsid w:val="00503740"/>
    <w:rsid w:val="00503A75"/>
    <w:rsid w:val="00503EC8"/>
    <w:rsid w:val="0050449E"/>
    <w:rsid w:val="00505584"/>
    <w:rsid w:val="005058EA"/>
    <w:rsid w:val="005062E6"/>
    <w:rsid w:val="0050675B"/>
    <w:rsid w:val="00506B25"/>
    <w:rsid w:val="005070F8"/>
    <w:rsid w:val="005074FF"/>
    <w:rsid w:val="005078F0"/>
    <w:rsid w:val="00510077"/>
    <w:rsid w:val="0051060F"/>
    <w:rsid w:val="00510806"/>
    <w:rsid w:val="00510DDC"/>
    <w:rsid w:val="00511081"/>
    <w:rsid w:val="00511159"/>
    <w:rsid w:val="005119ED"/>
    <w:rsid w:val="00511BE1"/>
    <w:rsid w:val="00511D5E"/>
    <w:rsid w:val="00512263"/>
    <w:rsid w:val="00512468"/>
    <w:rsid w:val="0051247D"/>
    <w:rsid w:val="0051316F"/>
    <w:rsid w:val="005131CA"/>
    <w:rsid w:val="00513F89"/>
    <w:rsid w:val="005141EA"/>
    <w:rsid w:val="0051485A"/>
    <w:rsid w:val="005148D2"/>
    <w:rsid w:val="005148D9"/>
    <w:rsid w:val="00515357"/>
    <w:rsid w:val="00515664"/>
    <w:rsid w:val="005157C1"/>
    <w:rsid w:val="00515844"/>
    <w:rsid w:val="0051597D"/>
    <w:rsid w:val="00515A92"/>
    <w:rsid w:val="00515EE1"/>
    <w:rsid w:val="005162CB"/>
    <w:rsid w:val="0051648B"/>
    <w:rsid w:val="005164D1"/>
    <w:rsid w:val="0051666E"/>
    <w:rsid w:val="00516891"/>
    <w:rsid w:val="00516955"/>
    <w:rsid w:val="005174E3"/>
    <w:rsid w:val="00520260"/>
    <w:rsid w:val="0052035E"/>
    <w:rsid w:val="0052051F"/>
    <w:rsid w:val="0052090D"/>
    <w:rsid w:val="00520E97"/>
    <w:rsid w:val="005212D8"/>
    <w:rsid w:val="00521E5A"/>
    <w:rsid w:val="0052234A"/>
    <w:rsid w:val="0052253E"/>
    <w:rsid w:val="00523393"/>
    <w:rsid w:val="005233C9"/>
    <w:rsid w:val="00523F8D"/>
    <w:rsid w:val="0052413E"/>
    <w:rsid w:val="005241AC"/>
    <w:rsid w:val="005247BE"/>
    <w:rsid w:val="005249D2"/>
    <w:rsid w:val="005250E5"/>
    <w:rsid w:val="0052595D"/>
    <w:rsid w:val="00525B14"/>
    <w:rsid w:val="00525BCC"/>
    <w:rsid w:val="00525CFC"/>
    <w:rsid w:val="0052613C"/>
    <w:rsid w:val="005272E0"/>
    <w:rsid w:val="00527A26"/>
    <w:rsid w:val="00527EA6"/>
    <w:rsid w:val="005303EE"/>
    <w:rsid w:val="00531245"/>
    <w:rsid w:val="0053131E"/>
    <w:rsid w:val="00531395"/>
    <w:rsid w:val="00531F40"/>
    <w:rsid w:val="0053283F"/>
    <w:rsid w:val="0053333B"/>
    <w:rsid w:val="0053358E"/>
    <w:rsid w:val="00533909"/>
    <w:rsid w:val="00534887"/>
    <w:rsid w:val="00534F6E"/>
    <w:rsid w:val="0053503C"/>
    <w:rsid w:val="00535560"/>
    <w:rsid w:val="00535CD5"/>
    <w:rsid w:val="00535F1C"/>
    <w:rsid w:val="005362C3"/>
    <w:rsid w:val="00536455"/>
    <w:rsid w:val="005373A1"/>
    <w:rsid w:val="0053748A"/>
    <w:rsid w:val="00537CBF"/>
    <w:rsid w:val="00540CA0"/>
    <w:rsid w:val="00541489"/>
    <w:rsid w:val="005414E6"/>
    <w:rsid w:val="00541956"/>
    <w:rsid w:val="00541967"/>
    <w:rsid w:val="00541BEE"/>
    <w:rsid w:val="00542252"/>
    <w:rsid w:val="00542487"/>
    <w:rsid w:val="00542507"/>
    <w:rsid w:val="00542964"/>
    <w:rsid w:val="005436B7"/>
    <w:rsid w:val="00543975"/>
    <w:rsid w:val="005439DA"/>
    <w:rsid w:val="00543B09"/>
    <w:rsid w:val="00543E8D"/>
    <w:rsid w:val="00543EDD"/>
    <w:rsid w:val="00543FAF"/>
    <w:rsid w:val="00544CA8"/>
    <w:rsid w:val="00545691"/>
    <w:rsid w:val="00545C91"/>
    <w:rsid w:val="00545F53"/>
    <w:rsid w:val="005461C7"/>
    <w:rsid w:val="00546371"/>
    <w:rsid w:val="0054639F"/>
    <w:rsid w:val="00547033"/>
    <w:rsid w:val="00547278"/>
    <w:rsid w:val="00547860"/>
    <w:rsid w:val="0055004A"/>
    <w:rsid w:val="005506CA"/>
    <w:rsid w:val="005517FD"/>
    <w:rsid w:val="005521CF"/>
    <w:rsid w:val="005529F3"/>
    <w:rsid w:val="005532F6"/>
    <w:rsid w:val="00553FDF"/>
    <w:rsid w:val="005540D8"/>
    <w:rsid w:val="005542E8"/>
    <w:rsid w:val="00554487"/>
    <w:rsid w:val="00554E47"/>
    <w:rsid w:val="00554FDE"/>
    <w:rsid w:val="00555040"/>
    <w:rsid w:val="005550D0"/>
    <w:rsid w:val="005551A5"/>
    <w:rsid w:val="00555219"/>
    <w:rsid w:val="005566D9"/>
    <w:rsid w:val="00556945"/>
    <w:rsid w:val="00556E09"/>
    <w:rsid w:val="0055737B"/>
    <w:rsid w:val="00557FD3"/>
    <w:rsid w:val="00560154"/>
    <w:rsid w:val="00560217"/>
    <w:rsid w:val="0056170A"/>
    <w:rsid w:val="00561D9A"/>
    <w:rsid w:val="00562463"/>
    <w:rsid w:val="00564386"/>
    <w:rsid w:val="0056554B"/>
    <w:rsid w:val="00566561"/>
    <w:rsid w:val="0056672E"/>
    <w:rsid w:val="00566CC1"/>
    <w:rsid w:val="0056776D"/>
    <w:rsid w:val="00567C33"/>
    <w:rsid w:val="0057014E"/>
    <w:rsid w:val="00570291"/>
    <w:rsid w:val="0057061F"/>
    <w:rsid w:val="0057067B"/>
    <w:rsid w:val="0057106E"/>
    <w:rsid w:val="005711CF"/>
    <w:rsid w:val="005715BA"/>
    <w:rsid w:val="0057190B"/>
    <w:rsid w:val="00572270"/>
    <w:rsid w:val="00572519"/>
    <w:rsid w:val="00572B43"/>
    <w:rsid w:val="00573315"/>
    <w:rsid w:val="00573AF2"/>
    <w:rsid w:val="00573DB8"/>
    <w:rsid w:val="00573EA6"/>
    <w:rsid w:val="005749CF"/>
    <w:rsid w:val="00574D21"/>
    <w:rsid w:val="0057502F"/>
    <w:rsid w:val="005755C8"/>
    <w:rsid w:val="00575735"/>
    <w:rsid w:val="005759FE"/>
    <w:rsid w:val="00576094"/>
    <w:rsid w:val="00576C36"/>
    <w:rsid w:val="005779F9"/>
    <w:rsid w:val="00577BF2"/>
    <w:rsid w:val="00577D88"/>
    <w:rsid w:val="005803C3"/>
    <w:rsid w:val="005807FA"/>
    <w:rsid w:val="00580BDB"/>
    <w:rsid w:val="005813A9"/>
    <w:rsid w:val="0058164B"/>
    <w:rsid w:val="00582595"/>
    <w:rsid w:val="00582A3C"/>
    <w:rsid w:val="00583046"/>
    <w:rsid w:val="0058308A"/>
    <w:rsid w:val="00584575"/>
    <w:rsid w:val="00584623"/>
    <w:rsid w:val="0058483D"/>
    <w:rsid w:val="00585088"/>
    <w:rsid w:val="00585F16"/>
    <w:rsid w:val="0058617B"/>
    <w:rsid w:val="00586342"/>
    <w:rsid w:val="005867AC"/>
    <w:rsid w:val="00586A0C"/>
    <w:rsid w:val="00586BAC"/>
    <w:rsid w:val="005871C3"/>
    <w:rsid w:val="0058759D"/>
    <w:rsid w:val="00587ECE"/>
    <w:rsid w:val="00590797"/>
    <w:rsid w:val="005913AE"/>
    <w:rsid w:val="005920DD"/>
    <w:rsid w:val="005935B5"/>
    <w:rsid w:val="00594090"/>
    <w:rsid w:val="00595026"/>
    <w:rsid w:val="00595E86"/>
    <w:rsid w:val="005960E2"/>
    <w:rsid w:val="0059636C"/>
    <w:rsid w:val="005966D3"/>
    <w:rsid w:val="005967A8"/>
    <w:rsid w:val="005968DF"/>
    <w:rsid w:val="005969C4"/>
    <w:rsid w:val="00596C13"/>
    <w:rsid w:val="00596E16"/>
    <w:rsid w:val="00597755"/>
    <w:rsid w:val="00597780"/>
    <w:rsid w:val="0059799A"/>
    <w:rsid w:val="005A078D"/>
    <w:rsid w:val="005A0F10"/>
    <w:rsid w:val="005A150E"/>
    <w:rsid w:val="005A1943"/>
    <w:rsid w:val="005A19F9"/>
    <w:rsid w:val="005A2614"/>
    <w:rsid w:val="005A2D17"/>
    <w:rsid w:val="005A33CF"/>
    <w:rsid w:val="005A3E6F"/>
    <w:rsid w:val="005A3EB9"/>
    <w:rsid w:val="005A418A"/>
    <w:rsid w:val="005A5559"/>
    <w:rsid w:val="005A562E"/>
    <w:rsid w:val="005A572B"/>
    <w:rsid w:val="005A5A59"/>
    <w:rsid w:val="005A5D54"/>
    <w:rsid w:val="005A66F0"/>
    <w:rsid w:val="005A67DF"/>
    <w:rsid w:val="005A699D"/>
    <w:rsid w:val="005A6CFF"/>
    <w:rsid w:val="005A6E96"/>
    <w:rsid w:val="005A7457"/>
    <w:rsid w:val="005B0AFF"/>
    <w:rsid w:val="005B1A3B"/>
    <w:rsid w:val="005B1BA6"/>
    <w:rsid w:val="005B1C42"/>
    <w:rsid w:val="005B214F"/>
    <w:rsid w:val="005B3260"/>
    <w:rsid w:val="005B3CCC"/>
    <w:rsid w:val="005B40AB"/>
    <w:rsid w:val="005B509A"/>
    <w:rsid w:val="005B510D"/>
    <w:rsid w:val="005B616C"/>
    <w:rsid w:val="005B6605"/>
    <w:rsid w:val="005B666C"/>
    <w:rsid w:val="005B695B"/>
    <w:rsid w:val="005B6DAE"/>
    <w:rsid w:val="005B6E7C"/>
    <w:rsid w:val="005B7538"/>
    <w:rsid w:val="005B75F8"/>
    <w:rsid w:val="005C01C8"/>
    <w:rsid w:val="005C02A6"/>
    <w:rsid w:val="005C0520"/>
    <w:rsid w:val="005C0AE9"/>
    <w:rsid w:val="005C0F5B"/>
    <w:rsid w:val="005C0F72"/>
    <w:rsid w:val="005C124C"/>
    <w:rsid w:val="005C16F0"/>
    <w:rsid w:val="005C1A2C"/>
    <w:rsid w:val="005C1F48"/>
    <w:rsid w:val="005C246D"/>
    <w:rsid w:val="005C2528"/>
    <w:rsid w:val="005C2588"/>
    <w:rsid w:val="005C2C0D"/>
    <w:rsid w:val="005C2FB4"/>
    <w:rsid w:val="005C3389"/>
    <w:rsid w:val="005C33F1"/>
    <w:rsid w:val="005C36C2"/>
    <w:rsid w:val="005C3CCC"/>
    <w:rsid w:val="005C4030"/>
    <w:rsid w:val="005C472C"/>
    <w:rsid w:val="005C4FDC"/>
    <w:rsid w:val="005C5059"/>
    <w:rsid w:val="005C5606"/>
    <w:rsid w:val="005C5A27"/>
    <w:rsid w:val="005C5C9D"/>
    <w:rsid w:val="005C5E7A"/>
    <w:rsid w:val="005C6737"/>
    <w:rsid w:val="005C6820"/>
    <w:rsid w:val="005C6E3B"/>
    <w:rsid w:val="005C79FF"/>
    <w:rsid w:val="005C7E8D"/>
    <w:rsid w:val="005D01AC"/>
    <w:rsid w:val="005D021E"/>
    <w:rsid w:val="005D041B"/>
    <w:rsid w:val="005D0AB1"/>
    <w:rsid w:val="005D0DF7"/>
    <w:rsid w:val="005D1670"/>
    <w:rsid w:val="005D1952"/>
    <w:rsid w:val="005D207B"/>
    <w:rsid w:val="005D24E4"/>
    <w:rsid w:val="005D25FB"/>
    <w:rsid w:val="005D2668"/>
    <w:rsid w:val="005D2782"/>
    <w:rsid w:val="005D28C6"/>
    <w:rsid w:val="005D2AC2"/>
    <w:rsid w:val="005D3BE3"/>
    <w:rsid w:val="005D3C4A"/>
    <w:rsid w:val="005D41A8"/>
    <w:rsid w:val="005D50C1"/>
    <w:rsid w:val="005D551D"/>
    <w:rsid w:val="005D6F59"/>
    <w:rsid w:val="005D6F61"/>
    <w:rsid w:val="005D745B"/>
    <w:rsid w:val="005D74F0"/>
    <w:rsid w:val="005E05D5"/>
    <w:rsid w:val="005E17C7"/>
    <w:rsid w:val="005E1D44"/>
    <w:rsid w:val="005E1E62"/>
    <w:rsid w:val="005E1FF9"/>
    <w:rsid w:val="005E2431"/>
    <w:rsid w:val="005E248B"/>
    <w:rsid w:val="005E255E"/>
    <w:rsid w:val="005E288E"/>
    <w:rsid w:val="005E28D8"/>
    <w:rsid w:val="005E2A70"/>
    <w:rsid w:val="005E2AA7"/>
    <w:rsid w:val="005E3E02"/>
    <w:rsid w:val="005E3EBF"/>
    <w:rsid w:val="005E416D"/>
    <w:rsid w:val="005E42AD"/>
    <w:rsid w:val="005E45FA"/>
    <w:rsid w:val="005E57A2"/>
    <w:rsid w:val="005E5DC2"/>
    <w:rsid w:val="005E6842"/>
    <w:rsid w:val="005E6A45"/>
    <w:rsid w:val="005E6B7D"/>
    <w:rsid w:val="005E73A7"/>
    <w:rsid w:val="005E76C9"/>
    <w:rsid w:val="005E7BC0"/>
    <w:rsid w:val="005E7F21"/>
    <w:rsid w:val="005F0211"/>
    <w:rsid w:val="005F090B"/>
    <w:rsid w:val="005F0CF6"/>
    <w:rsid w:val="005F14A4"/>
    <w:rsid w:val="005F14BC"/>
    <w:rsid w:val="005F161E"/>
    <w:rsid w:val="005F1819"/>
    <w:rsid w:val="005F1877"/>
    <w:rsid w:val="005F22E0"/>
    <w:rsid w:val="005F2519"/>
    <w:rsid w:val="005F3800"/>
    <w:rsid w:val="005F3BF2"/>
    <w:rsid w:val="005F3E9E"/>
    <w:rsid w:val="005F45C6"/>
    <w:rsid w:val="005F502B"/>
    <w:rsid w:val="005F604C"/>
    <w:rsid w:val="005F6C50"/>
    <w:rsid w:val="005F6E1A"/>
    <w:rsid w:val="005F6FAF"/>
    <w:rsid w:val="005F7353"/>
    <w:rsid w:val="005F73CB"/>
    <w:rsid w:val="005F7665"/>
    <w:rsid w:val="005F78C1"/>
    <w:rsid w:val="00600C36"/>
    <w:rsid w:val="0060140F"/>
    <w:rsid w:val="00602037"/>
    <w:rsid w:val="006021EA"/>
    <w:rsid w:val="00603041"/>
    <w:rsid w:val="00603219"/>
    <w:rsid w:val="00603249"/>
    <w:rsid w:val="00603304"/>
    <w:rsid w:val="006033BF"/>
    <w:rsid w:val="00604127"/>
    <w:rsid w:val="00604FC2"/>
    <w:rsid w:val="006056F8"/>
    <w:rsid w:val="00605E91"/>
    <w:rsid w:val="00605FFA"/>
    <w:rsid w:val="006060FD"/>
    <w:rsid w:val="006062B3"/>
    <w:rsid w:val="00607038"/>
    <w:rsid w:val="0060762D"/>
    <w:rsid w:val="00607732"/>
    <w:rsid w:val="00607F38"/>
    <w:rsid w:val="006104A0"/>
    <w:rsid w:val="00610DEC"/>
    <w:rsid w:val="0061107F"/>
    <w:rsid w:val="00611B69"/>
    <w:rsid w:val="00611D00"/>
    <w:rsid w:val="006126A2"/>
    <w:rsid w:val="006138C9"/>
    <w:rsid w:val="00613BD6"/>
    <w:rsid w:val="00613EA8"/>
    <w:rsid w:val="00614480"/>
    <w:rsid w:val="006145EF"/>
    <w:rsid w:val="0061466C"/>
    <w:rsid w:val="00614CEF"/>
    <w:rsid w:val="0061509C"/>
    <w:rsid w:val="006156D6"/>
    <w:rsid w:val="00616C86"/>
    <w:rsid w:val="00617471"/>
    <w:rsid w:val="00617C35"/>
    <w:rsid w:val="00617FAF"/>
    <w:rsid w:val="00620701"/>
    <w:rsid w:val="00620A0C"/>
    <w:rsid w:val="0062150C"/>
    <w:rsid w:val="006217F7"/>
    <w:rsid w:val="00621BA3"/>
    <w:rsid w:val="00621DB1"/>
    <w:rsid w:val="00621DEE"/>
    <w:rsid w:val="00621F26"/>
    <w:rsid w:val="00621FD1"/>
    <w:rsid w:val="0062209F"/>
    <w:rsid w:val="00622524"/>
    <w:rsid w:val="0062350B"/>
    <w:rsid w:val="00623535"/>
    <w:rsid w:val="00624473"/>
    <w:rsid w:val="00624861"/>
    <w:rsid w:val="00624FF8"/>
    <w:rsid w:val="00625535"/>
    <w:rsid w:val="00625594"/>
    <w:rsid w:val="006259AF"/>
    <w:rsid w:val="00625BBD"/>
    <w:rsid w:val="006261C3"/>
    <w:rsid w:val="00626772"/>
    <w:rsid w:val="0062716A"/>
    <w:rsid w:val="00627DBB"/>
    <w:rsid w:val="00627F8A"/>
    <w:rsid w:val="00630950"/>
    <w:rsid w:val="00631640"/>
    <w:rsid w:val="00631EEF"/>
    <w:rsid w:val="00631F9C"/>
    <w:rsid w:val="00632849"/>
    <w:rsid w:val="00632EE9"/>
    <w:rsid w:val="00633163"/>
    <w:rsid w:val="0063344B"/>
    <w:rsid w:val="006336BD"/>
    <w:rsid w:val="00633AE7"/>
    <w:rsid w:val="00633CAA"/>
    <w:rsid w:val="0063484E"/>
    <w:rsid w:val="00634B50"/>
    <w:rsid w:val="0063530B"/>
    <w:rsid w:val="00635395"/>
    <w:rsid w:val="00635482"/>
    <w:rsid w:val="006356E8"/>
    <w:rsid w:val="006363AC"/>
    <w:rsid w:val="006373DF"/>
    <w:rsid w:val="006374FB"/>
    <w:rsid w:val="006377BF"/>
    <w:rsid w:val="00637A94"/>
    <w:rsid w:val="006409E2"/>
    <w:rsid w:val="00640C21"/>
    <w:rsid w:val="00640F44"/>
    <w:rsid w:val="00641347"/>
    <w:rsid w:val="00641566"/>
    <w:rsid w:val="00641CD8"/>
    <w:rsid w:val="00642262"/>
    <w:rsid w:val="00642266"/>
    <w:rsid w:val="006425E3"/>
    <w:rsid w:val="00642EE1"/>
    <w:rsid w:val="006435B2"/>
    <w:rsid w:val="00644B05"/>
    <w:rsid w:val="00644DBA"/>
    <w:rsid w:val="00644F28"/>
    <w:rsid w:val="006450EB"/>
    <w:rsid w:val="006452D0"/>
    <w:rsid w:val="0064539B"/>
    <w:rsid w:val="0064623B"/>
    <w:rsid w:val="00646985"/>
    <w:rsid w:val="00647729"/>
    <w:rsid w:val="00650022"/>
    <w:rsid w:val="00650070"/>
    <w:rsid w:val="00650783"/>
    <w:rsid w:val="00651072"/>
    <w:rsid w:val="006516D4"/>
    <w:rsid w:val="006518A4"/>
    <w:rsid w:val="00651A19"/>
    <w:rsid w:val="00651C3A"/>
    <w:rsid w:val="00652857"/>
    <w:rsid w:val="00653594"/>
    <w:rsid w:val="00653AFA"/>
    <w:rsid w:val="00653C8C"/>
    <w:rsid w:val="00653FA3"/>
    <w:rsid w:val="00654AA3"/>
    <w:rsid w:val="00654D4C"/>
    <w:rsid w:val="00655505"/>
    <w:rsid w:val="006558A7"/>
    <w:rsid w:val="00655DE6"/>
    <w:rsid w:val="00656EF6"/>
    <w:rsid w:val="0065728C"/>
    <w:rsid w:val="006573AB"/>
    <w:rsid w:val="00657886"/>
    <w:rsid w:val="006604CF"/>
    <w:rsid w:val="0066050B"/>
    <w:rsid w:val="00660694"/>
    <w:rsid w:val="00661139"/>
    <w:rsid w:val="0066147E"/>
    <w:rsid w:val="00661D6C"/>
    <w:rsid w:val="006620E4"/>
    <w:rsid w:val="00662A70"/>
    <w:rsid w:val="00662D1A"/>
    <w:rsid w:val="00662FB1"/>
    <w:rsid w:val="0066323D"/>
    <w:rsid w:val="0066341B"/>
    <w:rsid w:val="0066381B"/>
    <w:rsid w:val="00663913"/>
    <w:rsid w:val="00663F6B"/>
    <w:rsid w:val="00663FBF"/>
    <w:rsid w:val="00664506"/>
    <w:rsid w:val="006645A9"/>
    <w:rsid w:val="0066516E"/>
    <w:rsid w:val="00665538"/>
    <w:rsid w:val="006655B7"/>
    <w:rsid w:val="00666127"/>
    <w:rsid w:val="00666A12"/>
    <w:rsid w:val="0066744C"/>
    <w:rsid w:val="006677B9"/>
    <w:rsid w:val="00667EAF"/>
    <w:rsid w:val="00667EE0"/>
    <w:rsid w:val="00670169"/>
    <w:rsid w:val="006702F3"/>
    <w:rsid w:val="006709C4"/>
    <w:rsid w:val="00671005"/>
    <w:rsid w:val="00671D19"/>
    <w:rsid w:val="0067282A"/>
    <w:rsid w:val="00672D2F"/>
    <w:rsid w:val="00673090"/>
    <w:rsid w:val="00673291"/>
    <w:rsid w:val="0067358B"/>
    <w:rsid w:val="006744C2"/>
    <w:rsid w:val="00674805"/>
    <w:rsid w:val="00675114"/>
    <w:rsid w:val="00675A1E"/>
    <w:rsid w:val="006760B8"/>
    <w:rsid w:val="00676A01"/>
    <w:rsid w:val="00676A76"/>
    <w:rsid w:val="00676C91"/>
    <w:rsid w:val="00676DB1"/>
    <w:rsid w:val="00676E55"/>
    <w:rsid w:val="00677739"/>
    <w:rsid w:val="0067792C"/>
    <w:rsid w:val="00677B99"/>
    <w:rsid w:val="006806C7"/>
    <w:rsid w:val="00680A5C"/>
    <w:rsid w:val="00680CE9"/>
    <w:rsid w:val="006811C4"/>
    <w:rsid w:val="00682AE5"/>
    <w:rsid w:val="00683A79"/>
    <w:rsid w:val="0068426F"/>
    <w:rsid w:val="00685334"/>
    <w:rsid w:val="00685A26"/>
    <w:rsid w:val="00685FB2"/>
    <w:rsid w:val="006866E0"/>
    <w:rsid w:val="006872A2"/>
    <w:rsid w:val="0068740C"/>
    <w:rsid w:val="00687623"/>
    <w:rsid w:val="00687651"/>
    <w:rsid w:val="00687877"/>
    <w:rsid w:val="00690B8E"/>
    <w:rsid w:val="00690BA1"/>
    <w:rsid w:val="00690DDE"/>
    <w:rsid w:val="006915AE"/>
    <w:rsid w:val="0069166E"/>
    <w:rsid w:val="0069174B"/>
    <w:rsid w:val="0069186E"/>
    <w:rsid w:val="00691BFC"/>
    <w:rsid w:val="0069236E"/>
    <w:rsid w:val="00692831"/>
    <w:rsid w:val="00692ECB"/>
    <w:rsid w:val="00693E1B"/>
    <w:rsid w:val="00693ECB"/>
    <w:rsid w:val="00693FB2"/>
    <w:rsid w:val="00693FB4"/>
    <w:rsid w:val="006944DB"/>
    <w:rsid w:val="006955C7"/>
    <w:rsid w:val="00695D08"/>
    <w:rsid w:val="00695EBA"/>
    <w:rsid w:val="00695F55"/>
    <w:rsid w:val="0069626F"/>
    <w:rsid w:val="00696383"/>
    <w:rsid w:val="006966B3"/>
    <w:rsid w:val="00696717"/>
    <w:rsid w:val="0069755A"/>
    <w:rsid w:val="0069761C"/>
    <w:rsid w:val="00697C78"/>
    <w:rsid w:val="00697D25"/>
    <w:rsid w:val="006A08B2"/>
    <w:rsid w:val="006A1B29"/>
    <w:rsid w:val="006A2562"/>
    <w:rsid w:val="006A2E5C"/>
    <w:rsid w:val="006A40DC"/>
    <w:rsid w:val="006A40E8"/>
    <w:rsid w:val="006A4622"/>
    <w:rsid w:val="006A5230"/>
    <w:rsid w:val="006A5621"/>
    <w:rsid w:val="006A5721"/>
    <w:rsid w:val="006A5A23"/>
    <w:rsid w:val="006A69C9"/>
    <w:rsid w:val="006B04DA"/>
    <w:rsid w:val="006B0566"/>
    <w:rsid w:val="006B081B"/>
    <w:rsid w:val="006B0A76"/>
    <w:rsid w:val="006B1194"/>
    <w:rsid w:val="006B1A57"/>
    <w:rsid w:val="006B1EB0"/>
    <w:rsid w:val="006B2B2D"/>
    <w:rsid w:val="006B3765"/>
    <w:rsid w:val="006B382C"/>
    <w:rsid w:val="006B440C"/>
    <w:rsid w:val="006B475E"/>
    <w:rsid w:val="006B4779"/>
    <w:rsid w:val="006B4831"/>
    <w:rsid w:val="006B49DE"/>
    <w:rsid w:val="006B4E3B"/>
    <w:rsid w:val="006B5A10"/>
    <w:rsid w:val="006B5B15"/>
    <w:rsid w:val="006B5D84"/>
    <w:rsid w:val="006B5F96"/>
    <w:rsid w:val="006B5F97"/>
    <w:rsid w:val="006B6341"/>
    <w:rsid w:val="006B6439"/>
    <w:rsid w:val="006B6830"/>
    <w:rsid w:val="006B69E5"/>
    <w:rsid w:val="006B73DB"/>
    <w:rsid w:val="006B75DC"/>
    <w:rsid w:val="006C090B"/>
    <w:rsid w:val="006C091E"/>
    <w:rsid w:val="006C0B1A"/>
    <w:rsid w:val="006C2461"/>
    <w:rsid w:val="006C4630"/>
    <w:rsid w:val="006C50E3"/>
    <w:rsid w:val="006C54A0"/>
    <w:rsid w:val="006C629C"/>
    <w:rsid w:val="006C64B0"/>
    <w:rsid w:val="006C6AD3"/>
    <w:rsid w:val="006C7D5C"/>
    <w:rsid w:val="006D0044"/>
    <w:rsid w:val="006D08C6"/>
    <w:rsid w:val="006D08FE"/>
    <w:rsid w:val="006D0DE3"/>
    <w:rsid w:val="006D0FF0"/>
    <w:rsid w:val="006D1101"/>
    <w:rsid w:val="006D16B2"/>
    <w:rsid w:val="006D175E"/>
    <w:rsid w:val="006D23AF"/>
    <w:rsid w:val="006D2458"/>
    <w:rsid w:val="006D280B"/>
    <w:rsid w:val="006D29B3"/>
    <w:rsid w:val="006D3229"/>
    <w:rsid w:val="006D463F"/>
    <w:rsid w:val="006D5436"/>
    <w:rsid w:val="006D5CEF"/>
    <w:rsid w:val="006D5DAE"/>
    <w:rsid w:val="006D5EB2"/>
    <w:rsid w:val="006D5FAB"/>
    <w:rsid w:val="006D64BD"/>
    <w:rsid w:val="006D705F"/>
    <w:rsid w:val="006D7552"/>
    <w:rsid w:val="006E02D7"/>
    <w:rsid w:val="006E0491"/>
    <w:rsid w:val="006E06E3"/>
    <w:rsid w:val="006E0711"/>
    <w:rsid w:val="006E095A"/>
    <w:rsid w:val="006E1092"/>
    <w:rsid w:val="006E10CA"/>
    <w:rsid w:val="006E1625"/>
    <w:rsid w:val="006E1F46"/>
    <w:rsid w:val="006E1FD0"/>
    <w:rsid w:val="006E2A85"/>
    <w:rsid w:val="006E2E14"/>
    <w:rsid w:val="006E324B"/>
    <w:rsid w:val="006E3F39"/>
    <w:rsid w:val="006E480E"/>
    <w:rsid w:val="006E49A6"/>
    <w:rsid w:val="006E52CD"/>
    <w:rsid w:val="006E579F"/>
    <w:rsid w:val="006E5CC0"/>
    <w:rsid w:val="006E60F4"/>
    <w:rsid w:val="006E629C"/>
    <w:rsid w:val="006E6ADE"/>
    <w:rsid w:val="006E6BCD"/>
    <w:rsid w:val="006E781D"/>
    <w:rsid w:val="006F01E7"/>
    <w:rsid w:val="006F0510"/>
    <w:rsid w:val="006F0AC0"/>
    <w:rsid w:val="006F0CB6"/>
    <w:rsid w:val="006F11FC"/>
    <w:rsid w:val="006F1570"/>
    <w:rsid w:val="006F18F1"/>
    <w:rsid w:val="006F19A0"/>
    <w:rsid w:val="006F20CC"/>
    <w:rsid w:val="006F29DC"/>
    <w:rsid w:val="006F310D"/>
    <w:rsid w:val="006F3EFA"/>
    <w:rsid w:val="006F4416"/>
    <w:rsid w:val="006F58F7"/>
    <w:rsid w:val="006F5E89"/>
    <w:rsid w:val="006F6086"/>
    <w:rsid w:val="006F7A07"/>
    <w:rsid w:val="006F7CB3"/>
    <w:rsid w:val="006F7EB0"/>
    <w:rsid w:val="007003A6"/>
    <w:rsid w:val="00700574"/>
    <w:rsid w:val="007009BE"/>
    <w:rsid w:val="00700ABE"/>
    <w:rsid w:val="00700ACB"/>
    <w:rsid w:val="007011C5"/>
    <w:rsid w:val="007013FB"/>
    <w:rsid w:val="007015BA"/>
    <w:rsid w:val="007016BD"/>
    <w:rsid w:val="00701873"/>
    <w:rsid w:val="00701CB2"/>
    <w:rsid w:val="00701E81"/>
    <w:rsid w:val="0070209E"/>
    <w:rsid w:val="00702B7F"/>
    <w:rsid w:val="00703DBB"/>
    <w:rsid w:val="00703E95"/>
    <w:rsid w:val="007045BC"/>
    <w:rsid w:val="0070506A"/>
    <w:rsid w:val="007056B4"/>
    <w:rsid w:val="0070683F"/>
    <w:rsid w:val="00706849"/>
    <w:rsid w:val="00706859"/>
    <w:rsid w:val="00707000"/>
    <w:rsid w:val="00707533"/>
    <w:rsid w:val="007078F9"/>
    <w:rsid w:val="00707F0E"/>
    <w:rsid w:val="007100CA"/>
    <w:rsid w:val="0071080B"/>
    <w:rsid w:val="00710917"/>
    <w:rsid w:val="00710A76"/>
    <w:rsid w:val="007113DE"/>
    <w:rsid w:val="00712AB8"/>
    <w:rsid w:val="00712F11"/>
    <w:rsid w:val="0071391F"/>
    <w:rsid w:val="00713CC6"/>
    <w:rsid w:val="00714003"/>
    <w:rsid w:val="00714403"/>
    <w:rsid w:val="0071511A"/>
    <w:rsid w:val="00715B66"/>
    <w:rsid w:val="0071648C"/>
    <w:rsid w:val="0071655A"/>
    <w:rsid w:val="0071683D"/>
    <w:rsid w:val="00716CF1"/>
    <w:rsid w:val="007170E0"/>
    <w:rsid w:val="0071724D"/>
    <w:rsid w:val="00720175"/>
    <w:rsid w:val="007204D1"/>
    <w:rsid w:val="0072099A"/>
    <w:rsid w:val="00720B99"/>
    <w:rsid w:val="00720FFF"/>
    <w:rsid w:val="0072193E"/>
    <w:rsid w:val="00722463"/>
    <w:rsid w:val="00722F2D"/>
    <w:rsid w:val="00723149"/>
    <w:rsid w:val="007235C7"/>
    <w:rsid w:val="00723636"/>
    <w:rsid w:val="00723651"/>
    <w:rsid w:val="007236A5"/>
    <w:rsid w:val="00723F88"/>
    <w:rsid w:val="0072471D"/>
    <w:rsid w:val="00724E20"/>
    <w:rsid w:val="0072525A"/>
    <w:rsid w:val="007252AB"/>
    <w:rsid w:val="00725A30"/>
    <w:rsid w:val="00727408"/>
    <w:rsid w:val="00727FC4"/>
    <w:rsid w:val="00731584"/>
    <w:rsid w:val="00731833"/>
    <w:rsid w:val="00731D27"/>
    <w:rsid w:val="00731E92"/>
    <w:rsid w:val="0073353C"/>
    <w:rsid w:val="00733875"/>
    <w:rsid w:val="00733D0A"/>
    <w:rsid w:val="00734798"/>
    <w:rsid w:val="007349E9"/>
    <w:rsid w:val="00734D63"/>
    <w:rsid w:val="00735233"/>
    <w:rsid w:val="00735FF1"/>
    <w:rsid w:val="00736449"/>
    <w:rsid w:val="007366F8"/>
    <w:rsid w:val="00736A92"/>
    <w:rsid w:val="00740087"/>
    <w:rsid w:val="0074015D"/>
    <w:rsid w:val="007404B6"/>
    <w:rsid w:val="00740876"/>
    <w:rsid w:val="00740A7C"/>
    <w:rsid w:val="00741014"/>
    <w:rsid w:val="0074166C"/>
    <w:rsid w:val="00741E1E"/>
    <w:rsid w:val="0074238B"/>
    <w:rsid w:val="007428E0"/>
    <w:rsid w:val="00742C5B"/>
    <w:rsid w:val="00743C36"/>
    <w:rsid w:val="00744200"/>
    <w:rsid w:val="0074462E"/>
    <w:rsid w:val="00744633"/>
    <w:rsid w:val="00745400"/>
    <w:rsid w:val="00745439"/>
    <w:rsid w:val="00745A3E"/>
    <w:rsid w:val="00746697"/>
    <w:rsid w:val="0074683B"/>
    <w:rsid w:val="007468D5"/>
    <w:rsid w:val="007469BD"/>
    <w:rsid w:val="0074706F"/>
    <w:rsid w:val="007473EC"/>
    <w:rsid w:val="007477E4"/>
    <w:rsid w:val="00747C7A"/>
    <w:rsid w:val="00747FBC"/>
    <w:rsid w:val="007508D9"/>
    <w:rsid w:val="007509CB"/>
    <w:rsid w:val="00750D89"/>
    <w:rsid w:val="007524B4"/>
    <w:rsid w:val="007527DC"/>
    <w:rsid w:val="00752A37"/>
    <w:rsid w:val="00752D8F"/>
    <w:rsid w:val="007531AD"/>
    <w:rsid w:val="00753A09"/>
    <w:rsid w:val="00753AA6"/>
    <w:rsid w:val="00754014"/>
    <w:rsid w:val="00754470"/>
    <w:rsid w:val="007544ED"/>
    <w:rsid w:val="00754892"/>
    <w:rsid w:val="00754B47"/>
    <w:rsid w:val="007551D4"/>
    <w:rsid w:val="00756491"/>
    <w:rsid w:val="00756588"/>
    <w:rsid w:val="00756B1F"/>
    <w:rsid w:val="00756D24"/>
    <w:rsid w:val="0075718B"/>
    <w:rsid w:val="00757207"/>
    <w:rsid w:val="00760B0C"/>
    <w:rsid w:val="00760C44"/>
    <w:rsid w:val="007622BC"/>
    <w:rsid w:val="0076245C"/>
    <w:rsid w:val="00762F74"/>
    <w:rsid w:val="00763277"/>
    <w:rsid w:val="007634CB"/>
    <w:rsid w:val="00763DED"/>
    <w:rsid w:val="00763EC0"/>
    <w:rsid w:val="0076419D"/>
    <w:rsid w:val="007645FA"/>
    <w:rsid w:val="00765460"/>
    <w:rsid w:val="007654C1"/>
    <w:rsid w:val="00766333"/>
    <w:rsid w:val="0076675A"/>
    <w:rsid w:val="00766A05"/>
    <w:rsid w:val="00766F66"/>
    <w:rsid w:val="0076719A"/>
    <w:rsid w:val="00767526"/>
    <w:rsid w:val="00767D1D"/>
    <w:rsid w:val="00770386"/>
    <w:rsid w:val="00770991"/>
    <w:rsid w:val="00770FC0"/>
    <w:rsid w:val="007710A1"/>
    <w:rsid w:val="0077152D"/>
    <w:rsid w:val="00771881"/>
    <w:rsid w:val="00771BC6"/>
    <w:rsid w:val="00771DDD"/>
    <w:rsid w:val="00771ECE"/>
    <w:rsid w:val="00771EFB"/>
    <w:rsid w:val="0077203E"/>
    <w:rsid w:val="00772186"/>
    <w:rsid w:val="007723A0"/>
    <w:rsid w:val="00772454"/>
    <w:rsid w:val="00772ACB"/>
    <w:rsid w:val="007739D1"/>
    <w:rsid w:val="00773DCF"/>
    <w:rsid w:val="00774201"/>
    <w:rsid w:val="0077466B"/>
    <w:rsid w:val="00774844"/>
    <w:rsid w:val="00774AB4"/>
    <w:rsid w:val="007756E8"/>
    <w:rsid w:val="00775E2E"/>
    <w:rsid w:val="00775F0D"/>
    <w:rsid w:val="00776609"/>
    <w:rsid w:val="0077681D"/>
    <w:rsid w:val="00776D42"/>
    <w:rsid w:val="007774C4"/>
    <w:rsid w:val="00777AE7"/>
    <w:rsid w:val="00777C58"/>
    <w:rsid w:val="0078002E"/>
    <w:rsid w:val="00780231"/>
    <w:rsid w:val="00780AB3"/>
    <w:rsid w:val="00780AC0"/>
    <w:rsid w:val="00780C61"/>
    <w:rsid w:val="007815A8"/>
    <w:rsid w:val="00781631"/>
    <w:rsid w:val="00782050"/>
    <w:rsid w:val="00782D5D"/>
    <w:rsid w:val="00782F10"/>
    <w:rsid w:val="00783F45"/>
    <w:rsid w:val="00785057"/>
    <w:rsid w:val="0078520B"/>
    <w:rsid w:val="00785963"/>
    <w:rsid w:val="00786DB7"/>
    <w:rsid w:val="00787078"/>
    <w:rsid w:val="00787221"/>
    <w:rsid w:val="007879C3"/>
    <w:rsid w:val="00790D96"/>
    <w:rsid w:val="00790E0B"/>
    <w:rsid w:val="00791043"/>
    <w:rsid w:val="007915FD"/>
    <w:rsid w:val="007917C3"/>
    <w:rsid w:val="007918F7"/>
    <w:rsid w:val="00792081"/>
    <w:rsid w:val="007920B4"/>
    <w:rsid w:val="00792187"/>
    <w:rsid w:val="0079373C"/>
    <w:rsid w:val="00793750"/>
    <w:rsid w:val="00793BA7"/>
    <w:rsid w:val="00793C79"/>
    <w:rsid w:val="0079444F"/>
    <w:rsid w:val="00794D86"/>
    <w:rsid w:val="00794E97"/>
    <w:rsid w:val="00795048"/>
    <w:rsid w:val="0079511B"/>
    <w:rsid w:val="00795157"/>
    <w:rsid w:val="00795190"/>
    <w:rsid w:val="007956CA"/>
    <w:rsid w:val="007959A9"/>
    <w:rsid w:val="00795A36"/>
    <w:rsid w:val="007960D5"/>
    <w:rsid w:val="00796ABB"/>
    <w:rsid w:val="00796C0B"/>
    <w:rsid w:val="00796DD5"/>
    <w:rsid w:val="00796E7E"/>
    <w:rsid w:val="007975F3"/>
    <w:rsid w:val="00797F5B"/>
    <w:rsid w:val="007A0656"/>
    <w:rsid w:val="007A0ED4"/>
    <w:rsid w:val="007A134F"/>
    <w:rsid w:val="007A13BF"/>
    <w:rsid w:val="007A1C67"/>
    <w:rsid w:val="007A1D69"/>
    <w:rsid w:val="007A25BA"/>
    <w:rsid w:val="007A3025"/>
    <w:rsid w:val="007A3B76"/>
    <w:rsid w:val="007A3B89"/>
    <w:rsid w:val="007A42C3"/>
    <w:rsid w:val="007A4728"/>
    <w:rsid w:val="007A496B"/>
    <w:rsid w:val="007A5A21"/>
    <w:rsid w:val="007A5D8C"/>
    <w:rsid w:val="007A7645"/>
    <w:rsid w:val="007A78BB"/>
    <w:rsid w:val="007B1D6F"/>
    <w:rsid w:val="007B2202"/>
    <w:rsid w:val="007B26C7"/>
    <w:rsid w:val="007B270C"/>
    <w:rsid w:val="007B2B86"/>
    <w:rsid w:val="007B379A"/>
    <w:rsid w:val="007B50F2"/>
    <w:rsid w:val="007B523D"/>
    <w:rsid w:val="007B6483"/>
    <w:rsid w:val="007B66AA"/>
    <w:rsid w:val="007B68CC"/>
    <w:rsid w:val="007B6ACF"/>
    <w:rsid w:val="007B6E01"/>
    <w:rsid w:val="007B705F"/>
    <w:rsid w:val="007B7871"/>
    <w:rsid w:val="007B79A3"/>
    <w:rsid w:val="007B7B7E"/>
    <w:rsid w:val="007B7D28"/>
    <w:rsid w:val="007C0883"/>
    <w:rsid w:val="007C0986"/>
    <w:rsid w:val="007C10E7"/>
    <w:rsid w:val="007C151A"/>
    <w:rsid w:val="007C187A"/>
    <w:rsid w:val="007C1B5F"/>
    <w:rsid w:val="007C251A"/>
    <w:rsid w:val="007C2D25"/>
    <w:rsid w:val="007C3D0D"/>
    <w:rsid w:val="007C4261"/>
    <w:rsid w:val="007C42D9"/>
    <w:rsid w:val="007C4873"/>
    <w:rsid w:val="007C569A"/>
    <w:rsid w:val="007C6A5D"/>
    <w:rsid w:val="007C6D30"/>
    <w:rsid w:val="007C6F84"/>
    <w:rsid w:val="007D021F"/>
    <w:rsid w:val="007D134A"/>
    <w:rsid w:val="007D17B5"/>
    <w:rsid w:val="007D1A5D"/>
    <w:rsid w:val="007D1C8F"/>
    <w:rsid w:val="007D1F9B"/>
    <w:rsid w:val="007D208D"/>
    <w:rsid w:val="007D270A"/>
    <w:rsid w:val="007D2B66"/>
    <w:rsid w:val="007D2E02"/>
    <w:rsid w:val="007D2FE0"/>
    <w:rsid w:val="007D351D"/>
    <w:rsid w:val="007D3592"/>
    <w:rsid w:val="007D4B24"/>
    <w:rsid w:val="007D4BDA"/>
    <w:rsid w:val="007D4E3E"/>
    <w:rsid w:val="007D58E8"/>
    <w:rsid w:val="007D61F6"/>
    <w:rsid w:val="007D72F6"/>
    <w:rsid w:val="007D7445"/>
    <w:rsid w:val="007D768E"/>
    <w:rsid w:val="007D7B78"/>
    <w:rsid w:val="007D7C94"/>
    <w:rsid w:val="007E0365"/>
    <w:rsid w:val="007E1263"/>
    <w:rsid w:val="007E2237"/>
    <w:rsid w:val="007E3623"/>
    <w:rsid w:val="007E3F54"/>
    <w:rsid w:val="007E47D0"/>
    <w:rsid w:val="007E499E"/>
    <w:rsid w:val="007E4BE8"/>
    <w:rsid w:val="007E5032"/>
    <w:rsid w:val="007E508E"/>
    <w:rsid w:val="007E568A"/>
    <w:rsid w:val="007E5AF4"/>
    <w:rsid w:val="007E5E0B"/>
    <w:rsid w:val="007E6693"/>
    <w:rsid w:val="007E6F18"/>
    <w:rsid w:val="007E719D"/>
    <w:rsid w:val="007E785D"/>
    <w:rsid w:val="007E7DC1"/>
    <w:rsid w:val="007F04F1"/>
    <w:rsid w:val="007F096E"/>
    <w:rsid w:val="007F0C74"/>
    <w:rsid w:val="007F0D26"/>
    <w:rsid w:val="007F12BF"/>
    <w:rsid w:val="007F1685"/>
    <w:rsid w:val="007F1FAA"/>
    <w:rsid w:val="007F1FC6"/>
    <w:rsid w:val="007F2489"/>
    <w:rsid w:val="007F2ACD"/>
    <w:rsid w:val="007F2C6F"/>
    <w:rsid w:val="007F3509"/>
    <w:rsid w:val="007F3B1B"/>
    <w:rsid w:val="007F42F8"/>
    <w:rsid w:val="007F463A"/>
    <w:rsid w:val="007F46F5"/>
    <w:rsid w:val="007F4BA9"/>
    <w:rsid w:val="007F5AE8"/>
    <w:rsid w:val="007F5E32"/>
    <w:rsid w:val="007F6752"/>
    <w:rsid w:val="007F71BF"/>
    <w:rsid w:val="007F725F"/>
    <w:rsid w:val="007F73B6"/>
    <w:rsid w:val="008002AB"/>
    <w:rsid w:val="008004C3"/>
    <w:rsid w:val="00800571"/>
    <w:rsid w:val="008007D0"/>
    <w:rsid w:val="0080098B"/>
    <w:rsid w:val="00800C9E"/>
    <w:rsid w:val="00800E62"/>
    <w:rsid w:val="00801059"/>
    <w:rsid w:val="00801141"/>
    <w:rsid w:val="00802789"/>
    <w:rsid w:val="00803170"/>
    <w:rsid w:val="00804549"/>
    <w:rsid w:val="008046A6"/>
    <w:rsid w:val="00804769"/>
    <w:rsid w:val="00805570"/>
    <w:rsid w:val="00805577"/>
    <w:rsid w:val="0080576B"/>
    <w:rsid w:val="008058AD"/>
    <w:rsid w:val="008058DC"/>
    <w:rsid w:val="00805B51"/>
    <w:rsid w:val="00805C71"/>
    <w:rsid w:val="00805E9D"/>
    <w:rsid w:val="00805EB8"/>
    <w:rsid w:val="00807365"/>
    <w:rsid w:val="008073F0"/>
    <w:rsid w:val="008079DA"/>
    <w:rsid w:val="00810AB2"/>
    <w:rsid w:val="00812167"/>
    <w:rsid w:val="0081262A"/>
    <w:rsid w:val="00812A15"/>
    <w:rsid w:val="0081378A"/>
    <w:rsid w:val="00814221"/>
    <w:rsid w:val="008143F3"/>
    <w:rsid w:val="00814B9E"/>
    <w:rsid w:val="00814F07"/>
    <w:rsid w:val="008159A9"/>
    <w:rsid w:val="00815E06"/>
    <w:rsid w:val="008164FA"/>
    <w:rsid w:val="00816BE7"/>
    <w:rsid w:val="00816F39"/>
    <w:rsid w:val="008208AD"/>
    <w:rsid w:val="008208CB"/>
    <w:rsid w:val="00821238"/>
    <w:rsid w:val="008218C8"/>
    <w:rsid w:val="00821B89"/>
    <w:rsid w:val="00821C9A"/>
    <w:rsid w:val="0082289D"/>
    <w:rsid w:val="008240D5"/>
    <w:rsid w:val="00824666"/>
    <w:rsid w:val="00824739"/>
    <w:rsid w:val="00824B57"/>
    <w:rsid w:val="00825329"/>
    <w:rsid w:val="008255DC"/>
    <w:rsid w:val="00826568"/>
    <w:rsid w:val="00827F38"/>
    <w:rsid w:val="008308C5"/>
    <w:rsid w:val="00830950"/>
    <w:rsid w:val="008309A0"/>
    <w:rsid w:val="00830C8D"/>
    <w:rsid w:val="008313BB"/>
    <w:rsid w:val="0083173E"/>
    <w:rsid w:val="00831927"/>
    <w:rsid w:val="00831A3A"/>
    <w:rsid w:val="0083235E"/>
    <w:rsid w:val="00832405"/>
    <w:rsid w:val="00832620"/>
    <w:rsid w:val="0083312C"/>
    <w:rsid w:val="0083341F"/>
    <w:rsid w:val="008339A4"/>
    <w:rsid w:val="00833FE0"/>
    <w:rsid w:val="008340C6"/>
    <w:rsid w:val="00834923"/>
    <w:rsid w:val="00834A8D"/>
    <w:rsid w:val="00834F32"/>
    <w:rsid w:val="00834FEE"/>
    <w:rsid w:val="00835C7D"/>
    <w:rsid w:val="00835DCC"/>
    <w:rsid w:val="00835E2A"/>
    <w:rsid w:val="00835F21"/>
    <w:rsid w:val="00836128"/>
    <w:rsid w:val="00836770"/>
    <w:rsid w:val="008374FB"/>
    <w:rsid w:val="0083756D"/>
    <w:rsid w:val="008378C5"/>
    <w:rsid w:val="00840704"/>
    <w:rsid w:val="00840E4F"/>
    <w:rsid w:val="00840FB2"/>
    <w:rsid w:val="0084130D"/>
    <w:rsid w:val="008413CE"/>
    <w:rsid w:val="00842517"/>
    <w:rsid w:val="00842C2F"/>
    <w:rsid w:val="008430DB"/>
    <w:rsid w:val="0084362C"/>
    <w:rsid w:val="00843647"/>
    <w:rsid w:val="008439DB"/>
    <w:rsid w:val="00843D22"/>
    <w:rsid w:val="00844854"/>
    <w:rsid w:val="00844ADA"/>
    <w:rsid w:val="00844CC5"/>
    <w:rsid w:val="00844D95"/>
    <w:rsid w:val="00845687"/>
    <w:rsid w:val="00845699"/>
    <w:rsid w:val="008470DC"/>
    <w:rsid w:val="00847150"/>
    <w:rsid w:val="0085005B"/>
    <w:rsid w:val="008501BA"/>
    <w:rsid w:val="00850BCA"/>
    <w:rsid w:val="0085119C"/>
    <w:rsid w:val="0085137D"/>
    <w:rsid w:val="0085153D"/>
    <w:rsid w:val="008517A5"/>
    <w:rsid w:val="00851CBF"/>
    <w:rsid w:val="00851CE2"/>
    <w:rsid w:val="0085327D"/>
    <w:rsid w:val="008545FF"/>
    <w:rsid w:val="00855F26"/>
    <w:rsid w:val="00856184"/>
    <w:rsid w:val="008563CA"/>
    <w:rsid w:val="00856F58"/>
    <w:rsid w:val="00857041"/>
    <w:rsid w:val="00857594"/>
    <w:rsid w:val="00857694"/>
    <w:rsid w:val="00857CD1"/>
    <w:rsid w:val="00857E51"/>
    <w:rsid w:val="00857F34"/>
    <w:rsid w:val="0086060A"/>
    <w:rsid w:val="00860BBA"/>
    <w:rsid w:val="00861897"/>
    <w:rsid w:val="00861D5B"/>
    <w:rsid w:val="00862714"/>
    <w:rsid w:val="00862B72"/>
    <w:rsid w:val="00862BBC"/>
    <w:rsid w:val="00862CEF"/>
    <w:rsid w:val="00864577"/>
    <w:rsid w:val="008648F4"/>
    <w:rsid w:val="00864BB1"/>
    <w:rsid w:val="00864F9D"/>
    <w:rsid w:val="008658CB"/>
    <w:rsid w:val="0086671F"/>
    <w:rsid w:val="008669D7"/>
    <w:rsid w:val="00866DD3"/>
    <w:rsid w:val="00866F2A"/>
    <w:rsid w:val="00867303"/>
    <w:rsid w:val="00867691"/>
    <w:rsid w:val="00867783"/>
    <w:rsid w:val="00867B9C"/>
    <w:rsid w:val="00870AE3"/>
    <w:rsid w:val="008727B0"/>
    <w:rsid w:val="008727FB"/>
    <w:rsid w:val="00872BC5"/>
    <w:rsid w:val="00873040"/>
    <w:rsid w:val="008730A1"/>
    <w:rsid w:val="00873388"/>
    <w:rsid w:val="0087361F"/>
    <w:rsid w:val="008737A0"/>
    <w:rsid w:val="008738A4"/>
    <w:rsid w:val="008743A9"/>
    <w:rsid w:val="008746FE"/>
    <w:rsid w:val="00874DEF"/>
    <w:rsid w:val="00875841"/>
    <w:rsid w:val="00875A6A"/>
    <w:rsid w:val="00877195"/>
    <w:rsid w:val="0087719B"/>
    <w:rsid w:val="00877422"/>
    <w:rsid w:val="00877738"/>
    <w:rsid w:val="008778AE"/>
    <w:rsid w:val="00877C3F"/>
    <w:rsid w:val="00877D6A"/>
    <w:rsid w:val="00880FB7"/>
    <w:rsid w:val="0088104A"/>
    <w:rsid w:val="00881793"/>
    <w:rsid w:val="00881946"/>
    <w:rsid w:val="00881D87"/>
    <w:rsid w:val="008821BE"/>
    <w:rsid w:val="00882472"/>
    <w:rsid w:val="0088247B"/>
    <w:rsid w:val="00882551"/>
    <w:rsid w:val="00882CD8"/>
    <w:rsid w:val="00882E52"/>
    <w:rsid w:val="00882F0F"/>
    <w:rsid w:val="008831BC"/>
    <w:rsid w:val="00883506"/>
    <w:rsid w:val="00883649"/>
    <w:rsid w:val="008838E0"/>
    <w:rsid w:val="00883C26"/>
    <w:rsid w:val="00883C67"/>
    <w:rsid w:val="00884297"/>
    <w:rsid w:val="00884B23"/>
    <w:rsid w:val="008850FD"/>
    <w:rsid w:val="00885B30"/>
    <w:rsid w:val="00885F2B"/>
    <w:rsid w:val="00885FBF"/>
    <w:rsid w:val="008862D1"/>
    <w:rsid w:val="008862E9"/>
    <w:rsid w:val="008865D3"/>
    <w:rsid w:val="00886F56"/>
    <w:rsid w:val="00887385"/>
    <w:rsid w:val="008876BA"/>
    <w:rsid w:val="0088793E"/>
    <w:rsid w:val="00890246"/>
    <w:rsid w:val="00890912"/>
    <w:rsid w:val="00890B0A"/>
    <w:rsid w:val="00890C50"/>
    <w:rsid w:val="00890D39"/>
    <w:rsid w:val="00893510"/>
    <w:rsid w:val="00893BAD"/>
    <w:rsid w:val="00893EA7"/>
    <w:rsid w:val="00894281"/>
    <w:rsid w:val="00894320"/>
    <w:rsid w:val="00895327"/>
    <w:rsid w:val="00895459"/>
    <w:rsid w:val="008958C2"/>
    <w:rsid w:val="00896265"/>
    <w:rsid w:val="00896912"/>
    <w:rsid w:val="008969ED"/>
    <w:rsid w:val="00896BAB"/>
    <w:rsid w:val="00897D66"/>
    <w:rsid w:val="008A062F"/>
    <w:rsid w:val="008A074A"/>
    <w:rsid w:val="008A0AF1"/>
    <w:rsid w:val="008A0BDA"/>
    <w:rsid w:val="008A0C37"/>
    <w:rsid w:val="008A10D1"/>
    <w:rsid w:val="008A12D3"/>
    <w:rsid w:val="008A16AB"/>
    <w:rsid w:val="008A1737"/>
    <w:rsid w:val="008A173E"/>
    <w:rsid w:val="008A1B33"/>
    <w:rsid w:val="008A2B38"/>
    <w:rsid w:val="008A3039"/>
    <w:rsid w:val="008A398E"/>
    <w:rsid w:val="008A3E9D"/>
    <w:rsid w:val="008A4049"/>
    <w:rsid w:val="008A4080"/>
    <w:rsid w:val="008A4486"/>
    <w:rsid w:val="008A4788"/>
    <w:rsid w:val="008A5E4F"/>
    <w:rsid w:val="008A62D2"/>
    <w:rsid w:val="008A6ECB"/>
    <w:rsid w:val="008A6FAD"/>
    <w:rsid w:val="008A6FF9"/>
    <w:rsid w:val="008A71F3"/>
    <w:rsid w:val="008A720B"/>
    <w:rsid w:val="008A7A2A"/>
    <w:rsid w:val="008A7CE5"/>
    <w:rsid w:val="008A7E33"/>
    <w:rsid w:val="008B0412"/>
    <w:rsid w:val="008B0E0A"/>
    <w:rsid w:val="008B1B46"/>
    <w:rsid w:val="008B1C0D"/>
    <w:rsid w:val="008B2084"/>
    <w:rsid w:val="008B22BB"/>
    <w:rsid w:val="008B2F0F"/>
    <w:rsid w:val="008B2FB0"/>
    <w:rsid w:val="008B39A0"/>
    <w:rsid w:val="008B3F0C"/>
    <w:rsid w:val="008B4CC2"/>
    <w:rsid w:val="008B4FA5"/>
    <w:rsid w:val="008B58D5"/>
    <w:rsid w:val="008B6226"/>
    <w:rsid w:val="008B63A8"/>
    <w:rsid w:val="008B649C"/>
    <w:rsid w:val="008B6756"/>
    <w:rsid w:val="008B6F1D"/>
    <w:rsid w:val="008B7B6A"/>
    <w:rsid w:val="008C022D"/>
    <w:rsid w:val="008C06C7"/>
    <w:rsid w:val="008C1018"/>
    <w:rsid w:val="008C1589"/>
    <w:rsid w:val="008C1B34"/>
    <w:rsid w:val="008C2592"/>
    <w:rsid w:val="008C287C"/>
    <w:rsid w:val="008C28C7"/>
    <w:rsid w:val="008C33BF"/>
    <w:rsid w:val="008C37EB"/>
    <w:rsid w:val="008C3D60"/>
    <w:rsid w:val="008C408B"/>
    <w:rsid w:val="008C5069"/>
    <w:rsid w:val="008C519F"/>
    <w:rsid w:val="008C5812"/>
    <w:rsid w:val="008C5A8B"/>
    <w:rsid w:val="008C5AA4"/>
    <w:rsid w:val="008C5F36"/>
    <w:rsid w:val="008C65BD"/>
    <w:rsid w:val="008C6632"/>
    <w:rsid w:val="008C6DF2"/>
    <w:rsid w:val="008C7097"/>
    <w:rsid w:val="008C7292"/>
    <w:rsid w:val="008C7666"/>
    <w:rsid w:val="008C77E1"/>
    <w:rsid w:val="008D03A6"/>
    <w:rsid w:val="008D03DD"/>
    <w:rsid w:val="008D048D"/>
    <w:rsid w:val="008D07F4"/>
    <w:rsid w:val="008D0BE1"/>
    <w:rsid w:val="008D1010"/>
    <w:rsid w:val="008D102D"/>
    <w:rsid w:val="008D10B7"/>
    <w:rsid w:val="008D15DC"/>
    <w:rsid w:val="008D171E"/>
    <w:rsid w:val="008D194A"/>
    <w:rsid w:val="008D1ACB"/>
    <w:rsid w:val="008D1AF3"/>
    <w:rsid w:val="008D1EE3"/>
    <w:rsid w:val="008D2146"/>
    <w:rsid w:val="008D2402"/>
    <w:rsid w:val="008D2484"/>
    <w:rsid w:val="008D2DFA"/>
    <w:rsid w:val="008D4885"/>
    <w:rsid w:val="008D4E40"/>
    <w:rsid w:val="008D5BDC"/>
    <w:rsid w:val="008D68AF"/>
    <w:rsid w:val="008D6D12"/>
    <w:rsid w:val="008D7255"/>
    <w:rsid w:val="008E0855"/>
    <w:rsid w:val="008E0D7A"/>
    <w:rsid w:val="008E10F2"/>
    <w:rsid w:val="008E125E"/>
    <w:rsid w:val="008E150D"/>
    <w:rsid w:val="008E1639"/>
    <w:rsid w:val="008E1925"/>
    <w:rsid w:val="008E1C8A"/>
    <w:rsid w:val="008E2785"/>
    <w:rsid w:val="008E28FC"/>
    <w:rsid w:val="008E2D2A"/>
    <w:rsid w:val="008E2F16"/>
    <w:rsid w:val="008E3128"/>
    <w:rsid w:val="008E454E"/>
    <w:rsid w:val="008E4CB2"/>
    <w:rsid w:val="008E4F83"/>
    <w:rsid w:val="008E5584"/>
    <w:rsid w:val="008E5DE7"/>
    <w:rsid w:val="008E62F3"/>
    <w:rsid w:val="008E63FC"/>
    <w:rsid w:val="008E6435"/>
    <w:rsid w:val="008E6983"/>
    <w:rsid w:val="008F000B"/>
    <w:rsid w:val="008F03B7"/>
    <w:rsid w:val="008F0B01"/>
    <w:rsid w:val="008F0B46"/>
    <w:rsid w:val="008F1CB3"/>
    <w:rsid w:val="008F2CA4"/>
    <w:rsid w:val="008F3261"/>
    <w:rsid w:val="008F32C6"/>
    <w:rsid w:val="008F366D"/>
    <w:rsid w:val="008F3896"/>
    <w:rsid w:val="008F4054"/>
    <w:rsid w:val="008F4D25"/>
    <w:rsid w:val="008F5A0B"/>
    <w:rsid w:val="008F5A70"/>
    <w:rsid w:val="008F5E1E"/>
    <w:rsid w:val="008F69E3"/>
    <w:rsid w:val="008F6A65"/>
    <w:rsid w:val="008F6B71"/>
    <w:rsid w:val="008F6C92"/>
    <w:rsid w:val="00900110"/>
    <w:rsid w:val="009001AB"/>
    <w:rsid w:val="009003CE"/>
    <w:rsid w:val="00900440"/>
    <w:rsid w:val="00900746"/>
    <w:rsid w:val="00900A08"/>
    <w:rsid w:val="00900A29"/>
    <w:rsid w:val="00900A3E"/>
    <w:rsid w:val="00901571"/>
    <w:rsid w:val="009015E5"/>
    <w:rsid w:val="00901A7A"/>
    <w:rsid w:val="009024F9"/>
    <w:rsid w:val="0090251E"/>
    <w:rsid w:val="00902F98"/>
    <w:rsid w:val="00903EA9"/>
    <w:rsid w:val="00903FAD"/>
    <w:rsid w:val="009041C3"/>
    <w:rsid w:val="009041FA"/>
    <w:rsid w:val="0090444B"/>
    <w:rsid w:val="0090554E"/>
    <w:rsid w:val="00905962"/>
    <w:rsid w:val="00905FC0"/>
    <w:rsid w:val="0090648F"/>
    <w:rsid w:val="00906D60"/>
    <w:rsid w:val="0090719B"/>
    <w:rsid w:val="00907289"/>
    <w:rsid w:val="009074DB"/>
    <w:rsid w:val="00907B34"/>
    <w:rsid w:val="00910301"/>
    <w:rsid w:val="009105A2"/>
    <w:rsid w:val="009108F4"/>
    <w:rsid w:val="00910CE3"/>
    <w:rsid w:val="00910D32"/>
    <w:rsid w:val="0091126B"/>
    <w:rsid w:val="00911286"/>
    <w:rsid w:val="00911474"/>
    <w:rsid w:val="00911D17"/>
    <w:rsid w:val="00912E58"/>
    <w:rsid w:val="009131D3"/>
    <w:rsid w:val="0091384D"/>
    <w:rsid w:val="00913D92"/>
    <w:rsid w:val="00913E76"/>
    <w:rsid w:val="00913EA0"/>
    <w:rsid w:val="00913F0C"/>
    <w:rsid w:val="00914825"/>
    <w:rsid w:val="009148C4"/>
    <w:rsid w:val="00914B9A"/>
    <w:rsid w:val="00914F93"/>
    <w:rsid w:val="009152CD"/>
    <w:rsid w:val="0091549E"/>
    <w:rsid w:val="0091581E"/>
    <w:rsid w:val="00915D3D"/>
    <w:rsid w:val="00916048"/>
    <w:rsid w:val="00916637"/>
    <w:rsid w:val="00916A14"/>
    <w:rsid w:val="00916B9E"/>
    <w:rsid w:val="00917184"/>
    <w:rsid w:val="00917312"/>
    <w:rsid w:val="009177C5"/>
    <w:rsid w:val="00917EF2"/>
    <w:rsid w:val="00920509"/>
    <w:rsid w:val="009219B0"/>
    <w:rsid w:val="00922124"/>
    <w:rsid w:val="0092247A"/>
    <w:rsid w:val="009229ED"/>
    <w:rsid w:val="00923421"/>
    <w:rsid w:val="009234CE"/>
    <w:rsid w:val="00923C6D"/>
    <w:rsid w:val="00923FEE"/>
    <w:rsid w:val="009240BB"/>
    <w:rsid w:val="0092440C"/>
    <w:rsid w:val="009244A1"/>
    <w:rsid w:val="009247E3"/>
    <w:rsid w:val="009255E8"/>
    <w:rsid w:val="00925EA3"/>
    <w:rsid w:val="00926DF1"/>
    <w:rsid w:val="009273EC"/>
    <w:rsid w:val="009278FC"/>
    <w:rsid w:val="00927A29"/>
    <w:rsid w:val="00930653"/>
    <w:rsid w:val="00930C9C"/>
    <w:rsid w:val="00930D36"/>
    <w:rsid w:val="00931AB4"/>
    <w:rsid w:val="00931D7A"/>
    <w:rsid w:val="00931E29"/>
    <w:rsid w:val="00932484"/>
    <w:rsid w:val="00933222"/>
    <w:rsid w:val="00933D90"/>
    <w:rsid w:val="00934EF5"/>
    <w:rsid w:val="0093503A"/>
    <w:rsid w:val="009356D7"/>
    <w:rsid w:val="009357F1"/>
    <w:rsid w:val="0093582D"/>
    <w:rsid w:val="00935BE9"/>
    <w:rsid w:val="0093682D"/>
    <w:rsid w:val="00936F1E"/>
    <w:rsid w:val="00936FD5"/>
    <w:rsid w:val="0093748F"/>
    <w:rsid w:val="0093795C"/>
    <w:rsid w:val="00937D95"/>
    <w:rsid w:val="009407BB"/>
    <w:rsid w:val="0094115F"/>
    <w:rsid w:val="00941849"/>
    <w:rsid w:val="00942193"/>
    <w:rsid w:val="009421B7"/>
    <w:rsid w:val="009423B2"/>
    <w:rsid w:val="00942884"/>
    <w:rsid w:val="00942952"/>
    <w:rsid w:val="00942B73"/>
    <w:rsid w:val="00943519"/>
    <w:rsid w:val="009435DC"/>
    <w:rsid w:val="00943741"/>
    <w:rsid w:val="0094384D"/>
    <w:rsid w:val="00943BDF"/>
    <w:rsid w:val="0094438D"/>
    <w:rsid w:val="0094459B"/>
    <w:rsid w:val="00944A7D"/>
    <w:rsid w:val="009456D4"/>
    <w:rsid w:val="00946954"/>
    <w:rsid w:val="00946B19"/>
    <w:rsid w:val="009471EF"/>
    <w:rsid w:val="00947606"/>
    <w:rsid w:val="00947719"/>
    <w:rsid w:val="00950B0F"/>
    <w:rsid w:val="00950F5A"/>
    <w:rsid w:val="0095116E"/>
    <w:rsid w:val="009512F4"/>
    <w:rsid w:val="009532C6"/>
    <w:rsid w:val="009533BA"/>
    <w:rsid w:val="009535B3"/>
    <w:rsid w:val="00953F63"/>
    <w:rsid w:val="00955CF7"/>
    <w:rsid w:val="00955D68"/>
    <w:rsid w:val="00956718"/>
    <w:rsid w:val="00956E6E"/>
    <w:rsid w:val="0095791B"/>
    <w:rsid w:val="00960076"/>
    <w:rsid w:val="00960714"/>
    <w:rsid w:val="00960B57"/>
    <w:rsid w:val="00961B73"/>
    <w:rsid w:val="009628D9"/>
    <w:rsid w:val="00962B9A"/>
    <w:rsid w:val="00962F1A"/>
    <w:rsid w:val="00962FF2"/>
    <w:rsid w:val="0096315E"/>
    <w:rsid w:val="009632B9"/>
    <w:rsid w:val="0096393D"/>
    <w:rsid w:val="00964001"/>
    <w:rsid w:val="00964603"/>
    <w:rsid w:val="00964795"/>
    <w:rsid w:val="00964E30"/>
    <w:rsid w:val="00964F36"/>
    <w:rsid w:val="0096513B"/>
    <w:rsid w:val="009657BC"/>
    <w:rsid w:val="009658DB"/>
    <w:rsid w:val="00966488"/>
    <w:rsid w:val="009664B3"/>
    <w:rsid w:val="00966620"/>
    <w:rsid w:val="00966698"/>
    <w:rsid w:val="00966721"/>
    <w:rsid w:val="00966B41"/>
    <w:rsid w:val="009673D5"/>
    <w:rsid w:val="00967E3C"/>
    <w:rsid w:val="0097088A"/>
    <w:rsid w:val="009708D1"/>
    <w:rsid w:val="00971021"/>
    <w:rsid w:val="009710A0"/>
    <w:rsid w:val="00971495"/>
    <w:rsid w:val="009715DE"/>
    <w:rsid w:val="00971C74"/>
    <w:rsid w:val="00972848"/>
    <w:rsid w:val="00973697"/>
    <w:rsid w:val="0097405B"/>
    <w:rsid w:val="00974138"/>
    <w:rsid w:val="009742FF"/>
    <w:rsid w:val="009751FE"/>
    <w:rsid w:val="009765DE"/>
    <w:rsid w:val="009774A3"/>
    <w:rsid w:val="00977F6E"/>
    <w:rsid w:val="00977F95"/>
    <w:rsid w:val="00980A22"/>
    <w:rsid w:val="009817DD"/>
    <w:rsid w:val="00982752"/>
    <w:rsid w:val="009835FF"/>
    <w:rsid w:val="00983AC0"/>
    <w:rsid w:val="0098420A"/>
    <w:rsid w:val="0098449E"/>
    <w:rsid w:val="00984577"/>
    <w:rsid w:val="009856A1"/>
    <w:rsid w:val="00985939"/>
    <w:rsid w:val="0098664F"/>
    <w:rsid w:val="009867CC"/>
    <w:rsid w:val="00986BB7"/>
    <w:rsid w:val="00987226"/>
    <w:rsid w:val="0098749C"/>
    <w:rsid w:val="009875D3"/>
    <w:rsid w:val="0098785E"/>
    <w:rsid w:val="00987E67"/>
    <w:rsid w:val="00990207"/>
    <w:rsid w:val="00991742"/>
    <w:rsid w:val="00991995"/>
    <w:rsid w:val="00991BE7"/>
    <w:rsid w:val="00992007"/>
    <w:rsid w:val="0099254F"/>
    <w:rsid w:val="00992B8B"/>
    <w:rsid w:val="00993E21"/>
    <w:rsid w:val="009941B5"/>
    <w:rsid w:val="00994B27"/>
    <w:rsid w:val="0099554F"/>
    <w:rsid w:val="00995E4B"/>
    <w:rsid w:val="00997556"/>
    <w:rsid w:val="009A1974"/>
    <w:rsid w:val="009A2140"/>
    <w:rsid w:val="009A276E"/>
    <w:rsid w:val="009A2C8A"/>
    <w:rsid w:val="009A2F92"/>
    <w:rsid w:val="009A3AAE"/>
    <w:rsid w:val="009A4162"/>
    <w:rsid w:val="009A4BD2"/>
    <w:rsid w:val="009A4FB1"/>
    <w:rsid w:val="009A51CD"/>
    <w:rsid w:val="009A53B7"/>
    <w:rsid w:val="009A56CA"/>
    <w:rsid w:val="009A5C18"/>
    <w:rsid w:val="009A5D8F"/>
    <w:rsid w:val="009A6164"/>
    <w:rsid w:val="009A6A5D"/>
    <w:rsid w:val="009A70FD"/>
    <w:rsid w:val="009A7307"/>
    <w:rsid w:val="009A77C7"/>
    <w:rsid w:val="009B0994"/>
    <w:rsid w:val="009B0FDA"/>
    <w:rsid w:val="009B1012"/>
    <w:rsid w:val="009B1AEC"/>
    <w:rsid w:val="009B1FB9"/>
    <w:rsid w:val="009B37EC"/>
    <w:rsid w:val="009B3C15"/>
    <w:rsid w:val="009B42D5"/>
    <w:rsid w:val="009B4493"/>
    <w:rsid w:val="009B4B7A"/>
    <w:rsid w:val="009B4BD0"/>
    <w:rsid w:val="009B4EFD"/>
    <w:rsid w:val="009B4F98"/>
    <w:rsid w:val="009B5249"/>
    <w:rsid w:val="009B5E9C"/>
    <w:rsid w:val="009B6A4F"/>
    <w:rsid w:val="009B6A73"/>
    <w:rsid w:val="009B6D09"/>
    <w:rsid w:val="009B6DE3"/>
    <w:rsid w:val="009B715A"/>
    <w:rsid w:val="009B7192"/>
    <w:rsid w:val="009C017D"/>
    <w:rsid w:val="009C0887"/>
    <w:rsid w:val="009C0ACB"/>
    <w:rsid w:val="009C0C92"/>
    <w:rsid w:val="009C0DB1"/>
    <w:rsid w:val="009C11EB"/>
    <w:rsid w:val="009C13E1"/>
    <w:rsid w:val="009C148D"/>
    <w:rsid w:val="009C1737"/>
    <w:rsid w:val="009C1918"/>
    <w:rsid w:val="009C1982"/>
    <w:rsid w:val="009C1ADC"/>
    <w:rsid w:val="009C21A7"/>
    <w:rsid w:val="009C2C51"/>
    <w:rsid w:val="009C360A"/>
    <w:rsid w:val="009C36BB"/>
    <w:rsid w:val="009C3F9D"/>
    <w:rsid w:val="009C400A"/>
    <w:rsid w:val="009C42BF"/>
    <w:rsid w:val="009C4914"/>
    <w:rsid w:val="009C50EA"/>
    <w:rsid w:val="009C52A7"/>
    <w:rsid w:val="009C5624"/>
    <w:rsid w:val="009C56FB"/>
    <w:rsid w:val="009C5DD6"/>
    <w:rsid w:val="009C6A6B"/>
    <w:rsid w:val="009C6EE7"/>
    <w:rsid w:val="009C7639"/>
    <w:rsid w:val="009C76C2"/>
    <w:rsid w:val="009C7B6F"/>
    <w:rsid w:val="009D04BF"/>
    <w:rsid w:val="009D0AAE"/>
    <w:rsid w:val="009D0E0B"/>
    <w:rsid w:val="009D12E6"/>
    <w:rsid w:val="009D1A30"/>
    <w:rsid w:val="009D1C75"/>
    <w:rsid w:val="009D2A37"/>
    <w:rsid w:val="009D3827"/>
    <w:rsid w:val="009D43EF"/>
    <w:rsid w:val="009D5047"/>
    <w:rsid w:val="009D57FE"/>
    <w:rsid w:val="009D5B0F"/>
    <w:rsid w:val="009D611D"/>
    <w:rsid w:val="009D6537"/>
    <w:rsid w:val="009D6B3A"/>
    <w:rsid w:val="009D6CDC"/>
    <w:rsid w:val="009D7028"/>
    <w:rsid w:val="009D7F63"/>
    <w:rsid w:val="009E02CB"/>
    <w:rsid w:val="009E0A05"/>
    <w:rsid w:val="009E0F89"/>
    <w:rsid w:val="009E118A"/>
    <w:rsid w:val="009E1DFA"/>
    <w:rsid w:val="009E1FCD"/>
    <w:rsid w:val="009E220B"/>
    <w:rsid w:val="009E27A2"/>
    <w:rsid w:val="009E33EE"/>
    <w:rsid w:val="009E3C09"/>
    <w:rsid w:val="009E3E2F"/>
    <w:rsid w:val="009E3F9E"/>
    <w:rsid w:val="009E4266"/>
    <w:rsid w:val="009E502D"/>
    <w:rsid w:val="009E540C"/>
    <w:rsid w:val="009E5526"/>
    <w:rsid w:val="009E570D"/>
    <w:rsid w:val="009E57FF"/>
    <w:rsid w:val="009E647B"/>
    <w:rsid w:val="009E6AD4"/>
    <w:rsid w:val="009E6D97"/>
    <w:rsid w:val="009E6FA3"/>
    <w:rsid w:val="009E75A4"/>
    <w:rsid w:val="009F03F6"/>
    <w:rsid w:val="009F1742"/>
    <w:rsid w:val="009F191E"/>
    <w:rsid w:val="009F192F"/>
    <w:rsid w:val="009F196A"/>
    <w:rsid w:val="009F1A4D"/>
    <w:rsid w:val="009F208C"/>
    <w:rsid w:val="009F2273"/>
    <w:rsid w:val="009F2E2E"/>
    <w:rsid w:val="009F3142"/>
    <w:rsid w:val="009F38E3"/>
    <w:rsid w:val="009F3E38"/>
    <w:rsid w:val="009F4280"/>
    <w:rsid w:val="009F49AC"/>
    <w:rsid w:val="009F50E6"/>
    <w:rsid w:val="009F5A55"/>
    <w:rsid w:val="009F5DA9"/>
    <w:rsid w:val="009F699A"/>
    <w:rsid w:val="009F6B8E"/>
    <w:rsid w:val="009F6D50"/>
    <w:rsid w:val="009F756E"/>
    <w:rsid w:val="00A0007F"/>
    <w:rsid w:val="00A0095D"/>
    <w:rsid w:val="00A00F67"/>
    <w:rsid w:val="00A00FB1"/>
    <w:rsid w:val="00A012D6"/>
    <w:rsid w:val="00A0145D"/>
    <w:rsid w:val="00A01683"/>
    <w:rsid w:val="00A01A2E"/>
    <w:rsid w:val="00A02485"/>
    <w:rsid w:val="00A02799"/>
    <w:rsid w:val="00A03420"/>
    <w:rsid w:val="00A03662"/>
    <w:rsid w:val="00A0399A"/>
    <w:rsid w:val="00A04696"/>
    <w:rsid w:val="00A04CD5"/>
    <w:rsid w:val="00A04E7C"/>
    <w:rsid w:val="00A0561C"/>
    <w:rsid w:val="00A0606F"/>
    <w:rsid w:val="00A0609E"/>
    <w:rsid w:val="00A07C8D"/>
    <w:rsid w:val="00A10547"/>
    <w:rsid w:val="00A10722"/>
    <w:rsid w:val="00A10860"/>
    <w:rsid w:val="00A10C5A"/>
    <w:rsid w:val="00A10E81"/>
    <w:rsid w:val="00A110E6"/>
    <w:rsid w:val="00A1214E"/>
    <w:rsid w:val="00A12DBC"/>
    <w:rsid w:val="00A12F8D"/>
    <w:rsid w:val="00A13229"/>
    <w:rsid w:val="00A1335F"/>
    <w:rsid w:val="00A14366"/>
    <w:rsid w:val="00A14D1B"/>
    <w:rsid w:val="00A1604E"/>
    <w:rsid w:val="00A175B3"/>
    <w:rsid w:val="00A20907"/>
    <w:rsid w:val="00A20DDB"/>
    <w:rsid w:val="00A218A3"/>
    <w:rsid w:val="00A21B97"/>
    <w:rsid w:val="00A21BA0"/>
    <w:rsid w:val="00A21EA3"/>
    <w:rsid w:val="00A22290"/>
    <w:rsid w:val="00A22458"/>
    <w:rsid w:val="00A228C1"/>
    <w:rsid w:val="00A23480"/>
    <w:rsid w:val="00A23650"/>
    <w:rsid w:val="00A23CC8"/>
    <w:rsid w:val="00A23EF1"/>
    <w:rsid w:val="00A2425B"/>
    <w:rsid w:val="00A2445B"/>
    <w:rsid w:val="00A249B4"/>
    <w:rsid w:val="00A24D8A"/>
    <w:rsid w:val="00A25365"/>
    <w:rsid w:val="00A261ED"/>
    <w:rsid w:val="00A264AE"/>
    <w:rsid w:val="00A2684B"/>
    <w:rsid w:val="00A26F25"/>
    <w:rsid w:val="00A27088"/>
    <w:rsid w:val="00A272C3"/>
    <w:rsid w:val="00A2734A"/>
    <w:rsid w:val="00A27586"/>
    <w:rsid w:val="00A27AF9"/>
    <w:rsid w:val="00A3064F"/>
    <w:rsid w:val="00A31146"/>
    <w:rsid w:val="00A3207D"/>
    <w:rsid w:val="00A32332"/>
    <w:rsid w:val="00A327AC"/>
    <w:rsid w:val="00A32BF2"/>
    <w:rsid w:val="00A331D0"/>
    <w:rsid w:val="00A339AC"/>
    <w:rsid w:val="00A34AD2"/>
    <w:rsid w:val="00A357EB"/>
    <w:rsid w:val="00A35D3A"/>
    <w:rsid w:val="00A35D45"/>
    <w:rsid w:val="00A363C5"/>
    <w:rsid w:val="00A37803"/>
    <w:rsid w:val="00A37D53"/>
    <w:rsid w:val="00A402BB"/>
    <w:rsid w:val="00A4075E"/>
    <w:rsid w:val="00A40EFF"/>
    <w:rsid w:val="00A40F87"/>
    <w:rsid w:val="00A410A6"/>
    <w:rsid w:val="00A41305"/>
    <w:rsid w:val="00A42699"/>
    <w:rsid w:val="00A42BED"/>
    <w:rsid w:val="00A42F13"/>
    <w:rsid w:val="00A439AA"/>
    <w:rsid w:val="00A43C9E"/>
    <w:rsid w:val="00A43F22"/>
    <w:rsid w:val="00A44190"/>
    <w:rsid w:val="00A445A7"/>
    <w:rsid w:val="00A452BE"/>
    <w:rsid w:val="00A45C02"/>
    <w:rsid w:val="00A46006"/>
    <w:rsid w:val="00A46270"/>
    <w:rsid w:val="00A47E45"/>
    <w:rsid w:val="00A500AB"/>
    <w:rsid w:val="00A504C8"/>
    <w:rsid w:val="00A50553"/>
    <w:rsid w:val="00A50846"/>
    <w:rsid w:val="00A50D29"/>
    <w:rsid w:val="00A515DB"/>
    <w:rsid w:val="00A51D3E"/>
    <w:rsid w:val="00A52071"/>
    <w:rsid w:val="00A523B8"/>
    <w:rsid w:val="00A5275C"/>
    <w:rsid w:val="00A5310C"/>
    <w:rsid w:val="00A54971"/>
    <w:rsid w:val="00A54B48"/>
    <w:rsid w:val="00A550DB"/>
    <w:rsid w:val="00A55EE1"/>
    <w:rsid w:val="00A563FE"/>
    <w:rsid w:val="00A5653F"/>
    <w:rsid w:val="00A56D1B"/>
    <w:rsid w:val="00A57A6B"/>
    <w:rsid w:val="00A57ABA"/>
    <w:rsid w:val="00A57DF6"/>
    <w:rsid w:val="00A603FE"/>
    <w:rsid w:val="00A609B6"/>
    <w:rsid w:val="00A61344"/>
    <w:rsid w:val="00A614EC"/>
    <w:rsid w:val="00A615E1"/>
    <w:rsid w:val="00A61938"/>
    <w:rsid w:val="00A61A69"/>
    <w:rsid w:val="00A62A0B"/>
    <w:rsid w:val="00A62E51"/>
    <w:rsid w:val="00A63B26"/>
    <w:rsid w:val="00A643DA"/>
    <w:rsid w:val="00A6445A"/>
    <w:rsid w:val="00A65D96"/>
    <w:rsid w:val="00A6618C"/>
    <w:rsid w:val="00A66258"/>
    <w:rsid w:val="00A66DB7"/>
    <w:rsid w:val="00A67102"/>
    <w:rsid w:val="00A671D6"/>
    <w:rsid w:val="00A67B99"/>
    <w:rsid w:val="00A67F79"/>
    <w:rsid w:val="00A70F32"/>
    <w:rsid w:val="00A71F7C"/>
    <w:rsid w:val="00A72CF9"/>
    <w:rsid w:val="00A73160"/>
    <w:rsid w:val="00A73759"/>
    <w:rsid w:val="00A73AA2"/>
    <w:rsid w:val="00A7440C"/>
    <w:rsid w:val="00A74C89"/>
    <w:rsid w:val="00A761D2"/>
    <w:rsid w:val="00A763A4"/>
    <w:rsid w:val="00A76649"/>
    <w:rsid w:val="00A7716F"/>
    <w:rsid w:val="00A77224"/>
    <w:rsid w:val="00A774C9"/>
    <w:rsid w:val="00A77691"/>
    <w:rsid w:val="00A80017"/>
    <w:rsid w:val="00A80773"/>
    <w:rsid w:val="00A810B0"/>
    <w:rsid w:val="00A81830"/>
    <w:rsid w:val="00A81A8D"/>
    <w:rsid w:val="00A835EF"/>
    <w:rsid w:val="00A83AAA"/>
    <w:rsid w:val="00A83B14"/>
    <w:rsid w:val="00A84973"/>
    <w:rsid w:val="00A84A57"/>
    <w:rsid w:val="00A855BE"/>
    <w:rsid w:val="00A85F19"/>
    <w:rsid w:val="00A86289"/>
    <w:rsid w:val="00A862AF"/>
    <w:rsid w:val="00A862E1"/>
    <w:rsid w:val="00A865FD"/>
    <w:rsid w:val="00A8689A"/>
    <w:rsid w:val="00A86A3B"/>
    <w:rsid w:val="00A87407"/>
    <w:rsid w:val="00A87F0C"/>
    <w:rsid w:val="00A9074D"/>
    <w:rsid w:val="00A909CC"/>
    <w:rsid w:val="00A90B4F"/>
    <w:rsid w:val="00A911EE"/>
    <w:rsid w:val="00A91714"/>
    <w:rsid w:val="00A91FDE"/>
    <w:rsid w:val="00A92B4A"/>
    <w:rsid w:val="00A93D67"/>
    <w:rsid w:val="00A94A01"/>
    <w:rsid w:val="00A94C6A"/>
    <w:rsid w:val="00A94DF4"/>
    <w:rsid w:val="00A95654"/>
    <w:rsid w:val="00A95694"/>
    <w:rsid w:val="00A95B5E"/>
    <w:rsid w:val="00A963D3"/>
    <w:rsid w:val="00A965EF"/>
    <w:rsid w:val="00A968CD"/>
    <w:rsid w:val="00A971CE"/>
    <w:rsid w:val="00A9747F"/>
    <w:rsid w:val="00A97694"/>
    <w:rsid w:val="00AA0F92"/>
    <w:rsid w:val="00AA1299"/>
    <w:rsid w:val="00AA17B9"/>
    <w:rsid w:val="00AA1AE8"/>
    <w:rsid w:val="00AA1B5F"/>
    <w:rsid w:val="00AA27A1"/>
    <w:rsid w:val="00AA3732"/>
    <w:rsid w:val="00AA38AD"/>
    <w:rsid w:val="00AA39C8"/>
    <w:rsid w:val="00AA3BFA"/>
    <w:rsid w:val="00AA3FB8"/>
    <w:rsid w:val="00AA40FA"/>
    <w:rsid w:val="00AA45C4"/>
    <w:rsid w:val="00AA4B85"/>
    <w:rsid w:val="00AA4D96"/>
    <w:rsid w:val="00AA4FFB"/>
    <w:rsid w:val="00AA524C"/>
    <w:rsid w:val="00AA5732"/>
    <w:rsid w:val="00AA58BF"/>
    <w:rsid w:val="00AA6020"/>
    <w:rsid w:val="00AA6311"/>
    <w:rsid w:val="00AA63CC"/>
    <w:rsid w:val="00AA704E"/>
    <w:rsid w:val="00AA7731"/>
    <w:rsid w:val="00AB065F"/>
    <w:rsid w:val="00AB0B49"/>
    <w:rsid w:val="00AB0B90"/>
    <w:rsid w:val="00AB0CC1"/>
    <w:rsid w:val="00AB0D3F"/>
    <w:rsid w:val="00AB1460"/>
    <w:rsid w:val="00AB1AF5"/>
    <w:rsid w:val="00AB25EB"/>
    <w:rsid w:val="00AB2D5C"/>
    <w:rsid w:val="00AB31EB"/>
    <w:rsid w:val="00AB31ED"/>
    <w:rsid w:val="00AB3585"/>
    <w:rsid w:val="00AB3773"/>
    <w:rsid w:val="00AB39EB"/>
    <w:rsid w:val="00AB483C"/>
    <w:rsid w:val="00AB4A71"/>
    <w:rsid w:val="00AB4F7A"/>
    <w:rsid w:val="00AB527E"/>
    <w:rsid w:val="00AB6025"/>
    <w:rsid w:val="00AB61BD"/>
    <w:rsid w:val="00AB64E1"/>
    <w:rsid w:val="00AB6A9D"/>
    <w:rsid w:val="00AB72B5"/>
    <w:rsid w:val="00AB7D08"/>
    <w:rsid w:val="00AC0600"/>
    <w:rsid w:val="00AC0FB8"/>
    <w:rsid w:val="00AC1021"/>
    <w:rsid w:val="00AC15AD"/>
    <w:rsid w:val="00AC1DA0"/>
    <w:rsid w:val="00AC1F0A"/>
    <w:rsid w:val="00AC26DD"/>
    <w:rsid w:val="00AC27F0"/>
    <w:rsid w:val="00AC2B34"/>
    <w:rsid w:val="00AC2D40"/>
    <w:rsid w:val="00AC332A"/>
    <w:rsid w:val="00AC3629"/>
    <w:rsid w:val="00AC3CAB"/>
    <w:rsid w:val="00AC4608"/>
    <w:rsid w:val="00AC4C66"/>
    <w:rsid w:val="00AC517E"/>
    <w:rsid w:val="00AC5EC8"/>
    <w:rsid w:val="00AC6203"/>
    <w:rsid w:val="00AC6EDE"/>
    <w:rsid w:val="00AD05F7"/>
    <w:rsid w:val="00AD0A66"/>
    <w:rsid w:val="00AD0E4F"/>
    <w:rsid w:val="00AD0FC5"/>
    <w:rsid w:val="00AD1192"/>
    <w:rsid w:val="00AD151B"/>
    <w:rsid w:val="00AD16FB"/>
    <w:rsid w:val="00AD1EC5"/>
    <w:rsid w:val="00AD1F24"/>
    <w:rsid w:val="00AD2271"/>
    <w:rsid w:val="00AD3050"/>
    <w:rsid w:val="00AD3C2F"/>
    <w:rsid w:val="00AD3D7F"/>
    <w:rsid w:val="00AD41EB"/>
    <w:rsid w:val="00AD4702"/>
    <w:rsid w:val="00AD4732"/>
    <w:rsid w:val="00AD55D4"/>
    <w:rsid w:val="00AD5B5C"/>
    <w:rsid w:val="00AD5C16"/>
    <w:rsid w:val="00AD6118"/>
    <w:rsid w:val="00AD6253"/>
    <w:rsid w:val="00AD63A0"/>
    <w:rsid w:val="00AD673A"/>
    <w:rsid w:val="00AD6FBA"/>
    <w:rsid w:val="00AD7776"/>
    <w:rsid w:val="00AD7A9C"/>
    <w:rsid w:val="00AD7F09"/>
    <w:rsid w:val="00AD7F11"/>
    <w:rsid w:val="00AE0140"/>
    <w:rsid w:val="00AE0E00"/>
    <w:rsid w:val="00AE12F4"/>
    <w:rsid w:val="00AE14AA"/>
    <w:rsid w:val="00AE1536"/>
    <w:rsid w:val="00AE1994"/>
    <w:rsid w:val="00AE207F"/>
    <w:rsid w:val="00AE2347"/>
    <w:rsid w:val="00AE2475"/>
    <w:rsid w:val="00AE2AC2"/>
    <w:rsid w:val="00AE3290"/>
    <w:rsid w:val="00AE32A7"/>
    <w:rsid w:val="00AE4D94"/>
    <w:rsid w:val="00AE4DC5"/>
    <w:rsid w:val="00AE577D"/>
    <w:rsid w:val="00AE59DF"/>
    <w:rsid w:val="00AE5EBE"/>
    <w:rsid w:val="00AE69A0"/>
    <w:rsid w:val="00AE6A36"/>
    <w:rsid w:val="00AE742E"/>
    <w:rsid w:val="00AE7749"/>
    <w:rsid w:val="00AF0239"/>
    <w:rsid w:val="00AF057C"/>
    <w:rsid w:val="00AF0BFA"/>
    <w:rsid w:val="00AF0C44"/>
    <w:rsid w:val="00AF0F36"/>
    <w:rsid w:val="00AF1522"/>
    <w:rsid w:val="00AF18AC"/>
    <w:rsid w:val="00AF1D26"/>
    <w:rsid w:val="00AF1ECD"/>
    <w:rsid w:val="00AF1FBE"/>
    <w:rsid w:val="00AF20D8"/>
    <w:rsid w:val="00AF2F61"/>
    <w:rsid w:val="00AF30C9"/>
    <w:rsid w:val="00AF3465"/>
    <w:rsid w:val="00AF3A84"/>
    <w:rsid w:val="00AF3EA0"/>
    <w:rsid w:val="00AF4CC2"/>
    <w:rsid w:val="00AF5255"/>
    <w:rsid w:val="00AF54A7"/>
    <w:rsid w:val="00AF5B68"/>
    <w:rsid w:val="00AF5BFF"/>
    <w:rsid w:val="00AF603B"/>
    <w:rsid w:val="00AF66D1"/>
    <w:rsid w:val="00AF6951"/>
    <w:rsid w:val="00AF7449"/>
    <w:rsid w:val="00AF74B5"/>
    <w:rsid w:val="00AF74EF"/>
    <w:rsid w:val="00AF7A47"/>
    <w:rsid w:val="00AF7B2D"/>
    <w:rsid w:val="00AF7F07"/>
    <w:rsid w:val="00B004A4"/>
    <w:rsid w:val="00B01674"/>
    <w:rsid w:val="00B01783"/>
    <w:rsid w:val="00B01EB5"/>
    <w:rsid w:val="00B02251"/>
    <w:rsid w:val="00B02291"/>
    <w:rsid w:val="00B028A7"/>
    <w:rsid w:val="00B02F81"/>
    <w:rsid w:val="00B03319"/>
    <w:rsid w:val="00B03C39"/>
    <w:rsid w:val="00B03E60"/>
    <w:rsid w:val="00B04956"/>
    <w:rsid w:val="00B04D25"/>
    <w:rsid w:val="00B04F90"/>
    <w:rsid w:val="00B0549E"/>
    <w:rsid w:val="00B05990"/>
    <w:rsid w:val="00B05AAD"/>
    <w:rsid w:val="00B05CEB"/>
    <w:rsid w:val="00B05F2F"/>
    <w:rsid w:val="00B06413"/>
    <w:rsid w:val="00B06536"/>
    <w:rsid w:val="00B0661F"/>
    <w:rsid w:val="00B071F8"/>
    <w:rsid w:val="00B0733F"/>
    <w:rsid w:val="00B074CE"/>
    <w:rsid w:val="00B103B2"/>
    <w:rsid w:val="00B10469"/>
    <w:rsid w:val="00B104DC"/>
    <w:rsid w:val="00B1089C"/>
    <w:rsid w:val="00B10C42"/>
    <w:rsid w:val="00B10FFA"/>
    <w:rsid w:val="00B11E53"/>
    <w:rsid w:val="00B1262B"/>
    <w:rsid w:val="00B1282D"/>
    <w:rsid w:val="00B12E53"/>
    <w:rsid w:val="00B1314D"/>
    <w:rsid w:val="00B13165"/>
    <w:rsid w:val="00B1319A"/>
    <w:rsid w:val="00B13925"/>
    <w:rsid w:val="00B1449A"/>
    <w:rsid w:val="00B147FF"/>
    <w:rsid w:val="00B15388"/>
    <w:rsid w:val="00B15719"/>
    <w:rsid w:val="00B15F3D"/>
    <w:rsid w:val="00B165A6"/>
    <w:rsid w:val="00B166FA"/>
    <w:rsid w:val="00B16A7E"/>
    <w:rsid w:val="00B1763F"/>
    <w:rsid w:val="00B1770C"/>
    <w:rsid w:val="00B17C11"/>
    <w:rsid w:val="00B2036D"/>
    <w:rsid w:val="00B20ECC"/>
    <w:rsid w:val="00B2109C"/>
    <w:rsid w:val="00B21D23"/>
    <w:rsid w:val="00B220F4"/>
    <w:rsid w:val="00B227C5"/>
    <w:rsid w:val="00B231FE"/>
    <w:rsid w:val="00B236AE"/>
    <w:rsid w:val="00B240C1"/>
    <w:rsid w:val="00B243FC"/>
    <w:rsid w:val="00B2449C"/>
    <w:rsid w:val="00B24663"/>
    <w:rsid w:val="00B246B5"/>
    <w:rsid w:val="00B24735"/>
    <w:rsid w:val="00B2514A"/>
    <w:rsid w:val="00B261DC"/>
    <w:rsid w:val="00B263C7"/>
    <w:rsid w:val="00B264D7"/>
    <w:rsid w:val="00B26737"/>
    <w:rsid w:val="00B276F2"/>
    <w:rsid w:val="00B27BC0"/>
    <w:rsid w:val="00B27BD6"/>
    <w:rsid w:val="00B27D68"/>
    <w:rsid w:val="00B27EA9"/>
    <w:rsid w:val="00B3022E"/>
    <w:rsid w:val="00B307FB"/>
    <w:rsid w:val="00B30ACC"/>
    <w:rsid w:val="00B3123E"/>
    <w:rsid w:val="00B312A2"/>
    <w:rsid w:val="00B32C9C"/>
    <w:rsid w:val="00B32D14"/>
    <w:rsid w:val="00B33298"/>
    <w:rsid w:val="00B338F8"/>
    <w:rsid w:val="00B338FE"/>
    <w:rsid w:val="00B3414D"/>
    <w:rsid w:val="00B341C6"/>
    <w:rsid w:val="00B35CD2"/>
    <w:rsid w:val="00B35F01"/>
    <w:rsid w:val="00B36198"/>
    <w:rsid w:val="00B36555"/>
    <w:rsid w:val="00B36633"/>
    <w:rsid w:val="00B37190"/>
    <w:rsid w:val="00B3735F"/>
    <w:rsid w:val="00B37523"/>
    <w:rsid w:val="00B40245"/>
    <w:rsid w:val="00B40955"/>
    <w:rsid w:val="00B4098A"/>
    <w:rsid w:val="00B409FA"/>
    <w:rsid w:val="00B40A96"/>
    <w:rsid w:val="00B40AA2"/>
    <w:rsid w:val="00B40DEE"/>
    <w:rsid w:val="00B40E4E"/>
    <w:rsid w:val="00B41410"/>
    <w:rsid w:val="00B41760"/>
    <w:rsid w:val="00B41C8F"/>
    <w:rsid w:val="00B424ED"/>
    <w:rsid w:val="00B4389B"/>
    <w:rsid w:val="00B43F71"/>
    <w:rsid w:val="00B451F8"/>
    <w:rsid w:val="00B458DE"/>
    <w:rsid w:val="00B45DE6"/>
    <w:rsid w:val="00B45FDA"/>
    <w:rsid w:val="00B474E0"/>
    <w:rsid w:val="00B47F6F"/>
    <w:rsid w:val="00B47FAE"/>
    <w:rsid w:val="00B50C86"/>
    <w:rsid w:val="00B51C51"/>
    <w:rsid w:val="00B52500"/>
    <w:rsid w:val="00B526FC"/>
    <w:rsid w:val="00B52A82"/>
    <w:rsid w:val="00B53031"/>
    <w:rsid w:val="00B535C2"/>
    <w:rsid w:val="00B5453A"/>
    <w:rsid w:val="00B54C80"/>
    <w:rsid w:val="00B55EED"/>
    <w:rsid w:val="00B5646F"/>
    <w:rsid w:val="00B565D4"/>
    <w:rsid w:val="00B56647"/>
    <w:rsid w:val="00B5681E"/>
    <w:rsid w:val="00B56FAE"/>
    <w:rsid w:val="00B57291"/>
    <w:rsid w:val="00B57AB7"/>
    <w:rsid w:val="00B57BE4"/>
    <w:rsid w:val="00B60218"/>
    <w:rsid w:val="00B607A1"/>
    <w:rsid w:val="00B6086E"/>
    <w:rsid w:val="00B60B4E"/>
    <w:rsid w:val="00B60F26"/>
    <w:rsid w:val="00B61096"/>
    <w:rsid w:val="00B61767"/>
    <w:rsid w:val="00B620BA"/>
    <w:rsid w:val="00B62C01"/>
    <w:rsid w:val="00B62FC0"/>
    <w:rsid w:val="00B63485"/>
    <w:rsid w:val="00B63508"/>
    <w:rsid w:val="00B64260"/>
    <w:rsid w:val="00B6481F"/>
    <w:rsid w:val="00B650BF"/>
    <w:rsid w:val="00B651CA"/>
    <w:rsid w:val="00B65859"/>
    <w:rsid w:val="00B66BD8"/>
    <w:rsid w:val="00B66EA3"/>
    <w:rsid w:val="00B66F2F"/>
    <w:rsid w:val="00B66FC8"/>
    <w:rsid w:val="00B674F6"/>
    <w:rsid w:val="00B679FC"/>
    <w:rsid w:val="00B67AA6"/>
    <w:rsid w:val="00B67B71"/>
    <w:rsid w:val="00B67FB4"/>
    <w:rsid w:val="00B704BD"/>
    <w:rsid w:val="00B705EA"/>
    <w:rsid w:val="00B7107A"/>
    <w:rsid w:val="00B71C08"/>
    <w:rsid w:val="00B71C83"/>
    <w:rsid w:val="00B7235A"/>
    <w:rsid w:val="00B7242D"/>
    <w:rsid w:val="00B72C6E"/>
    <w:rsid w:val="00B7369E"/>
    <w:rsid w:val="00B73DC7"/>
    <w:rsid w:val="00B73F83"/>
    <w:rsid w:val="00B74110"/>
    <w:rsid w:val="00B74233"/>
    <w:rsid w:val="00B744CE"/>
    <w:rsid w:val="00B748FC"/>
    <w:rsid w:val="00B754F7"/>
    <w:rsid w:val="00B75802"/>
    <w:rsid w:val="00B767F3"/>
    <w:rsid w:val="00B76E49"/>
    <w:rsid w:val="00B775D6"/>
    <w:rsid w:val="00B77AD4"/>
    <w:rsid w:val="00B77E04"/>
    <w:rsid w:val="00B80AE1"/>
    <w:rsid w:val="00B810CB"/>
    <w:rsid w:val="00B81569"/>
    <w:rsid w:val="00B82029"/>
    <w:rsid w:val="00B82937"/>
    <w:rsid w:val="00B8317E"/>
    <w:rsid w:val="00B83598"/>
    <w:rsid w:val="00B839B1"/>
    <w:rsid w:val="00B83F02"/>
    <w:rsid w:val="00B84C39"/>
    <w:rsid w:val="00B84D7E"/>
    <w:rsid w:val="00B84DE1"/>
    <w:rsid w:val="00B85091"/>
    <w:rsid w:val="00B85107"/>
    <w:rsid w:val="00B8511D"/>
    <w:rsid w:val="00B853DA"/>
    <w:rsid w:val="00B856D6"/>
    <w:rsid w:val="00B8577B"/>
    <w:rsid w:val="00B85DED"/>
    <w:rsid w:val="00B86B9E"/>
    <w:rsid w:val="00B86FEC"/>
    <w:rsid w:val="00B877E8"/>
    <w:rsid w:val="00B877FA"/>
    <w:rsid w:val="00B879FD"/>
    <w:rsid w:val="00B90581"/>
    <w:rsid w:val="00B9111E"/>
    <w:rsid w:val="00B911EB"/>
    <w:rsid w:val="00B9131F"/>
    <w:rsid w:val="00B9133F"/>
    <w:rsid w:val="00B91369"/>
    <w:rsid w:val="00B91DBF"/>
    <w:rsid w:val="00B934DE"/>
    <w:rsid w:val="00B93513"/>
    <w:rsid w:val="00B93617"/>
    <w:rsid w:val="00B93954"/>
    <w:rsid w:val="00B942BE"/>
    <w:rsid w:val="00B94400"/>
    <w:rsid w:val="00B946CC"/>
    <w:rsid w:val="00B95350"/>
    <w:rsid w:val="00B95650"/>
    <w:rsid w:val="00B95803"/>
    <w:rsid w:val="00B96204"/>
    <w:rsid w:val="00B96851"/>
    <w:rsid w:val="00B972B1"/>
    <w:rsid w:val="00B972CA"/>
    <w:rsid w:val="00B97665"/>
    <w:rsid w:val="00B97670"/>
    <w:rsid w:val="00B97703"/>
    <w:rsid w:val="00B9779E"/>
    <w:rsid w:val="00B9783C"/>
    <w:rsid w:val="00BA0993"/>
    <w:rsid w:val="00BA1752"/>
    <w:rsid w:val="00BA18D6"/>
    <w:rsid w:val="00BA19BB"/>
    <w:rsid w:val="00BA201E"/>
    <w:rsid w:val="00BA2150"/>
    <w:rsid w:val="00BA23FA"/>
    <w:rsid w:val="00BA2906"/>
    <w:rsid w:val="00BA2B32"/>
    <w:rsid w:val="00BA2F21"/>
    <w:rsid w:val="00BA2F36"/>
    <w:rsid w:val="00BA3261"/>
    <w:rsid w:val="00BA3843"/>
    <w:rsid w:val="00BA3ADF"/>
    <w:rsid w:val="00BA3CEE"/>
    <w:rsid w:val="00BA3EB4"/>
    <w:rsid w:val="00BA4D89"/>
    <w:rsid w:val="00BA4FA3"/>
    <w:rsid w:val="00BA61E8"/>
    <w:rsid w:val="00BA6578"/>
    <w:rsid w:val="00BA687D"/>
    <w:rsid w:val="00BA6D82"/>
    <w:rsid w:val="00BA7487"/>
    <w:rsid w:val="00BA785E"/>
    <w:rsid w:val="00BB010F"/>
    <w:rsid w:val="00BB0DFF"/>
    <w:rsid w:val="00BB14EC"/>
    <w:rsid w:val="00BB1BC6"/>
    <w:rsid w:val="00BB1CEA"/>
    <w:rsid w:val="00BB1F47"/>
    <w:rsid w:val="00BB1FEE"/>
    <w:rsid w:val="00BB2F06"/>
    <w:rsid w:val="00BB30CE"/>
    <w:rsid w:val="00BB365B"/>
    <w:rsid w:val="00BB4528"/>
    <w:rsid w:val="00BB4910"/>
    <w:rsid w:val="00BB6812"/>
    <w:rsid w:val="00BB6882"/>
    <w:rsid w:val="00BB6912"/>
    <w:rsid w:val="00BB6A14"/>
    <w:rsid w:val="00BB6A4D"/>
    <w:rsid w:val="00BC0330"/>
    <w:rsid w:val="00BC03A3"/>
    <w:rsid w:val="00BC0402"/>
    <w:rsid w:val="00BC05EC"/>
    <w:rsid w:val="00BC096D"/>
    <w:rsid w:val="00BC0D6A"/>
    <w:rsid w:val="00BC2335"/>
    <w:rsid w:val="00BC3413"/>
    <w:rsid w:val="00BC376C"/>
    <w:rsid w:val="00BC4030"/>
    <w:rsid w:val="00BC4B74"/>
    <w:rsid w:val="00BC58CD"/>
    <w:rsid w:val="00BC58FF"/>
    <w:rsid w:val="00BC6994"/>
    <w:rsid w:val="00BC77A1"/>
    <w:rsid w:val="00BC7CDA"/>
    <w:rsid w:val="00BD0344"/>
    <w:rsid w:val="00BD0394"/>
    <w:rsid w:val="00BD0BAD"/>
    <w:rsid w:val="00BD0D16"/>
    <w:rsid w:val="00BD0F3D"/>
    <w:rsid w:val="00BD1391"/>
    <w:rsid w:val="00BD1B56"/>
    <w:rsid w:val="00BD2369"/>
    <w:rsid w:val="00BD2545"/>
    <w:rsid w:val="00BD269E"/>
    <w:rsid w:val="00BD2710"/>
    <w:rsid w:val="00BD2E32"/>
    <w:rsid w:val="00BD4259"/>
    <w:rsid w:val="00BD47E1"/>
    <w:rsid w:val="00BD4B65"/>
    <w:rsid w:val="00BD54E8"/>
    <w:rsid w:val="00BD5C8B"/>
    <w:rsid w:val="00BD66D0"/>
    <w:rsid w:val="00BD6B63"/>
    <w:rsid w:val="00BD6BBA"/>
    <w:rsid w:val="00BD6FE3"/>
    <w:rsid w:val="00BD7168"/>
    <w:rsid w:val="00BD759B"/>
    <w:rsid w:val="00BE13F5"/>
    <w:rsid w:val="00BE1C62"/>
    <w:rsid w:val="00BE2092"/>
    <w:rsid w:val="00BE2EA6"/>
    <w:rsid w:val="00BE30B9"/>
    <w:rsid w:val="00BE35D7"/>
    <w:rsid w:val="00BE47DF"/>
    <w:rsid w:val="00BE4AEA"/>
    <w:rsid w:val="00BE4BA1"/>
    <w:rsid w:val="00BE4F1F"/>
    <w:rsid w:val="00BE51FF"/>
    <w:rsid w:val="00BE5907"/>
    <w:rsid w:val="00BE5D3C"/>
    <w:rsid w:val="00BE6147"/>
    <w:rsid w:val="00BE63FB"/>
    <w:rsid w:val="00BE6911"/>
    <w:rsid w:val="00BE69F1"/>
    <w:rsid w:val="00BE74B5"/>
    <w:rsid w:val="00BE7679"/>
    <w:rsid w:val="00BE77AE"/>
    <w:rsid w:val="00BE790E"/>
    <w:rsid w:val="00BE7EA7"/>
    <w:rsid w:val="00BF00F9"/>
    <w:rsid w:val="00BF020E"/>
    <w:rsid w:val="00BF0721"/>
    <w:rsid w:val="00BF0BD4"/>
    <w:rsid w:val="00BF0E58"/>
    <w:rsid w:val="00BF17E0"/>
    <w:rsid w:val="00BF1BD0"/>
    <w:rsid w:val="00BF1C2C"/>
    <w:rsid w:val="00BF1F03"/>
    <w:rsid w:val="00BF2349"/>
    <w:rsid w:val="00BF2701"/>
    <w:rsid w:val="00BF3104"/>
    <w:rsid w:val="00BF3785"/>
    <w:rsid w:val="00BF3C3E"/>
    <w:rsid w:val="00BF3FF2"/>
    <w:rsid w:val="00BF4445"/>
    <w:rsid w:val="00BF4829"/>
    <w:rsid w:val="00BF559E"/>
    <w:rsid w:val="00BF5CA6"/>
    <w:rsid w:val="00BF5D0E"/>
    <w:rsid w:val="00BF60F5"/>
    <w:rsid w:val="00BF615F"/>
    <w:rsid w:val="00BF6CF7"/>
    <w:rsid w:val="00BF6D0A"/>
    <w:rsid w:val="00BF6F09"/>
    <w:rsid w:val="00BF7AAC"/>
    <w:rsid w:val="00BF7D00"/>
    <w:rsid w:val="00C00052"/>
    <w:rsid w:val="00C003C8"/>
    <w:rsid w:val="00C003E6"/>
    <w:rsid w:val="00C00698"/>
    <w:rsid w:val="00C00D75"/>
    <w:rsid w:val="00C00FC2"/>
    <w:rsid w:val="00C01156"/>
    <w:rsid w:val="00C01364"/>
    <w:rsid w:val="00C015AD"/>
    <w:rsid w:val="00C018BB"/>
    <w:rsid w:val="00C028D2"/>
    <w:rsid w:val="00C02F8A"/>
    <w:rsid w:val="00C0323A"/>
    <w:rsid w:val="00C032B9"/>
    <w:rsid w:val="00C0334D"/>
    <w:rsid w:val="00C037F5"/>
    <w:rsid w:val="00C03BF3"/>
    <w:rsid w:val="00C040AE"/>
    <w:rsid w:val="00C046E0"/>
    <w:rsid w:val="00C047B5"/>
    <w:rsid w:val="00C048FF"/>
    <w:rsid w:val="00C05B5A"/>
    <w:rsid w:val="00C05F43"/>
    <w:rsid w:val="00C0630F"/>
    <w:rsid w:val="00C0634E"/>
    <w:rsid w:val="00C068AB"/>
    <w:rsid w:val="00C06923"/>
    <w:rsid w:val="00C07261"/>
    <w:rsid w:val="00C07B0F"/>
    <w:rsid w:val="00C07F65"/>
    <w:rsid w:val="00C10B1A"/>
    <w:rsid w:val="00C10B39"/>
    <w:rsid w:val="00C1154F"/>
    <w:rsid w:val="00C12947"/>
    <w:rsid w:val="00C12A36"/>
    <w:rsid w:val="00C12DB7"/>
    <w:rsid w:val="00C13547"/>
    <w:rsid w:val="00C13724"/>
    <w:rsid w:val="00C13DF5"/>
    <w:rsid w:val="00C14243"/>
    <w:rsid w:val="00C14749"/>
    <w:rsid w:val="00C14B4E"/>
    <w:rsid w:val="00C14B6A"/>
    <w:rsid w:val="00C157B8"/>
    <w:rsid w:val="00C15BAD"/>
    <w:rsid w:val="00C163B3"/>
    <w:rsid w:val="00C1655E"/>
    <w:rsid w:val="00C165DD"/>
    <w:rsid w:val="00C16985"/>
    <w:rsid w:val="00C17AB9"/>
    <w:rsid w:val="00C17FAA"/>
    <w:rsid w:val="00C208FD"/>
    <w:rsid w:val="00C20946"/>
    <w:rsid w:val="00C21445"/>
    <w:rsid w:val="00C216CD"/>
    <w:rsid w:val="00C232AB"/>
    <w:rsid w:val="00C234B2"/>
    <w:rsid w:val="00C238C4"/>
    <w:rsid w:val="00C23983"/>
    <w:rsid w:val="00C23B0B"/>
    <w:rsid w:val="00C24452"/>
    <w:rsid w:val="00C2465F"/>
    <w:rsid w:val="00C249DD"/>
    <w:rsid w:val="00C252C1"/>
    <w:rsid w:val="00C25F53"/>
    <w:rsid w:val="00C27196"/>
    <w:rsid w:val="00C27CC8"/>
    <w:rsid w:val="00C302E7"/>
    <w:rsid w:val="00C30B63"/>
    <w:rsid w:val="00C3156D"/>
    <w:rsid w:val="00C32146"/>
    <w:rsid w:val="00C3229F"/>
    <w:rsid w:val="00C330FB"/>
    <w:rsid w:val="00C33C8B"/>
    <w:rsid w:val="00C33E82"/>
    <w:rsid w:val="00C340C3"/>
    <w:rsid w:val="00C348EA"/>
    <w:rsid w:val="00C34D54"/>
    <w:rsid w:val="00C357E8"/>
    <w:rsid w:val="00C358B9"/>
    <w:rsid w:val="00C36109"/>
    <w:rsid w:val="00C361B4"/>
    <w:rsid w:val="00C36B6E"/>
    <w:rsid w:val="00C370CE"/>
    <w:rsid w:val="00C37183"/>
    <w:rsid w:val="00C372D3"/>
    <w:rsid w:val="00C372E2"/>
    <w:rsid w:val="00C40104"/>
    <w:rsid w:val="00C406DB"/>
    <w:rsid w:val="00C40F0D"/>
    <w:rsid w:val="00C41582"/>
    <w:rsid w:val="00C41BA9"/>
    <w:rsid w:val="00C41DF0"/>
    <w:rsid w:val="00C4281A"/>
    <w:rsid w:val="00C42CA6"/>
    <w:rsid w:val="00C42D2F"/>
    <w:rsid w:val="00C43104"/>
    <w:rsid w:val="00C43890"/>
    <w:rsid w:val="00C43B60"/>
    <w:rsid w:val="00C44209"/>
    <w:rsid w:val="00C44657"/>
    <w:rsid w:val="00C4475D"/>
    <w:rsid w:val="00C450F9"/>
    <w:rsid w:val="00C45D50"/>
    <w:rsid w:val="00C461D9"/>
    <w:rsid w:val="00C4622C"/>
    <w:rsid w:val="00C463BF"/>
    <w:rsid w:val="00C47318"/>
    <w:rsid w:val="00C50A5A"/>
    <w:rsid w:val="00C50C17"/>
    <w:rsid w:val="00C50D3F"/>
    <w:rsid w:val="00C50D61"/>
    <w:rsid w:val="00C51197"/>
    <w:rsid w:val="00C5130F"/>
    <w:rsid w:val="00C513D8"/>
    <w:rsid w:val="00C51442"/>
    <w:rsid w:val="00C528AA"/>
    <w:rsid w:val="00C52F17"/>
    <w:rsid w:val="00C531E4"/>
    <w:rsid w:val="00C54310"/>
    <w:rsid w:val="00C5472E"/>
    <w:rsid w:val="00C54AFB"/>
    <w:rsid w:val="00C54F97"/>
    <w:rsid w:val="00C54FCD"/>
    <w:rsid w:val="00C55129"/>
    <w:rsid w:val="00C55A0F"/>
    <w:rsid w:val="00C55B54"/>
    <w:rsid w:val="00C55C82"/>
    <w:rsid w:val="00C55D5B"/>
    <w:rsid w:val="00C60101"/>
    <w:rsid w:val="00C6076B"/>
    <w:rsid w:val="00C609BE"/>
    <w:rsid w:val="00C60AE4"/>
    <w:rsid w:val="00C61004"/>
    <w:rsid w:val="00C6113F"/>
    <w:rsid w:val="00C6167A"/>
    <w:rsid w:val="00C6169A"/>
    <w:rsid w:val="00C629C2"/>
    <w:rsid w:val="00C63082"/>
    <w:rsid w:val="00C6329C"/>
    <w:rsid w:val="00C636FC"/>
    <w:rsid w:val="00C64D7A"/>
    <w:rsid w:val="00C64FE8"/>
    <w:rsid w:val="00C65D25"/>
    <w:rsid w:val="00C65D51"/>
    <w:rsid w:val="00C667F0"/>
    <w:rsid w:val="00C66BD9"/>
    <w:rsid w:val="00C6708E"/>
    <w:rsid w:val="00C67715"/>
    <w:rsid w:val="00C678F2"/>
    <w:rsid w:val="00C67922"/>
    <w:rsid w:val="00C67A17"/>
    <w:rsid w:val="00C67ACE"/>
    <w:rsid w:val="00C67F53"/>
    <w:rsid w:val="00C701DE"/>
    <w:rsid w:val="00C70EF8"/>
    <w:rsid w:val="00C71784"/>
    <w:rsid w:val="00C71873"/>
    <w:rsid w:val="00C720B0"/>
    <w:rsid w:val="00C723D5"/>
    <w:rsid w:val="00C7271A"/>
    <w:rsid w:val="00C72B6C"/>
    <w:rsid w:val="00C72E2D"/>
    <w:rsid w:val="00C730FD"/>
    <w:rsid w:val="00C73489"/>
    <w:rsid w:val="00C735F2"/>
    <w:rsid w:val="00C73B73"/>
    <w:rsid w:val="00C743E7"/>
    <w:rsid w:val="00C744B5"/>
    <w:rsid w:val="00C74C6D"/>
    <w:rsid w:val="00C753F4"/>
    <w:rsid w:val="00C75DF6"/>
    <w:rsid w:val="00C772B1"/>
    <w:rsid w:val="00C77367"/>
    <w:rsid w:val="00C7736D"/>
    <w:rsid w:val="00C778DC"/>
    <w:rsid w:val="00C77A68"/>
    <w:rsid w:val="00C8001F"/>
    <w:rsid w:val="00C80107"/>
    <w:rsid w:val="00C804CB"/>
    <w:rsid w:val="00C809EA"/>
    <w:rsid w:val="00C81221"/>
    <w:rsid w:val="00C813B4"/>
    <w:rsid w:val="00C816A9"/>
    <w:rsid w:val="00C819CA"/>
    <w:rsid w:val="00C82794"/>
    <w:rsid w:val="00C83A23"/>
    <w:rsid w:val="00C83D11"/>
    <w:rsid w:val="00C84108"/>
    <w:rsid w:val="00C846E7"/>
    <w:rsid w:val="00C8494F"/>
    <w:rsid w:val="00C8497E"/>
    <w:rsid w:val="00C84B98"/>
    <w:rsid w:val="00C84E24"/>
    <w:rsid w:val="00C85CAF"/>
    <w:rsid w:val="00C85E24"/>
    <w:rsid w:val="00C85FDE"/>
    <w:rsid w:val="00C864E0"/>
    <w:rsid w:val="00C86997"/>
    <w:rsid w:val="00C87428"/>
    <w:rsid w:val="00C87798"/>
    <w:rsid w:val="00C87B11"/>
    <w:rsid w:val="00C87E0C"/>
    <w:rsid w:val="00C90311"/>
    <w:rsid w:val="00C90505"/>
    <w:rsid w:val="00C91026"/>
    <w:rsid w:val="00C91033"/>
    <w:rsid w:val="00C913D7"/>
    <w:rsid w:val="00C92463"/>
    <w:rsid w:val="00C931FF"/>
    <w:rsid w:val="00C93CCB"/>
    <w:rsid w:val="00C93E7B"/>
    <w:rsid w:val="00C94488"/>
    <w:rsid w:val="00C94908"/>
    <w:rsid w:val="00C94C3F"/>
    <w:rsid w:val="00C954B0"/>
    <w:rsid w:val="00C95CE2"/>
    <w:rsid w:val="00C962B6"/>
    <w:rsid w:val="00C964EF"/>
    <w:rsid w:val="00C96A0F"/>
    <w:rsid w:val="00C96A13"/>
    <w:rsid w:val="00C96D6D"/>
    <w:rsid w:val="00C97862"/>
    <w:rsid w:val="00CA12BD"/>
    <w:rsid w:val="00CA1AA3"/>
    <w:rsid w:val="00CA1E2E"/>
    <w:rsid w:val="00CA1EB9"/>
    <w:rsid w:val="00CA1F54"/>
    <w:rsid w:val="00CA28D7"/>
    <w:rsid w:val="00CA35F1"/>
    <w:rsid w:val="00CA3CF6"/>
    <w:rsid w:val="00CA3D2B"/>
    <w:rsid w:val="00CA4090"/>
    <w:rsid w:val="00CA4A52"/>
    <w:rsid w:val="00CA4EB0"/>
    <w:rsid w:val="00CA5703"/>
    <w:rsid w:val="00CA6D81"/>
    <w:rsid w:val="00CA7241"/>
    <w:rsid w:val="00CA7380"/>
    <w:rsid w:val="00CB05F8"/>
    <w:rsid w:val="00CB0C89"/>
    <w:rsid w:val="00CB123B"/>
    <w:rsid w:val="00CB18FB"/>
    <w:rsid w:val="00CB19EF"/>
    <w:rsid w:val="00CB19FA"/>
    <w:rsid w:val="00CB2222"/>
    <w:rsid w:val="00CB2289"/>
    <w:rsid w:val="00CB295F"/>
    <w:rsid w:val="00CB2E94"/>
    <w:rsid w:val="00CB30DC"/>
    <w:rsid w:val="00CB39AA"/>
    <w:rsid w:val="00CB3B87"/>
    <w:rsid w:val="00CB3EEE"/>
    <w:rsid w:val="00CB3F51"/>
    <w:rsid w:val="00CB42B4"/>
    <w:rsid w:val="00CB4C1F"/>
    <w:rsid w:val="00CB4FC4"/>
    <w:rsid w:val="00CB5513"/>
    <w:rsid w:val="00CB5604"/>
    <w:rsid w:val="00CB5EB4"/>
    <w:rsid w:val="00CB5FF5"/>
    <w:rsid w:val="00CB77A0"/>
    <w:rsid w:val="00CB7AC2"/>
    <w:rsid w:val="00CB7E49"/>
    <w:rsid w:val="00CB7E60"/>
    <w:rsid w:val="00CC143F"/>
    <w:rsid w:val="00CC1F0B"/>
    <w:rsid w:val="00CC24B6"/>
    <w:rsid w:val="00CC2AFF"/>
    <w:rsid w:val="00CC3290"/>
    <w:rsid w:val="00CC36D7"/>
    <w:rsid w:val="00CC3B56"/>
    <w:rsid w:val="00CC3BC1"/>
    <w:rsid w:val="00CC3C76"/>
    <w:rsid w:val="00CC3DD9"/>
    <w:rsid w:val="00CC4B9F"/>
    <w:rsid w:val="00CC4E37"/>
    <w:rsid w:val="00CC56F7"/>
    <w:rsid w:val="00CC5AB6"/>
    <w:rsid w:val="00CC5F2E"/>
    <w:rsid w:val="00CC61ED"/>
    <w:rsid w:val="00CC63CC"/>
    <w:rsid w:val="00CC6729"/>
    <w:rsid w:val="00CC6F8B"/>
    <w:rsid w:val="00CC73B0"/>
    <w:rsid w:val="00CC786C"/>
    <w:rsid w:val="00CC790F"/>
    <w:rsid w:val="00CC7C19"/>
    <w:rsid w:val="00CD00E4"/>
    <w:rsid w:val="00CD0676"/>
    <w:rsid w:val="00CD0E7E"/>
    <w:rsid w:val="00CD1CC0"/>
    <w:rsid w:val="00CD2141"/>
    <w:rsid w:val="00CD2A9B"/>
    <w:rsid w:val="00CD2EB4"/>
    <w:rsid w:val="00CD3006"/>
    <w:rsid w:val="00CD30C4"/>
    <w:rsid w:val="00CD3268"/>
    <w:rsid w:val="00CD4A54"/>
    <w:rsid w:val="00CD4A8F"/>
    <w:rsid w:val="00CD4BCC"/>
    <w:rsid w:val="00CD4D14"/>
    <w:rsid w:val="00CD4EB9"/>
    <w:rsid w:val="00CD5E7B"/>
    <w:rsid w:val="00CD6BB6"/>
    <w:rsid w:val="00CD763E"/>
    <w:rsid w:val="00CD77F9"/>
    <w:rsid w:val="00CD7C7E"/>
    <w:rsid w:val="00CE0334"/>
    <w:rsid w:val="00CE0A16"/>
    <w:rsid w:val="00CE0A3D"/>
    <w:rsid w:val="00CE101B"/>
    <w:rsid w:val="00CE21ED"/>
    <w:rsid w:val="00CE2789"/>
    <w:rsid w:val="00CE3060"/>
    <w:rsid w:val="00CE331D"/>
    <w:rsid w:val="00CE343B"/>
    <w:rsid w:val="00CE3495"/>
    <w:rsid w:val="00CE42A6"/>
    <w:rsid w:val="00CE447B"/>
    <w:rsid w:val="00CE4634"/>
    <w:rsid w:val="00CE487C"/>
    <w:rsid w:val="00CE4CF0"/>
    <w:rsid w:val="00CE5509"/>
    <w:rsid w:val="00CE60B5"/>
    <w:rsid w:val="00CE669C"/>
    <w:rsid w:val="00CE694F"/>
    <w:rsid w:val="00CE6B9A"/>
    <w:rsid w:val="00CE7549"/>
    <w:rsid w:val="00CF0F81"/>
    <w:rsid w:val="00CF0FF5"/>
    <w:rsid w:val="00CF1207"/>
    <w:rsid w:val="00CF141D"/>
    <w:rsid w:val="00CF1952"/>
    <w:rsid w:val="00CF1958"/>
    <w:rsid w:val="00CF1EC9"/>
    <w:rsid w:val="00CF22DC"/>
    <w:rsid w:val="00CF233A"/>
    <w:rsid w:val="00CF257D"/>
    <w:rsid w:val="00CF2623"/>
    <w:rsid w:val="00CF28A6"/>
    <w:rsid w:val="00CF2FA6"/>
    <w:rsid w:val="00CF3306"/>
    <w:rsid w:val="00CF3D40"/>
    <w:rsid w:val="00CF4707"/>
    <w:rsid w:val="00CF4E1F"/>
    <w:rsid w:val="00CF5228"/>
    <w:rsid w:val="00CF5D05"/>
    <w:rsid w:val="00CF5D47"/>
    <w:rsid w:val="00CF70D2"/>
    <w:rsid w:val="00CF7827"/>
    <w:rsid w:val="00CF7A56"/>
    <w:rsid w:val="00CF7D1F"/>
    <w:rsid w:val="00D00D45"/>
    <w:rsid w:val="00D00FA7"/>
    <w:rsid w:val="00D01341"/>
    <w:rsid w:val="00D01411"/>
    <w:rsid w:val="00D01974"/>
    <w:rsid w:val="00D01993"/>
    <w:rsid w:val="00D0267C"/>
    <w:rsid w:val="00D0287C"/>
    <w:rsid w:val="00D02957"/>
    <w:rsid w:val="00D034AE"/>
    <w:rsid w:val="00D03519"/>
    <w:rsid w:val="00D03AC7"/>
    <w:rsid w:val="00D03B5A"/>
    <w:rsid w:val="00D04428"/>
    <w:rsid w:val="00D045AC"/>
    <w:rsid w:val="00D04729"/>
    <w:rsid w:val="00D04BC4"/>
    <w:rsid w:val="00D04C1B"/>
    <w:rsid w:val="00D051AA"/>
    <w:rsid w:val="00D05AE7"/>
    <w:rsid w:val="00D06036"/>
    <w:rsid w:val="00D07472"/>
    <w:rsid w:val="00D1049A"/>
    <w:rsid w:val="00D10D2A"/>
    <w:rsid w:val="00D10FB5"/>
    <w:rsid w:val="00D11818"/>
    <w:rsid w:val="00D12680"/>
    <w:rsid w:val="00D14020"/>
    <w:rsid w:val="00D14722"/>
    <w:rsid w:val="00D14748"/>
    <w:rsid w:val="00D14D9E"/>
    <w:rsid w:val="00D14EA5"/>
    <w:rsid w:val="00D153B5"/>
    <w:rsid w:val="00D156C3"/>
    <w:rsid w:val="00D15FDD"/>
    <w:rsid w:val="00D16832"/>
    <w:rsid w:val="00D16F58"/>
    <w:rsid w:val="00D17D1A"/>
    <w:rsid w:val="00D2006F"/>
    <w:rsid w:val="00D206FC"/>
    <w:rsid w:val="00D209D4"/>
    <w:rsid w:val="00D2130E"/>
    <w:rsid w:val="00D213B7"/>
    <w:rsid w:val="00D21F44"/>
    <w:rsid w:val="00D22769"/>
    <w:rsid w:val="00D22DA3"/>
    <w:rsid w:val="00D23151"/>
    <w:rsid w:val="00D232EE"/>
    <w:rsid w:val="00D23B59"/>
    <w:rsid w:val="00D23CA0"/>
    <w:rsid w:val="00D25121"/>
    <w:rsid w:val="00D256DD"/>
    <w:rsid w:val="00D258A3"/>
    <w:rsid w:val="00D25B14"/>
    <w:rsid w:val="00D25D95"/>
    <w:rsid w:val="00D25F0D"/>
    <w:rsid w:val="00D25F76"/>
    <w:rsid w:val="00D2636F"/>
    <w:rsid w:val="00D26DE2"/>
    <w:rsid w:val="00D26F93"/>
    <w:rsid w:val="00D27B8A"/>
    <w:rsid w:val="00D302AA"/>
    <w:rsid w:val="00D3049A"/>
    <w:rsid w:val="00D30752"/>
    <w:rsid w:val="00D3098A"/>
    <w:rsid w:val="00D30BA1"/>
    <w:rsid w:val="00D31FC6"/>
    <w:rsid w:val="00D33118"/>
    <w:rsid w:val="00D34114"/>
    <w:rsid w:val="00D34E13"/>
    <w:rsid w:val="00D363FF"/>
    <w:rsid w:val="00D36649"/>
    <w:rsid w:val="00D3752F"/>
    <w:rsid w:val="00D37B71"/>
    <w:rsid w:val="00D4001B"/>
    <w:rsid w:val="00D4026E"/>
    <w:rsid w:val="00D4094A"/>
    <w:rsid w:val="00D40DF7"/>
    <w:rsid w:val="00D4102A"/>
    <w:rsid w:val="00D41310"/>
    <w:rsid w:val="00D41369"/>
    <w:rsid w:val="00D41F79"/>
    <w:rsid w:val="00D42999"/>
    <w:rsid w:val="00D42A4E"/>
    <w:rsid w:val="00D42C2D"/>
    <w:rsid w:val="00D42F02"/>
    <w:rsid w:val="00D4351B"/>
    <w:rsid w:val="00D43641"/>
    <w:rsid w:val="00D43E49"/>
    <w:rsid w:val="00D442F0"/>
    <w:rsid w:val="00D44B5C"/>
    <w:rsid w:val="00D44C9C"/>
    <w:rsid w:val="00D4513A"/>
    <w:rsid w:val="00D4589A"/>
    <w:rsid w:val="00D45B6B"/>
    <w:rsid w:val="00D45BC1"/>
    <w:rsid w:val="00D45C9E"/>
    <w:rsid w:val="00D45E3B"/>
    <w:rsid w:val="00D45E55"/>
    <w:rsid w:val="00D45EAD"/>
    <w:rsid w:val="00D45F32"/>
    <w:rsid w:val="00D46043"/>
    <w:rsid w:val="00D46191"/>
    <w:rsid w:val="00D46366"/>
    <w:rsid w:val="00D465A7"/>
    <w:rsid w:val="00D4680D"/>
    <w:rsid w:val="00D46EBF"/>
    <w:rsid w:val="00D46FE5"/>
    <w:rsid w:val="00D47AD7"/>
    <w:rsid w:val="00D50252"/>
    <w:rsid w:val="00D50420"/>
    <w:rsid w:val="00D50503"/>
    <w:rsid w:val="00D50B14"/>
    <w:rsid w:val="00D511B6"/>
    <w:rsid w:val="00D51755"/>
    <w:rsid w:val="00D51F71"/>
    <w:rsid w:val="00D525FF"/>
    <w:rsid w:val="00D52980"/>
    <w:rsid w:val="00D52B8B"/>
    <w:rsid w:val="00D5332E"/>
    <w:rsid w:val="00D533EB"/>
    <w:rsid w:val="00D535E0"/>
    <w:rsid w:val="00D535E6"/>
    <w:rsid w:val="00D5382D"/>
    <w:rsid w:val="00D53A41"/>
    <w:rsid w:val="00D54908"/>
    <w:rsid w:val="00D54A52"/>
    <w:rsid w:val="00D54B6D"/>
    <w:rsid w:val="00D54E2A"/>
    <w:rsid w:val="00D552CE"/>
    <w:rsid w:val="00D55397"/>
    <w:rsid w:val="00D55726"/>
    <w:rsid w:val="00D55CEB"/>
    <w:rsid w:val="00D55D66"/>
    <w:rsid w:val="00D56508"/>
    <w:rsid w:val="00D56DE8"/>
    <w:rsid w:val="00D570AE"/>
    <w:rsid w:val="00D6033E"/>
    <w:rsid w:val="00D603B8"/>
    <w:rsid w:val="00D60575"/>
    <w:rsid w:val="00D60782"/>
    <w:rsid w:val="00D60D4B"/>
    <w:rsid w:val="00D6120B"/>
    <w:rsid w:val="00D613D3"/>
    <w:rsid w:val="00D6200E"/>
    <w:rsid w:val="00D621DB"/>
    <w:rsid w:val="00D6250E"/>
    <w:rsid w:val="00D64069"/>
    <w:rsid w:val="00D64790"/>
    <w:rsid w:val="00D647B9"/>
    <w:rsid w:val="00D64BA4"/>
    <w:rsid w:val="00D65102"/>
    <w:rsid w:val="00D656DA"/>
    <w:rsid w:val="00D65E1F"/>
    <w:rsid w:val="00D65E6C"/>
    <w:rsid w:val="00D65F7E"/>
    <w:rsid w:val="00D66059"/>
    <w:rsid w:val="00D662A6"/>
    <w:rsid w:val="00D66D1F"/>
    <w:rsid w:val="00D6716A"/>
    <w:rsid w:val="00D671A5"/>
    <w:rsid w:val="00D67D6F"/>
    <w:rsid w:val="00D7008B"/>
    <w:rsid w:val="00D70421"/>
    <w:rsid w:val="00D70C6A"/>
    <w:rsid w:val="00D70CF1"/>
    <w:rsid w:val="00D71424"/>
    <w:rsid w:val="00D714CA"/>
    <w:rsid w:val="00D71558"/>
    <w:rsid w:val="00D7179D"/>
    <w:rsid w:val="00D72575"/>
    <w:rsid w:val="00D729D0"/>
    <w:rsid w:val="00D73478"/>
    <w:rsid w:val="00D74442"/>
    <w:rsid w:val="00D749D5"/>
    <w:rsid w:val="00D74D3C"/>
    <w:rsid w:val="00D75642"/>
    <w:rsid w:val="00D75E34"/>
    <w:rsid w:val="00D76334"/>
    <w:rsid w:val="00D76562"/>
    <w:rsid w:val="00D767EB"/>
    <w:rsid w:val="00D768F1"/>
    <w:rsid w:val="00D76BD5"/>
    <w:rsid w:val="00D76CA4"/>
    <w:rsid w:val="00D77CF2"/>
    <w:rsid w:val="00D801DD"/>
    <w:rsid w:val="00D80771"/>
    <w:rsid w:val="00D81391"/>
    <w:rsid w:val="00D8152B"/>
    <w:rsid w:val="00D81D5D"/>
    <w:rsid w:val="00D82134"/>
    <w:rsid w:val="00D8240C"/>
    <w:rsid w:val="00D8272D"/>
    <w:rsid w:val="00D82BED"/>
    <w:rsid w:val="00D82C56"/>
    <w:rsid w:val="00D8301B"/>
    <w:rsid w:val="00D830A0"/>
    <w:rsid w:val="00D837A4"/>
    <w:rsid w:val="00D838EB"/>
    <w:rsid w:val="00D83E32"/>
    <w:rsid w:val="00D83EDE"/>
    <w:rsid w:val="00D84FEB"/>
    <w:rsid w:val="00D85039"/>
    <w:rsid w:val="00D85F3C"/>
    <w:rsid w:val="00D868A2"/>
    <w:rsid w:val="00D86F08"/>
    <w:rsid w:val="00D86F0B"/>
    <w:rsid w:val="00D87AD2"/>
    <w:rsid w:val="00D9053E"/>
    <w:rsid w:val="00D90AAB"/>
    <w:rsid w:val="00D90B1A"/>
    <w:rsid w:val="00D90B93"/>
    <w:rsid w:val="00D911D8"/>
    <w:rsid w:val="00D91268"/>
    <w:rsid w:val="00D93DE8"/>
    <w:rsid w:val="00D944A7"/>
    <w:rsid w:val="00D94742"/>
    <w:rsid w:val="00D948C3"/>
    <w:rsid w:val="00D949E8"/>
    <w:rsid w:val="00D94E8D"/>
    <w:rsid w:val="00D9548A"/>
    <w:rsid w:val="00D9561F"/>
    <w:rsid w:val="00D96007"/>
    <w:rsid w:val="00D960FE"/>
    <w:rsid w:val="00D96836"/>
    <w:rsid w:val="00D969F5"/>
    <w:rsid w:val="00D96A6D"/>
    <w:rsid w:val="00D97B36"/>
    <w:rsid w:val="00D97CDD"/>
    <w:rsid w:val="00D97CFF"/>
    <w:rsid w:val="00D97DDA"/>
    <w:rsid w:val="00D97FAE"/>
    <w:rsid w:val="00DA09D2"/>
    <w:rsid w:val="00DA11C1"/>
    <w:rsid w:val="00DA12FD"/>
    <w:rsid w:val="00DA130C"/>
    <w:rsid w:val="00DA150E"/>
    <w:rsid w:val="00DA2364"/>
    <w:rsid w:val="00DA24FF"/>
    <w:rsid w:val="00DA27D5"/>
    <w:rsid w:val="00DA30E0"/>
    <w:rsid w:val="00DA4268"/>
    <w:rsid w:val="00DA48F7"/>
    <w:rsid w:val="00DA4EC7"/>
    <w:rsid w:val="00DA52DB"/>
    <w:rsid w:val="00DA5510"/>
    <w:rsid w:val="00DA551A"/>
    <w:rsid w:val="00DA55F2"/>
    <w:rsid w:val="00DA58D3"/>
    <w:rsid w:val="00DA646D"/>
    <w:rsid w:val="00DA6CA7"/>
    <w:rsid w:val="00DA6D28"/>
    <w:rsid w:val="00DA6EB2"/>
    <w:rsid w:val="00DA797E"/>
    <w:rsid w:val="00DB0539"/>
    <w:rsid w:val="00DB06CE"/>
    <w:rsid w:val="00DB0848"/>
    <w:rsid w:val="00DB0A84"/>
    <w:rsid w:val="00DB1614"/>
    <w:rsid w:val="00DB21A0"/>
    <w:rsid w:val="00DB2DD7"/>
    <w:rsid w:val="00DB31CC"/>
    <w:rsid w:val="00DB3839"/>
    <w:rsid w:val="00DB3AC6"/>
    <w:rsid w:val="00DB4222"/>
    <w:rsid w:val="00DB469B"/>
    <w:rsid w:val="00DB484C"/>
    <w:rsid w:val="00DB48F8"/>
    <w:rsid w:val="00DB5555"/>
    <w:rsid w:val="00DB5D1C"/>
    <w:rsid w:val="00DB5F95"/>
    <w:rsid w:val="00DB66B3"/>
    <w:rsid w:val="00DB6F04"/>
    <w:rsid w:val="00DB7B13"/>
    <w:rsid w:val="00DC0FC1"/>
    <w:rsid w:val="00DC12DE"/>
    <w:rsid w:val="00DC198D"/>
    <w:rsid w:val="00DC1CDB"/>
    <w:rsid w:val="00DC2892"/>
    <w:rsid w:val="00DC2CE4"/>
    <w:rsid w:val="00DC313D"/>
    <w:rsid w:val="00DC3643"/>
    <w:rsid w:val="00DC37AE"/>
    <w:rsid w:val="00DC393A"/>
    <w:rsid w:val="00DC39C0"/>
    <w:rsid w:val="00DC44D8"/>
    <w:rsid w:val="00DC45FA"/>
    <w:rsid w:val="00DC485C"/>
    <w:rsid w:val="00DC4D49"/>
    <w:rsid w:val="00DC50BA"/>
    <w:rsid w:val="00DC56CD"/>
    <w:rsid w:val="00DC5FFE"/>
    <w:rsid w:val="00DC617D"/>
    <w:rsid w:val="00DC6527"/>
    <w:rsid w:val="00DC6A21"/>
    <w:rsid w:val="00DC7F23"/>
    <w:rsid w:val="00DC7F97"/>
    <w:rsid w:val="00DD0180"/>
    <w:rsid w:val="00DD044A"/>
    <w:rsid w:val="00DD14DE"/>
    <w:rsid w:val="00DD180D"/>
    <w:rsid w:val="00DD2512"/>
    <w:rsid w:val="00DD2A90"/>
    <w:rsid w:val="00DD3062"/>
    <w:rsid w:val="00DD30FF"/>
    <w:rsid w:val="00DD310D"/>
    <w:rsid w:val="00DD3264"/>
    <w:rsid w:val="00DD34E3"/>
    <w:rsid w:val="00DD51FA"/>
    <w:rsid w:val="00DD5ACD"/>
    <w:rsid w:val="00DD639E"/>
    <w:rsid w:val="00DD6813"/>
    <w:rsid w:val="00DD6924"/>
    <w:rsid w:val="00DD6DBF"/>
    <w:rsid w:val="00DD6EF3"/>
    <w:rsid w:val="00DD7335"/>
    <w:rsid w:val="00DD797B"/>
    <w:rsid w:val="00DD7982"/>
    <w:rsid w:val="00DE0E69"/>
    <w:rsid w:val="00DE1738"/>
    <w:rsid w:val="00DE253B"/>
    <w:rsid w:val="00DE2A71"/>
    <w:rsid w:val="00DE2A78"/>
    <w:rsid w:val="00DE3334"/>
    <w:rsid w:val="00DE4003"/>
    <w:rsid w:val="00DE46D0"/>
    <w:rsid w:val="00DE49DD"/>
    <w:rsid w:val="00DE4C9F"/>
    <w:rsid w:val="00DE4FC4"/>
    <w:rsid w:val="00DE57B7"/>
    <w:rsid w:val="00DE5873"/>
    <w:rsid w:val="00DE5BEE"/>
    <w:rsid w:val="00DE6032"/>
    <w:rsid w:val="00DE6D2B"/>
    <w:rsid w:val="00DE6DC0"/>
    <w:rsid w:val="00DE6FDD"/>
    <w:rsid w:val="00DE799C"/>
    <w:rsid w:val="00DE7A56"/>
    <w:rsid w:val="00DE7BC8"/>
    <w:rsid w:val="00DF03BF"/>
    <w:rsid w:val="00DF07C5"/>
    <w:rsid w:val="00DF10BC"/>
    <w:rsid w:val="00DF16FF"/>
    <w:rsid w:val="00DF1892"/>
    <w:rsid w:val="00DF1B2A"/>
    <w:rsid w:val="00DF1B2F"/>
    <w:rsid w:val="00DF2943"/>
    <w:rsid w:val="00DF294C"/>
    <w:rsid w:val="00DF3DFE"/>
    <w:rsid w:val="00DF3E7E"/>
    <w:rsid w:val="00DF41BD"/>
    <w:rsid w:val="00DF47D5"/>
    <w:rsid w:val="00DF49B4"/>
    <w:rsid w:val="00DF4E76"/>
    <w:rsid w:val="00DF503D"/>
    <w:rsid w:val="00DF5053"/>
    <w:rsid w:val="00DF561F"/>
    <w:rsid w:val="00DF60B5"/>
    <w:rsid w:val="00DF62FD"/>
    <w:rsid w:val="00DF64B7"/>
    <w:rsid w:val="00DF67C6"/>
    <w:rsid w:val="00DF6AE3"/>
    <w:rsid w:val="00DF72C0"/>
    <w:rsid w:val="00DF773F"/>
    <w:rsid w:val="00DF7752"/>
    <w:rsid w:val="00DF77F8"/>
    <w:rsid w:val="00DF78D3"/>
    <w:rsid w:val="00E005B1"/>
    <w:rsid w:val="00E005C4"/>
    <w:rsid w:val="00E00EA7"/>
    <w:rsid w:val="00E0182F"/>
    <w:rsid w:val="00E01B79"/>
    <w:rsid w:val="00E02644"/>
    <w:rsid w:val="00E03D0D"/>
    <w:rsid w:val="00E03F2D"/>
    <w:rsid w:val="00E03F50"/>
    <w:rsid w:val="00E046F3"/>
    <w:rsid w:val="00E06423"/>
    <w:rsid w:val="00E06588"/>
    <w:rsid w:val="00E06D17"/>
    <w:rsid w:val="00E0725C"/>
    <w:rsid w:val="00E079EB"/>
    <w:rsid w:val="00E07A5F"/>
    <w:rsid w:val="00E10D53"/>
    <w:rsid w:val="00E11046"/>
    <w:rsid w:val="00E11C1C"/>
    <w:rsid w:val="00E129F3"/>
    <w:rsid w:val="00E12BE3"/>
    <w:rsid w:val="00E12F3D"/>
    <w:rsid w:val="00E132FD"/>
    <w:rsid w:val="00E137E6"/>
    <w:rsid w:val="00E13D93"/>
    <w:rsid w:val="00E13E48"/>
    <w:rsid w:val="00E14190"/>
    <w:rsid w:val="00E14D21"/>
    <w:rsid w:val="00E14FDE"/>
    <w:rsid w:val="00E15112"/>
    <w:rsid w:val="00E15F32"/>
    <w:rsid w:val="00E16134"/>
    <w:rsid w:val="00E164D5"/>
    <w:rsid w:val="00E1651F"/>
    <w:rsid w:val="00E16799"/>
    <w:rsid w:val="00E178E6"/>
    <w:rsid w:val="00E2000D"/>
    <w:rsid w:val="00E20BA9"/>
    <w:rsid w:val="00E20DF7"/>
    <w:rsid w:val="00E21575"/>
    <w:rsid w:val="00E21C8F"/>
    <w:rsid w:val="00E21D09"/>
    <w:rsid w:val="00E21EA8"/>
    <w:rsid w:val="00E220BE"/>
    <w:rsid w:val="00E228CB"/>
    <w:rsid w:val="00E22EBB"/>
    <w:rsid w:val="00E23118"/>
    <w:rsid w:val="00E23560"/>
    <w:rsid w:val="00E237A0"/>
    <w:rsid w:val="00E24290"/>
    <w:rsid w:val="00E249A8"/>
    <w:rsid w:val="00E26368"/>
    <w:rsid w:val="00E26371"/>
    <w:rsid w:val="00E26451"/>
    <w:rsid w:val="00E26AF0"/>
    <w:rsid w:val="00E26E80"/>
    <w:rsid w:val="00E275FE"/>
    <w:rsid w:val="00E308A6"/>
    <w:rsid w:val="00E314D4"/>
    <w:rsid w:val="00E31661"/>
    <w:rsid w:val="00E31913"/>
    <w:rsid w:val="00E31A1D"/>
    <w:rsid w:val="00E31C61"/>
    <w:rsid w:val="00E31F77"/>
    <w:rsid w:val="00E32137"/>
    <w:rsid w:val="00E32187"/>
    <w:rsid w:val="00E325C0"/>
    <w:rsid w:val="00E32DA7"/>
    <w:rsid w:val="00E32E1C"/>
    <w:rsid w:val="00E32FF6"/>
    <w:rsid w:val="00E33F34"/>
    <w:rsid w:val="00E33F81"/>
    <w:rsid w:val="00E34477"/>
    <w:rsid w:val="00E3454A"/>
    <w:rsid w:val="00E34A49"/>
    <w:rsid w:val="00E34C4E"/>
    <w:rsid w:val="00E35910"/>
    <w:rsid w:val="00E36A8C"/>
    <w:rsid w:val="00E36F35"/>
    <w:rsid w:val="00E37163"/>
    <w:rsid w:val="00E4014E"/>
    <w:rsid w:val="00E40FBA"/>
    <w:rsid w:val="00E410A5"/>
    <w:rsid w:val="00E4111D"/>
    <w:rsid w:val="00E41838"/>
    <w:rsid w:val="00E4188F"/>
    <w:rsid w:val="00E422C7"/>
    <w:rsid w:val="00E42384"/>
    <w:rsid w:val="00E42513"/>
    <w:rsid w:val="00E42937"/>
    <w:rsid w:val="00E42A04"/>
    <w:rsid w:val="00E43503"/>
    <w:rsid w:val="00E439EC"/>
    <w:rsid w:val="00E43D66"/>
    <w:rsid w:val="00E45FFE"/>
    <w:rsid w:val="00E4626C"/>
    <w:rsid w:val="00E469BC"/>
    <w:rsid w:val="00E46CB5"/>
    <w:rsid w:val="00E4725C"/>
    <w:rsid w:val="00E47ADC"/>
    <w:rsid w:val="00E500CF"/>
    <w:rsid w:val="00E50346"/>
    <w:rsid w:val="00E50C7B"/>
    <w:rsid w:val="00E51627"/>
    <w:rsid w:val="00E5173D"/>
    <w:rsid w:val="00E5236D"/>
    <w:rsid w:val="00E5319E"/>
    <w:rsid w:val="00E535C4"/>
    <w:rsid w:val="00E54037"/>
    <w:rsid w:val="00E54414"/>
    <w:rsid w:val="00E54600"/>
    <w:rsid w:val="00E5480B"/>
    <w:rsid w:val="00E54C0D"/>
    <w:rsid w:val="00E54DE7"/>
    <w:rsid w:val="00E54F4B"/>
    <w:rsid w:val="00E55869"/>
    <w:rsid w:val="00E55A4D"/>
    <w:rsid w:val="00E56444"/>
    <w:rsid w:val="00E56494"/>
    <w:rsid w:val="00E56970"/>
    <w:rsid w:val="00E569F5"/>
    <w:rsid w:val="00E56C27"/>
    <w:rsid w:val="00E56EE9"/>
    <w:rsid w:val="00E57430"/>
    <w:rsid w:val="00E574B5"/>
    <w:rsid w:val="00E576B3"/>
    <w:rsid w:val="00E601C4"/>
    <w:rsid w:val="00E6070B"/>
    <w:rsid w:val="00E6070F"/>
    <w:rsid w:val="00E61014"/>
    <w:rsid w:val="00E6121F"/>
    <w:rsid w:val="00E61D1E"/>
    <w:rsid w:val="00E61F34"/>
    <w:rsid w:val="00E63799"/>
    <w:rsid w:val="00E63BB7"/>
    <w:rsid w:val="00E64951"/>
    <w:rsid w:val="00E64D7C"/>
    <w:rsid w:val="00E654E9"/>
    <w:rsid w:val="00E65A0A"/>
    <w:rsid w:val="00E66C54"/>
    <w:rsid w:val="00E670A9"/>
    <w:rsid w:val="00E67C83"/>
    <w:rsid w:val="00E70357"/>
    <w:rsid w:val="00E71245"/>
    <w:rsid w:val="00E722C0"/>
    <w:rsid w:val="00E72386"/>
    <w:rsid w:val="00E736C1"/>
    <w:rsid w:val="00E7388B"/>
    <w:rsid w:val="00E73D44"/>
    <w:rsid w:val="00E73DC2"/>
    <w:rsid w:val="00E74131"/>
    <w:rsid w:val="00E74C06"/>
    <w:rsid w:val="00E75010"/>
    <w:rsid w:val="00E75067"/>
    <w:rsid w:val="00E753D2"/>
    <w:rsid w:val="00E7566C"/>
    <w:rsid w:val="00E75B33"/>
    <w:rsid w:val="00E7617C"/>
    <w:rsid w:val="00E762E4"/>
    <w:rsid w:val="00E7692C"/>
    <w:rsid w:val="00E7777E"/>
    <w:rsid w:val="00E77C67"/>
    <w:rsid w:val="00E80327"/>
    <w:rsid w:val="00E80BD6"/>
    <w:rsid w:val="00E80F24"/>
    <w:rsid w:val="00E816E1"/>
    <w:rsid w:val="00E82618"/>
    <w:rsid w:val="00E82F92"/>
    <w:rsid w:val="00E83BAF"/>
    <w:rsid w:val="00E8452C"/>
    <w:rsid w:val="00E845D0"/>
    <w:rsid w:val="00E846CD"/>
    <w:rsid w:val="00E84736"/>
    <w:rsid w:val="00E84999"/>
    <w:rsid w:val="00E84A2B"/>
    <w:rsid w:val="00E85181"/>
    <w:rsid w:val="00E855C0"/>
    <w:rsid w:val="00E85940"/>
    <w:rsid w:val="00E85A30"/>
    <w:rsid w:val="00E85D4B"/>
    <w:rsid w:val="00E8673F"/>
    <w:rsid w:val="00E8693F"/>
    <w:rsid w:val="00E869CF"/>
    <w:rsid w:val="00E87738"/>
    <w:rsid w:val="00E877EA"/>
    <w:rsid w:val="00E87870"/>
    <w:rsid w:val="00E87874"/>
    <w:rsid w:val="00E9006F"/>
    <w:rsid w:val="00E900BB"/>
    <w:rsid w:val="00E903CC"/>
    <w:rsid w:val="00E906C5"/>
    <w:rsid w:val="00E909DE"/>
    <w:rsid w:val="00E90EE0"/>
    <w:rsid w:val="00E90F71"/>
    <w:rsid w:val="00E91544"/>
    <w:rsid w:val="00E91794"/>
    <w:rsid w:val="00E91CA7"/>
    <w:rsid w:val="00E92F59"/>
    <w:rsid w:val="00E93324"/>
    <w:rsid w:val="00E9362B"/>
    <w:rsid w:val="00E9384B"/>
    <w:rsid w:val="00E9480C"/>
    <w:rsid w:val="00E94CBD"/>
    <w:rsid w:val="00E94FCF"/>
    <w:rsid w:val="00E9513A"/>
    <w:rsid w:val="00E95946"/>
    <w:rsid w:val="00E95D7B"/>
    <w:rsid w:val="00E95F3A"/>
    <w:rsid w:val="00E9606B"/>
    <w:rsid w:val="00E9793A"/>
    <w:rsid w:val="00EA0181"/>
    <w:rsid w:val="00EA06FC"/>
    <w:rsid w:val="00EA07C5"/>
    <w:rsid w:val="00EA0933"/>
    <w:rsid w:val="00EA0DA8"/>
    <w:rsid w:val="00EA1398"/>
    <w:rsid w:val="00EA14B6"/>
    <w:rsid w:val="00EA1DA3"/>
    <w:rsid w:val="00EA2176"/>
    <w:rsid w:val="00EA3515"/>
    <w:rsid w:val="00EA3A0F"/>
    <w:rsid w:val="00EA3E55"/>
    <w:rsid w:val="00EA3E5F"/>
    <w:rsid w:val="00EA43F1"/>
    <w:rsid w:val="00EA4A71"/>
    <w:rsid w:val="00EA539B"/>
    <w:rsid w:val="00EA5695"/>
    <w:rsid w:val="00EA5E4C"/>
    <w:rsid w:val="00EA65CE"/>
    <w:rsid w:val="00EA75EA"/>
    <w:rsid w:val="00EA7688"/>
    <w:rsid w:val="00EA780A"/>
    <w:rsid w:val="00EA780C"/>
    <w:rsid w:val="00EA7C4F"/>
    <w:rsid w:val="00EB0501"/>
    <w:rsid w:val="00EB05F5"/>
    <w:rsid w:val="00EB07AC"/>
    <w:rsid w:val="00EB0D53"/>
    <w:rsid w:val="00EB1174"/>
    <w:rsid w:val="00EB11BB"/>
    <w:rsid w:val="00EB14C2"/>
    <w:rsid w:val="00EB1D4A"/>
    <w:rsid w:val="00EB3091"/>
    <w:rsid w:val="00EB3EA3"/>
    <w:rsid w:val="00EB4B60"/>
    <w:rsid w:val="00EB4DAC"/>
    <w:rsid w:val="00EB4F5C"/>
    <w:rsid w:val="00EB51C4"/>
    <w:rsid w:val="00EB5E75"/>
    <w:rsid w:val="00EB5F5A"/>
    <w:rsid w:val="00EB66C7"/>
    <w:rsid w:val="00EB6FBD"/>
    <w:rsid w:val="00EB7C0E"/>
    <w:rsid w:val="00EC07D5"/>
    <w:rsid w:val="00EC0CE0"/>
    <w:rsid w:val="00EC24E6"/>
    <w:rsid w:val="00EC2508"/>
    <w:rsid w:val="00EC2596"/>
    <w:rsid w:val="00EC28C5"/>
    <w:rsid w:val="00EC290C"/>
    <w:rsid w:val="00EC292C"/>
    <w:rsid w:val="00EC318D"/>
    <w:rsid w:val="00EC35DB"/>
    <w:rsid w:val="00EC3C0B"/>
    <w:rsid w:val="00EC41B9"/>
    <w:rsid w:val="00EC41C7"/>
    <w:rsid w:val="00EC4554"/>
    <w:rsid w:val="00EC4D6E"/>
    <w:rsid w:val="00EC5552"/>
    <w:rsid w:val="00EC55BF"/>
    <w:rsid w:val="00EC56EF"/>
    <w:rsid w:val="00EC5AC4"/>
    <w:rsid w:val="00EC5D0C"/>
    <w:rsid w:val="00EC62D3"/>
    <w:rsid w:val="00EC63F1"/>
    <w:rsid w:val="00EC6429"/>
    <w:rsid w:val="00EC75BB"/>
    <w:rsid w:val="00EC772D"/>
    <w:rsid w:val="00EC7F76"/>
    <w:rsid w:val="00EC7F94"/>
    <w:rsid w:val="00ED04C4"/>
    <w:rsid w:val="00ED0638"/>
    <w:rsid w:val="00ED0B09"/>
    <w:rsid w:val="00ED0C78"/>
    <w:rsid w:val="00ED0F47"/>
    <w:rsid w:val="00ED1EEB"/>
    <w:rsid w:val="00ED313E"/>
    <w:rsid w:val="00ED364A"/>
    <w:rsid w:val="00ED4453"/>
    <w:rsid w:val="00ED4B01"/>
    <w:rsid w:val="00ED5423"/>
    <w:rsid w:val="00ED5F3A"/>
    <w:rsid w:val="00ED5F7E"/>
    <w:rsid w:val="00ED6421"/>
    <w:rsid w:val="00ED6912"/>
    <w:rsid w:val="00ED6A60"/>
    <w:rsid w:val="00ED6DAC"/>
    <w:rsid w:val="00ED73C6"/>
    <w:rsid w:val="00ED7695"/>
    <w:rsid w:val="00ED7860"/>
    <w:rsid w:val="00ED7922"/>
    <w:rsid w:val="00EE0504"/>
    <w:rsid w:val="00EE06E6"/>
    <w:rsid w:val="00EE085B"/>
    <w:rsid w:val="00EE0A87"/>
    <w:rsid w:val="00EE1111"/>
    <w:rsid w:val="00EE12F5"/>
    <w:rsid w:val="00EE13B7"/>
    <w:rsid w:val="00EE2D08"/>
    <w:rsid w:val="00EE322B"/>
    <w:rsid w:val="00EE3294"/>
    <w:rsid w:val="00EE3349"/>
    <w:rsid w:val="00EE3777"/>
    <w:rsid w:val="00EE39F3"/>
    <w:rsid w:val="00EE4058"/>
    <w:rsid w:val="00EE4281"/>
    <w:rsid w:val="00EE4586"/>
    <w:rsid w:val="00EE4708"/>
    <w:rsid w:val="00EE5351"/>
    <w:rsid w:val="00EE560C"/>
    <w:rsid w:val="00EE56F7"/>
    <w:rsid w:val="00EE5A57"/>
    <w:rsid w:val="00EE611C"/>
    <w:rsid w:val="00EE6949"/>
    <w:rsid w:val="00EE6E64"/>
    <w:rsid w:val="00EE733B"/>
    <w:rsid w:val="00EE74C2"/>
    <w:rsid w:val="00EE7A03"/>
    <w:rsid w:val="00EE7AA2"/>
    <w:rsid w:val="00EE7BD8"/>
    <w:rsid w:val="00EF0478"/>
    <w:rsid w:val="00EF0C07"/>
    <w:rsid w:val="00EF1733"/>
    <w:rsid w:val="00EF185E"/>
    <w:rsid w:val="00EF21F6"/>
    <w:rsid w:val="00EF305A"/>
    <w:rsid w:val="00EF37C9"/>
    <w:rsid w:val="00EF3DC1"/>
    <w:rsid w:val="00EF41DF"/>
    <w:rsid w:val="00EF4666"/>
    <w:rsid w:val="00EF4E9A"/>
    <w:rsid w:val="00EF5099"/>
    <w:rsid w:val="00EF588F"/>
    <w:rsid w:val="00EF58EE"/>
    <w:rsid w:val="00EF6776"/>
    <w:rsid w:val="00EF6C2A"/>
    <w:rsid w:val="00EF6F66"/>
    <w:rsid w:val="00EF7571"/>
    <w:rsid w:val="00EF7C9F"/>
    <w:rsid w:val="00EF7F61"/>
    <w:rsid w:val="00F0073B"/>
    <w:rsid w:val="00F01358"/>
    <w:rsid w:val="00F01D95"/>
    <w:rsid w:val="00F01E76"/>
    <w:rsid w:val="00F02057"/>
    <w:rsid w:val="00F02153"/>
    <w:rsid w:val="00F0247E"/>
    <w:rsid w:val="00F03194"/>
    <w:rsid w:val="00F036A5"/>
    <w:rsid w:val="00F038F1"/>
    <w:rsid w:val="00F0487C"/>
    <w:rsid w:val="00F05243"/>
    <w:rsid w:val="00F05FD9"/>
    <w:rsid w:val="00F060E5"/>
    <w:rsid w:val="00F06773"/>
    <w:rsid w:val="00F06A07"/>
    <w:rsid w:val="00F0766D"/>
    <w:rsid w:val="00F07859"/>
    <w:rsid w:val="00F1056D"/>
    <w:rsid w:val="00F105F1"/>
    <w:rsid w:val="00F11ACA"/>
    <w:rsid w:val="00F11B15"/>
    <w:rsid w:val="00F1201A"/>
    <w:rsid w:val="00F1265F"/>
    <w:rsid w:val="00F12FF3"/>
    <w:rsid w:val="00F13CE6"/>
    <w:rsid w:val="00F14B5E"/>
    <w:rsid w:val="00F14CBA"/>
    <w:rsid w:val="00F14EE5"/>
    <w:rsid w:val="00F15092"/>
    <w:rsid w:val="00F15473"/>
    <w:rsid w:val="00F15A39"/>
    <w:rsid w:val="00F15B54"/>
    <w:rsid w:val="00F16035"/>
    <w:rsid w:val="00F16444"/>
    <w:rsid w:val="00F17061"/>
    <w:rsid w:val="00F17279"/>
    <w:rsid w:val="00F17C6B"/>
    <w:rsid w:val="00F17E1E"/>
    <w:rsid w:val="00F17E2A"/>
    <w:rsid w:val="00F2024D"/>
    <w:rsid w:val="00F2106C"/>
    <w:rsid w:val="00F2124C"/>
    <w:rsid w:val="00F214C2"/>
    <w:rsid w:val="00F21BC6"/>
    <w:rsid w:val="00F21D0F"/>
    <w:rsid w:val="00F21D21"/>
    <w:rsid w:val="00F21D72"/>
    <w:rsid w:val="00F21FC1"/>
    <w:rsid w:val="00F22129"/>
    <w:rsid w:val="00F221A8"/>
    <w:rsid w:val="00F225FC"/>
    <w:rsid w:val="00F227B4"/>
    <w:rsid w:val="00F229BD"/>
    <w:rsid w:val="00F23815"/>
    <w:rsid w:val="00F23848"/>
    <w:rsid w:val="00F2384C"/>
    <w:rsid w:val="00F23A4B"/>
    <w:rsid w:val="00F240A4"/>
    <w:rsid w:val="00F243D1"/>
    <w:rsid w:val="00F249AD"/>
    <w:rsid w:val="00F24ED7"/>
    <w:rsid w:val="00F2516F"/>
    <w:rsid w:val="00F25B03"/>
    <w:rsid w:val="00F25E6E"/>
    <w:rsid w:val="00F2618C"/>
    <w:rsid w:val="00F26195"/>
    <w:rsid w:val="00F261FE"/>
    <w:rsid w:val="00F26522"/>
    <w:rsid w:val="00F267E6"/>
    <w:rsid w:val="00F267F8"/>
    <w:rsid w:val="00F2714D"/>
    <w:rsid w:val="00F30525"/>
    <w:rsid w:val="00F311D8"/>
    <w:rsid w:val="00F313F7"/>
    <w:rsid w:val="00F322AC"/>
    <w:rsid w:val="00F3268A"/>
    <w:rsid w:val="00F327CA"/>
    <w:rsid w:val="00F329F8"/>
    <w:rsid w:val="00F33DD2"/>
    <w:rsid w:val="00F34008"/>
    <w:rsid w:val="00F341B6"/>
    <w:rsid w:val="00F35BAA"/>
    <w:rsid w:val="00F35F4F"/>
    <w:rsid w:val="00F36612"/>
    <w:rsid w:val="00F36698"/>
    <w:rsid w:val="00F36908"/>
    <w:rsid w:val="00F36F77"/>
    <w:rsid w:val="00F36F7D"/>
    <w:rsid w:val="00F36FF0"/>
    <w:rsid w:val="00F3719A"/>
    <w:rsid w:val="00F3769D"/>
    <w:rsid w:val="00F3791A"/>
    <w:rsid w:val="00F37CCB"/>
    <w:rsid w:val="00F37D34"/>
    <w:rsid w:val="00F401B4"/>
    <w:rsid w:val="00F4081B"/>
    <w:rsid w:val="00F409C9"/>
    <w:rsid w:val="00F40A9F"/>
    <w:rsid w:val="00F40BF3"/>
    <w:rsid w:val="00F40EE5"/>
    <w:rsid w:val="00F413AF"/>
    <w:rsid w:val="00F41504"/>
    <w:rsid w:val="00F41B1D"/>
    <w:rsid w:val="00F4304C"/>
    <w:rsid w:val="00F43307"/>
    <w:rsid w:val="00F43DE2"/>
    <w:rsid w:val="00F442DE"/>
    <w:rsid w:val="00F44BF2"/>
    <w:rsid w:val="00F44E07"/>
    <w:rsid w:val="00F4514C"/>
    <w:rsid w:val="00F45E4E"/>
    <w:rsid w:val="00F468CE"/>
    <w:rsid w:val="00F46FB2"/>
    <w:rsid w:val="00F47FDF"/>
    <w:rsid w:val="00F5044A"/>
    <w:rsid w:val="00F50B9F"/>
    <w:rsid w:val="00F510D9"/>
    <w:rsid w:val="00F51111"/>
    <w:rsid w:val="00F51157"/>
    <w:rsid w:val="00F5283A"/>
    <w:rsid w:val="00F530D1"/>
    <w:rsid w:val="00F534BD"/>
    <w:rsid w:val="00F53AB4"/>
    <w:rsid w:val="00F53C15"/>
    <w:rsid w:val="00F5414D"/>
    <w:rsid w:val="00F543CD"/>
    <w:rsid w:val="00F54454"/>
    <w:rsid w:val="00F549DE"/>
    <w:rsid w:val="00F54A2F"/>
    <w:rsid w:val="00F54AA4"/>
    <w:rsid w:val="00F55260"/>
    <w:rsid w:val="00F552C1"/>
    <w:rsid w:val="00F55382"/>
    <w:rsid w:val="00F55665"/>
    <w:rsid w:val="00F556FA"/>
    <w:rsid w:val="00F56441"/>
    <w:rsid w:val="00F566C7"/>
    <w:rsid w:val="00F572C2"/>
    <w:rsid w:val="00F578AA"/>
    <w:rsid w:val="00F57902"/>
    <w:rsid w:val="00F57FDA"/>
    <w:rsid w:val="00F61218"/>
    <w:rsid w:val="00F61D66"/>
    <w:rsid w:val="00F61FFC"/>
    <w:rsid w:val="00F6228F"/>
    <w:rsid w:val="00F641EB"/>
    <w:rsid w:val="00F64204"/>
    <w:rsid w:val="00F643F4"/>
    <w:rsid w:val="00F64F96"/>
    <w:rsid w:val="00F654DD"/>
    <w:rsid w:val="00F659B2"/>
    <w:rsid w:val="00F66EC1"/>
    <w:rsid w:val="00F67524"/>
    <w:rsid w:val="00F675C0"/>
    <w:rsid w:val="00F678A0"/>
    <w:rsid w:val="00F67955"/>
    <w:rsid w:val="00F679CA"/>
    <w:rsid w:val="00F67D75"/>
    <w:rsid w:val="00F70102"/>
    <w:rsid w:val="00F7036F"/>
    <w:rsid w:val="00F705E2"/>
    <w:rsid w:val="00F7067B"/>
    <w:rsid w:val="00F706DB"/>
    <w:rsid w:val="00F7113E"/>
    <w:rsid w:val="00F71328"/>
    <w:rsid w:val="00F71630"/>
    <w:rsid w:val="00F72149"/>
    <w:rsid w:val="00F724E2"/>
    <w:rsid w:val="00F725EA"/>
    <w:rsid w:val="00F729EB"/>
    <w:rsid w:val="00F73A98"/>
    <w:rsid w:val="00F73D1E"/>
    <w:rsid w:val="00F741C2"/>
    <w:rsid w:val="00F75F25"/>
    <w:rsid w:val="00F76DAB"/>
    <w:rsid w:val="00F7720F"/>
    <w:rsid w:val="00F77BF7"/>
    <w:rsid w:val="00F8016B"/>
    <w:rsid w:val="00F8049E"/>
    <w:rsid w:val="00F8061E"/>
    <w:rsid w:val="00F80AA2"/>
    <w:rsid w:val="00F80DEF"/>
    <w:rsid w:val="00F810E3"/>
    <w:rsid w:val="00F817B1"/>
    <w:rsid w:val="00F8195A"/>
    <w:rsid w:val="00F81A1E"/>
    <w:rsid w:val="00F82D0F"/>
    <w:rsid w:val="00F82E53"/>
    <w:rsid w:val="00F82E8D"/>
    <w:rsid w:val="00F83A7D"/>
    <w:rsid w:val="00F845BB"/>
    <w:rsid w:val="00F84678"/>
    <w:rsid w:val="00F84DD5"/>
    <w:rsid w:val="00F84DDA"/>
    <w:rsid w:val="00F84E63"/>
    <w:rsid w:val="00F852EF"/>
    <w:rsid w:val="00F853F1"/>
    <w:rsid w:val="00F853FC"/>
    <w:rsid w:val="00F85DD8"/>
    <w:rsid w:val="00F868C9"/>
    <w:rsid w:val="00F86CA9"/>
    <w:rsid w:val="00F86FEB"/>
    <w:rsid w:val="00F871A5"/>
    <w:rsid w:val="00F87466"/>
    <w:rsid w:val="00F875E2"/>
    <w:rsid w:val="00F9007F"/>
    <w:rsid w:val="00F907B0"/>
    <w:rsid w:val="00F91BB8"/>
    <w:rsid w:val="00F9206A"/>
    <w:rsid w:val="00F92636"/>
    <w:rsid w:val="00F92870"/>
    <w:rsid w:val="00F9292F"/>
    <w:rsid w:val="00F933BB"/>
    <w:rsid w:val="00F9489A"/>
    <w:rsid w:val="00F95527"/>
    <w:rsid w:val="00F95DBA"/>
    <w:rsid w:val="00F96B89"/>
    <w:rsid w:val="00F96F03"/>
    <w:rsid w:val="00F97135"/>
    <w:rsid w:val="00F97227"/>
    <w:rsid w:val="00F972F3"/>
    <w:rsid w:val="00F97558"/>
    <w:rsid w:val="00F97732"/>
    <w:rsid w:val="00F977F0"/>
    <w:rsid w:val="00FA060C"/>
    <w:rsid w:val="00FA0667"/>
    <w:rsid w:val="00FA09DB"/>
    <w:rsid w:val="00FA0B7C"/>
    <w:rsid w:val="00FA0F87"/>
    <w:rsid w:val="00FA1403"/>
    <w:rsid w:val="00FA20E1"/>
    <w:rsid w:val="00FA2205"/>
    <w:rsid w:val="00FA26D3"/>
    <w:rsid w:val="00FA2A4A"/>
    <w:rsid w:val="00FA3A85"/>
    <w:rsid w:val="00FA4D46"/>
    <w:rsid w:val="00FA5100"/>
    <w:rsid w:val="00FA5A9C"/>
    <w:rsid w:val="00FA5EB3"/>
    <w:rsid w:val="00FA5EF9"/>
    <w:rsid w:val="00FA614C"/>
    <w:rsid w:val="00FA6774"/>
    <w:rsid w:val="00FA7019"/>
    <w:rsid w:val="00FA751A"/>
    <w:rsid w:val="00FA7678"/>
    <w:rsid w:val="00FA7E56"/>
    <w:rsid w:val="00FA7E65"/>
    <w:rsid w:val="00FB019C"/>
    <w:rsid w:val="00FB05F9"/>
    <w:rsid w:val="00FB0E0C"/>
    <w:rsid w:val="00FB1354"/>
    <w:rsid w:val="00FB1E35"/>
    <w:rsid w:val="00FB26A5"/>
    <w:rsid w:val="00FB2876"/>
    <w:rsid w:val="00FB2F98"/>
    <w:rsid w:val="00FB32EA"/>
    <w:rsid w:val="00FB3740"/>
    <w:rsid w:val="00FB3F53"/>
    <w:rsid w:val="00FB4011"/>
    <w:rsid w:val="00FB405D"/>
    <w:rsid w:val="00FB45DE"/>
    <w:rsid w:val="00FB4A84"/>
    <w:rsid w:val="00FB5C9A"/>
    <w:rsid w:val="00FB6A61"/>
    <w:rsid w:val="00FB75BE"/>
    <w:rsid w:val="00FB7672"/>
    <w:rsid w:val="00FB7C96"/>
    <w:rsid w:val="00FC0944"/>
    <w:rsid w:val="00FC0B01"/>
    <w:rsid w:val="00FC18AD"/>
    <w:rsid w:val="00FC1B8B"/>
    <w:rsid w:val="00FC243B"/>
    <w:rsid w:val="00FC2F25"/>
    <w:rsid w:val="00FC3A33"/>
    <w:rsid w:val="00FC3C61"/>
    <w:rsid w:val="00FC3CB4"/>
    <w:rsid w:val="00FC3F7E"/>
    <w:rsid w:val="00FC4B9D"/>
    <w:rsid w:val="00FC5397"/>
    <w:rsid w:val="00FC5A4D"/>
    <w:rsid w:val="00FC7B20"/>
    <w:rsid w:val="00FC7C5B"/>
    <w:rsid w:val="00FD02AD"/>
    <w:rsid w:val="00FD082A"/>
    <w:rsid w:val="00FD0C0B"/>
    <w:rsid w:val="00FD113F"/>
    <w:rsid w:val="00FD197A"/>
    <w:rsid w:val="00FD2651"/>
    <w:rsid w:val="00FD26F4"/>
    <w:rsid w:val="00FD4253"/>
    <w:rsid w:val="00FD43CF"/>
    <w:rsid w:val="00FD4490"/>
    <w:rsid w:val="00FD4722"/>
    <w:rsid w:val="00FD47B0"/>
    <w:rsid w:val="00FD4CEB"/>
    <w:rsid w:val="00FD4E0C"/>
    <w:rsid w:val="00FD5176"/>
    <w:rsid w:val="00FD62B9"/>
    <w:rsid w:val="00FD69B2"/>
    <w:rsid w:val="00FD72C2"/>
    <w:rsid w:val="00FD760E"/>
    <w:rsid w:val="00FD79A3"/>
    <w:rsid w:val="00FD7C6C"/>
    <w:rsid w:val="00FD7F91"/>
    <w:rsid w:val="00FE073E"/>
    <w:rsid w:val="00FE0963"/>
    <w:rsid w:val="00FE0FC9"/>
    <w:rsid w:val="00FE1985"/>
    <w:rsid w:val="00FE1A3C"/>
    <w:rsid w:val="00FE270E"/>
    <w:rsid w:val="00FE27A2"/>
    <w:rsid w:val="00FE2CB9"/>
    <w:rsid w:val="00FE30F8"/>
    <w:rsid w:val="00FE353F"/>
    <w:rsid w:val="00FE4195"/>
    <w:rsid w:val="00FE4282"/>
    <w:rsid w:val="00FE436D"/>
    <w:rsid w:val="00FE4494"/>
    <w:rsid w:val="00FE453B"/>
    <w:rsid w:val="00FE4D06"/>
    <w:rsid w:val="00FE5301"/>
    <w:rsid w:val="00FE572C"/>
    <w:rsid w:val="00FE737E"/>
    <w:rsid w:val="00FE7809"/>
    <w:rsid w:val="00FE79B4"/>
    <w:rsid w:val="00FE7EAC"/>
    <w:rsid w:val="00FF02FE"/>
    <w:rsid w:val="00FF0C13"/>
    <w:rsid w:val="00FF1215"/>
    <w:rsid w:val="00FF1635"/>
    <w:rsid w:val="00FF1E79"/>
    <w:rsid w:val="00FF1FE6"/>
    <w:rsid w:val="00FF32EF"/>
    <w:rsid w:val="00FF3563"/>
    <w:rsid w:val="00FF4A52"/>
    <w:rsid w:val="00FF4B40"/>
    <w:rsid w:val="00FF4CAF"/>
    <w:rsid w:val="00FF4FCA"/>
    <w:rsid w:val="00FF512F"/>
    <w:rsid w:val="00FF540C"/>
    <w:rsid w:val="00FF5E6C"/>
    <w:rsid w:val="00FF619C"/>
    <w:rsid w:val="00FF6FD3"/>
    <w:rsid w:val="00FF7A6C"/>
    <w:rsid w:val="00FF7CCF"/>
    <w:rsid w:val="00FF7D21"/>
    <w:rsid w:val="01143209"/>
    <w:rsid w:val="01877E98"/>
    <w:rsid w:val="048C658D"/>
    <w:rsid w:val="052111A7"/>
    <w:rsid w:val="06327C85"/>
    <w:rsid w:val="0653450B"/>
    <w:rsid w:val="082C3BB3"/>
    <w:rsid w:val="0A186CC0"/>
    <w:rsid w:val="0B57688C"/>
    <w:rsid w:val="0C2B23EB"/>
    <w:rsid w:val="0CA04100"/>
    <w:rsid w:val="0CC42EFC"/>
    <w:rsid w:val="0D416247"/>
    <w:rsid w:val="0E8125E3"/>
    <w:rsid w:val="10ED5C94"/>
    <w:rsid w:val="1174623C"/>
    <w:rsid w:val="117E7CE7"/>
    <w:rsid w:val="11F07FDC"/>
    <w:rsid w:val="120174E4"/>
    <w:rsid w:val="121F5218"/>
    <w:rsid w:val="1259768E"/>
    <w:rsid w:val="15CD583F"/>
    <w:rsid w:val="16367B48"/>
    <w:rsid w:val="163C5AE8"/>
    <w:rsid w:val="19512D87"/>
    <w:rsid w:val="1A3B7046"/>
    <w:rsid w:val="1C307D98"/>
    <w:rsid w:val="1C97789F"/>
    <w:rsid w:val="1D340F44"/>
    <w:rsid w:val="1EA32D7A"/>
    <w:rsid w:val="202E4BE3"/>
    <w:rsid w:val="20F428A1"/>
    <w:rsid w:val="213742D3"/>
    <w:rsid w:val="21907577"/>
    <w:rsid w:val="228B173B"/>
    <w:rsid w:val="22CB676E"/>
    <w:rsid w:val="23C74974"/>
    <w:rsid w:val="246D7C4E"/>
    <w:rsid w:val="24844757"/>
    <w:rsid w:val="24BE4B28"/>
    <w:rsid w:val="2535132D"/>
    <w:rsid w:val="25EB15C5"/>
    <w:rsid w:val="261E09DF"/>
    <w:rsid w:val="282A2BEE"/>
    <w:rsid w:val="28D028FE"/>
    <w:rsid w:val="2B4D3342"/>
    <w:rsid w:val="2B9520C5"/>
    <w:rsid w:val="2BBA6449"/>
    <w:rsid w:val="2BC47AA5"/>
    <w:rsid w:val="2CB307D9"/>
    <w:rsid w:val="2DF815D6"/>
    <w:rsid w:val="2E0057D4"/>
    <w:rsid w:val="2E5974B8"/>
    <w:rsid w:val="2E94046E"/>
    <w:rsid w:val="2F7B5AE5"/>
    <w:rsid w:val="305D3A13"/>
    <w:rsid w:val="31C9301A"/>
    <w:rsid w:val="31F9726C"/>
    <w:rsid w:val="322E68D6"/>
    <w:rsid w:val="35D93F23"/>
    <w:rsid w:val="35E65B62"/>
    <w:rsid w:val="369E28B1"/>
    <w:rsid w:val="37186D02"/>
    <w:rsid w:val="3863056C"/>
    <w:rsid w:val="394D0635"/>
    <w:rsid w:val="39B23525"/>
    <w:rsid w:val="39B56389"/>
    <w:rsid w:val="39F80678"/>
    <w:rsid w:val="3B7E4C49"/>
    <w:rsid w:val="3C06087D"/>
    <w:rsid w:val="3F066C61"/>
    <w:rsid w:val="3F7203A5"/>
    <w:rsid w:val="41072475"/>
    <w:rsid w:val="414700D8"/>
    <w:rsid w:val="41C04416"/>
    <w:rsid w:val="444406C2"/>
    <w:rsid w:val="4493615A"/>
    <w:rsid w:val="44DE5E73"/>
    <w:rsid w:val="46057713"/>
    <w:rsid w:val="464B6DD6"/>
    <w:rsid w:val="465B4B3E"/>
    <w:rsid w:val="46AF24B3"/>
    <w:rsid w:val="477D5225"/>
    <w:rsid w:val="47CB233B"/>
    <w:rsid w:val="482E296B"/>
    <w:rsid w:val="48AC6BAE"/>
    <w:rsid w:val="48D07536"/>
    <w:rsid w:val="49B36301"/>
    <w:rsid w:val="49BE37F8"/>
    <w:rsid w:val="4A0C27BE"/>
    <w:rsid w:val="4AEB7034"/>
    <w:rsid w:val="4BA35A0F"/>
    <w:rsid w:val="4BB75019"/>
    <w:rsid w:val="4DE06CE1"/>
    <w:rsid w:val="4DEC4713"/>
    <w:rsid w:val="4E38530D"/>
    <w:rsid w:val="4E9D0251"/>
    <w:rsid w:val="4FD26958"/>
    <w:rsid w:val="503845D8"/>
    <w:rsid w:val="5039617B"/>
    <w:rsid w:val="50907545"/>
    <w:rsid w:val="527536AD"/>
    <w:rsid w:val="52BD65D7"/>
    <w:rsid w:val="52E93406"/>
    <w:rsid w:val="53626B27"/>
    <w:rsid w:val="53DA524A"/>
    <w:rsid w:val="551B6C15"/>
    <w:rsid w:val="559E4816"/>
    <w:rsid w:val="57FF6B50"/>
    <w:rsid w:val="599F6CDA"/>
    <w:rsid w:val="5AA228B5"/>
    <w:rsid w:val="5B0263CA"/>
    <w:rsid w:val="5B462BC2"/>
    <w:rsid w:val="5BB55107"/>
    <w:rsid w:val="5CB75810"/>
    <w:rsid w:val="5D5B29D3"/>
    <w:rsid w:val="5E792BC9"/>
    <w:rsid w:val="5EB77268"/>
    <w:rsid w:val="63892B5B"/>
    <w:rsid w:val="63957EF9"/>
    <w:rsid w:val="659E0BA1"/>
    <w:rsid w:val="65ED437F"/>
    <w:rsid w:val="66900FDB"/>
    <w:rsid w:val="673A6CEA"/>
    <w:rsid w:val="68130E98"/>
    <w:rsid w:val="683F5DDD"/>
    <w:rsid w:val="6A9305C6"/>
    <w:rsid w:val="6ACB1AC2"/>
    <w:rsid w:val="6AE97817"/>
    <w:rsid w:val="6B224BF6"/>
    <w:rsid w:val="6C2F0BDE"/>
    <w:rsid w:val="6CD3504B"/>
    <w:rsid w:val="706E76AD"/>
    <w:rsid w:val="75AF3E00"/>
    <w:rsid w:val="76946CFC"/>
    <w:rsid w:val="771611A0"/>
    <w:rsid w:val="772C5223"/>
    <w:rsid w:val="782F334E"/>
    <w:rsid w:val="78327327"/>
    <w:rsid w:val="7A892FDB"/>
    <w:rsid w:val="7AAD253F"/>
    <w:rsid w:val="7C533F7F"/>
    <w:rsid w:val="7C8C6414"/>
    <w:rsid w:val="7D61685B"/>
    <w:rsid w:val="7E001DD4"/>
    <w:rsid w:val="7E24516D"/>
    <w:rsid w:val="7EE30C04"/>
    <w:rsid w:val="7F9C14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ocked="1"/>
    <w:lsdException w:qFormat="1" w:uiPriority="9" w:name="heading 6" w:locked="1"/>
    <w:lsdException w:qFormat="1" w:uiPriority="9" w:name="heading 7" w:locked="1"/>
    <w:lsdException w:qFormat="1" w:unhideWhenUsed="0" w:uiPriority="0" w:semiHidden="0"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iPriority="39" w:semiHidden="0" w:name="toc 1" w:locked="1"/>
    <w:lsdException w:uiPriority="39" w:name="toc 2" w:locked="1"/>
    <w:lsdException w:uiPriority="39" w:name="toc 3" w:locked="1"/>
    <w:lsdException w:uiPriority="39" w:name="toc 4" w:locked="1"/>
    <w:lsdException w:uiPriority="39" w:name="toc 5" w:locked="1"/>
    <w:lsdException w:uiPriority="39" w:name="toc 6" w:locked="1"/>
    <w:lsdException w:qFormat="1" w:unhideWhenUsed="0" w:uiPriority="99" w:name="toc 7"/>
    <w:lsdException w:uiPriority="39" w:name="toc 8" w:locked="1"/>
    <w:lsdException w:uiPriority="39" w:name="toc 9" w:locked="1"/>
    <w:lsdException w:qFormat="1" w:unhideWhenUsed="0" w:uiPriority="0" w:semiHidden="0" w:name="Normal Indent"/>
    <w:lsdException w:uiPriority="99"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iPriority="99" w:semiHidden="0"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unhideWhenUsed="0" w:uiPriority="11" w:semiHidden="0" w:name="Subtitle" w:locked="1"/>
    <w:lsdException w:qFormat="1" w:uiPriority="99" w:semiHidden="0" w:name="Salutation" w:locked="1"/>
    <w:lsdException w:uiPriority="99" w:name="Date" w:locked="1"/>
    <w:lsdException w:qFormat="1" w:unhideWhenUsed="0" w:uiPriority="99" w:semiHidden="0" w:name="Body Text First Indent"/>
    <w:lsdException w:qFormat="1" w:uiPriority="99"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4"/>
    <w:qFormat/>
    <w:uiPriority w:val="99"/>
    <w:pPr>
      <w:keepNext/>
      <w:spacing w:line="360" w:lineRule="auto"/>
      <w:ind w:right="98"/>
      <w:outlineLvl w:val="0"/>
    </w:pPr>
    <w:rPr>
      <w:b/>
      <w:bCs/>
      <w:kern w:val="44"/>
      <w:sz w:val="44"/>
      <w:szCs w:val="44"/>
    </w:rPr>
  </w:style>
  <w:style w:type="paragraph" w:styleId="4">
    <w:name w:val="heading 2"/>
    <w:basedOn w:val="1"/>
    <w:next w:val="1"/>
    <w:link w:val="45"/>
    <w:qFormat/>
    <w:uiPriority w:val="99"/>
    <w:pPr>
      <w:keepNext/>
      <w:jc w:val="center"/>
      <w:outlineLvl w:val="1"/>
    </w:pPr>
    <w:rPr>
      <w:rFonts w:ascii="Cambria" w:hAnsi="Cambria"/>
      <w:b/>
      <w:bCs/>
      <w:kern w:val="0"/>
      <w:sz w:val="32"/>
      <w:szCs w:val="32"/>
    </w:rPr>
  </w:style>
  <w:style w:type="paragraph" w:styleId="5">
    <w:name w:val="heading 3"/>
    <w:basedOn w:val="1"/>
    <w:next w:val="1"/>
    <w:link w:val="46"/>
    <w:qFormat/>
    <w:uiPriority w:val="99"/>
    <w:pPr>
      <w:keepNext/>
      <w:keepLines/>
      <w:spacing w:line="360" w:lineRule="auto"/>
      <w:outlineLvl w:val="2"/>
    </w:pPr>
    <w:rPr>
      <w:b/>
      <w:bCs/>
      <w:kern w:val="0"/>
      <w:sz w:val="32"/>
      <w:szCs w:val="32"/>
    </w:rPr>
  </w:style>
  <w:style w:type="paragraph" w:styleId="2">
    <w:name w:val="heading 4"/>
    <w:basedOn w:val="1"/>
    <w:next w:val="1"/>
    <w:link w:val="47"/>
    <w:qFormat/>
    <w:uiPriority w:val="99"/>
    <w:pPr>
      <w:keepNext/>
      <w:keepLines/>
      <w:spacing w:line="360" w:lineRule="auto"/>
      <w:outlineLvl w:val="3"/>
    </w:pPr>
    <w:rPr>
      <w:rFonts w:ascii="Cambria" w:hAnsi="Cambria"/>
      <w:b/>
      <w:bCs/>
      <w:kern w:val="0"/>
      <w:sz w:val="28"/>
      <w:szCs w:val="28"/>
    </w:rPr>
  </w:style>
  <w:style w:type="paragraph" w:styleId="6">
    <w:name w:val="heading 5"/>
    <w:basedOn w:val="1"/>
    <w:next w:val="1"/>
    <w:qFormat/>
    <w:locked/>
    <w:uiPriority w:val="0"/>
    <w:pPr>
      <w:keepNext/>
      <w:keepLines/>
      <w:numPr>
        <w:ilvl w:val="4"/>
        <w:numId w:val="1"/>
      </w:numPr>
      <w:spacing w:line="360" w:lineRule="auto"/>
      <w:jc w:val="left"/>
      <w:outlineLvl w:val="4"/>
    </w:pPr>
    <w:rPr>
      <w:b/>
    </w:rPr>
  </w:style>
  <w:style w:type="paragraph" w:styleId="7">
    <w:name w:val="heading 8"/>
    <w:basedOn w:val="1"/>
    <w:next w:val="1"/>
    <w:qFormat/>
    <w:locked/>
    <w:uiPriority w:val="0"/>
    <w:pPr>
      <w:keepNext/>
      <w:keepLines/>
      <w:numPr>
        <w:ilvl w:val="7"/>
        <w:numId w:val="2"/>
      </w:numPr>
      <w:tabs>
        <w:tab w:val="left" w:pos="0"/>
        <w:tab w:val="left" w:pos="180"/>
        <w:tab w:val="left" w:pos="1418"/>
        <w:tab w:val="clear" w:pos="420"/>
      </w:tabs>
      <w:spacing w:line="360" w:lineRule="auto"/>
      <w:jc w:val="center"/>
      <w:outlineLvl w:val="7"/>
    </w:pPr>
    <w:rPr>
      <w:b/>
    </w:rPr>
  </w:style>
  <w:style w:type="character" w:default="1" w:styleId="36">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semiHidden/>
    <w:qFormat/>
    <w:uiPriority w:val="99"/>
    <w:pPr>
      <w:ind w:left="1260"/>
      <w:jc w:val="left"/>
    </w:pPr>
    <w:rPr>
      <w:sz w:val="18"/>
      <w:szCs w:val="18"/>
    </w:rPr>
  </w:style>
  <w:style w:type="paragraph" w:styleId="9">
    <w:name w:val="List Number"/>
    <w:basedOn w:val="1"/>
    <w:unhideWhenUsed/>
    <w:qFormat/>
    <w:locked/>
    <w:uiPriority w:val="99"/>
    <w:pPr>
      <w:numPr>
        <w:ilvl w:val="0"/>
        <w:numId w:val="3"/>
      </w:numPr>
      <w:ind w:left="360" w:hanging="360" w:hangingChars="200"/>
      <w:contextualSpacing/>
    </w:pPr>
  </w:style>
  <w:style w:type="paragraph" w:styleId="10">
    <w:name w:val="Normal Indent"/>
    <w:basedOn w:val="1"/>
    <w:link w:val="97"/>
    <w:qFormat/>
    <w:uiPriority w:val="0"/>
    <w:pPr>
      <w:spacing w:line="300" w:lineRule="auto"/>
      <w:ind w:firstLine="200" w:firstLineChars="200"/>
      <w:jc w:val="left"/>
    </w:pPr>
    <w:rPr>
      <w:rFonts w:ascii="宋体" w:hAnsi="宋体"/>
      <w:sz w:val="24"/>
      <w:szCs w:val="24"/>
    </w:rPr>
  </w:style>
  <w:style w:type="paragraph" w:styleId="11">
    <w:name w:val="caption"/>
    <w:basedOn w:val="1"/>
    <w:next w:val="1"/>
    <w:qFormat/>
    <w:uiPriority w:val="99"/>
    <w:rPr>
      <w:rFonts w:ascii="Arial" w:hAnsi="Arial" w:eastAsia="黑体" w:cs="Arial"/>
      <w:sz w:val="20"/>
    </w:rPr>
  </w:style>
  <w:style w:type="paragraph" w:styleId="12">
    <w:name w:val="Document Map"/>
    <w:basedOn w:val="1"/>
    <w:link w:val="52"/>
    <w:semiHidden/>
    <w:qFormat/>
    <w:uiPriority w:val="99"/>
    <w:pPr>
      <w:shd w:val="clear" w:color="auto" w:fill="000080"/>
    </w:pPr>
    <w:rPr>
      <w:kern w:val="0"/>
      <w:sz w:val="2"/>
    </w:rPr>
  </w:style>
  <w:style w:type="paragraph" w:styleId="13">
    <w:name w:val="annotation text"/>
    <w:basedOn w:val="1"/>
    <w:link w:val="48"/>
    <w:qFormat/>
    <w:uiPriority w:val="0"/>
    <w:pPr>
      <w:jc w:val="left"/>
    </w:pPr>
  </w:style>
  <w:style w:type="paragraph" w:styleId="14">
    <w:name w:val="Salutation"/>
    <w:basedOn w:val="1"/>
    <w:next w:val="1"/>
    <w:unhideWhenUsed/>
    <w:qFormat/>
    <w:locked/>
    <w:uiPriority w:val="99"/>
  </w:style>
  <w:style w:type="paragraph" w:styleId="15">
    <w:name w:val="Body Text 3"/>
    <w:basedOn w:val="1"/>
    <w:link w:val="53"/>
    <w:qFormat/>
    <w:uiPriority w:val="99"/>
    <w:pPr>
      <w:jc w:val="left"/>
    </w:pPr>
    <w:rPr>
      <w:kern w:val="0"/>
      <w:sz w:val="16"/>
      <w:szCs w:val="16"/>
    </w:rPr>
  </w:style>
  <w:style w:type="paragraph" w:styleId="16">
    <w:name w:val="Body Text"/>
    <w:basedOn w:val="1"/>
    <w:next w:val="1"/>
    <w:link w:val="50"/>
    <w:qFormat/>
    <w:uiPriority w:val="99"/>
    <w:pPr>
      <w:spacing w:line="400" w:lineRule="exact"/>
    </w:pPr>
    <w:rPr>
      <w:rFonts w:ascii="宋体"/>
      <w:sz w:val="24"/>
    </w:rPr>
  </w:style>
  <w:style w:type="paragraph" w:styleId="17">
    <w:name w:val="Body Text Indent"/>
    <w:basedOn w:val="1"/>
    <w:next w:val="18"/>
    <w:link w:val="54"/>
    <w:qFormat/>
    <w:uiPriority w:val="99"/>
    <w:pPr>
      <w:spacing w:before="240" w:line="360" w:lineRule="auto"/>
      <w:ind w:firstLine="482"/>
    </w:pPr>
    <w:rPr>
      <w:kern w:val="0"/>
      <w:sz w:val="20"/>
    </w:rPr>
  </w:style>
  <w:style w:type="paragraph" w:styleId="18">
    <w:name w:val="Body Text Indent 2"/>
    <w:basedOn w:val="1"/>
    <w:next w:val="19"/>
    <w:link w:val="56"/>
    <w:qFormat/>
    <w:uiPriority w:val="99"/>
    <w:pPr>
      <w:spacing w:line="360" w:lineRule="auto"/>
      <w:ind w:left="720" w:hanging="720"/>
    </w:pPr>
    <w:rPr>
      <w:kern w:val="0"/>
      <w:sz w:val="20"/>
    </w:rPr>
  </w:style>
  <w:style w:type="paragraph" w:styleId="19">
    <w:name w:val="Body Text First Indent 2"/>
    <w:basedOn w:val="17"/>
    <w:next w:val="1"/>
    <w:unhideWhenUsed/>
    <w:qFormat/>
    <w:locked/>
    <w:uiPriority w:val="99"/>
    <w:pPr>
      <w:ind w:firstLine="420" w:firstLineChars="200"/>
    </w:pPr>
  </w:style>
  <w:style w:type="paragraph" w:styleId="20">
    <w:name w:val="Block Text"/>
    <w:basedOn w:val="1"/>
    <w:qFormat/>
    <w:uiPriority w:val="99"/>
    <w:pPr>
      <w:snapToGrid w:val="0"/>
      <w:spacing w:line="360" w:lineRule="auto"/>
      <w:ind w:left="239" w:leftChars="114" w:right="210" w:rightChars="100" w:firstLine="480" w:firstLineChars="200"/>
    </w:pPr>
    <w:rPr>
      <w:rFonts w:ascii="宋体"/>
      <w:sz w:val="24"/>
    </w:rPr>
  </w:style>
  <w:style w:type="paragraph" w:styleId="21">
    <w:name w:val="Plain Text"/>
    <w:basedOn w:val="1"/>
    <w:link w:val="55"/>
    <w:qFormat/>
    <w:uiPriority w:val="0"/>
    <w:rPr>
      <w:rFonts w:ascii="宋体" w:hAnsi="Courier New"/>
      <w:kern w:val="0"/>
      <w:szCs w:val="21"/>
    </w:rPr>
  </w:style>
  <w:style w:type="paragraph" w:styleId="22">
    <w:name w:val="Balloon Text"/>
    <w:basedOn w:val="1"/>
    <w:link w:val="57"/>
    <w:semiHidden/>
    <w:unhideWhenUsed/>
    <w:qFormat/>
    <w:uiPriority w:val="99"/>
    <w:rPr>
      <w:sz w:val="18"/>
      <w:szCs w:val="18"/>
    </w:rPr>
  </w:style>
  <w:style w:type="paragraph" w:styleId="23">
    <w:name w:val="footer"/>
    <w:basedOn w:val="1"/>
    <w:link w:val="58"/>
    <w:qFormat/>
    <w:uiPriority w:val="99"/>
    <w:pPr>
      <w:tabs>
        <w:tab w:val="center" w:pos="4153"/>
        <w:tab w:val="right" w:pos="8306"/>
      </w:tabs>
      <w:snapToGrid w:val="0"/>
      <w:jc w:val="left"/>
    </w:pPr>
    <w:rPr>
      <w:kern w:val="0"/>
      <w:sz w:val="18"/>
      <w:szCs w:val="18"/>
    </w:rPr>
  </w:style>
  <w:style w:type="paragraph" w:styleId="24">
    <w:name w:val="header"/>
    <w:basedOn w:val="1"/>
    <w:link w:val="59"/>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unhideWhenUsed/>
    <w:qFormat/>
    <w:locked/>
    <w:uiPriority w:val="39"/>
  </w:style>
  <w:style w:type="paragraph" w:styleId="26">
    <w:name w:val="List"/>
    <w:basedOn w:val="1"/>
    <w:qFormat/>
    <w:uiPriority w:val="99"/>
    <w:pPr>
      <w:ind w:left="200" w:hanging="200" w:hangingChars="200"/>
    </w:pPr>
    <w:rPr>
      <w:szCs w:val="24"/>
    </w:rPr>
  </w:style>
  <w:style w:type="paragraph" w:styleId="27">
    <w:name w:val="Body Text Indent 3"/>
    <w:basedOn w:val="1"/>
    <w:link w:val="60"/>
    <w:qFormat/>
    <w:uiPriority w:val="99"/>
    <w:pPr>
      <w:snapToGrid w:val="0"/>
      <w:spacing w:line="360" w:lineRule="auto"/>
      <w:ind w:left="834" w:leftChars="405" w:firstLine="2" w:firstLineChars="1"/>
    </w:pPr>
    <w:rPr>
      <w:kern w:val="0"/>
      <w:sz w:val="16"/>
      <w:szCs w:val="16"/>
    </w:rPr>
  </w:style>
  <w:style w:type="paragraph" w:styleId="28">
    <w:name w:val="Body Text 2"/>
    <w:basedOn w:val="1"/>
    <w:link w:val="61"/>
    <w:qFormat/>
    <w:uiPriority w:val="99"/>
    <w:rPr>
      <w:kern w:val="0"/>
      <w:sz w:val="20"/>
    </w:rPr>
  </w:style>
  <w:style w:type="paragraph" w:styleId="29">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30">
    <w:name w:val="annotation subject"/>
    <w:basedOn w:val="13"/>
    <w:next w:val="13"/>
    <w:link w:val="49"/>
    <w:qFormat/>
    <w:uiPriority w:val="99"/>
    <w:rPr>
      <w:b/>
    </w:rPr>
  </w:style>
  <w:style w:type="paragraph" w:styleId="31">
    <w:name w:val="Body Text First Indent"/>
    <w:basedOn w:val="16"/>
    <w:link w:val="51"/>
    <w:qFormat/>
    <w:uiPriority w:val="99"/>
    <w:pPr>
      <w:spacing w:after="120" w:line="240" w:lineRule="auto"/>
      <w:ind w:firstLine="420" w:firstLineChars="100"/>
    </w:pPr>
    <w:rPr>
      <w:sz w:val="20"/>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34">
    <w:name w:val="Table Grid 5"/>
    <w:basedOn w:val="32"/>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35">
    <w:name w:val="Table Professional"/>
    <w:basedOn w:val="32"/>
    <w:qFormat/>
    <w:uiPriority w:val="99"/>
    <w:pPr>
      <w:widowControl w:val="0"/>
      <w:spacing w:line="440" w:lineRule="exact"/>
      <w:ind w:firstLine="624"/>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l2br w:val="nil"/>
          <w:tr2bl w:val="nil"/>
        </w:tcBorders>
        <w:shd w:val="solid" w:color="000000" w:fill="FFFFFF"/>
      </w:tcPr>
    </w:tblStylePr>
  </w:style>
  <w:style w:type="character" w:styleId="37">
    <w:name w:val="Strong"/>
    <w:qFormat/>
    <w:uiPriority w:val="22"/>
    <w:rPr>
      <w:rFonts w:cs="Times New Roman"/>
      <w:b/>
    </w:rPr>
  </w:style>
  <w:style w:type="character" w:styleId="38">
    <w:name w:val="page number"/>
    <w:qFormat/>
    <w:uiPriority w:val="99"/>
    <w:rPr>
      <w:rFonts w:eastAsia="Times New Roman" w:cs="Times New Roman"/>
      <w:sz w:val="21"/>
    </w:rPr>
  </w:style>
  <w:style w:type="character" w:styleId="39">
    <w:name w:val="FollowedHyperlink"/>
    <w:qFormat/>
    <w:uiPriority w:val="99"/>
    <w:rPr>
      <w:rFonts w:cs="Times New Roman"/>
      <w:color w:val="333333"/>
      <w:u w:val="none"/>
    </w:rPr>
  </w:style>
  <w:style w:type="character" w:styleId="40">
    <w:name w:val="Emphasis"/>
    <w:qFormat/>
    <w:locked/>
    <w:uiPriority w:val="0"/>
    <w:rPr>
      <w:color w:val="CC0000"/>
    </w:rPr>
  </w:style>
  <w:style w:type="character" w:styleId="41">
    <w:name w:val="Hyperlink"/>
    <w:qFormat/>
    <w:uiPriority w:val="99"/>
    <w:rPr>
      <w:rFonts w:cs="Times New Roman"/>
      <w:color w:val="333333"/>
      <w:u w:val="none"/>
    </w:rPr>
  </w:style>
  <w:style w:type="character" w:styleId="42">
    <w:name w:val="annotation reference"/>
    <w:qFormat/>
    <w:uiPriority w:val="0"/>
    <w:rPr>
      <w:rFonts w:cs="Times New Roman"/>
      <w:sz w:val="21"/>
    </w:rPr>
  </w:style>
  <w:style w:type="paragraph" w:customStyle="1" w:styleId="43">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44">
    <w:name w:val="标题 1 字符"/>
    <w:link w:val="3"/>
    <w:qFormat/>
    <w:locked/>
    <w:uiPriority w:val="99"/>
    <w:rPr>
      <w:rFonts w:cs="Times New Roman"/>
      <w:b/>
      <w:bCs/>
      <w:kern w:val="44"/>
      <w:sz w:val="44"/>
      <w:szCs w:val="44"/>
    </w:rPr>
  </w:style>
  <w:style w:type="character" w:customStyle="1" w:styleId="45">
    <w:name w:val="标题 2 字符"/>
    <w:link w:val="4"/>
    <w:semiHidden/>
    <w:qFormat/>
    <w:locked/>
    <w:uiPriority w:val="99"/>
    <w:rPr>
      <w:rFonts w:ascii="Cambria" w:hAnsi="Cambria" w:eastAsia="宋体" w:cs="Times New Roman"/>
      <w:b/>
      <w:bCs/>
      <w:sz w:val="32"/>
      <w:szCs w:val="32"/>
    </w:rPr>
  </w:style>
  <w:style w:type="character" w:customStyle="1" w:styleId="46">
    <w:name w:val="标题 3 字符"/>
    <w:link w:val="5"/>
    <w:semiHidden/>
    <w:qFormat/>
    <w:locked/>
    <w:uiPriority w:val="99"/>
    <w:rPr>
      <w:rFonts w:cs="Times New Roman"/>
      <w:b/>
      <w:bCs/>
      <w:sz w:val="32"/>
      <w:szCs w:val="32"/>
    </w:rPr>
  </w:style>
  <w:style w:type="character" w:customStyle="1" w:styleId="47">
    <w:name w:val="标题 4 字符"/>
    <w:link w:val="2"/>
    <w:semiHidden/>
    <w:qFormat/>
    <w:locked/>
    <w:uiPriority w:val="99"/>
    <w:rPr>
      <w:rFonts w:ascii="Cambria" w:hAnsi="Cambria" w:eastAsia="宋体" w:cs="Times New Roman"/>
      <w:b/>
      <w:bCs/>
      <w:sz w:val="28"/>
      <w:szCs w:val="28"/>
    </w:rPr>
  </w:style>
  <w:style w:type="character" w:customStyle="1" w:styleId="48">
    <w:name w:val="批注文字 字符"/>
    <w:link w:val="13"/>
    <w:qFormat/>
    <w:locked/>
    <w:uiPriority w:val="0"/>
    <w:rPr>
      <w:rFonts w:cs="Times New Roman"/>
      <w:kern w:val="2"/>
      <w:sz w:val="21"/>
    </w:rPr>
  </w:style>
  <w:style w:type="character" w:customStyle="1" w:styleId="49">
    <w:name w:val="批注主题 字符"/>
    <w:link w:val="30"/>
    <w:qFormat/>
    <w:locked/>
    <w:uiPriority w:val="99"/>
    <w:rPr>
      <w:rFonts w:cs="Times New Roman"/>
      <w:b/>
      <w:kern w:val="2"/>
      <w:sz w:val="21"/>
    </w:rPr>
  </w:style>
  <w:style w:type="character" w:customStyle="1" w:styleId="50">
    <w:name w:val="正文文本 字符"/>
    <w:link w:val="16"/>
    <w:qFormat/>
    <w:locked/>
    <w:uiPriority w:val="99"/>
    <w:rPr>
      <w:rFonts w:ascii="宋体" w:eastAsia="宋体" w:cs="Times New Roman"/>
      <w:kern w:val="2"/>
      <w:sz w:val="24"/>
      <w:lang w:val="en-US" w:eastAsia="zh-CN"/>
    </w:rPr>
  </w:style>
  <w:style w:type="character" w:customStyle="1" w:styleId="51">
    <w:name w:val="正文文本首行缩进 字符"/>
    <w:link w:val="31"/>
    <w:semiHidden/>
    <w:qFormat/>
    <w:locked/>
    <w:uiPriority w:val="99"/>
    <w:rPr>
      <w:rFonts w:ascii="宋体" w:eastAsia="宋体" w:cs="Times New Roman"/>
      <w:kern w:val="2"/>
      <w:sz w:val="20"/>
      <w:szCs w:val="20"/>
      <w:lang w:val="en-US" w:eastAsia="zh-CN"/>
    </w:rPr>
  </w:style>
  <w:style w:type="character" w:customStyle="1" w:styleId="52">
    <w:name w:val="文档结构图 字符"/>
    <w:link w:val="12"/>
    <w:semiHidden/>
    <w:qFormat/>
    <w:locked/>
    <w:uiPriority w:val="99"/>
    <w:rPr>
      <w:rFonts w:cs="Times New Roman"/>
      <w:sz w:val="2"/>
    </w:rPr>
  </w:style>
  <w:style w:type="character" w:customStyle="1" w:styleId="53">
    <w:name w:val="正文文本 3 字符"/>
    <w:link w:val="15"/>
    <w:semiHidden/>
    <w:qFormat/>
    <w:locked/>
    <w:uiPriority w:val="99"/>
    <w:rPr>
      <w:rFonts w:cs="Times New Roman"/>
      <w:sz w:val="16"/>
      <w:szCs w:val="16"/>
    </w:rPr>
  </w:style>
  <w:style w:type="character" w:customStyle="1" w:styleId="54">
    <w:name w:val="正文文本缩进 字符"/>
    <w:link w:val="17"/>
    <w:semiHidden/>
    <w:qFormat/>
    <w:locked/>
    <w:uiPriority w:val="99"/>
    <w:rPr>
      <w:rFonts w:cs="Times New Roman"/>
      <w:sz w:val="20"/>
      <w:szCs w:val="20"/>
    </w:rPr>
  </w:style>
  <w:style w:type="character" w:customStyle="1" w:styleId="55">
    <w:name w:val="纯文本 字符"/>
    <w:link w:val="21"/>
    <w:semiHidden/>
    <w:qFormat/>
    <w:locked/>
    <w:uiPriority w:val="99"/>
    <w:rPr>
      <w:rFonts w:ascii="宋体" w:hAnsi="Courier New" w:cs="Courier New"/>
      <w:sz w:val="21"/>
      <w:szCs w:val="21"/>
    </w:rPr>
  </w:style>
  <w:style w:type="character" w:customStyle="1" w:styleId="56">
    <w:name w:val="正文文本缩进 2 字符"/>
    <w:link w:val="18"/>
    <w:semiHidden/>
    <w:qFormat/>
    <w:locked/>
    <w:uiPriority w:val="99"/>
    <w:rPr>
      <w:rFonts w:cs="Times New Roman"/>
      <w:sz w:val="20"/>
      <w:szCs w:val="20"/>
    </w:rPr>
  </w:style>
  <w:style w:type="character" w:customStyle="1" w:styleId="57">
    <w:name w:val="批注框文本 字符"/>
    <w:link w:val="22"/>
    <w:semiHidden/>
    <w:qFormat/>
    <w:uiPriority w:val="99"/>
    <w:rPr>
      <w:kern w:val="2"/>
      <w:sz w:val="18"/>
      <w:szCs w:val="18"/>
    </w:rPr>
  </w:style>
  <w:style w:type="character" w:customStyle="1" w:styleId="58">
    <w:name w:val="页脚 字符"/>
    <w:link w:val="23"/>
    <w:qFormat/>
    <w:locked/>
    <w:uiPriority w:val="99"/>
    <w:rPr>
      <w:rFonts w:cs="Times New Roman"/>
      <w:sz w:val="18"/>
      <w:szCs w:val="18"/>
    </w:rPr>
  </w:style>
  <w:style w:type="character" w:customStyle="1" w:styleId="59">
    <w:name w:val="页眉 字符"/>
    <w:link w:val="24"/>
    <w:qFormat/>
    <w:locked/>
    <w:uiPriority w:val="99"/>
    <w:rPr>
      <w:rFonts w:cs="Times New Roman"/>
      <w:sz w:val="18"/>
      <w:szCs w:val="18"/>
    </w:rPr>
  </w:style>
  <w:style w:type="character" w:customStyle="1" w:styleId="60">
    <w:name w:val="正文文本缩进 3 字符"/>
    <w:link w:val="27"/>
    <w:semiHidden/>
    <w:qFormat/>
    <w:locked/>
    <w:uiPriority w:val="99"/>
    <w:rPr>
      <w:rFonts w:cs="Times New Roman"/>
      <w:sz w:val="16"/>
      <w:szCs w:val="16"/>
    </w:rPr>
  </w:style>
  <w:style w:type="character" w:customStyle="1" w:styleId="61">
    <w:name w:val="正文文本 2 字符"/>
    <w:link w:val="28"/>
    <w:semiHidden/>
    <w:qFormat/>
    <w:locked/>
    <w:uiPriority w:val="99"/>
    <w:rPr>
      <w:rFonts w:cs="Times New Roman"/>
      <w:sz w:val="20"/>
      <w:szCs w:val="20"/>
    </w:rPr>
  </w:style>
  <w:style w:type="character" w:customStyle="1" w:styleId="62">
    <w:name w:val="样式 题注 Char"/>
    <w:link w:val="63"/>
    <w:qFormat/>
    <w:locked/>
    <w:uiPriority w:val="99"/>
    <w:rPr>
      <w:rFonts w:eastAsia="宋体"/>
      <w:b/>
      <w:kern w:val="2"/>
      <w:sz w:val="21"/>
      <w:lang w:val="en-US" w:eastAsia="zh-CN"/>
    </w:rPr>
  </w:style>
  <w:style w:type="paragraph" w:customStyle="1" w:styleId="63">
    <w:name w:val="样式 题注"/>
    <w:basedOn w:val="16"/>
    <w:link w:val="62"/>
    <w:qFormat/>
    <w:uiPriority w:val="99"/>
    <w:pPr>
      <w:spacing w:beforeLines="50" w:afterLines="50" w:line="240" w:lineRule="auto"/>
      <w:jc w:val="center"/>
    </w:pPr>
    <w:rPr>
      <w:rFonts w:ascii="Times New Roman"/>
      <w:b/>
      <w:sz w:val="21"/>
    </w:rPr>
  </w:style>
  <w:style w:type="character" w:customStyle="1" w:styleId="64">
    <w:name w:val="报告 Char"/>
    <w:link w:val="65"/>
    <w:qFormat/>
    <w:locked/>
    <w:uiPriority w:val="99"/>
    <w:rPr>
      <w:rFonts w:eastAsia="宋体"/>
      <w:sz w:val="24"/>
      <w:lang w:val="en-US" w:eastAsia="zh-CN"/>
    </w:rPr>
  </w:style>
  <w:style w:type="paragraph" w:customStyle="1" w:styleId="65">
    <w:name w:val="报告"/>
    <w:basedOn w:val="1"/>
    <w:link w:val="64"/>
    <w:qFormat/>
    <w:uiPriority w:val="99"/>
    <w:pPr>
      <w:overflowPunct w:val="0"/>
      <w:autoSpaceDE w:val="0"/>
      <w:autoSpaceDN w:val="0"/>
      <w:adjustRightInd w:val="0"/>
      <w:spacing w:beforeLines="30" w:afterLines="30" w:line="400" w:lineRule="atLeast"/>
      <w:ind w:firstLine="200" w:firstLineChars="200"/>
      <w:textAlignment w:val="baseline"/>
    </w:pPr>
    <w:rPr>
      <w:kern w:val="0"/>
      <w:sz w:val="24"/>
    </w:rPr>
  </w:style>
  <w:style w:type="character" w:customStyle="1" w:styleId="66">
    <w:name w:val="表格内文字 Char"/>
    <w:link w:val="67"/>
    <w:qFormat/>
    <w:locked/>
    <w:uiPriority w:val="99"/>
    <w:rPr>
      <w:rFonts w:eastAsia="宋体"/>
      <w:spacing w:val="10"/>
      <w:kern w:val="2"/>
      <w:sz w:val="24"/>
      <w:lang w:val="en-US" w:eastAsia="zh-CN"/>
    </w:rPr>
  </w:style>
  <w:style w:type="paragraph" w:customStyle="1" w:styleId="67">
    <w:name w:val="表格内文字"/>
    <w:basedOn w:val="1"/>
    <w:link w:val="66"/>
    <w:qFormat/>
    <w:uiPriority w:val="99"/>
    <w:pPr>
      <w:spacing w:before="100" w:after="100" w:line="320" w:lineRule="exact"/>
      <w:jc w:val="center"/>
    </w:pPr>
    <w:rPr>
      <w:spacing w:val="10"/>
      <w:sz w:val="24"/>
    </w:rPr>
  </w:style>
  <w:style w:type="character" w:customStyle="1" w:styleId="68">
    <w:name w:val="正文文本，表格 Char"/>
    <w:link w:val="69"/>
    <w:qFormat/>
    <w:locked/>
    <w:uiPriority w:val="0"/>
    <w:rPr>
      <w:rFonts w:eastAsia="宋体"/>
      <w:kern w:val="2"/>
      <w:sz w:val="21"/>
      <w:lang w:val="en-US" w:eastAsia="zh-CN"/>
    </w:rPr>
  </w:style>
  <w:style w:type="paragraph" w:customStyle="1" w:styleId="69">
    <w:name w:val="正文文本，表格"/>
    <w:basedOn w:val="1"/>
    <w:link w:val="68"/>
    <w:qFormat/>
    <w:uiPriority w:val="0"/>
    <w:pPr>
      <w:jc w:val="center"/>
    </w:pPr>
  </w:style>
  <w:style w:type="paragraph" w:customStyle="1" w:styleId="70">
    <w:name w:val="表格文字"/>
    <w:basedOn w:val="1"/>
    <w:link w:val="120"/>
    <w:qFormat/>
    <w:uiPriority w:val="0"/>
    <w:pPr>
      <w:jc w:val="center"/>
    </w:pPr>
    <w:rPr>
      <w:rFonts w:ascii="仿宋_GB2312" w:hAnsi="Arial Black" w:eastAsia="仿宋_GB2312"/>
      <w:kern w:val="44"/>
      <w:sz w:val="24"/>
    </w:rPr>
  </w:style>
  <w:style w:type="paragraph" w:customStyle="1" w:styleId="71">
    <w:name w:val="表"/>
    <w:basedOn w:val="1"/>
    <w:link w:val="110"/>
    <w:qFormat/>
    <w:uiPriority w:val="0"/>
    <w:pPr>
      <w:adjustRightInd w:val="0"/>
      <w:snapToGrid w:val="0"/>
      <w:jc w:val="center"/>
    </w:pPr>
    <w:rPr>
      <w:kern w:val="0"/>
      <w:szCs w:val="21"/>
    </w:rPr>
  </w:style>
  <w:style w:type="paragraph" w:customStyle="1" w:styleId="72">
    <w:name w:val="3级"/>
    <w:basedOn w:val="2"/>
    <w:qFormat/>
    <w:uiPriority w:val="99"/>
    <w:pPr>
      <w:spacing w:line="440" w:lineRule="exact"/>
      <w:outlineLvl w:val="2"/>
    </w:pPr>
    <w:rPr>
      <w:rFonts w:ascii="宋体" w:hAnsi="宋体"/>
      <w:sz w:val="24"/>
    </w:rPr>
  </w:style>
  <w:style w:type="paragraph" w:customStyle="1" w:styleId="73">
    <w:name w:val="默认段落字体 Para Char Char Char Char"/>
    <w:basedOn w:val="1"/>
    <w:qFormat/>
    <w:uiPriority w:val="99"/>
    <w:pPr>
      <w:spacing w:beforeLines="100" w:afterLines="50" w:line="600" w:lineRule="exact"/>
      <w:ind w:firstLine="200" w:firstLineChars="200"/>
    </w:pPr>
    <w:rPr>
      <w:rFonts w:eastAsia="黑体"/>
      <w:sz w:val="28"/>
      <w:szCs w:val="24"/>
    </w:rPr>
  </w:style>
  <w:style w:type="paragraph" w:customStyle="1" w:styleId="74">
    <w:name w:val="表内容"/>
    <w:basedOn w:val="1"/>
    <w:next w:val="1"/>
    <w:link w:val="96"/>
    <w:qFormat/>
    <w:uiPriority w:val="0"/>
    <w:pPr>
      <w:spacing w:line="320" w:lineRule="exact"/>
      <w:jc w:val="center"/>
    </w:pPr>
  </w:style>
  <w:style w:type="paragraph" w:customStyle="1" w:styleId="75">
    <w:name w:val="书正文"/>
    <w:basedOn w:val="1"/>
    <w:qFormat/>
    <w:uiPriority w:val="99"/>
    <w:pPr>
      <w:spacing w:line="400" w:lineRule="atLeast"/>
      <w:ind w:firstLine="200" w:firstLineChars="200"/>
    </w:pPr>
    <w:rPr>
      <w:sz w:val="28"/>
      <w:szCs w:val="24"/>
    </w:rPr>
  </w:style>
  <w:style w:type="paragraph" w:customStyle="1" w:styleId="76">
    <w:name w:val="表正文"/>
    <w:basedOn w:val="16"/>
    <w:qFormat/>
    <w:uiPriority w:val="99"/>
    <w:pPr>
      <w:spacing w:after="120" w:line="240" w:lineRule="auto"/>
      <w:ind w:firstLine="200" w:firstLineChars="200"/>
    </w:pPr>
    <w:rPr>
      <w:rFonts w:hAnsi="宋体"/>
      <w:bCs/>
      <w:szCs w:val="24"/>
    </w:rPr>
  </w:style>
  <w:style w:type="paragraph" w:customStyle="1" w:styleId="77">
    <w:name w:val="1"/>
    <w:basedOn w:val="1"/>
    <w:next w:val="1"/>
    <w:qFormat/>
    <w:uiPriority w:val="99"/>
    <w:pPr>
      <w:widowControl/>
      <w:snapToGrid w:val="0"/>
      <w:spacing w:line="300" w:lineRule="auto"/>
      <w:jc w:val="left"/>
    </w:pPr>
    <w:rPr>
      <w:rFonts w:eastAsia="黑体"/>
      <w:kern w:val="0"/>
      <w:sz w:val="28"/>
      <w:szCs w:val="28"/>
      <w:lang w:eastAsia="en-US"/>
    </w:rPr>
  </w:style>
  <w:style w:type="paragraph" w:customStyle="1" w:styleId="78">
    <w:name w:val="Char1 Char Char Char"/>
    <w:basedOn w:val="1"/>
    <w:qFormat/>
    <w:uiPriority w:val="99"/>
    <w:pPr>
      <w:widowControl/>
      <w:spacing w:after="160" w:line="240" w:lineRule="exact"/>
      <w:jc w:val="left"/>
    </w:pPr>
    <w:rPr>
      <w:rFonts w:ascii="Arial" w:hAnsi="Arial" w:cs="Verdana"/>
      <w:b/>
      <w:kern w:val="0"/>
      <w:sz w:val="24"/>
      <w:lang w:eastAsia="en-US"/>
    </w:rPr>
  </w:style>
  <w:style w:type="character" w:customStyle="1" w:styleId="79">
    <w:name w:val="报告表 Char"/>
    <w:link w:val="80"/>
    <w:qFormat/>
    <w:locked/>
    <w:uiPriority w:val="99"/>
    <w:rPr>
      <w:sz w:val="24"/>
    </w:rPr>
  </w:style>
  <w:style w:type="paragraph" w:customStyle="1" w:styleId="80">
    <w:name w:val="报告表"/>
    <w:basedOn w:val="1"/>
    <w:link w:val="79"/>
    <w:qFormat/>
    <w:uiPriority w:val="99"/>
    <w:pPr>
      <w:spacing w:line="500" w:lineRule="exact"/>
      <w:ind w:left="105" w:leftChars="50" w:right="105" w:rightChars="50" w:firstLine="560" w:firstLineChars="200"/>
    </w:pPr>
    <w:rPr>
      <w:kern w:val="0"/>
      <w:sz w:val="24"/>
    </w:rPr>
  </w:style>
  <w:style w:type="paragraph" w:customStyle="1" w:styleId="81">
    <w:name w:val="List Paragraph1"/>
    <w:basedOn w:val="1"/>
    <w:qFormat/>
    <w:uiPriority w:val="99"/>
    <w:pPr>
      <w:ind w:firstLine="420" w:firstLineChars="200"/>
    </w:pPr>
  </w:style>
  <w:style w:type="character" w:customStyle="1" w:styleId="82">
    <w:name w:val="font51"/>
    <w:qFormat/>
    <w:uiPriority w:val="99"/>
    <w:rPr>
      <w:rFonts w:ascii="宋体" w:hAnsi="宋体" w:eastAsia="宋体" w:cs="宋体"/>
      <w:color w:val="000000"/>
      <w:sz w:val="18"/>
      <w:szCs w:val="18"/>
      <w:u w:val="none"/>
    </w:rPr>
  </w:style>
  <w:style w:type="character" w:customStyle="1" w:styleId="83">
    <w:name w:val="font11"/>
    <w:qFormat/>
    <w:uiPriority w:val="99"/>
    <w:rPr>
      <w:rFonts w:ascii="宋体" w:hAnsi="宋体" w:eastAsia="宋体" w:cs="宋体"/>
      <w:color w:val="000000"/>
      <w:sz w:val="20"/>
      <w:szCs w:val="20"/>
      <w:u w:val="none"/>
      <w:vertAlign w:val="superscript"/>
    </w:rPr>
  </w:style>
  <w:style w:type="character" w:customStyle="1" w:styleId="84">
    <w:name w:val="font21"/>
    <w:qFormat/>
    <w:uiPriority w:val="99"/>
    <w:rPr>
      <w:rFonts w:ascii="宋体" w:hAnsi="宋体" w:eastAsia="宋体" w:cs="宋体"/>
      <w:color w:val="000000"/>
      <w:sz w:val="20"/>
      <w:szCs w:val="20"/>
      <w:u w:val="none"/>
    </w:rPr>
  </w:style>
  <w:style w:type="paragraph" w:customStyle="1" w:styleId="85">
    <w:name w:val="表格中文字"/>
    <w:basedOn w:val="1"/>
    <w:qFormat/>
    <w:uiPriority w:val="99"/>
    <w:pPr>
      <w:adjustRightInd w:val="0"/>
      <w:snapToGrid w:val="0"/>
      <w:jc w:val="center"/>
    </w:pPr>
    <w:rPr>
      <w:kern w:val="18"/>
      <w:sz w:val="20"/>
      <w:szCs w:val="21"/>
    </w:rPr>
  </w:style>
  <w:style w:type="paragraph" w:customStyle="1" w:styleId="86">
    <w:name w:val="小四表格"/>
    <w:basedOn w:val="1"/>
    <w:qFormat/>
    <w:uiPriority w:val="99"/>
    <w:pPr>
      <w:keepNext/>
      <w:autoSpaceDE w:val="0"/>
      <w:autoSpaceDN w:val="0"/>
      <w:adjustRightInd w:val="0"/>
      <w:spacing w:line="480" w:lineRule="atLeast"/>
      <w:jc w:val="center"/>
    </w:pPr>
    <w:rPr>
      <w:color w:val="000000"/>
      <w:sz w:val="24"/>
    </w:rPr>
  </w:style>
  <w:style w:type="paragraph" w:customStyle="1" w:styleId="87">
    <w:name w:val="表格内容"/>
    <w:basedOn w:val="1"/>
    <w:qFormat/>
    <w:uiPriority w:val="99"/>
    <w:pPr>
      <w:overflowPunct w:val="0"/>
      <w:adjustRightInd w:val="0"/>
      <w:spacing w:before="40" w:after="60" w:line="200" w:lineRule="atLeast"/>
      <w:textAlignment w:val="baseline"/>
    </w:pPr>
    <w:rPr>
      <w:rFonts w:ascii="Arial" w:hAnsi="Arial" w:eastAsia="仿宋_GB2312"/>
      <w:kern w:val="0"/>
      <w:sz w:val="24"/>
    </w:rPr>
  </w:style>
  <w:style w:type="paragraph" w:customStyle="1" w:styleId="88">
    <w:name w:val="表格"/>
    <w:basedOn w:val="1"/>
    <w:link w:val="109"/>
    <w:qFormat/>
    <w:uiPriority w:val="0"/>
    <w:pPr>
      <w:snapToGrid w:val="0"/>
      <w:jc w:val="center"/>
    </w:pPr>
    <w:rPr>
      <w:szCs w:val="24"/>
    </w:rPr>
  </w:style>
  <w:style w:type="paragraph" w:customStyle="1" w:styleId="89">
    <w:name w:val="表内文字"/>
    <w:basedOn w:val="1"/>
    <w:qFormat/>
    <w:uiPriority w:val="99"/>
    <w:pPr>
      <w:spacing w:line="400" w:lineRule="exact"/>
    </w:pPr>
    <w:rPr>
      <w:kern w:val="0"/>
    </w:rPr>
  </w:style>
  <w:style w:type="character" w:customStyle="1" w:styleId="90">
    <w:name w:val="bsharetext"/>
    <w:qFormat/>
    <w:uiPriority w:val="99"/>
    <w:rPr>
      <w:rFonts w:cs="Times New Roman"/>
    </w:rPr>
  </w:style>
  <w:style w:type="paragraph" w:customStyle="1" w:styleId="91">
    <w:name w:val="表内文子"/>
    <w:basedOn w:val="1"/>
    <w:qFormat/>
    <w:uiPriority w:val="0"/>
    <w:pPr>
      <w:spacing w:line="360" w:lineRule="exact"/>
    </w:pPr>
  </w:style>
  <w:style w:type="paragraph" w:customStyle="1" w:styleId="92">
    <w:name w:val="正文000000"/>
    <w:basedOn w:val="1"/>
    <w:next w:val="1"/>
    <w:link w:val="93"/>
    <w:qFormat/>
    <w:uiPriority w:val="0"/>
    <w:pPr>
      <w:adjustRightInd w:val="0"/>
      <w:snapToGrid w:val="0"/>
      <w:spacing w:line="360" w:lineRule="auto"/>
      <w:ind w:firstLine="200" w:firstLineChars="200"/>
    </w:pPr>
    <w:rPr>
      <w:rFonts w:ascii="宋体" w:hAnsi="宋体" w:eastAsia="Times New Roman"/>
      <w:sz w:val="24"/>
      <w:szCs w:val="24"/>
    </w:rPr>
  </w:style>
  <w:style w:type="character" w:customStyle="1" w:styleId="93">
    <w:name w:val="正文000000 Char"/>
    <w:link w:val="92"/>
    <w:qFormat/>
    <w:uiPriority w:val="0"/>
    <w:rPr>
      <w:rFonts w:ascii="宋体" w:hAnsi="宋体" w:eastAsia="Times New Roman" w:cs="宋体"/>
      <w:kern w:val="2"/>
      <w:sz w:val="24"/>
      <w:szCs w:val="24"/>
    </w:rPr>
  </w:style>
  <w:style w:type="paragraph" w:customStyle="1" w:styleId="94">
    <w:name w:val="表格标题"/>
    <w:basedOn w:val="95"/>
    <w:link w:val="106"/>
    <w:qFormat/>
    <w:uiPriority w:val="0"/>
    <w:pPr>
      <w:adjustRightInd w:val="0"/>
      <w:spacing w:before="50" w:beforeLines="50"/>
      <w:ind w:firstLine="0" w:firstLineChars="0"/>
      <w:jc w:val="center"/>
      <w:textAlignment w:val="baseline"/>
    </w:pPr>
    <w:rPr>
      <w:b/>
      <w:color w:val="auto"/>
      <w:szCs w:val="24"/>
    </w:rPr>
  </w:style>
  <w:style w:type="paragraph" w:styleId="95">
    <w:name w:val="List Paragraph"/>
    <w:basedOn w:val="1"/>
    <w:link w:val="105"/>
    <w:qFormat/>
    <w:uiPriority w:val="34"/>
    <w:pPr>
      <w:ind w:firstLine="420" w:firstLineChars="200"/>
    </w:pPr>
    <w:rPr>
      <w:color w:val="000000"/>
    </w:rPr>
  </w:style>
  <w:style w:type="character" w:customStyle="1" w:styleId="96">
    <w:name w:val="表内容 Char"/>
    <w:link w:val="74"/>
    <w:qFormat/>
    <w:uiPriority w:val="0"/>
    <w:rPr>
      <w:kern w:val="2"/>
      <w:sz w:val="21"/>
    </w:rPr>
  </w:style>
  <w:style w:type="character" w:customStyle="1" w:styleId="97">
    <w:name w:val="正文缩进 字符"/>
    <w:link w:val="10"/>
    <w:qFormat/>
    <w:uiPriority w:val="0"/>
    <w:rPr>
      <w:rFonts w:ascii="宋体" w:hAnsi="宋体"/>
      <w:kern w:val="2"/>
      <w:sz w:val="24"/>
      <w:szCs w:val="24"/>
    </w:rPr>
  </w:style>
  <w:style w:type="paragraph" w:customStyle="1" w:styleId="98">
    <w:name w:val="表标题"/>
    <w:basedOn w:val="9"/>
    <w:qFormat/>
    <w:uiPriority w:val="0"/>
    <w:pPr>
      <w:numPr>
        <w:numId w:val="0"/>
      </w:numPr>
      <w:contextualSpacing w:val="0"/>
      <w:jc w:val="center"/>
    </w:pPr>
    <w:rPr>
      <w:rFonts w:ascii="宋体"/>
      <w:kern w:val="0"/>
      <w:sz w:val="34"/>
    </w:rPr>
  </w:style>
  <w:style w:type="character" w:customStyle="1" w:styleId="99">
    <w:name w:val="正文缩进 Char1"/>
    <w:qFormat/>
    <w:uiPriority w:val="0"/>
    <w:rPr>
      <w:rFonts w:eastAsia="宋体"/>
      <w:spacing w:val="20"/>
      <w:kern w:val="2"/>
      <w:sz w:val="24"/>
      <w:lang w:val="en-US" w:eastAsia="zh-CN" w:bidi="ar-SA"/>
    </w:rPr>
  </w:style>
  <w:style w:type="character" w:customStyle="1" w:styleId="100">
    <w:name w:val="正文2 Char Char"/>
    <w:link w:val="101"/>
    <w:qFormat/>
    <w:uiPriority w:val="0"/>
    <w:rPr>
      <w:spacing w:val="18"/>
      <w:sz w:val="32"/>
      <w:lang w:val="en-US" w:eastAsia="zh-CN" w:bidi="ar-SA"/>
    </w:rPr>
  </w:style>
  <w:style w:type="paragraph" w:customStyle="1" w:styleId="101">
    <w:name w:val="正文2"/>
    <w:link w:val="100"/>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character" w:customStyle="1" w:styleId="102">
    <w:name w:val="纯文本 Char"/>
    <w:qFormat/>
    <w:uiPriority w:val="0"/>
    <w:rPr>
      <w:rFonts w:ascii="宋体" w:hAnsi="Courier New"/>
      <w:kern w:val="2"/>
      <w:sz w:val="21"/>
    </w:rPr>
  </w:style>
  <w:style w:type="character" w:customStyle="1" w:styleId="103">
    <w:name w:val="表格内 Char"/>
    <w:link w:val="104"/>
    <w:qFormat/>
    <w:uiPriority w:val="0"/>
    <w:rPr>
      <w:kern w:val="2"/>
      <w:sz w:val="21"/>
      <w:szCs w:val="21"/>
    </w:rPr>
  </w:style>
  <w:style w:type="paragraph" w:customStyle="1" w:styleId="104">
    <w:name w:val="表格内"/>
    <w:basedOn w:val="1"/>
    <w:link w:val="103"/>
    <w:qFormat/>
    <w:uiPriority w:val="0"/>
    <w:pPr>
      <w:widowControl/>
      <w:jc w:val="center"/>
    </w:pPr>
    <w:rPr>
      <w:szCs w:val="21"/>
    </w:rPr>
  </w:style>
  <w:style w:type="character" w:customStyle="1" w:styleId="105">
    <w:name w:val="列表段落 字符"/>
    <w:link w:val="95"/>
    <w:qFormat/>
    <w:uiPriority w:val="34"/>
    <w:rPr>
      <w:color w:val="000000"/>
      <w:kern w:val="2"/>
      <w:sz w:val="21"/>
    </w:rPr>
  </w:style>
  <w:style w:type="character" w:customStyle="1" w:styleId="106">
    <w:name w:val="表格标题 字符"/>
    <w:link w:val="94"/>
    <w:qFormat/>
    <w:uiPriority w:val="0"/>
    <w:rPr>
      <w:b/>
      <w:color w:val="000000"/>
      <w:kern w:val="2"/>
      <w:sz w:val="21"/>
      <w:szCs w:val="24"/>
    </w:rPr>
  </w:style>
  <w:style w:type="paragraph" w:customStyle="1" w:styleId="107">
    <w:name w:val="图片标题"/>
    <w:basedOn w:val="1"/>
    <w:link w:val="108"/>
    <w:qFormat/>
    <w:uiPriority w:val="0"/>
    <w:pPr>
      <w:adjustRightInd w:val="0"/>
      <w:snapToGrid w:val="0"/>
      <w:spacing w:line="360" w:lineRule="auto"/>
      <w:jc w:val="center"/>
    </w:pPr>
    <w:rPr>
      <w:b/>
      <w:szCs w:val="21"/>
    </w:rPr>
  </w:style>
  <w:style w:type="character" w:customStyle="1" w:styleId="108">
    <w:name w:val="图片标题 字符"/>
    <w:link w:val="107"/>
    <w:qFormat/>
    <w:uiPriority w:val="0"/>
    <w:rPr>
      <w:b/>
      <w:kern w:val="2"/>
      <w:sz w:val="21"/>
      <w:szCs w:val="21"/>
    </w:rPr>
  </w:style>
  <w:style w:type="character" w:customStyle="1" w:styleId="109">
    <w:name w:val="表格 Char Char"/>
    <w:link w:val="88"/>
    <w:qFormat/>
    <w:uiPriority w:val="0"/>
    <w:rPr>
      <w:kern w:val="2"/>
      <w:sz w:val="21"/>
      <w:szCs w:val="24"/>
    </w:rPr>
  </w:style>
  <w:style w:type="character" w:customStyle="1" w:styleId="110">
    <w:name w:val="表 字符"/>
    <w:link w:val="71"/>
    <w:qFormat/>
    <w:uiPriority w:val="0"/>
    <w:rPr>
      <w:sz w:val="21"/>
      <w:szCs w:val="21"/>
    </w:rPr>
  </w:style>
  <w:style w:type="paragraph" w:customStyle="1" w:styleId="111">
    <w:name w:val="正文-zl"/>
    <w:basedOn w:val="1"/>
    <w:link w:val="112"/>
    <w:qFormat/>
    <w:uiPriority w:val="0"/>
    <w:pPr>
      <w:spacing w:line="360" w:lineRule="auto"/>
      <w:ind w:firstLine="480" w:firstLineChars="200"/>
    </w:pPr>
    <w:rPr>
      <w:sz w:val="24"/>
      <w:szCs w:val="24"/>
    </w:rPr>
  </w:style>
  <w:style w:type="character" w:customStyle="1" w:styleId="112">
    <w:name w:val="正文-zl 字符"/>
    <w:link w:val="111"/>
    <w:qFormat/>
    <w:uiPriority w:val="0"/>
    <w:rPr>
      <w:kern w:val="2"/>
      <w:sz w:val="24"/>
      <w:szCs w:val="24"/>
    </w:rPr>
  </w:style>
  <w:style w:type="paragraph" w:customStyle="1" w:styleId="113">
    <w:name w:val="表标题-zl"/>
    <w:basedOn w:val="94"/>
    <w:link w:val="115"/>
    <w:qFormat/>
    <w:uiPriority w:val="0"/>
    <w:pPr>
      <w:spacing w:before="156"/>
    </w:pPr>
  </w:style>
  <w:style w:type="paragraph" w:customStyle="1" w:styleId="114">
    <w:name w:val="表头"/>
    <w:basedOn w:val="1"/>
    <w:qFormat/>
    <w:uiPriority w:val="0"/>
    <w:pPr>
      <w:spacing w:line="360" w:lineRule="auto"/>
      <w:jc w:val="center"/>
    </w:pPr>
    <w:rPr>
      <w:rFonts w:ascii="黑体" w:hAnsi="黑体" w:eastAsia="黑体" w:cs="宋体"/>
      <w:sz w:val="24"/>
      <w:szCs w:val="21"/>
    </w:rPr>
  </w:style>
  <w:style w:type="character" w:customStyle="1" w:styleId="115">
    <w:name w:val="表标题-zl 字符"/>
    <w:link w:val="113"/>
    <w:qFormat/>
    <w:uiPriority w:val="0"/>
    <w:rPr>
      <w:b/>
      <w:color w:val="000000"/>
      <w:kern w:val="2"/>
      <w:sz w:val="21"/>
      <w:szCs w:val="24"/>
    </w:rPr>
  </w:style>
  <w:style w:type="paragraph" w:customStyle="1" w:styleId="116">
    <w:name w:val="Default"/>
    <w:basedOn w:val="117"/>
    <w:next w:val="1"/>
    <w:qFormat/>
    <w:uiPriority w:val="0"/>
    <w:pPr>
      <w:autoSpaceDE w:val="0"/>
      <w:autoSpaceDN w:val="0"/>
    </w:pPr>
    <w:rPr>
      <w:rFonts w:ascii="宋体" w:hAnsi="Times New Roman" w:cs="宋体"/>
      <w:color w:val="000000"/>
      <w:sz w:val="24"/>
      <w:szCs w:val="24"/>
    </w:rPr>
  </w:style>
  <w:style w:type="paragraph" w:customStyle="1" w:styleId="117">
    <w:name w:val="纯文本1"/>
    <w:basedOn w:val="1"/>
    <w:qFormat/>
    <w:uiPriority w:val="0"/>
    <w:pPr>
      <w:adjustRightInd w:val="0"/>
    </w:pPr>
    <w:rPr>
      <w:rFonts w:hAnsi="Courier New"/>
    </w:rPr>
  </w:style>
  <w:style w:type="paragraph" w:customStyle="1" w:styleId="118">
    <w:name w:val="图下标-zl"/>
    <w:basedOn w:val="1"/>
    <w:link w:val="119"/>
    <w:qFormat/>
    <w:uiPriority w:val="0"/>
    <w:pPr>
      <w:spacing w:after="156" w:afterLines="50"/>
      <w:jc w:val="center"/>
    </w:pPr>
    <w:rPr>
      <w:b/>
      <w:szCs w:val="24"/>
    </w:rPr>
  </w:style>
  <w:style w:type="character" w:customStyle="1" w:styleId="119">
    <w:name w:val="图下标-zl 字符"/>
    <w:link w:val="118"/>
    <w:qFormat/>
    <w:uiPriority w:val="0"/>
    <w:rPr>
      <w:b/>
      <w:kern w:val="2"/>
      <w:sz w:val="21"/>
      <w:szCs w:val="24"/>
    </w:rPr>
  </w:style>
  <w:style w:type="character" w:customStyle="1" w:styleId="120">
    <w:name w:val="表格文字 Char Char"/>
    <w:link w:val="70"/>
    <w:qFormat/>
    <w:locked/>
    <w:uiPriority w:val="0"/>
    <w:rPr>
      <w:rFonts w:ascii="仿宋_GB2312" w:hAnsi="Arial Black" w:eastAsia="仿宋_GB2312"/>
      <w:kern w:val="44"/>
      <w:sz w:val="24"/>
    </w:rPr>
  </w:style>
  <w:style w:type="paragraph" w:customStyle="1" w:styleId="121">
    <w:name w:val="表格hks"/>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122">
    <w:name w:val="表格内部—常用"/>
    <w:basedOn w:val="1"/>
    <w:next w:val="1"/>
    <w:qFormat/>
    <w:uiPriority w:val="0"/>
    <w:pPr>
      <w:jc w:val="center"/>
    </w:pPr>
    <w:rPr>
      <w:szCs w:val="21"/>
    </w:rPr>
  </w:style>
  <w:style w:type="paragraph" w:customStyle="1" w:styleId="123">
    <w:name w:val="表格后一行"/>
    <w:basedOn w:val="1"/>
    <w:next w:val="1"/>
    <w:qFormat/>
    <w:uiPriority w:val="0"/>
    <w:pPr>
      <w:jc w:val="left"/>
    </w:pPr>
    <w:rPr>
      <w:kern w:val="0"/>
      <w:szCs w:val="21"/>
    </w:rPr>
  </w:style>
  <w:style w:type="character" w:customStyle="1" w:styleId="124">
    <w:name w:val="font91"/>
    <w:basedOn w:val="36"/>
    <w:qFormat/>
    <w:uiPriority w:val="0"/>
    <w:rPr>
      <w:rFonts w:hint="eastAsia" w:ascii="宋体" w:hAnsi="宋体" w:eastAsia="宋体" w:cs="宋体"/>
      <w:color w:val="FF0000"/>
      <w:sz w:val="21"/>
      <w:szCs w:val="21"/>
      <w:u w:val="none"/>
    </w:rPr>
  </w:style>
  <w:style w:type="paragraph" w:customStyle="1" w:styleId="125">
    <w:name w:val="a表格"/>
    <w:basedOn w:val="1"/>
    <w:qFormat/>
    <w:uiPriority w:val="0"/>
    <w:pPr>
      <w:snapToGrid w:val="0"/>
      <w:jc w:val="center"/>
    </w:pPr>
    <w:rPr>
      <w:szCs w:val="21"/>
    </w:rPr>
  </w:style>
  <w:style w:type="paragraph" w:customStyle="1" w:styleId="126">
    <w:name w:val="Table Paragraph"/>
    <w:basedOn w:val="1"/>
    <w:qFormat/>
    <w:uiPriority w:val="1"/>
    <w:rPr>
      <w:rFonts w:ascii="Times New Roman" w:hAnsi="Times New Roman" w:eastAsia="Times New Roman" w:cs="Times New Roman"/>
      <w:lang w:val="zh-CN" w:eastAsia="zh-CN" w:bidi="zh-CN"/>
    </w:rPr>
  </w:style>
  <w:style w:type="character" w:customStyle="1" w:styleId="127">
    <w:name w:val="font01"/>
    <w:qFormat/>
    <w:uiPriority w:val="0"/>
    <w:rPr>
      <w:rFonts w:ascii="font-weight : 400" w:hAnsi="font-weight : 400" w:eastAsia="font-weight : 400" w:cs="font-weight : 400"/>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604FF5-29BF-4FC0-A1C4-136D4E5AC889}">
  <ds:schemaRefs/>
</ds:datastoreItem>
</file>

<file path=docProps/app.xml><?xml version="1.0" encoding="utf-8"?>
<Properties xmlns="http://schemas.openxmlformats.org/officeDocument/2006/extended-properties" xmlns:vt="http://schemas.openxmlformats.org/officeDocument/2006/docPropsVTypes">
  <Template>Normal</Template>
  <Company> </Company>
  <Pages>28</Pages>
  <Words>15625</Words>
  <Characters>19833</Characters>
  <Lines>280</Lines>
  <Paragraphs>79</Paragraphs>
  <TotalTime>28</TotalTime>
  <ScaleCrop>false</ScaleCrop>
  <LinksUpToDate>false</LinksUpToDate>
  <CharactersWithSpaces>20005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2018-09-15T08:50:00Z</dcterms:created>
  <dc:creator>sc</dc:creator>
  <cp:lastModifiedBy>飞儿</cp:lastModifiedBy>
  <cp:lastPrinted>2020-12-16T07:40:00Z</cp:lastPrinted>
  <dcterms:modified xsi:type="dcterms:W3CDTF">2022-09-30T02:12:08Z</dcterms:modified>
  <dc:title>建设项目环境影响报告表</dc:title>
  <cp:revision>871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BFFDF25217DD4EFE9D0B2ECE585881C8</vt:lpwstr>
  </property>
</Properties>
</file>