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napToGrid w:val="0"/>
        <w:spacing w:before="0" w:after="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4"/>
        <w:keepNext w:val="0"/>
        <w:keepLines w:val="0"/>
        <w:snapToGrid w:val="0"/>
        <w:spacing w:before="0" w:after="0"/>
        <w:jc w:val="left"/>
        <w:rPr>
          <w:rFonts w:hint="eastAsia" w:ascii="黑体" w:hAnsi="黑体" w:eastAsia="黑体" w:cs="黑体"/>
          <w:sz w:val="32"/>
          <w:szCs w:val="32"/>
          <w:lang w:val="en-US" w:eastAsia="zh-CN"/>
        </w:rPr>
      </w:pPr>
    </w:p>
    <w:p>
      <w:pPr>
        <w:pStyle w:val="4"/>
        <w:keepNext w:val="0"/>
        <w:keepLines w:val="0"/>
        <w:snapToGrid w:val="0"/>
        <w:spacing w:before="0" w:after="0"/>
      </w:pPr>
      <w:r>
        <w:rPr>
          <w:rFonts w:hint="eastAsia"/>
        </w:rPr>
        <w:t>深圳市打造人工智能先锋城市的若干措施</w:t>
      </w:r>
    </w:p>
    <w:p>
      <w:pPr>
        <w:pStyle w:val="4"/>
        <w:keepNext w:val="0"/>
        <w:keepLines w:val="0"/>
        <w:snapToGrid w:val="0"/>
        <w:spacing w:before="0" w:after="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snapToGrid w:val="0"/>
        <w:ind w:firstLine="640"/>
        <w:rPr>
          <w:rFonts w:cs="仿宋_GB2312"/>
          <w:szCs w:val="32"/>
          <w:lang w:bidi="ar"/>
        </w:rPr>
      </w:pPr>
    </w:p>
    <w:p>
      <w:pPr>
        <w:snapToGrid w:val="0"/>
        <w:ind w:firstLine="640"/>
        <w:rPr>
          <w:rFonts w:cs="仿宋_GB2312"/>
          <w:color w:val="0000FF"/>
          <w:szCs w:val="32"/>
          <w:lang w:bidi="ar"/>
        </w:rPr>
      </w:pPr>
      <w:r>
        <w:rPr>
          <w:rFonts w:hint="eastAsia" w:cs="仿宋_GB2312"/>
          <w:szCs w:val="32"/>
          <w:lang w:bidi="ar"/>
        </w:rPr>
        <w:t>为深入贯彻落实国家发展新一代人工智能的战略部署，落实《广东省人民政府关于加快建设通用人工智能产业创新引领地的实施意见》（粤府〔2023〕90号）等文件精神，积极建设国家新一代人工智能创新发展试验区和国家人工智能创新应用先导区，打造人工智能先锋城市，制定本措施。</w:t>
      </w:r>
    </w:p>
    <w:p>
      <w:pPr>
        <w:pStyle w:val="5"/>
        <w:keepNext w:val="0"/>
        <w:keepLines w:val="0"/>
        <w:snapToGrid w:val="0"/>
        <w:ind w:firstLine="640"/>
      </w:pPr>
      <w:r>
        <w:rPr>
          <w:rFonts w:hint="eastAsia"/>
        </w:rPr>
        <w:t>一、加速模型研发迭代</w:t>
      </w:r>
    </w:p>
    <w:p>
      <w:pPr>
        <w:pStyle w:val="6"/>
        <w:snapToGrid w:val="0"/>
        <w:ind w:firstLine="640"/>
      </w:pPr>
      <w:r>
        <w:rPr>
          <w:rFonts w:hint="eastAsia"/>
        </w:rPr>
        <w:t>（一）支持企业研发行业大模型。</w:t>
      </w:r>
      <w:r>
        <w:rPr>
          <w:rFonts w:hint="eastAsia" w:eastAsia="仿宋_GB2312"/>
        </w:rPr>
        <w:t>对企业自主研发、公开发布的人工智能行业大模型，具有10个以上市场应用案例且实际完成合同额超过2000万元的，给予一次性100万元资助。</w:t>
      </w:r>
      <w:r>
        <w:rPr>
          <w:rFonts w:hint="eastAsia"/>
        </w:rPr>
        <w:t>（责任单位：市工业和信息化局）</w:t>
      </w:r>
    </w:p>
    <w:p>
      <w:pPr>
        <w:pStyle w:val="6"/>
        <w:snapToGrid w:val="0"/>
        <w:ind w:firstLine="640"/>
        <w:rPr>
          <w:rFonts w:hint="eastAsia"/>
        </w:rPr>
      </w:pPr>
      <w:r>
        <w:rPr>
          <w:rFonts w:hint="eastAsia"/>
        </w:rPr>
        <w:t>（二）发放“模型券”。</w:t>
      </w:r>
      <w:r>
        <w:rPr>
          <w:rFonts w:hint="eastAsia" w:eastAsia="仿宋_GB2312"/>
        </w:rPr>
        <w:t>每年发放不少于5000万元模型券，对企业购买已完成</w:t>
      </w:r>
      <w:bookmarkStart w:id="0" w:name="_Hlk170647761"/>
      <w:r>
        <w:rPr>
          <w:rFonts w:hint="eastAsia" w:eastAsia="仿宋_GB2312"/>
        </w:rPr>
        <w:t>国家生成式人工智能服务备案的大模型</w:t>
      </w:r>
      <w:bookmarkEnd w:id="0"/>
      <w:r>
        <w:rPr>
          <w:rFonts w:hint="eastAsia" w:eastAsia="仿宋_GB2312"/>
        </w:rPr>
        <w:t>，进行大模型应用场景开发和推广，可按要求申领模型券。单次申领模型券金额最高不超过模型服务采购合同额（含模型私有化部署费用、云化部署费用、API调用费用以及大模型一体机中大模型部分费用）的30%，每家企业每年不超过100万元。</w:t>
      </w:r>
      <w:r>
        <w:rPr>
          <w:rFonts w:hint="eastAsia"/>
        </w:rPr>
        <w:t>（责任单位：市工业和信息化局）</w:t>
      </w: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二、强化算力普惠供给</w:t>
      </w:r>
    </w:p>
    <w:p>
      <w:pPr>
        <w:pStyle w:val="6"/>
        <w:snapToGrid w:val="0"/>
        <w:ind w:firstLine="640"/>
      </w:pPr>
      <w:r>
        <w:rPr>
          <w:rFonts w:hint="eastAsia"/>
        </w:rPr>
        <w:t>（三）支持智算中心建设。</w:t>
      </w:r>
      <w:r>
        <w:rPr>
          <w:rFonts w:hint="eastAsia" w:eastAsia="仿宋_GB2312"/>
          <w:szCs w:val="22"/>
        </w:rPr>
        <w:t>支持企业建设具有战略价值的大集群智能算力中心，对纳入全市重大项目统一管理的5</w:t>
      </w:r>
      <w:r>
        <w:rPr>
          <w:rFonts w:eastAsia="仿宋_GB2312"/>
          <w:szCs w:val="22"/>
        </w:rPr>
        <w:t>00P</w:t>
      </w:r>
      <w:r>
        <w:rPr>
          <w:rFonts w:hint="eastAsia" w:eastAsia="仿宋_GB2312"/>
          <w:szCs w:val="22"/>
        </w:rPr>
        <w:t>以上智能算力中心，在其通过软硬件上架测试实现商业化服务后，按项目审定总投资建设费用的一定比例给予资助，并在土地、外电引入、能耗指标等方面给予优先支持。</w:t>
      </w:r>
      <w:r>
        <w:rPr>
          <w:rFonts w:hint="eastAsia"/>
        </w:rPr>
        <w:t>（责任单位：市发展改革委、市工业和信息化局、市规划和自然资源局、深圳市供电局）</w:t>
      </w:r>
    </w:p>
    <w:p>
      <w:pPr>
        <w:pStyle w:val="6"/>
        <w:snapToGrid w:val="0"/>
        <w:ind w:firstLine="640"/>
      </w:pPr>
      <w:r>
        <w:rPr>
          <w:rFonts w:hint="eastAsia" w:ascii="楷体_GB2312" w:hAnsi="楷体_GB2312" w:cs="楷体_GB2312"/>
        </w:rPr>
        <w:t>（四）发放“训</w:t>
      </w:r>
      <w:bookmarkStart w:id="4" w:name="_GoBack"/>
      <w:bookmarkEnd w:id="4"/>
      <w:r>
        <w:rPr>
          <w:rFonts w:hint="eastAsia" w:ascii="楷体_GB2312" w:hAnsi="楷体_GB2312" w:cs="楷体_GB2312"/>
        </w:rPr>
        <w:t>力券”。</w:t>
      </w:r>
      <w:r>
        <w:rPr>
          <w:rFonts w:hint="eastAsia" w:eastAsia="仿宋_GB2312"/>
        </w:rPr>
        <w:t>每年发放不少于3000万元训力券，支持企业租用智能算力资源进行大模型训练和推理。企业单次申领训力券金额最高不超过智能算力合同额的50%，若使用国产算力上浮10%，每家企业每年不超过300万元；对新落户人工智能企业、已获得科技计划项目</w:t>
      </w:r>
      <w:r>
        <w:rPr>
          <w:rFonts w:hint="eastAsia" w:eastAsia="仿宋_GB2312"/>
          <w:lang w:eastAsia="zh-CN"/>
        </w:rPr>
        <w:t>的</w:t>
      </w:r>
      <w:r>
        <w:rPr>
          <w:rFonts w:hint="eastAsia" w:eastAsia="仿宋_GB2312"/>
        </w:rPr>
        <w:t>提高支持力度。鼓励各区配套出台训力券支持政策。</w:t>
      </w:r>
      <w:r>
        <w:rPr>
          <w:rFonts w:hint="eastAsia" w:ascii="楷体_GB2312" w:hAnsi="楷体_GB2312" w:cs="楷体_GB2312"/>
        </w:rPr>
        <w:t>（责任单位：市科技创新局</w:t>
      </w:r>
      <w:r>
        <w:rPr>
          <w:rFonts w:hint="eastAsia" w:ascii="楷体_GB2312" w:hAnsi="楷体_GB2312" w:cs="楷体_GB2312"/>
          <w:lang w:eastAsia="zh-CN"/>
        </w:rPr>
        <w:t>、</w:t>
      </w:r>
      <w:r>
        <w:rPr>
          <w:rFonts w:hint="eastAsia" w:ascii="楷体_GB2312" w:hAnsi="楷体_GB2312" w:cs="楷体_GB2312"/>
        </w:rPr>
        <w:t>前海管理局、河套发展署，各区政府、大鹏新区管委会、深汕特别合作区管委会）</w:t>
      </w:r>
    </w:p>
    <w:p>
      <w:pPr>
        <w:pStyle w:val="6"/>
        <w:snapToGrid w:val="0"/>
        <w:ind w:firstLine="640"/>
      </w:pPr>
      <w:r>
        <w:rPr>
          <w:rFonts w:hint="eastAsia"/>
        </w:rPr>
        <w:t>（五）发放“运力券”。</w:t>
      </w:r>
      <w:r>
        <w:rPr>
          <w:rFonts w:hint="eastAsia" w:eastAsia="仿宋_GB2312"/>
          <w:szCs w:val="22"/>
        </w:rPr>
        <w:t>每年发放不少于1000万元运力券，对具备对外提供智能算力服务资质的企业，采购基础电信企业或国家新型互联网交换中心算力网络服务的，可按要求申领运力券，每家企业每年不超过100万元。其中，采购常规传输专线服务的，单次申领运力券金额不超过合同额的20%；采购基于新型互联网交换中心、量子通信等新型网络技术的算力网络服务的，单次申领运力券金额不超过合同额的30%。</w:t>
      </w:r>
      <w:r>
        <w:rPr>
          <w:rFonts w:hint="eastAsia"/>
        </w:rPr>
        <w:t>（责任单位：市工业和信息化局）</w:t>
      </w:r>
    </w:p>
    <w:p>
      <w:pPr>
        <w:pStyle w:val="5"/>
        <w:keepNext w:val="0"/>
        <w:keepLines w:val="0"/>
        <w:snapToGrid w:val="0"/>
        <w:ind w:firstLine="640"/>
      </w:pPr>
      <w:r>
        <w:rPr>
          <w:rFonts w:hint="eastAsia"/>
        </w:rPr>
        <w:t>三、加快释放数据</w:t>
      </w:r>
      <w:r>
        <w:rPr>
          <w:rFonts w:hint="eastAsia"/>
          <w:lang w:eastAsia="zh-CN"/>
        </w:rPr>
        <w:t>“</w:t>
      </w:r>
      <w:r>
        <w:rPr>
          <w:rFonts w:hint="eastAsia"/>
        </w:rPr>
        <w:t>乘效</w:t>
      </w:r>
      <w:r>
        <w:rPr>
          <w:rFonts w:hint="eastAsia"/>
          <w:lang w:eastAsia="zh-CN"/>
        </w:rPr>
        <w:t>”</w:t>
      </w:r>
    </w:p>
    <w:p>
      <w:pPr>
        <w:pStyle w:val="6"/>
        <w:snapToGrid w:val="0"/>
        <w:ind w:firstLine="640"/>
      </w:pPr>
      <w:r>
        <w:rPr>
          <w:rFonts w:hint="eastAsia"/>
        </w:rPr>
        <w:t>（六）支持开展数据要素“首评估、首入表、首开放”。</w:t>
      </w:r>
      <w:r>
        <w:rPr>
          <w:rFonts w:hint="eastAsia" w:eastAsia="仿宋_GB2312"/>
          <w:szCs w:val="22"/>
        </w:rPr>
        <w:t>支持企业在深圳数据交易所开展数据交易和评估，对首次完成可信数据质量评估的企业，按评估费用的5</w:t>
      </w:r>
      <w:r>
        <w:rPr>
          <w:rFonts w:eastAsia="仿宋_GB2312"/>
          <w:szCs w:val="22"/>
        </w:rPr>
        <w:t>0%</w:t>
      </w:r>
      <w:r>
        <w:rPr>
          <w:rFonts w:hint="eastAsia" w:eastAsia="仿宋_GB2312"/>
          <w:szCs w:val="22"/>
        </w:rPr>
        <w:t>给予最高3</w:t>
      </w:r>
      <w:r>
        <w:rPr>
          <w:rFonts w:eastAsia="仿宋_GB2312"/>
          <w:szCs w:val="22"/>
        </w:rPr>
        <w:t>0</w:t>
      </w:r>
      <w:r>
        <w:rPr>
          <w:rFonts w:hint="eastAsia" w:eastAsia="仿宋_GB2312"/>
          <w:szCs w:val="22"/>
        </w:rPr>
        <w:t>万元资助。支持数据资产入表，对首次入表且金额大于</w:t>
      </w:r>
      <w:r>
        <w:rPr>
          <w:rFonts w:eastAsia="仿宋_GB2312"/>
          <w:szCs w:val="22"/>
        </w:rPr>
        <w:t>50</w:t>
      </w:r>
      <w:r>
        <w:rPr>
          <w:rFonts w:hint="eastAsia" w:eastAsia="仿宋_GB2312"/>
          <w:szCs w:val="22"/>
        </w:rPr>
        <w:t>万元的企业，按入表服务费用的</w:t>
      </w:r>
      <w:r>
        <w:rPr>
          <w:rFonts w:eastAsia="仿宋_GB2312"/>
          <w:szCs w:val="22"/>
        </w:rPr>
        <w:t>50</w:t>
      </w:r>
      <w:r>
        <w:rPr>
          <w:rFonts w:hint="eastAsia" w:eastAsia="仿宋_GB2312"/>
          <w:szCs w:val="22"/>
        </w:rPr>
        <w:t>%给予最高</w:t>
      </w:r>
      <w:r>
        <w:rPr>
          <w:rFonts w:eastAsia="仿宋_GB2312"/>
          <w:szCs w:val="22"/>
        </w:rPr>
        <w:t>30</w:t>
      </w:r>
      <w:r>
        <w:rPr>
          <w:rFonts w:hint="eastAsia" w:eastAsia="仿宋_GB2312"/>
          <w:szCs w:val="22"/>
        </w:rPr>
        <w:t>万元资助。支持企业通过市人工智能语料库首次开放大模型训练语料，根据语料规模质量、更新频率和应用成效</w:t>
      </w:r>
      <w:r>
        <w:rPr>
          <w:rFonts w:hint="eastAsia" w:eastAsia="仿宋_GB2312"/>
          <w:szCs w:val="22"/>
          <w:lang w:eastAsia="zh-CN"/>
        </w:rPr>
        <w:t>以及</w:t>
      </w:r>
      <w:r>
        <w:rPr>
          <w:rFonts w:hint="eastAsia" w:eastAsia="仿宋_GB2312"/>
          <w:szCs w:val="22"/>
        </w:rPr>
        <w:t>在深圳数据交易所公示排名择优给予企业最高</w:t>
      </w:r>
      <w:r>
        <w:rPr>
          <w:rFonts w:eastAsia="仿宋_GB2312"/>
          <w:szCs w:val="22"/>
        </w:rPr>
        <w:t>30</w:t>
      </w:r>
      <w:r>
        <w:rPr>
          <w:rFonts w:hint="eastAsia" w:eastAsia="仿宋_GB2312"/>
          <w:szCs w:val="22"/>
        </w:rPr>
        <w:t>万元奖励；对首创性成效显著的，给予最高</w:t>
      </w:r>
      <w:r>
        <w:rPr>
          <w:rFonts w:eastAsia="仿宋_GB2312"/>
          <w:szCs w:val="22"/>
        </w:rPr>
        <w:t>100</w:t>
      </w:r>
      <w:r>
        <w:rPr>
          <w:rFonts w:hint="eastAsia" w:eastAsia="仿宋_GB2312"/>
          <w:szCs w:val="22"/>
        </w:rPr>
        <w:t>万元奖励。</w:t>
      </w:r>
      <w:r>
        <w:rPr>
          <w:rFonts w:hint="eastAsia"/>
        </w:rPr>
        <w:t>（责任单位：</w:t>
      </w:r>
      <w:bookmarkStart w:id="1" w:name="_Hlk170645312"/>
      <w:r>
        <w:rPr>
          <w:rFonts w:hint="eastAsia"/>
        </w:rPr>
        <w:t>市政务服务和数据管理局</w:t>
      </w:r>
      <w:bookmarkEnd w:id="1"/>
      <w:r>
        <w:rPr>
          <w:rFonts w:hint="eastAsia"/>
        </w:rPr>
        <w:t>）</w:t>
      </w:r>
    </w:p>
    <w:p>
      <w:pPr>
        <w:pStyle w:val="6"/>
        <w:snapToGrid w:val="0"/>
        <w:ind w:firstLine="640"/>
      </w:pPr>
      <w:r>
        <w:rPr>
          <w:rFonts w:hint="eastAsia"/>
        </w:rPr>
        <w:t>（七）发放“语料券”。</w:t>
      </w:r>
      <w:r>
        <w:rPr>
          <w:rFonts w:hint="eastAsia" w:eastAsia="仿宋_GB2312"/>
          <w:szCs w:val="22"/>
        </w:rPr>
        <w:t>每年发放不少于3000万元语料券，对企业购买非关联方的语料数据进行大模型研发和应用</w:t>
      </w:r>
      <w:r>
        <w:rPr>
          <w:rFonts w:hint="eastAsia" w:eastAsia="仿宋_GB2312"/>
          <w:szCs w:val="22"/>
          <w:lang w:eastAsia="zh-CN"/>
        </w:rPr>
        <w:t>的</w:t>
      </w:r>
      <w:r>
        <w:rPr>
          <w:rFonts w:hint="eastAsia" w:eastAsia="仿宋_GB2312"/>
          <w:szCs w:val="22"/>
        </w:rPr>
        <w:t>，可按要求申领语料券。单次申领语料券金额最高不超过语料采购服务合同额的40%，每家企业每年不超过200万元。</w:t>
      </w:r>
      <w:r>
        <w:rPr>
          <w:rFonts w:hint="eastAsia"/>
        </w:rPr>
        <w:t>（责任单位：市政务服务和数据管理局）</w:t>
      </w:r>
    </w:p>
    <w:p>
      <w:pPr>
        <w:pStyle w:val="6"/>
        <w:snapToGrid w:val="0"/>
        <w:ind w:firstLine="640"/>
      </w:pPr>
      <w:r>
        <w:rPr>
          <w:rFonts w:hint="eastAsia"/>
        </w:rPr>
        <w:t>（八）支持数据关键环节提升。</w:t>
      </w:r>
      <w:r>
        <w:rPr>
          <w:rFonts w:hint="eastAsia" w:eastAsia="仿宋_GB2312"/>
        </w:rPr>
        <w:t>面向数据采集、清洗、分析发掘、可视化、行业应用、联邦学习、隐私计算等领域，实施大数据产业链关键环节提升计划，对符合条件的项目给予不超过总投入的50%、最高1000万元资助。鼓励</w:t>
      </w:r>
      <w:r>
        <w:rPr>
          <w:rFonts w:hint="eastAsia" w:eastAsia="仿宋_GB2312"/>
          <w:szCs w:val="22"/>
        </w:rPr>
        <w:t>跨境数据流通，充分发挥河套深港科技创新合作区、前海深港现代服务业合作区制度优势，支持数据跨境流动服务机构开展数据跨境评估、认证、安全合规服务。</w:t>
      </w:r>
      <w:r>
        <w:rPr>
          <w:rFonts w:hint="eastAsia"/>
        </w:rPr>
        <w:t>（责任单位：市工业和信息化局、市政务服务和数据管理局）</w:t>
      </w:r>
    </w:p>
    <w:p>
      <w:pPr>
        <w:pStyle w:val="5"/>
        <w:keepNext w:val="0"/>
        <w:keepLines w:val="0"/>
        <w:snapToGrid w:val="0"/>
        <w:ind w:firstLine="640"/>
      </w:pPr>
      <w:r>
        <w:rPr>
          <w:rFonts w:hint="eastAsia"/>
        </w:rPr>
        <w:t>四、推动“+AI”应用创新示范</w:t>
      </w:r>
    </w:p>
    <w:p>
      <w:pPr>
        <w:pStyle w:val="6"/>
        <w:snapToGrid w:val="0"/>
        <w:ind w:firstLine="640"/>
        <w:rPr>
          <w:color w:val="0000FF"/>
          <w:szCs w:val="22"/>
        </w:rPr>
      </w:pPr>
      <w:r>
        <w:rPr>
          <w:rFonts w:hint="eastAsia"/>
        </w:rPr>
        <w:t>（九）支持“场景+AI”示范应用。</w:t>
      </w:r>
      <w:r>
        <w:rPr>
          <w:rFonts w:hint="eastAsia" w:eastAsia="仿宋_GB2312"/>
          <w:szCs w:val="22"/>
        </w:rPr>
        <w:t>鼓励面向新型工业化、现代服务业领域，打造人工智能示范应用场景。对具有行业引领和示范效应的技术应用与场景建设项目，经综合评价，按项目建设主体实际投入的30%，给予最高200万元资助，每年支持项目不超过20个。大力支持人工智能赋能新型工业化，对工业企业实施的总投资额1000万元以上的智能化改造项目，按不超过</w:t>
      </w:r>
      <w:bookmarkStart w:id="2" w:name="_Hlk172885077"/>
      <w:r>
        <w:rPr>
          <w:rFonts w:hint="eastAsia" w:eastAsia="仿宋_GB2312"/>
          <w:szCs w:val="22"/>
        </w:rPr>
        <w:t>项目审定总投资建设费用</w:t>
      </w:r>
      <w:bookmarkEnd w:id="2"/>
      <w:r>
        <w:rPr>
          <w:rFonts w:hint="eastAsia" w:eastAsia="仿宋_GB2312"/>
          <w:szCs w:val="22"/>
        </w:rPr>
        <w:t>的20%，分档给予最高5000万元资助。</w:t>
      </w:r>
      <w:r>
        <w:rPr>
          <w:rFonts w:hint="eastAsia"/>
        </w:rPr>
        <w:t>（责任单位：市工业和信息化局）</w:t>
      </w:r>
    </w:p>
    <w:p>
      <w:pPr>
        <w:pStyle w:val="6"/>
        <w:snapToGrid w:val="0"/>
        <w:ind w:firstLine="640"/>
        <w:rPr>
          <w:color w:val="0000FF"/>
          <w:szCs w:val="22"/>
        </w:rPr>
      </w:pPr>
      <w:r>
        <w:rPr>
          <w:rFonts w:hint="eastAsia"/>
        </w:rPr>
        <w:t>（十）支持“软件+AI”示范应用。</w:t>
      </w:r>
      <w:r>
        <w:rPr>
          <w:rFonts w:hint="eastAsia" w:eastAsia="仿宋_GB2312"/>
          <w:szCs w:val="22"/>
        </w:rPr>
        <w:t>对拥有自主知识产权、技术先进且已实现首次商业化应用的人工智能软件产品或服务，给予规定期限内销售额的30%、最高1000万元资助。对企业通过应用人工智能软件，对现有生产、服务和管理方式进行智能化升级，且技术水平先进、市场前景广阔、带动效应明显的人工智能软件应用示范项目，按总投入的30%，给予不超过1000万元资金资助。</w:t>
      </w:r>
      <w:r>
        <w:rPr>
          <w:rFonts w:hint="eastAsia"/>
        </w:rPr>
        <w:t>（责任单位：市工业和信息化局）</w:t>
      </w:r>
    </w:p>
    <w:p>
      <w:pPr>
        <w:pStyle w:val="6"/>
        <w:snapToGrid w:val="0"/>
        <w:ind w:firstLine="640"/>
        <w:rPr>
          <w:color w:val="0000FF"/>
          <w:szCs w:val="22"/>
        </w:rPr>
      </w:pPr>
      <w:r>
        <w:rPr>
          <w:rFonts w:hint="eastAsia"/>
        </w:rPr>
        <w:t>（十一）支持“硬件+AI”示范应用。</w:t>
      </w:r>
      <w:r>
        <w:rPr>
          <w:rFonts w:hint="eastAsia" w:eastAsia="仿宋_GB2312"/>
          <w:szCs w:val="22"/>
        </w:rPr>
        <w:t>支持AI PC、AI手机、AI穿戴设备、AI虚拟现实设备、全屋智能产品等应用大模型技术的智能硬件产品研发推广。对销售量达到一定规模的产品，按该产品年度销售额的一定比例，给予单个企业最高300万元资助。</w:t>
      </w:r>
      <w:r>
        <w:rPr>
          <w:rFonts w:hint="eastAsia"/>
        </w:rPr>
        <w:t>（责任单位：市工业和信息化局）</w:t>
      </w:r>
    </w:p>
    <w:p>
      <w:pPr>
        <w:pStyle w:val="5"/>
        <w:keepNext w:val="0"/>
        <w:keepLines w:val="0"/>
        <w:snapToGrid w:val="0"/>
        <w:ind w:firstLine="640"/>
      </w:pPr>
      <w:r>
        <w:rPr>
          <w:rFonts w:hint="eastAsia"/>
        </w:rPr>
        <w:t>五、加强科技创新能力</w:t>
      </w:r>
    </w:p>
    <w:p>
      <w:pPr>
        <w:pStyle w:val="6"/>
        <w:snapToGrid w:val="0"/>
        <w:ind w:firstLine="640"/>
        <w:rPr>
          <w:color w:val="0000FF"/>
        </w:rPr>
      </w:pPr>
      <w:r>
        <w:rPr>
          <w:rFonts w:hint="eastAsia"/>
        </w:rPr>
        <w:t>（十二）支持人工智能基础研究。</w:t>
      </w:r>
      <w:r>
        <w:rPr>
          <w:rFonts w:hint="eastAsia" w:eastAsia="仿宋_GB2312"/>
          <w:szCs w:val="22"/>
        </w:rPr>
        <w:t>将人工智能纳入市级基础研究项目扶持范畴，鼓励具有基础研究能力的企事业单位，开展机器学习基本原理和下一代人工智能方法研究，</w:t>
      </w:r>
      <w:bookmarkStart w:id="3" w:name="_Hlk172825737"/>
      <w:r>
        <w:rPr>
          <w:rFonts w:hint="eastAsia" w:eastAsia="仿宋_GB2312"/>
          <w:szCs w:val="22"/>
        </w:rPr>
        <w:t>对重大项目、重点项目、面上项目</w:t>
      </w:r>
      <w:r>
        <w:rPr>
          <w:rFonts w:hint="eastAsia" w:eastAsia="仿宋_GB2312"/>
          <w:szCs w:val="22"/>
          <w:lang w:eastAsia="zh-CN"/>
        </w:rPr>
        <w:t>分别</w:t>
      </w:r>
      <w:r>
        <w:rPr>
          <w:rFonts w:hint="eastAsia" w:eastAsia="仿宋_GB2312"/>
          <w:szCs w:val="22"/>
        </w:rPr>
        <w:t>给予最高1</w:t>
      </w:r>
      <w:r>
        <w:rPr>
          <w:rFonts w:eastAsia="仿宋_GB2312"/>
          <w:szCs w:val="22"/>
        </w:rPr>
        <w:t>000</w:t>
      </w:r>
      <w:r>
        <w:rPr>
          <w:rFonts w:hint="eastAsia" w:eastAsia="仿宋_GB2312"/>
          <w:szCs w:val="22"/>
        </w:rPr>
        <w:t>万元、3</w:t>
      </w:r>
      <w:r>
        <w:rPr>
          <w:rFonts w:eastAsia="仿宋_GB2312"/>
          <w:szCs w:val="22"/>
        </w:rPr>
        <w:t>00</w:t>
      </w:r>
      <w:r>
        <w:rPr>
          <w:rFonts w:hint="eastAsia" w:eastAsia="仿宋_GB2312"/>
          <w:szCs w:val="22"/>
        </w:rPr>
        <w:t>万元、</w:t>
      </w:r>
      <w:r>
        <w:rPr>
          <w:rFonts w:eastAsia="仿宋_GB2312"/>
          <w:szCs w:val="22"/>
        </w:rPr>
        <w:t>60</w:t>
      </w:r>
      <w:r>
        <w:rPr>
          <w:rFonts w:hint="eastAsia" w:eastAsia="仿宋_GB2312"/>
          <w:szCs w:val="22"/>
        </w:rPr>
        <w:t>万元的事前无偿资助。</w:t>
      </w:r>
      <w:bookmarkEnd w:id="3"/>
      <w:r>
        <w:rPr>
          <w:rFonts w:hint="eastAsia" w:ascii="楷体_GB2312" w:hAnsi="楷体_GB2312" w:cs="楷体_GB2312"/>
          <w:bCs/>
          <w:shd w:val="clear" w:color="auto" w:fill="FFFFFF"/>
          <w:lang w:bidi="ar"/>
        </w:rPr>
        <w:t>（责任单位：市科技创新局）</w:t>
      </w:r>
    </w:p>
    <w:p>
      <w:pPr>
        <w:pStyle w:val="6"/>
        <w:snapToGrid w:val="0"/>
        <w:ind w:firstLine="640"/>
      </w:pPr>
      <w:r>
        <w:rPr>
          <w:rFonts w:hint="eastAsia"/>
        </w:rPr>
        <w:t>（十三）设立人工智能应用研究重大专项。</w:t>
      </w:r>
      <w:r>
        <w:rPr>
          <w:rFonts w:hint="eastAsia" w:eastAsia="仿宋_GB2312"/>
          <w:szCs w:val="22"/>
        </w:rPr>
        <w:t>聚焦通用人工智能的基础架构、关键算法、数据技术等关键核心技术和共性通用技术，按不超过项目投资额的50%，给予最高</w:t>
      </w:r>
      <w:r>
        <w:rPr>
          <w:rFonts w:eastAsia="仿宋_GB2312"/>
          <w:szCs w:val="22"/>
        </w:rPr>
        <w:t>2000</w:t>
      </w:r>
      <w:r>
        <w:rPr>
          <w:rFonts w:hint="eastAsia" w:eastAsia="仿宋_GB2312"/>
          <w:szCs w:val="22"/>
        </w:rPr>
        <w:t>万元资助。鼓励参与国家、广东省重大项目研究，对获得国家和广东省科技计划扶持的人工智能领域项目，给予单个项目最高3000万元配套资助。</w:t>
      </w:r>
      <w:r>
        <w:rPr>
          <w:rFonts w:hint="eastAsia" w:ascii="楷体_GB2312" w:hAnsi="楷体_GB2312" w:cs="楷体_GB2312"/>
          <w:bCs/>
          <w:shd w:val="clear" w:color="auto" w:fill="FFFFFF"/>
          <w:lang w:bidi="ar"/>
        </w:rPr>
        <w:t>（责任单位：市科技创新局）</w:t>
      </w:r>
    </w:p>
    <w:p>
      <w:pPr>
        <w:pStyle w:val="6"/>
        <w:snapToGrid w:val="0"/>
        <w:ind w:firstLine="640"/>
        <w:rPr>
          <w:color w:val="0000FF"/>
        </w:rPr>
      </w:pPr>
      <w:r>
        <w:rPr>
          <w:rFonts w:hint="eastAsia"/>
        </w:rPr>
        <w:t>（十四）完善人工智能“揭榜挂帅”机制。</w:t>
      </w:r>
      <w:r>
        <w:rPr>
          <w:rFonts w:hint="eastAsia" w:eastAsia="仿宋_GB2312"/>
          <w:szCs w:val="22"/>
        </w:rPr>
        <w:t>支持企业开展人工智能技术攻关，对市级项目按照不超过项目总投入的50%，给予揭榜单位最高</w:t>
      </w:r>
      <w:r>
        <w:rPr>
          <w:rFonts w:eastAsia="仿宋_GB2312"/>
          <w:szCs w:val="22"/>
        </w:rPr>
        <w:t>1000</w:t>
      </w:r>
      <w:r>
        <w:rPr>
          <w:rFonts w:hint="eastAsia" w:eastAsia="仿宋_GB2312"/>
          <w:szCs w:val="22"/>
        </w:rPr>
        <w:t>万元资助。对国家级项目给予牵头单位最高</w:t>
      </w:r>
      <w:r>
        <w:rPr>
          <w:rFonts w:eastAsia="仿宋_GB2312"/>
          <w:szCs w:val="22"/>
        </w:rPr>
        <w:t>1000</w:t>
      </w:r>
      <w:r>
        <w:rPr>
          <w:rFonts w:hint="eastAsia" w:eastAsia="仿宋_GB2312"/>
          <w:szCs w:val="22"/>
        </w:rPr>
        <w:t>万元配套资助。</w:t>
      </w:r>
      <w:r>
        <w:rPr>
          <w:rFonts w:hint="eastAsia" w:ascii="楷体_GB2312" w:hAnsi="楷体_GB2312" w:cs="楷体_GB2312"/>
          <w:bCs/>
          <w:shd w:val="clear" w:color="auto" w:fill="FFFFFF"/>
          <w:lang w:bidi="ar"/>
        </w:rPr>
        <w:t>（责任单位：市工业和信息化局）</w:t>
      </w:r>
    </w:p>
    <w:p>
      <w:pPr>
        <w:pStyle w:val="6"/>
        <w:snapToGrid w:val="0"/>
        <w:ind w:firstLine="640"/>
        <w:rPr>
          <w:rFonts w:ascii="楷体_GB2312" w:hAnsi="楷体_GB2312" w:cs="楷体_GB2312"/>
          <w:bCs/>
          <w:shd w:val="clear" w:color="auto" w:fill="FFFFFF"/>
          <w:lang w:bidi="ar"/>
        </w:rPr>
      </w:pPr>
      <w:r>
        <w:rPr>
          <w:rFonts w:hint="eastAsia"/>
        </w:rPr>
        <w:t>（十五）优先支持人工智能研发创新。</w:t>
      </w:r>
      <w:r>
        <w:rPr>
          <w:rFonts w:hint="eastAsia" w:eastAsia="仿宋_GB2312"/>
          <w:szCs w:val="22"/>
        </w:rPr>
        <w:t>大力培育人工智能高新技术企业，对符合条件的人工智能高新技术企业，给予最低10万元、最高300万元的研发经费事后补助。鼓励深港澳人工智能</w:t>
      </w:r>
      <w:r>
        <w:rPr>
          <w:rFonts w:hint="eastAsia" w:eastAsia="仿宋_GB2312"/>
          <w:szCs w:val="22"/>
          <w:lang w:eastAsia="zh-CN"/>
        </w:rPr>
        <w:t>科技</w:t>
      </w:r>
      <w:r>
        <w:rPr>
          <w:rFonts w:hint="eastAsia" w:eastAsia="仿宋_GB2312"/>
          <w:szCs w:val="22"/>
        </w:rPr>
        <w:t>合作，支持高校、科研机构、企业与香港、澳门的高校和科研机构开展人工智能领域科技合作，按不超过项目总预算的50%，给予最高300万元资助。</w:t>
      </w:r>
      <w:r>
        <w:rPr>
          <w:rFonts w:hint="eastAsia" w:ascii="楷体_GB2312" w:hAnsi="楷体_GB2312" w:cs="楷体_GB2312"/>
          <w:bCs/>
          <w:shd w:val="clear" w:color="auto" w:fill="FFFFFF"/>
          <w:lang w:bidi="ar"/>
        </w:rPr>
        <w:t>（责任单位：市科技创新局）</w:t>
      </w:r>
    </w:p>
    <w:p>
      <w:pPr>
        <w:pStyle w:val="6"/>
        <w:snapToGrid w:val="0"/>
        <w:ind w:firstLine="640"/>
        <w:rPr>
          <w:lang w:bidi="ar"/>
        </w:rPr>
      </w:pPr>
      <w:r>
        <w:rPr>
          <w:rFonts w:hint="eastAsia"/>
          <w:lang w:bidi="ar"/>
        </w:rPr>
        <w:t>（十六）提升人工智能知识产权和标准能力。</w:t>
      </w:r>
      <w:r>
        <w:rPr>
          <w:rFonts w:hint="eastAsia" w:hAnsi="Arial" w:eastAsia="仿宋_GB2312" w:cs="仿宋_GB2312"/>
          <w:lang w:bidi="ar"/>
        </w:rPr>
        <w:t>引导企业提升知识产权创造、运用、保护、管理和服务能力</w:t>
      </w:r>
      <w:r>
        <w:rPr>
          <w:rFonts w:hint="eastAsia" w:hAnsi="宋体" w:eastAsia="仿宋_GB2312" w:cs="宋体"/>
          <w:lang w:bidi="ar"/>
        </w:rPr>
        <w:t>，对人工智能高价值专利择优给予50万元奖励；对获得国家、省、市人工智能方向专利奖的申请人，给予最高100万元奖励。支持企业研制人工智能领域标准，</w:t>
      </w:r>
      <w:r>
        <w:rPr>
          <w:rFonts w:hint="eastAsia" w:hAnsi="Calibri" w:eastAsia="仿宋_GB2312" w:cs="仿宋_GB2312"/>
          <w:lang w:bidi="ar"/>
        </w:rPr>
        <w:t>对牵头制订</w:t>
      </w:r>
      <w:r>
        <w:rPr>
          <w:rFonts w:hint="eastAsia" w:eastAsia="仿宋_GB2312" w:cs="仿宋_GB2312"/>
          <w:lang w:bidi="ar"/>
        </w:rPr>
        <w:t>并</w:t>
      </w:r>
      <w:r>
        <w:rPr>
          <w:rFonts w:hint="eastAsia" w:hAnsi="Calibri" w:eastAsia="仿宋_GB2312" w:cs="仿宋_GB2312"/>
          <w:lang w:bidi="ar"/>
        </w:rPr>
        <w:t>按规定发布国家、行业、地方、团体标准的企事业单位，分别给予不超过</w:t>
      </w:r>
      <w:r>
        <w:rPr>
          <w:rFonts w:hint="eastAsia" w:hAnsi="Calibri" w:eastAsia="仿宋_GB2312" w:cs="宋体"/>
          <w:lang w:bidi="ar"/>
        </w:rPr>
        <w:t>50万元、30万元、20万元、10万元资助。</w:t>
      </w:r>
      <w:r>
        <w:rPr>
          <w:rFonts w:hint="eastAsia" w:ascii="楷体_GB2312" w:hAnsi="楷体_GB2312" w:cs="楷体_GB2312"/>
          <w:bCs/>
          <w:lang w:bidi="ar"/>
        </w:rPr>
        <w:t>（责任单位：</w:t>
      </w:r>
      <w:r>
        <w:rPr>
          <w:rFonts w:hint="eastAsia" w:ascii="楷体_GB2312" w:hAnsi="楷体_GB2312" w:cs="楷体_GB2312"/>
          <w:bCs/>
          <w:shd w:val="clear" w:color="auto" w:fill="FFFFFF"/>
          <w:lang w:bidi="ar"/>
        </w:rPr>
        <w:t>市</w:t>
      </w:r>
      <w:r>
        <w:rPr>
          <w:rFonts w:hint="eastAsia" w:ascii="楷体_GB2312" w:hAnsi="楷体_GB2312" w:cs="楷体_GB2312"/>
          <w:bCs/>
          <w:shd w:val="clear" w:color="auto" w:fill="FFFFFF"/>
          <w:lang w:eastAsia="zh-CN" w:bidi="ar"/>
        </w:rPr>
        <w:t>市场监管局</w:t>
      </w:r>
      <w:r>
        <w:rPr>
          <w:rFonts w:hint="eastAsia" w:ascii="楷体_GB2312" w:hAnsi="楷体_GB2312" w:cs="楷体_GB2312"/>
          <w:bCs/>
          <w:lang w:bidi="ar"/>
        </w:rPr>
        <w:t>、市工业和信息化局）</w:t>
      </w:r>
    </w:p>
    <w:p>
      <w:pPr>
        <w:pStyle w:val="5"/>
        <w:keepNext w:val="0"/>
        <w:keepLines w:val="0"/>
        <w:snapToGrid w:val="0"/>
        <w:ind w:firstLine="640"/>
      </w:pPr>
      <w:r>
        <w:rPr>
          <w:rFonts w:hint="eastAsia"/>
        </w:rPr>
        <w:t>六、建设高水平人才高地</w:t>
      </w:r>
    </w:p>
    <w:p>
      <w:pPr>
        <w:pStyle w:val="6"/>
        <w:snapToGrid w:val="0"/>
        <w:ind w:firstLine="640"/>
      </w:pPr>
      <w:r>
        <w:rPr>
          <w:rFonts w:hint="eastAsia"/>
        </w:rPr>
        <w:t>（十七）支持人才在深创新创业。</w:t>
      </w:r>
      <w:r>
        <w:rPr>
          <w:rFonts w:hint="eastAsia" w:eastAsia="仿宋_GB2312"/>
          <w:szCs w:val="22"/>
        </w:rPr>
        <w:t>鼓励海内外高层次人才团队来深创新创业，对经评审具有重大技术能力的核心团队，给予1000万元以上、1亿元以下的财政资金支持；提供事业平台、科研经费、团队支持和生活保障一揽子“政策包”支持。支持企业引才用才，对人工智能企业的骨干人才，根据其上年度对产业发展、自主创新等方面的贡献给予创新人才奖励。优先支持人工智能留学人才在深创业，对注册时间在6</w:t>
      </w:r>
      <w:r>
        <w:rPr>
          <w:rFonts w:eastAsia="仿宋_GB2312"/>
          <w:szCs w:val="22"/>
        </w:rPr>
        <w:t>-48</w:t>
      </w:r>
      <w:r>
        <w:rPr>
          <w:rFonts w:hint="eastAsia" w:eastAsia="仿宋_GB2312"/>
          <w:szCs w:val="22"/>
        </w:rPr>
        <w:t>个月内的初创企业，分档给予1</w:t>
      </w:r>
      <w:r>
        <w:rPr>
          <w:rFonts w:eastAsia="仿宋_GB2312"/>
          <w:szCs w:val="22"/>
        </w:rPr>
        <w:t>00</w:t>
      </w:r>
      <w:r>
        <w:rPr>
          <w:rFonts w:hint="eastAsia" w:eastAsia="仿宋_GB2312"/>
          <w:szCs w:val="22"/>
        </w:rPr>
        <w:t>万元、5</w:t>
      </w:r>
      <w:r>
        <w:rPr>
          <w:rFonts w:eastAsia="仿宋_GB2312"/>
          <w:szCs w:val="22"/>
        </w:rPr>
        <w:t>0</w:t>
      </w:r>
      <w:r>
        <w:rPr>
          <w:rFonts w:hint="eastAsia" w:eastAsia="仿宋_GB2312"/>
          <w:szCs w:val="22"/>
        </w:rPr>
        <w:t>万元、3</w:t>
      </w:r>
      <w:r>
        <w:rPr>
          <w:rFonts w:eastAsia="仿宋_GB2312"/>
          <w:szCs w:val="22"/>
        </w:rPr>
        <w:t>0</w:t>
      </w:r>
      <w:r>
        <w:rPr>
          <w:rFonts w:hint="eastAsia" w:eastAsia="仿宋_GB2312"/>
          <w:szCs w:val="22"/>
        </w:rPr>
        <w:t>万元的一次性创业资助。支持建设一批人工智能创业孵化基地，对经市主管部门认定的，给予2</w:t>
      </w:r>
      <w:r>
        <w:rPr>
          <w:rFonts w:eastAsia="仿宋_GB2312"/>
          <w:szCs w:val="22"/>
        </w:rPr>
        <w:t>0</w:t>
      </w:r>
      <w:r>
        <w:rPr>
          <w:rFonts w:hint="eastAsia" w:eastAsia="仿宋_GB2312"/>
          <w:szCs w:val="22"/>
        </w:rPr>
        <w:t>万元认定奖励、1</w:t>
      </w:r>
      <w:r>
        <w:rPr>
          <w:rFonts w:eastAsia="仿宋_GB2312"/>
          <w:szCs w:val="22"/>
        </w:rPr>
        <w:t>0</w:t>
      </w:r>
      <w:r>
        <w:rPr>
          <w:rFonts w:hint="eastAsia" w:eastAsia="仿宋_GB2312"/>
          <w:szCs w:val="22"/>
        </w:rPr>
        <w:t>万元年度考核优秀补贴以及最高3</w:t>
      </w:r>
      <w:r>
        <w:rPr>
          <w:rFonts w:eastAsia="仿宋_GB2312"/>
          <w:szCs w:val="22"/>
        </w:rPr>
        <w:t>0</w:t>
      </w:r>
      <w:r>
        <w:rPr>
          <w:rFonts w:hint="eastAsia" w:eastAsia="仿宋_GB2312"/>
          <w:szCs w:val="22"/>
        </w:rPr>
        <w:t>万元升级补贴。</w:t>
      </w:r>
      <w:r>
        <w:rPr>
          <w:rFonts w:hint="eastAsia" w:ascii="楷体_GB2312" w:hAnsi="楷体_GB2312" w:cs="楷体_GB2312"/>
          <w:bCs/>
          <w:shd w:val="clear" w:color="auto" w:fill="FFFFFF"/>
          <w:lang w:bidi="ar"/>
        </w:rPr>
        <w:t>（责任单位：市人才工作局、市人力资源保障局）</w:t>
      </w:r>
    </w:p>
    <w:p>
      <w:pPr>
        <w:pStyle w:val="6"/>
        <w:snapToGrid w:val="0"/>
        <w:ind w:firstLine="640"/>
      </w:pPr>
      <w:r>
        <w:rPr>
          <w:rFonts w:hint="eastAsia"/>
        </w:rPr>
        <w:t>（十八）深化人才体制机制改革。</w:t>
      </w:r>
      <w:r>
        <w:rPr>
          <w:rFonts w:hint="eastAsia" w:eastAsia="仿宋_GB2312"/>
          <w:szCs w:val="22"/>
        </w:rPr>
        <w:t>完善人工智能领域外籍“高精尖缺”人才认定标准，扩大国际公认的专业成就认定标准，优化青年人才认定标准。鼓励政府部门、企事业单位设立首席人工智能官，统筹负责人工智能领域的协同协调、技术创新和风险管理工作。支持行业组织开展首席人工智能官、人工智能工程师的标准制定与相关评审。做好人工智能人才住房保障，在人才公寓、租房补贴、购房补贴等方面予以倾斜。</w:t>
      </w:r>
      <w:r>
        <w:rPr>
          <w:rFonts w:hint="eastAsia" w:ascii="楷体_GB2312" w:hAnsi="楷体_GB2312" w:cs="楷体_GB2312"/>
          <w:bCs/>
          <w:shd w:val="clear" w:color="auto" w:fill="FFFFFF"/>
          <w:lang w:bidi="ar"/>
        </w:rPr>
        <w:t>（责任单位：市人才工作局、市科技创新局、市人力资源保障局、市市场监管局、市住房建设局，各区政府、大鹏新区</w:t>
      </w:r>
      <w:r>
        <w:rPr>
          <w:rFonts w:hint="eastAsia"/>
        </w:rPr>
        <w:t>管委会</w:t>
      </w:r>
      <w:r>
        <w:rPr>
          <w:rFonts w:hint="eastAsia" w:ascii="楷体_GB2312" w:hAnsi="楷体_GB2312" w:cs="楷体_GB2312"/>
          <w:bCs/>
          <w:shd w:val="clear" w:color="auto" w:fill="FFFFFF"/>
          <w:lang w:bidi="ar"/>
        </w:rPr>
        <w:t>、深汕特别合作区管委会）</w:t>
      </w:r>
    </w:p>
    <w:p>
      <w:pPr>
        <w:pStyle w:val="6"/>
        <w:snapToGrid w:val="0"/>
        <w:ind w:firstLine="640"/>
        <w:rPr>
          <w:rFonts w:hint="eastAsia" w:ascii="楷体_GB2312" w:hAnsi="楷体_GB2312" w:cs="楷体_GB2312"/>
          <w:bCs/>
          <w:shd w:val="clear" w:color="auto" w:fill="FFFFFF"/>
          <w:lang w:bidi="ar"/>
        </w:rPr>
      </w:pPr>
      <w:r>
        <w:rPr>
          <w:rFonts w:hint="eastAsia"/>
        </w:rPr>
        <w:t>（十九）加强人工智能人才培育。</w:t>
      </w:r>
      <w:r>
        <w:rPr>
          <w:rFonts w:hint="eastAsia" w:eastAsia="仿宋_GB2312"/>
          <w:szCs w:val="22"/>
        </w:rPr>
        <w:t>强化人工智能领域基础学科、新兴学科、交叉学科建设，鼓励在深高校成立人工智能学院，支持建设中国特色、世界一流的人工智能优势学科，在学科建设经费中给予倾斜。加快国产人工智能课程与教材建设，定期遴选推广优秀课程与教材。培养高素质人工智能教师队伍，优先支持高校人工智能特聘岗位人才选聘。实施“行业大模型+产学研”深港联合培养专项，着力培养人工智能工程师和产品经理。</w:t>
      </w:r>
      <w:r>
        <w:rPr>
          <w:rFonts w:hint="eastAsia" w:ascii="楷体_GB2312" w:hAnsi="楷体_GB2312" w:cs="楷体_GB2312"/>
          <w:bCs/>
          <w:shd w:val="clear" w:color="auto" w:fill="FFFFFF"/>
          <w:lang w:bidi="ar"/>
        </w:rPr>
        <w:t>（责任单位：市教育局、市科技创新局、市人才工作局、市人力资源保障局）</w:t>
      </w:r>
    </w:p>
    <w:p>
      <w:pPr>
        <w:rPr>
          <w:rFonts w:hint="eastAsia" w:ascii="方正黑体_GBK" w:hAnsi="方正黑体_GBK" w:eastAsia="方正黑体_GBK" w:cs="方正黑体_GBK"/>
        </w:rPr>
      </w:pPr>
      <w:r>
        <w:rPr>
          <w:rFonts w:hint="eastAsia" w:ascii="方正黑体_GBK" w:hAnsi="方正黑体_GBK" w:eastAsia="方正黑体_GBK" w:cs="方正黑体_GBK"/>
        </w:rPr>
        <w:t>七、完善人工智能发展环境</w:t>
      </w:r>
    </w:p>
    <w:p>
      <w:pPr>
        <w:pStyle w:val="6"/>
        <w:snapToGrid w:val="0"/>
        <w:ind w:firstLine="640"/>
        <w:rPr>
          <w:color w:val="0000FF"/>
        </w:rPr>
      </w:pPr>
      <w:r>
        <w:rPr>
          <w:rStyle w:val="26"/>
          <w:rFonts w:hint="eastAsia"/>
        </w:rPr>
        <w:t>（二十）打造公共技术服务平台。</w:t>
      </w:r>
      <w:r>
        <w:rPr>
          <w:rFonts w:hint="eastAsia" w:hAnsi="宋体" w:eastAsia="仿宋_GB2312" w:cs="仿宋_GB2312"/>
          <w:lang w:bidi="ar"/>
        </w:rPr>
        <w:t>支持面向人工智能领域建设开放创新平台、制造业创新中心、产业技术基础服务等公共技术服务平台。对国家新一代人工智能开放创新平台，按国家资助金额给予1:1配套支持。对符合条件的制造业创新中心，按不超过项目审定总投入的50%，给予最高5000万元资助。对产业技术基础公共服务平台，给予认定奖励。</w:t>
      </w:r>
      <w:r>
        <w:rPr>
          <w:rFonts w:hint="eastAsia"/>
        </w:rPr>
        <w:t>（责任单位：市工业和信息化局）</w:t>
      </w:r>
    </w:p>
    <w:p>
      <w:pPr>
        <w:pStyle w:val="6"/>
        <w:snapToGrid w:val="0"/>
        <w:ind w:firstLine="640"/>
        <w:rPr>
          <w:rFonts w:hAnsi="宋体" w:cs="仿宋_GB2312"/>
          <w:lang w:bidi="ar"/>
        </w:rPr>
      </w:pPr>
      <w:r>
        <w:rPr>
          <w:rFonts w:hint="eastAsia"/>
        </w:rPr>
        <w:t>（二十一）支持人工智能特色园区建设。</w:t>
      </w:r>
      <w:r>
        <w:rPr>
          <w:rFonts w:hint="eastAsia" w:hAnsi="宋体" w:eastAsia="仿宋_GB2312" w:cs="仿宋_GB2312"/>
          <w:lang w:bidi="ar"/>
        </w:rPr>
        <w:t>开展市级人工智能产业园认定工作，认定一批人工智能领域的特色软件名园。对经认定的园区，给予园区运营主体200万元奖励；对考核获评优秀的园区，给予50万元奖励。支持各区对园区内人工智能企业给予一定比例的租金补贴，对新入驻的人工智能企业连续三年给予不低于50%的租金补贴。</w:t>
      </w:r>
      <w:r>
        <w:rPr>
          <w:rFonts w:hint="eastAsia" w:hAnsi="宋体" w:eastAsia="仿宋_GB2312" w:cs="仿宋_GB2312"/>
          <w:lang w:eastAsia="zh-CN" w:bidi="ar"/>
        </w:rPr>
        <w:t>（</w:t>
      </w:r>
      <w:r>
        <w:rPr>
          <w:rFonts w:hint="eastAsia"/>
        </w:rPr>
        <w:t>责任单位：市工业和信息化局</w:t>
      </w:r>
      <w:r>
        <w:rPr>
          <w:rFonts w:hint="eastAsia"/>
          <w:lang w:eastAsia="zh-CN"/>
        </w:rPr>
        <w:t>、</w:t>
      </w:r>
      <w:r>
        <w:rPr>
          <w:rFonts w:hint="eastAsia"/>
        </w:rPr>
        <w:t>前海管理局、河套发展署，</w:t>
      </w:r>
      <w:r>
        <w:rPr>
          <w:rFonts w:hint="eastAsia" w:ascii="楷体_GB2312" w:hAnsi="楷体_GB2312" w:cs="楷体_GB2312"/>
        </w:rPr>
        <w:t>各区政府、大鹏新区管委会、深汕特别合作区管委会</w:t>
      </w:r>
      <w:r>
        <w:rPr>
          <w:rFonts w:hint="eastAsia"/>
          <w:lang w:eastAsia="zh-CN"/>
        </w:rPr>
        <w:t>）</w:t>
      </w:r>
    </w:p>
    <w:p>
      <w:pPr>
        <w:pStyle w:val="6"/>
        <w:snapToGrid w:val="0"/>
        <w:ind w:firstLine="640"/>
        <w:rPr>
          <w:rFonts w:hAnsi="宋体" w:cs="仿宋_GB2312"/>
          <w:color w:val="0000FF"/>
          <w:lang w:bidi="ar"/>
        </w:rPr>
      </w:pPr>
      <w:r>
        <w:rPr>
          <w:rFonts w:hint="eastAsia"/>
        </w:rPr>
        <w:t>（二十二）拓宽企业融资渠道。</w:t>
      </w:r>
      <w:r>
        <w:rPr>
          <w:rFonts w:hint="eastAsia" w:hAnsi="宋体" w:eastAsia="仿宋_GB2312" w:cs="仿宋_GB2312"/>
          <w:lang w:bidi="ar"/>
        </w:rPr>
        <w:t>成立深圳市人工智能产业集群基金，加大投资规模。通过参股子基金或直投方式，支持长期资本、耐心资本面向人工智能芯片、框架和算法等开展早期投资。落实“星耀鹏城”计划，对完成股改和上市辅导且成功上市的人工智能企业，给予最高400万元资助。</w:t>
      </w:r>
      <w:r>
        <w:rPr>
          <w:rFonts w:hint="eastAsia"/>
        </w:rPr>
        <w:t>（责任单位：市财政局、</w:t>
      </w:r>
      <w:r>
        <w:rPr>
          <w:rFonts w:hint="eastAsia"/>
          <w:lang w:eastAsia="zh-CN"/>
        </w:rPr>
        <w:t>市委金融办</w:t>
      </w:r>
      <w:r>
        <w:rPr>
          <w:rFonts w:hint="eastAsia"/>
        </w:rPr>
        <w:t>、市工业和信息化局）</w:t>
      </w:r>
    </w:p>
    <w:p>
      <w:pPr>
        <w:pStyle w:val="6"/>
        <w:snapToGrid w:val="0"/>
        <w:ind w:firstLine="640"/>
      </w:pPr>
      <w:r>
        <w:rPr>
          <w:rFonts w:hint="eastAsia"/>
        </w:rPr>
        <w:t>（二十三）降低企业融资成本。</w:t>
      </w:r>
      <w:r>
        <w:rPr>
          <w:rFonts w:hint="eastAsia" w:hAnsi="宋体" w:eastAsia="仿宋_GB2312" w:cs="仿宋_GB2312"/>
          <w:lang w:bidi="ar"/>
        </w:rPr>
        <w:t>降低人工智能相关企业融资成本，对符合条件的企业给予贷款贴息、担保费补贴、科技保险补贴、知识产权融资贴息等支持。发挥国有基金杠杆撬动作用，与社会资本融合形成多元化风险投资主体，探索投补联动、投贷联动等支持机制。将人工智能企业列为市中小微企业银行贷款风险补偿资金池补偿对象，对其产生的符合条件的贷款项目给予相应标准的风险补偿。</w:t>
      </w:r>
      <w:r>
        <w:rPr>
          <w:rFonts w:hint="eastAsia"/>
        </w:rPr>
        <w:t>（责任单位：市工业和信息化局、市财政局、市</w:t>
      </w:r>
      <w:r>
        <w:rPr>
          <w:rFonts w:hint="eastAsia"/>
          <w:lang w:eastAsia="zh-CN"/>
        </w:rPr>
        <w:t>委金融办</w:t>
      </w:r>
      <w:r>
        <w:rPr>
          <w:rFonts w:hint="eastAsia"/>
        </w:rPr>
        <w:t>）</w:t>
      </w:r>
    </w:p>
    <w:p>
      <w:pPr>
        <w:pStyle w:val="6"/>
        <w:ind w:firstLine="640"/>
        <w:rPr>
          <w:rFonts w:ascii="楷体_GB2312"/>
        </w:rPr>
      </w:pPr>
      <w:r>
        <w:rPr>
          <w:rFonts w:hint="eastAsia"/>
        </w:rPr>
        <w:t>（二十四</w:t>
      </w:r>
      <w:r>
        <w:rPr>
          <w:rFonts w:hint="eastAsia" w:ascii="楷体_GB2312"/>
        </w:rPr>
        <w:t>）开展包容审慎监管</w:t>
      </w:r>
      <w:r>
        <w:rPr>
          <w:rFonts w:hint="eastAsia"/>
        </w:rPr>
        <w:t>。</w:t>
      </w:r>
      <w:r>
        <w:rPr>
          <w:rFonts w:hint="eastAsia" w:eastAsia="仿宋_GB2312"/>
        </w:rPr>
        <w:t>对由大模型驱动的具有舆论属性或社会动员能力的互联网信息服务，开展常态化联系服务。依托深圳（前海）大模型和算法创新服务中心等创新平台，做好大模型备案指导与服务，引导企业、高校和科研机构树立合规发展意识。建立容错机制，坚持依法行政，积极探索创新沙箱、负面清单等创新监管制度，最大限度允许人工智能创新试错。在相关人工智能产业集聚区内，探索创新监管机制。</w:t>
      </w:r>
      <w:r>
        <w:rPr>
          <w:rFonts w:hint="eastAsia" w:ascii="楷体_GB2312"/>
        </w:rPr>
        <w:t>（责任单位：市工业和信息化局、市委网信办、市公安局）</w:t>
      </w:r>
    </w:p>
    <w:p>
      <w:pPr>
        <w:pStyle w:val="6"/>
        <w:ind w:firstLine="640"/>
        <w:rPr>
          <w:rFonts w:ascii="楷体_GB2312" w:hAnsi="楷体_GB2312" w:cs="楷体_GB2312"/>
          <w:bCs/>
          <w:shd w:val="clear" w:color="auto" w:fill="FFFFFF"/>
          <w:lang w:bidi="ar"/>
        </w:rPr>
      </w:pPr>
      <w:r>
        <w:rPr>
          <w:rFonts w:hint="eastAsia"/>
        </w:rPr>
        <w:t>（二十五）营造良好产业发展氛围。</w:t>
      </w:r>
      <w:r>
        <w:rPr>
          <w:rFonts w:hint="eastAsia" w:eastAsia="仿宋_GB2312"/>
        </w:rPr>
        <w:t>围绕人工智能高质量发展，打造具有国际影响力的高端展会、论坛、大赛等。对符合条件的以上活动，按不超过项目审定总投入的50%给予最高300万元资助。</w:t>
      </w:r>
      <w:r>
        <w:rPr>
          <w:rFonts w:hint="eastAsia" w:eastAsia="仿宋_GB2312"/>
          <w:lang w:eastAsia="zh-CN"/>
        </w:rPr>
        <w:t>对</w:t>
      </w:r>
      <w:r>
        <w:rPr>
          <w:rFonts w:hint="eastAsia" w:eastAsia="仿宋_GB2312"/>
        </w:rPr>
        <w:t>国家部委、广东省及深圳市政府委托举办的活动，各级财政按有关标准和规定予以支持。</w:t>
      </w:r>
      <w:r>
        <w:rPr>
          <w:rFonts w:hint="eastAsia" w:ascii="楷体_GB2312" w:hAnsi="楷体_GB2312" w:cs="楷体_GB2312"/>
          <w:bCs/>
          <w:shd w:val="clear" w:color="auto" w:fill="FFFFFF"/>
          <w:lang w:bidi="ar"/>
        </w:rPr>
        <w:t>（责任单位：市工业和信息化局、市科技创新</w:t>
      </w:r>
      <w:r>
        <w:rPr>
          <w:rFonts w:hint="eastAsia" w:ascii="楷体_GB2312" w:hAnsi="楷体_GB2312" w:cs="楷体_GB2312"/>
          <w:bCs/>
          <w:shd w:val="clear" w:color="auto" w:fill="FFFFFF"/>
          <w:lang w:eastAsia="zh-CN" w:bidi="ar"/>
        </w:rPr>
        <w:t>局</w:t>
      </w:r>
      <w:r>
        <w:rPr>
          <w:rFonts w:hint="eastAsia" w:ascii="楷体_GB2312" w:hAnsi="楷体_GB2312" w:cs="楷体_GB2312"/>
          <w:bCs/>
          <w:shd w:val="clear" w:color="auto" w:fill="FFFFFF"/>
          <w:lang w:bidi="ar"/>
        </w:rPr>
        <w:t>）</w:t>
      </w:r>
    </w:p>
    <w:p>
      <w:pPr>
        <w:pStyle w:val="5"/>
        <w:keepNext w:val="0"/>
        <w:keepLines w:val="0"/>
        <w:snapToGrid w:val="0"/>
        <w:ind w:firstLine="640"/>
        <w:rPr>
          <w:rFonts w:cs="宋体"/>
        </w:rPr>
      </w:pPr>
      <w:r>
        <w:rPr>
          <w:rFonts w:hint="eastAsia"/>
          <w:lang w:bidi="ar"/>
        </w:rPr>
        <w:t>八、附则</w:t>
      </w:r>
    </w:p>
    <w:p>
      <w:pPr>
        <w:snapToGrid w:val="0"/>
        <w:ind w:firstLine="624"/>
        <w:rPr>
          <w:rFonts w:hAnsi="仿宋_GB2312" w:cs="仿宋_GB2312"/>
          <w:szCs w:val="32"/>
        </w:rPr>
      </w:pPr>
      <w:r>
        <w:rPr>
          <w:rFonts w:hint="eastAsia" w:hAnsi="宋体" w:cs="仿宋_GB2312"/>
          <w:spacing w:val="-4"/>
          <w:szCs w:val="32"/>
          <w:lang w:bidi="ar"/>
        </w:rPr>
        <w:t>本措施与我市市级层面其他同类优惠措施不得重复享受。获得本措施规定资助的，各区政府、大鹏新区管委会、深汕特别合作区管委会可给予相应的配套资助。对于已获得国家或省级财政支持的项目，我市各级财政对同一项目累计资助金额不得超过该项目经审计认定的投资额。本措施自2024</w:t>
      </w:r>
      <w:r>
        <w:rPr>
          <w:rFonts w:hint="eastAsia" w:hAnsi="宋体" w:cs="宋体"/>
          <w:spacing w:val="-4"/>
          <w:szCs w:val="32"/>
          <w:lang w:bidi="ar"/>
        </w:rPr>
        <w:t>年X月X日起施行，有效期5年。</w:t>
      </w:r>
    </w:p>
    <w:p>
      <w:pPr>
        <w:widowControl/>
        <w:snapToGrid w:val="0"/>
        <w:ind w:firstLine="0" w:firstLineChars="0"/>
        <w:jc w:val="left"/>
        <w:rPr>
          <w:rFonts w:asciiTheme="minorHAnsi" w:hAnsiTheme="minorHAnsi" w:eastAsiaTheme="minorEastAsia"/>
          <w:color w:val="0000FF"/>
          <w:kern w:val="0"/>
          <w:sz w:val="22"/>
          <w:lang w:bidi="he-IL"/>
        </w:rPr>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474" w:bottom="1814" w:left="1474" w:header="227" w:footer="1134"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roman"/>
    <w:pitch w:val="default"/>
    <w:sig w:usb0="FFFFFFFF" w:usb1="E9FFFFFF" w:usb2="0000003F" w:usb3="00000000" w:csb0="603F01FF" w:csb1="FFFF0000"/>
  </w:font>
  <w:font w:name="文星简大标宋">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firstLine="0" w:firstLineChars="0"/>
      <w:jc w:val="lef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revisionView w:markup="0"/>
  <w:documentProtection w:enforcement="0"/>
  <w:defaultTabStop w:val="16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ZmU4ZTZjY2M4ZjgwOTZhODc4Y2NjODA0MTBjZjUifQ=="/>
  </w:docVars>
  <w:rsids>
    <w:rsidRoot w:val="00393063"/>
    <w:rsid w:val="00000030"/>
    <w:rsid w:val="00000379"/>
    <w:rsid w:val="000025A5"/>
    <w:rsid w:val="00006560"/>
    <w:rsid w:val="00012370"/>
    <w:rsid w:val="00013B6E"/>
    <w:rsid w:val="000147E7"/>
    <w:rsid w:val="00015451"/>
    <w:rsid w:val="00020021"/>
    <w:rsid w:val="0002363B"/>
    <w:rsid w:val="00031D9E"/>
    <w:rsid w:val="000427AF"/>
    <w:rsid w:val="0004377D"/>
    <w:rsid w:val="000511AE"/>
    <w:rsid w:val="00051E19"/>
    <w:rsid w:val="00053ADD"/>
    <w:rsid w:val="00053E2D"/>
    <w:rsid w:val="00063582"/>
    <w:rsid w:val="00067AA1"/>
    <w:rsid w:val="00070A00"/>
    <w:rsid w:val="000734EE"/>
    <w:rsid w:val="00074793"/>
    <w:rsid w:val="00075A45"/>
    <w:rsid w:val="00075B16"/>
    <w:rsid w:val="00080BD6"/>
    <w:rsid w:val="00081645"/>
    <w:rsid w:val="0008307F"/>
    <w:rsid w:val="0008496D"/>
    <w:rsid w:val="00097D7A"/>
    <w:rsid w:val="000B0B48"/>
    <w:rsid w:val="000B3A81"/>
    <w:rsid w:val="000B52EF"/>
    <w:rsid w:val="000B7ED2"/>
    <w:rsid w:val="000D0FDF"/>
    <w:rsid w:val="000E0523"/>
    <w:rsid w:val="000F1396"/>
    <w:rsid w:val="000F14EA"/>
    <w:rsid w:val="000F19BC"/>
    <w:rsid w:val="000F2BBD"/>
    <w:rsid w:val="000F36E4"/>
    <w:rsid w:val="0010276F"/>
    <w:rsid w:val="00107A6C"/>
    <w:rsid w:val="001118DC"/>
    <w:rsid w:val="00111CDF"/>
    <w:rsid w:val="00111FF5"/>
    <w:rsid w:val="00112328"/>
    <w:rsid w:val="00133A38"/>
    <w:rsid w:val="00134992"/>
    <w:rsid w:val="001349EA"/>
    <w:rsid w:val="00151683"/>
    <w:rsid w:val="00151755"/>
    <w:rsid w:val="0015264A"/>
    <w:rsid w:val="00156807"/>
    <w:rsid w:val="0016263F"/>
    <w:rsid w:val="00164AA4"/>
    <w:rsid w:val="001714C3"/>
    <w:rsid w:val="00175B6E"/>
    <w:rsid w:val="00180075"/>
    <w:rsid w:val="00183204"/>
    <w:rsid w:val="00187524"/>
    <w:rsid w:val="0019121B"/>
    <w:rsid w:val="001932BA"/>
    <w:rsid w:val="00195466"/>
    <w:rsid w:val="00196574"/>
    <w:rsid w:val="001A4672"/>
    <w:rsid w:val="001A72B7"/>
    <w:rsid w:val="001B163D"/>
    <w:rsid w:val="001B4880"/>
    <w:rsid w:val="001B6529"/>
    <w:rsid w:val="001C23BC"/>
    <w:rsid w:val="001C2FEE"/>
    <w:rsid w:val="001C7560"/>
    <w:rsid w:val="001D083F"/>
    <w:rsid w:val="001D1870"/>
    <w:rsid w:val="001D75F2"/>
    <w:rsid w:val="001E33D2"/>
    <w:rsid w:val="001E5485"/>
    <w:rsid w:val="001E568F"/>
    <w:rsid w:val="001E5B42"/>
    <w:rsid w:val="001E7406"/>
    <w:rsid w:val="001F134E"/>
    <w:rsid w:val="001F2100"/>
    <w:rsid w:val="002006A6"/>
    <w:rsid w:val="002006DA"/>
    <w:rsid w:val="00202FBB"/>
    <w:rsid w:val="00205CCB"/>
    <w:rsid w:val="00207ABE"/>
    <w:rsid w:val="00210BBC"/>
    <w:rsid w:val="00210F97"/>
    <w:rsid w:val="002122A5"/>
    <w:rsid w:val="00215925"/>
    <w:rsid w:val="00217C8C"/>
    <w:rsid w:val="00220997"/>
    <w:rsid w:val="002232A2"/>
    <w:rsid w:val="00223B67"/>
    <w:rsid w:val="00225737"/>
    <w:rsid w:val="00250296"/>
    <w:rsid w:val="00254594"/>
    <w:rsid w:val="00254766"/>
    <w:rsid w:val="00255951"/>
    <w:rsid w:val="002564F3"/>
    <w:rsid w:val="0026247F"/>
    <w:rsid w:val="00272341"/>
    <w:rsid w:val="00273C82"/>
    <w:rsid w:val="002751C8"/>
    <w:rsid w:val="002751E2"/>
    <w:rsid w:val="00276C0F"/>
    <w:rsid w:val="002834C8"/>
    <w:rsid w:val="0029005A"/>
    <w:rsid w:val="002915E3"/>
    <w:rsid w:val="002A1DF8"/>
    <w:rsid w:val="002A3158"/>
    <w:rsid w:val="002B0B7A"/>
    <w:rsid w:val="002B592C"/>
    <w:rsid w:val="002B6153"/>
    <w:rsid w:val="002B6A5C"/>
    <w:rsid w:val="002C00FB"/>
    <w:rsid w:val="002C446C"/>
    <w:rsid w:val="002C485C"/>
    <w:rsid w:val="002C5641"/>
    <w:rsid w:val="002D0666"/>
    <w:rsid w:val="002D661F"/>
    <w:rsid w:val="002E0EAB"/>
    <w:rsid w:val="002E1941"/>
    <w:rsid w:val="002E3B2E"/>
    <w:rsid w:val="002E400D"/>
    <w:rsid w:val="002F1091"/>
    <w:rsid w:val="002F6F92"/>
    <w:rsid w:val="002F7DA0"/>
    <w:rsid w:val="00301D92"/>
    <w:rsid w:val="003056A9"/>
    <w:rsid w:val="00314E3A"/>
    <w:rsid w:val="00323D01"/>
    <w:rsid w:val="00326207"/>
    <w:rsid w:val="003306D8"/>
    <w:rsid w:val="00333014"/>
    <w:rsid w:val="003424A6"/>
    <w:rsid w:val="00342C9C"/>
    <w:rsid w:val="003443D0"/>
    <w:rsid w:val="00345273"/>
    <w:rsid w:val="003501BB"/>
    <w:rsid w:val="003534DE"/>
    <w:rsid w:val="00354332"/>
    <w:rsid w:val="00356B2D"/>
    <w:rsid w:val="00363819"/>
    <w:rsid w:val="00364520"/>
    <w:rsid w:val="0037074F"/>
    <w:rsid w:val="00376137"/>
    <w:rsid w:val="00376138"/>
    <w:rsid w:val="00376C4D"/>
    <w:rsid w:val="0038614E"/>
    <w:rsid w:val="003879F8"/>
    <w:rsid w:val="00390031"/>
    <w:rsid w:val="00390723"/>
    <w:rsid w:val="00391487"/>
    <w:rsid w:val="00392E65"/>
    <w:rsid w:val="00393063"/>
    <w:rsid w:val="003936D9"/>
    <w:rsid w:val="00393C11"/>
    <w:rsid w:val="003A373F"/>
    <w:rsid w:val="003B387F"/>
    <w:rsid w:val="003B73FF"/>
    <w:rsid w:val="003B744A"/>
    <w:rsid w:val="003B76C6"/>
    <w:rsid w:val="003C3167"/>
    <w:rsid w:val="003C3EE3"/>
    <w:rsid w:val="003C5976"/>
    <w:rsid w:val="003D0B2A"/>
    <w:rsid w:val="003D1F2F"/>
    <w:rsid w:val="003E7130"/>
    <w:rsid w:val="003F0FEA"/>
    <w:rsid w:val="003F1733"/>
    <w:rsid w:val="003F3146"/>
    <w:rsid w:val="003F65D0"/>
    <w:rsid w:val="004051FD"/>
    <w:rsid w:val="00405750"/>
    <w:rsid w:val="00405CD5"/>
    <w:rsid w:val="004116C9"/>
    <w:rsid w:val="00412958"/>
    <w:rsid w:val="00417C0E"/>
    <w:rsid w:val="004214BE"/>
    <w:rsid w:val="004304CB"/>
    <w:rsid w:val="0044325C"/>
    <w:rsid w:val="004455D5"/>
    <w:rsid w:val="004601ED"/>
    <w:rsid w:val="00464A36"/>
    <w:rsid w:val="00464E16"/>
    <w:rsid w:val="00465114"/>
    <w:rsid w:val="004656BC"/>
    <w:rsid w:val="00472A6E"/>
    <w:rsid w:val="00472C0C"/>
    <w:rsid w:val="004857B7"/>
    <w:rsid w:val="0048636D"/>
    <w:rsid w:val="0048783C"/>
    <w:rsid w:val="0049194A"/>
    <w:rsid w:val="004941DF"/>
    <w:rsid w:val="004A56B7"/>
    <w:rsid w:val="004A73E3"/>
    <w:rsid w:val="004B2D67"/>
    <w:rsid w:val="004C525B"/>
    <w:rsid w:val="004C6279"/>
    <w:rsid w:val="004C63E3"/>
    <w:rsid w:val="004C70DD"/>
    <w:rsid w:val="004E05A2"/>
    <w:rsid w:val="004E3661"/>
    <w:rsid w:val="004F0F1D"/>
    <w:rsid w:val="004F42C2"/>
    <w:rsid w:val="004F51D9"/>
    <w:rsid w:val="004F56A7"/>
    <w:rsid w:val="004F6885"/>
    <w:rsid w:val="004F6FFD"/>
    <w:rsid w:val="004F7860"/>
    <w:rsid w:val="0050113C"/>
    <w:rsid w:val="00504F85"/>
    <w:rsid w:val="00506E28"/>
    <w:rsid w:val="0050763A"/>
    <w:rsid w:val="0051238A"/>
    <w:rsid w:val="00513902"/>
    <w:rsid w:val="00520985"/>
    <w:rsid w:val="00526E0F"/>
    <w:rsid w:val="005274B2"/>
    <w:rsid w:val="00532874"/>
    <w:rsid w:val="00533F97"/>
    <w:rsid w:val="0054428D"/>
    <w:rsid w:val="00552D66"/>
    <w:rsid w:val="00556E2A"/>
    <w:rsid w:val="00560728"/>
    <w:rsid w:val="00561D4A"/>
    <w:rsid w:val="005671C4"/>
    <w:rsid w:val="00570D09"/>
    <w:rsid w:val="00571A49"/>
    <w:rsid w:val="00587CF5"/>
    <w:rsid w:val="005908BE"/>
    <w:rsid w:val="00594087"/>
    <w:rsid w:val="005A1C66"/>
    <w:rsid w:val="005A7BD1"/>
    <w:rsid w:val="005B4174"/>
    <w:rsid w:val="005B594D"/>
    <w:rsid w:val="005B6CEA"/>
    <w:rsid w:val="005C3A40"/>
    <w:rsid w:val="005C6099"/>
    <w:rsid w:val="005D4235"/>
    <w:rsid w:val="005D4405"/>
    <w:rsid w:val="005D65E3"/>
    <w:rsid w:val="005D673B"/>
    <w:rsid w:val="005D6768"/>
    <w:rsid w:val="005F0842"/>
    <w:rsid w:val="005F0FFF"/>
    <w:rsid w:val="005F3FF6"/>
    <w:rsid w:val="005F5470"/>
    <w:rsid w:val="005F5A7D"/>
    <w:rsid w:val="005F646B"/>
    <w:rsid w:val="005F6A28"/>
    <w:rsid w:val="005F7855"/>
    <w:rsid w:val="00602855"/>
    <w:rsid w:val="00607E26"/>
    <w:rsid w:val="00613466"/>
    <w:rsid w:val="00614E04"/>
    <w:rsid w:val="00622C61"/>
    <w:rsid w:val="00624AEF"/>
    <w:rsid w:val="00624CC8"/>
    <w:rsid w:val="00631841"/>
    <w:rsid w:val="00632E92"/>
    <w:rsid w:val="00633D3B"/>
    <w:rsid w:val="00636C99"/>
    <w:rsid w:val="006451DD"/>
    <w:rsid w:val="0064690A"/>
    <w:rsid w:val="00651DE4"/>
    <w:rsid w:val="00656548"/>
    <w:rsid w:val="0065784B"/>
    <w:rsid w:val="00663CC7"/>
    <w:rsid w:val="0066755F"/>
    <w:rsid w:val="00671310"/>
    <w:rsid w:val="00671520"/>
    <w:rsid w:val="00672693"/>
    <w:rsid w:val="00672EEB"/>
    <w:rsid w:val="006736A0"/>
    <w:rsid w:val="00673FEA"/>
    <w:rsid w:val="006807AE"/>
    <w:rsid w:val="00681B17"/>
    <w:rsid w:val="00690115"/>
    <w:rsid w:val="00690ACA"/>
    <w:rsid w:val="006917AC"/>
    <w:rsid w:val="00693367"/>
    <w:rsid w:val="006A427C"/>
    <w:rsid w:val="006A47B5"/>
    <w:rsid w:val="006A6348"/>
    <w:rsid w:val="006B032F"/>
    <w:rsid w:val="006B05FE"/>
    <w:rsid w:val="006B1B05"/>
    <w:rsid w:val="006B23CB"/>
    <w:rsid w:val="006B3F85"/>
    <w:rsid w:val="006B4751"/>
    <w:rsid w:val="006B74A7"/>
    <w:rsid w:val="006C04D0"/>
    <w:rsid w:val="006C1E52"/>
    <w:rsid w:val="006C270E"/>
    <w:rsid w:val="006C28BA"/>
    <w:rsid w:val="006D03D9"/>
    <w:rsid w:val="006D0CD0"/>
    <w:rsid w:val="006D0D4E"/>
    <w:rsid w:val="006D2C28"/>
    <w:rsid w:val="006E3975"/>
    <w:rsid w:val="006E611A"/>
    <w:rsid w:val="006F0D65"/>
    <w:rsid w:val="006F5BB3"/>
    <w:rsid w:val="007128EB"/>
    <w:rsid w:val="00714E40"/>
    <w:rsid w:val="007253AB"/>
    <w:rsid w:val="00727202"/>
    <w:rsid w:val="007347E6"/>
    <w:rsid w:val="00737E8D"/>
    <w:rsid w:val="0074086C"/>
    <w:rsid w:val="00741B2F"/>
    <w:rsid w:val="007445F6"/>
    <w:rsid w:val="00744F65"/>
    <w:rsid w:val="00752DBE"/>
    <w:rsid w:val="00754984"/>
    <w:rsid w:val="00755976"/>
    <w:rsid w:val="0075772C"/>
    <w:rsid w:val="007652B9"/>
    <w:rsid w:val="00775C29"/>
    <w:rsid w:val="007774CE"/>
    <w:rsid w:val="0078119E"/>
    <w:rsid w:val="0078249A"/>
    <w:rsid w:val="00783763"/>
    <w:rsid w:val="0079390F"/>
    <w:rsid w:val="00795802"/>
    <w:rsid w:val="00796A51"/>
    <w:rsid w:val="00796A66"/>
    <w:rsid w:val="0079709F"/>
    <w:rsid w:val="00797B7C"/>
    <w:rsid w:val="00797CC6"/>
    <w:rsid w:val="00797CF4"/>
    <w:rsid w:val="007A0FD2"/>
    <w:rsid w:val="007A3FBA"/>
    <w:rsid w:val="007A45A6"/>
    <w:rsid w:val="007B05DE"/>
    <w:rsid w:val="007B3A83"/>
    <w:rsid w:val="007C1132"/>
    <w:rsid w:val="007C3DA0"/>
    <w:rsid w:val="007D19D0"/>
    <w:rsid w:val="007D37EF"/>
    <w:rsid w:val="007D7877"/>
    <w:rsid w:val="007D7E21"/>
    <w:rsid w:val="007E2DBC"/>
    <w:rsid w:val="007E3A22"/>
    <w:rsid w:val="007F2885"/>
    <w:rsid w:val="007F7160"/>
    <w:rsid w:val="008011DE"/>
    <w:rsid w:val="008018B4"/>
    <w:rsid w:val="00802B21"/>
    <w:rsid w:val="00803F00"/>
    <w:rsid w:val="00805F7B"/>
    <w:rsid w:val="00810F07"/>
    <w:rsid w:val="00811F37"/>
    <w:rsid w:val="008172E1"/>
    <w:rsid w:val="00824437"/>
    <w:rsid w:val="00825D8B"/>
    <w:rsid w:val="00826910"/>
    <w:rsid w:val="00831958"/>
    <w:rsid w:val="00835308"/>
    <w:rsid w:val="0085060F"/>
    <w:rsid w:val="008507D2"/>
    <w:rsid w:val="00856154"/>
    <w:rsid w:val="00857780"/>
    <w:rsid w:val="0086278F"/>
    <w:rsid w:val="0086279B"/>
    <w:rsid w:val="008703C7"/>
    <w:rsid w:val="00876FEA"/>
    <w:rsid w:val="0088018C"/>
    <w:rsid w:val="008831F7"/>
    <w:rsid w:val="0088497B"/>
    <w:rsid w:val="0089280A"/>
    <w:rsid w:val="00892963"/>
    <w:rsid w:val="0089559F"/>
    <w:rsid w:val="008A22E6"/>
    <w:rsid w:val="008A5546"/>
    <w:rsid w:val="008A6D78"/>
    <w:rsid w:val="008A70D2"/>
    <w:rsid w:val="008B0000"/>
    <w:rsid w:val="008B126E"/>
    <w:rsid w:val="008B248E"/>
    <w:rsid w:val="008B2F77"/>
    <w:rsid w:val="008C56CE"/>
    <w:rsid w:val="008D5402"/>
    <w:rsid w:val="008E0603"/>
    <w:rsid w:val="008E190D"/>
    <w:rsid w:val="008E36F9"/>
    <w:rsid w:val="008E4826"/>
    <w:rsid w:val="008F267C"/>
    <w:rsid w:val="008F2F35"/>
    <w:rsid w:val="008F54C0"/>
    <w:rsid w:val="008F69F1"/>
    <w:rsid w:val="00900143"/>
    <w:rsid w:val="009010CD"/>
    <w:rsid w:val="0090248F"/>
    <w:rsid w:val="0090753E"/>
    <w:rsid w:val="009120F0"/>
    <w:rsid w:val="0092254D"/>
    <w:rsid w:val="00922ED9"/>
    <w:rsid w:val="00923E58"/>
    <w:rsid w:val="009242BC"/>
    <w:rsid w:val="0093788A"/>
    <w:rsid w:val="009407F8"/>
    <w:rsid w:val="0094102A"/>
    <w:rsid w:val="0094340D"/>
    <w:rsid w:val="0094780E"/>
    <w:rsid w:val="00955F56"/>
    <w:rsid w:val="00957E0F"/>
    <w:rsid w:val="00974690"/>
    <w:rsid w:val="00974995"/>
    <w:rsid w:val="0097507B"/>
    <w:rsid w:val="0097565D"/>
    <w:rsid w:val="00975AB4"/>
    <w:rsid w:val="0098062E"/>
    <w:rsid w:val="00985880"/>
    <w:rsid w:val="00991107"/>
    <w:rsid w:val="009939FB"/>
    <w:rsid w:val="00993D2D"/>
    <w:rsid w:val="0099582D"/>
    <w:rsid w:val="00995B9A"/>
    <w:rsid w:val="009A0799"/>
    <w:rsid w:val="009A31B1"/>
    <w:rsid w:val="009A7CA5"/>
    <w:rsid w:val="009B0628"/>
    <w:rsid w:val="009B0B79"/>
    <w:rsid w:val="009B0E93"/>
    <w:rsid w:val="009B0E95"/>
    <w:rsid w:val="009B171B"/>
    <w:rsid w:val="009B2307"/>
    <w:rsid w:val="009B313B"/>
    <w:rsid w:val="009B4182"/>
    <w:rsid w:val="009C1BED"/>
    <w:rsid w:val="009C4744"/>
    <w:rsid w:val="009C657F"/>
    <w:rsid w:val="009C6AE8"/>
    <w:rsid w:val="009D0AA6"/>
    <w:rsid w:val="009D0B9F"/>
    <w:rsid w:val="009D77D0"/>
    <w:rsid w:val="009E583A"/>
    <w:rsid w:val="009F120F"/>
    <w:rsid w:val="009F1529"/>
    <w:rsid w:val="009F4E48"/>
    <w:rsid w:val="009F53EF"/>
    <w:rsid w:val="009F77B3"/>
    <w:rsid w:val="00A00300"/>
    <w:rsid w:val="00A103EE"/>
    <w:rsid w:val="00A10C6B"/>
    <w:rsid w:val="00A11AE1"/>
    <w:rsid w:val="00A121AC"/>
    <w:rsid w:val="00A13862"/>
    <w:rsid w:val="00A13D57"/>
    <w:rsid w:val="00A154A0"/>
    <w:rsid w:val="00A21E2A"/>
    <w:rsid w:val="00A23253"/>
    <w:rsid w:val="00A27563"/>
    <w:rsid w:val="00A34CCC"/>
    <w:rsid w:val="00A3707C"/>
    <w:rsid w:val="00A37E1E"/>
    <w:rsid w:val="00A43F2C"/>
    <w:rsid w:val="00A47707"/>
    <w:rsid w:val="00A515B8"/>
    <w:rsid w:val="00A515DA"/>
    <w:rsid w:val="00A52B94"/>
    <w:rsid w:val="00A5414B"/>
    <w:rsid w:val="00A56C97"/>
    <w:rsid w:val="00A71D9A"/>
    <w:rsid w:val="00A72180"/>
    <w:rsid w:val="00A81D94"/>
    <w:rsid w:val="00A84ECE"/>
    <w:rsid w:val="00A93FBF"/>
    <w:rsid w:val="00A95C23"/>
    <w:rsid w:val="00AA0EAB"/>
    <w:rsid w:val="00AA6BAD"/>
    <w:rsid w:val="00AA7AD9"/>
    <w:rsid w:val="00AB564D"/>
    <w:rsid w:val="00AC41E6"/>
    <w:rsid w:val="00AD3478"/>
    <w:rsid w:val="00AE4B70"/>
    <w:rsid w:val="00AE6360"/>
    <w:rsid w:val="00AE6EE7"/>
    <w:rsid w:val="00AE6EFF"/>
    <w:rsid w:val="00AF6E97"/>
    <w:rsid w:val="00B11D53"/>
    <w:rsid w:val="00B12AC0"/>
    <w:rsid w:val="00B15828"/>
    <w:rsid w:val="00B17FD0"/>
    <w:rsid w:val="00B21DF9"/>
    <w:rsid w:val="00B232F5"/>
    <w:rsid w:val="00B37381"/>
    <w:rsid w:val="00B44B15"/>
    <w:rsid w:val="00B464B5"/>
    <w:rsid w:val="00B46ACB"/>
    <w:rsid w:val="00B533B5"/>
    <w:rsid w:val="00B60141"/>
    <w:rsid w:val="00B6489E"/>
    <w:rsid w:val="00B67AA6"/>
    <w:rsid w:val="00B72117"/>
    <w:rsid w:val="00B72847"/>
    <w:rsid w:val="00B730BC"/>
    <w:rsid w:val="00B77C79"/>
    <w:rsid w:val="00B80F29"/>
    <w:rsid w:val="00B85349"/>
    <w:rsid w:val="00B907DF"/>
    <w:rsid w:val="00BA1E9D"/>
    <w:rsid w:val="00BA3420"/>
    <w:rsid w:val="00BA3CDA"/>
    <w:rsid w:val="00BA4F25"/>
    <w:rsid w:val="00BA6879"/>
    <w:rsid w:val="00BA6C9E"/>
    <w:rsid w:val="00BB688B"/>
    <w:rsid w:val="00BC302A"/>
    <w:rsid w:val="00BC757B"/>
    <w:rsid w:val="00BD2081"/>
    <w:rsid w:val="00BD29F5"/>
    <w:rsid w:val="00BD3E7A"/>
    <w:rsid w:val="00BD57CA"/>
    <w:rsid w:val="00BD64E7"/>
    <w:rsid w:val="00BE3140"/>
    <w:rsid w:val="00BF070E"/>
    <w:rsid w:val="00BF4D74"/>
    <w:rsid w:val="00BF6A63"/>
    <w:rsid w:val="00C015BE"/>
    <w:rsid w:val="00C020F9"/>
    <w:rsid w:val="00C029D0"/>
    <w:rsid w:val="00C030D6"/>
    <w:rsid w:val="00C07257"/>
    <w:rsid w:val="00C10AEC"/>
    <w:rsid w:val="00C131FB"/>
    <w:rsid w:val="00C143E7"/>
    <w:rsid w:val="00C15C4F"/>
    <w:rsid w:val="00C21981"/>
    <w:rsid w:val="00C21A56"/>
    <w:rsid w:val="00C225AF"/>
    <w:rsid w:val="00C322F3"/>
    <w:rsid w:val="00C431B1"/>
    <w:rsid w:val="00C44ACE"/>
    <w:rsid w:val="00C46232"/>
    <w:rsid w:val="00C47382"/>
    <w:rsid w:val="00C52001"/>
    <w:rsid w:val="00C539B0"/>
    <w:rsid w:val="00C56A29"/>
    <w:rsid w:val="00C5754C"/>
    <w:rsid w:val="00C57F32"/>
    <w:rsid w:val="00C674CE"/>
    <w:rsid w:val="00C70BBF"/>
    <w:rsid w:val="00C71A72"/>
    <w:rsid w:val="00C71EB8"/>
    <w:rsid w:val="00C74404"/>
    <w:rsid w:val="00C7469D"/>
    <w:rsid w:val="00C74C4E"/>
    <w:rsid w:val="00C85A35"/>
    <w:rsid w:val="00C86D20"/>
    <w:rsid w:val="00C9061D"/>
    <w:rsid w:val="00C92BCB"/>
    <w:rsid w:val="00C93019"/>
    <w:rsid w:val="00C9379C"/>
    <w:rsid w:val="00C93E09"/>
    <w:rsid w:val="00CA4D31"/>
    <w:rsid w:val="00CA5379"/>
    <w:rsid w:val="00CA5CFE"/>
    <w:rsid w:val="00CA7263"/>
    <w:rsid w:val="00CB193B"/>
    <w:rsid w:val="00CB345D"/>
    <w:rsid w:val="00CB3BA0"/>
    <w:rsid w:val="00CB5559"/>
    <w:rsid w:val="00CB6F19"/>
    <w:rsid w:val="00CB7FB3"/>
    <w:rsid w:val="00CC6E12"/>
    <w:rsid w:val="00CD0255"/>
    <w:rsid w:val="00CD3DC4"/>
    <w:rsid w:val="00CD572D"/>
    <w:rsid w:val="00CD7718"/>
    <w:rsid w:val="00CE114A"/>
    <w:rsid w:val="00CE1EB8"/>
    <w:rsid w:val="00CE680A"/>
    <w:rsid w:val="00CF3F86"/>
    <w:rsid w:val="00D018A1"/>
    <w:rsid w:val="00D073E4"/>
    <w:rsid w:val="00D12BD8"/>
    <w:rsid w:val="00D26158"/>
    <w:rsid w:val="00D30187"/>
    <w:rsid w:val="00D3460A"/>
    <w:rsid w:val="00D3556E"/>
    <w:rsid w:val="00D4430B"/>
    <w:rsid w:val="00D45E43"/>
    <w:rsid w:val="00D477BF"/>
    <w:rsid w:val="00D53A13"/>
    <w:rsid w:val="00D53C37"/>
    <w:rsid w:val="00D55459"/>
    <w:rsid w:val="00D571F1"/>
    <w:rsid w:val="00D6115A"/>
    <w:rsid w:val="00D6172B"/>
    <w:rsid w:val="00D71F7A"/>
    <w:rsid w:val="00D81085"/>
    <w:rsid w:val="00D819DC"/>
    <w:rsid w:val="00D92222"/>
    <w:rsid w:val="00DA6287"/>
    <w:rsid w:val="00DA6A24"/>
    <w:rsid w:val="00DB16AF"/>
    <w:rsid w:val="00DB7417"/>
    <w:rsid w:val="00DC5D47"/>
    <w:rsid w:val="00DC7479"/>
    <w:rsid w:val="00DD0EFC"/>
    <w:rsid w:val="00DD30C0"/>
    <w:rsid w:val="00DD6185"/>
    <w:rsid w:val="00DE04C2"/>
    <w:rsid w:val="00DE27AF"/>
    <w:rsid w:val="00DE28FC"/>
    <w:rsid w:val="00DE63B1"/>
    <w:rsid w:val="00DE6B79"/>
    <w:rsid w:val="00DF234E"/>
    <w:rsid w:val="00DF3E34"/>
    <w:rsid w:val="00DF46FA"/>
    <w:rsid w:val="00DF6A1F"/>
    <w:rsid w:val="00E01949"/>
    <w:rsid w:val="00E0557C"/>
    <w:rsid w:val="00E070AE"/>
    <w:rsid w:val="00E12F9E"/>
    <w:rsid w:val="00E1309C"/>
    <w:rsid w:val="00E259E7"/>
    <w:rsid w:val="00E26BFB"/>
    <w:rsid w:val="00E36B17"/>
    <w:rsid w:val="00E41D54"/>
    <w:rsid w:val="00E53F54"/>
    <w:rsid w:val="00E62CF7"/>
    <w:rsid w:val="00E65BEC"/>
    <w:rsid w:val="00E6676B"/>
    <w:rsid w:val="00E7024B"/>
    <w:rsid w:val="00E7041C"/>
    <w:rsid w:val="00E71A0B"/>
    <w:rsid w:val="00E8054E"/>
    <w:rsid w:val="00E84EED"/>
    <w:rsid w:val="00E85438"/>
    <w:rsid w:val="00E879C7"/>
    <w:rsid w:val="00E900F2"/>
    <w:rsid w:val="00E9118F"/>
    <w:rsid w:val="00E91FF7"/>
    <w:rsid w:val="00E95443"/>
    <w:rsid w:val="00EA1ABD"/>
    <w:rsid w:val="00EA26D9"/>
    <w:rsid w:val="00EA5CEC"/>
    <w:rsid w:val="00EB3E97"/>
    <w:rsid w:val="00EB7CFC"/>
    <w:rsid w:val="00EC0C3F"/>
    <w:rsid w:val="00EC309E"/>
    <w:rsid w:val="00ED345F"/>
    <w:rsid w:val="00EE0EC5"/>
    <w:rsid w:val="00EE43C4"/>
    <w:rsid w:val="00EF106A"/>
    <w:rsid w:val="00EF2EA4"/>
    <w:rsid w:val="00EF5213"/>
    <w:rsid w:val="00EF6844"/>
    <w:rsid w:val="00EF706A"/>
    <w:rsid w:val="00EF7E9E"/>
    <w:rsid w:val="00F0755D"/>
    <w:rsid w:val="00F07BFA"/>
    <w:rsid w:val="00F22818"/>
    <w:rsid w:val="00F27F5F"/>
    <w:rsid w:val="00F35467"/>
    <w:rsid w:val="00F35A11"/>
    <w:rsid w:val="00F4057A"/>
    <w:rsid w:val="00F408EE"/>
    <w:rsid w:val="00F41587"/>
    <w:rsid w:val="00F43AB0"/>
    <w:rsid w:val="00F558F1"/>
    <w:rsid w:val="00F56F99"/>
    <w:rsid w:val="00F6181E"/>
    <w:rsid w:val="00F668D9"/>
    <w:rsid w:val="00F73FF1"/>
    <w:rsid w:val="00F75DAE"/>
    <w:rsid w:val="00F76631"/>
    <w:rsid w:val="00F76782"/>
    <w:rsid w:val="00F85463"/>
    <w:rsid w:val="00F85D74"/>
    <w:rsid w:val="00F85ED4"/>
    <w:rsid w:val="00F85F90"/>
    <w:rsid w:val="00F871B2"/>
    <w:rsid w:val="00F90A26"/>
    <w:rsid w:val="00F947EB"/>
    <w:rsid w:val="00F9497C"/>
    <w:rsid w:val="00F95089"/>
    <w:rsid w:val="00F9570B"/>
    <w:rsid w:val="00FA2ACE"/>
    <w:rsid w:val="00FA3CB8"/>
    <w:rsid w:val="00FA6532"/>
    <w:rsid w:val="00FB1CCE"/>
    <w:rsid w:val="00FB209C"/>
    <w:rsid w:val="00FB246D"/>
    <w:rsid w:val="00FC3A11"/>
    <w:rsid w:val="00FD18C2"/>
    <w:rsid w:val="00FE06BA"/>
    <w:rsid w:val="00FE11AB"/>
    <w:rsid w:val="00FE73A8"/>
    <w:rsid w:val="00FF29CE"/>
    <w:rsid w:val="00FF3CCC"/>
    <w:rsid w:val="01174258"/>
    <w:rsid w:val="02C46BBB"/>
    <w:rsid w:val="035D3297"/>
    <w:rsid w:val="03802AE2"/>
    <w:rsid w:val="041328BF"/>
    <w:rsid w:val="04F80D9E"/>
    <w:rsid w:val="051F14C5"/>
    <w:rsid w:val="05E00BA1"/>
    <w:rsid w:val="06021262"/>
    <w:rsid w:val="07B611C8"/>
    <w:rsid w:val="096E7880"/>
    <w:rsid w:val="09AB2883"/>
    <w:rsid w:val="0A943317"/>
    <w:rsid w:val="0B860D60"/>
    <w:rsid w:val="0DF26CD2"/>
    <w:rsid w:val="0EF425D6"/>
    <w:rsid w:val="109D194D"/>
    <w:rsid w:val="10B1077E"/>
    <w:rsid w:val="11FE3E97"/>
    <w:rsid w:val="12D469A6"/>
    <w:rsid w:val="12E967E5"/>
    <w:rsid w:val="130F79DE"/>
    <w:rsid w:val="135B2C24"/>
    <w:rsid w:val="14686756"/>
    <w:rsid w:val="14F7697C"/>
    <w:rsid w:val="16461C74"/>
    <w:rsid w:val="17E551B2"/>
    <w:rsid w:val="18E92A80"/>
    <w:rsid w:val="19C00A2E"/>
    <w:rsid w:val="1ABF7F3C"/>
    <w:rsid w:val="1AC612CA"/>
    <w:rsid w:val="1C161DDD"/>
    <w:rsid w:val="1D13456F"/>
    <w:rsid w:val="1DC55230"/>
    <w:rsid w:val="1DE2251C"/>
    <w:rsid w:val="1E0839A8"/>
    <w:rsid w:val="1E5872AA"/>
    <w:rsid w:val="1F120F82"/>
    <w:rsid w:val="1FD75D28"/>
    <w:rsid w:val="20C13626"/>
    <w:rsid w:val="216D40E2"/>
    <w:rsid w:val="2192600B"/>
    <w:rsid w:val="21DB6CBA"/>
    <w:rsid w:val="227351F1"/>
    <w:rsid w:val="232F19D7"/>
    <w:rsid w:val="23905F1A"/>
    <w:rsid w:val="240E783E"/>
    <w:rsid w:val="24861ACA"/>
    <w:rsid w:val="24BD373E"/>
    <w:rsid w:val="252754F4"/>
    <w:rsid w:val="264B6B28"/>
    <w:rsid w:val="26562782"/>
    <w:rsid w:val="26B741BD"/>
    <w:rsid w:val="26B75F6B"/>
    <w:rsid w:val="2757380A"/>
    <w:rsid w:val="281D14AF"/>
    <w:rsid w:val="2936586D"/>
    <w:rsid w:val="29927BCD"/>
    <w:rsid w:val="2A6401B8"/>
    <w:rsid w:val="2C4B0647"/>
    <w:rsid w:val="2D3740B8"/>
    <w:rsid w:val="2DFF6C70"/>
    <w:rsid w:val="2FDDB4CA"/>
    <w:rsid w:val="3029612C"/>
    <w:rsid w:val="32CC21DE"/>
    <w:rsid w:val="33A44B81"/>
    <w:rsid w:val="349F4E07"/>
    <w:rsid w:val="34A65D66"/>
    <w:rsid w:val="362178A5"/>
    <w:rsid w:val="37184804"/>
    <w:rsid w:val="38D40BFF"/>
    <w:rsid w:val="38F1355F"/>
    <w:rsid w:val="39242C23"/>
    <w:rsid w:val="39986987"/>
    <w:rsid w:val="3DE90CA8"/>
    <w:rsid w:val="400B75FC"/>
    <w:rsid w:val="4162149D"/>
    <w:rsid w:val="43975CAE"/>
    <w:rsid w:val="43BF1C43"/>
    <w:rsid w:val="46080139"/>
    <w:rsid w:val="461D133B"/>
    <w:rsid w:val="47CD16D9"/>
    <w:rsid w:val="493E75A6"/>
    <w:rsid w:val="49B93101"/>
    <w:rsid w:val="4A7C0885"/>
    <w:rsid w:val="4B5160DF"/>
    <w:rsid w:val="4BD15B75"/>
    <w:rsid w:val="4C371922"/>
    <w:rsid w:val="4CC931AC"/>
    <w:rsid w:val="4EB50394"/>
    <w:rsid w:val="4FF70A94"/>
    <w:rsid w:val="50521DF5"/>
    <w:rsid w:val="516B231F"/>
    <w:rsid w:val="532E2993"/>
    <w:rsid w:val="54D538DD"/>
    <w:rsid w:val="5587107B"/>
    <w:rsid w:val="55FC72E7"/>
    <w:rsid w:val="560B333C"/>
    <w:rsid w:val="56727B8D"/>
    <w:rsid w:val="57AEA91C"/>
    <w:rsid w:val="57DB3900"/>
    <w:rsid w:val="581D7A74"/>
    <w:rsid w:val="5B5A1EFD"/>
    <w:rsid w:val="5E082F75"/>
    <w:rsid w:val="5EAF7A8C"/>
    <w:rsid w:val="5F225970"/>
    <w:rsid w:val="5F78609B"/>
    <w:rsid w:val="61096DE8"/>
    <w:rsid w:val="620A1069"/>
    <w:rsid w:val="624C1682"/>
    <w:rsid w:val="62A82630"/>
    <w:rsid w:val="637F15E3"/>
    <w:rsid w:val="66C765C7"/>
    <w:rsid w:val="672229B1"/>
    <w:rsid w:val="691E189E"/>
    <w:rsid w:val="691E364C"/>
    <w:rsid w:val="693211FE"/>
    <w:rsid w:val="693215B7"/>
    <w:rsid w:val="69562DE6"/>
    <w:rsid w:val="69844E89"/>
    <w:rsid w:val="6B0C4618"/>
    <w:rsid w:val="6B196166"/>
    <w:rsid w:val="6C394340"/>
    <w:rsid w:val="6C5C5ED6"/>
    <w:rsid w:val="6E040D38"/>
    <w:rsid w:val="6E7F06E9"/>
    <w:rsid w:val="6F435BBB"/>
    <w:rsid w:val="6F7721CE"/>
    <w:rsid w:val="71900E5F"/>
    <w:rsid w:val="71EF3DD8"/>
    <w:rsid w:val="72FA8BF7"/>
    <w:rsid w:val="74105943"/>
    <w:rsid w:val="745B7503"/>
    <w:rsid w:val="75842A89"/>
    <w:rsid w:val="762A3631"/>
    <w:rsid w:val="77711BCC"/>
    <w:rsid w:val="77881AC6"/>
    <w:rsid w:val="7866291A"/>
    <w:rsid w:val="790C1CF6"/>
    <w:rsid w:val="7A252A8D"/>
    <w:rsid w:val="7ADDDFD6"/>
    <w:rsid w:val="7BA72548"/>
    <w:rsid w:val="7CF9199B"/>
    <w:rsid w:val="7D9F63A5"/>
    <w:rsid w:val="7DB87774"/>
    <w:rsid w:val="7E1E7F1F"/>
    <w:rsid w:val="7EDD3874"/>
    <w:rsid w:val="7EFDE54D"/>
    <w:rsid w:val="7F9D4E73"/>
    <w:rsid w:val="B6BBF2F7"/>
    <w:rsid w:val="CEEFA759"/>
    <w:rsid w:val="E9B73925"/>
    <w:rsid w:val="EF7BB640"/>
    <w:rsid w:val="FCF7DD44"/>
    <w:rsid w:val="FF7FF87F"/>
    <w:rsid w:val="FFE1BF23"/>
    <w:rsid w:val="FFFFBD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Times New Roman" w:eastAsia="仿宋_GB2312" w:cstheme="minorBidi"/>
      <w:kern w:val="2"/>
      <w:sz w:val="32"/>
      <w:szCs w:val="22"/>
      <w:lang w:val="en-US" w:eastAsia="zh-CN" w:bidi="ar-SA"/>
    </w:rPr>
  </w:style>
  <w:style w:type="paragraph" w:styleId="4">
    <w:name w:val="heading 1"/>
    <w:basedOn w:val="1"/>
    <w:next w:val="1"/>
    <w:link w:val="24"/>
    <w:autoRedefine/>
    <w:qFormat/>
    <w:uiPriority w:val="9"/>
    <w:pPr>
      <w:keepNext/>
      <w:keepLines/>
      <w:spacing w:before="240" w:after="240"/>
      <w:ind w:firstLine="0" w:firstLineChars="0"/>
      <w:jc w:val="center"/>
      <w:outlineLvl w:val="0"/>
    </w:pPr>
    <w:rPr>
      <w:rFonts w:eastAsia="方正小标宋简体"/>
      <w:bCs/>
      <w:kern w:val="44"/>
      <w:sz w:val="44"/>
      <w:szCs w:val="44"/>
    </w:rPr>
  </w:style>
  <w:style w:type="paragraph" w:styleId="5">
    <w:name w:val="heading 2"/>
    <w:basedOn w:val="1"/>
    <w:next w:val="1"/>
    <w:link w:val="25"/>
    <w:unhideWhenUsed/>
    <w:qFormat/>
    <w:uiPriority w:val="9"/>
    <w:pPr>
      <w:keepNext/>
      <w:keepLines/>
      <w:outlineLvl w:val="1"/>
    </w:pPr>
    <w:rPr>
      <w:rFonts w:eastAsia="黑体" w:cstheme="majorBidi"/>
      <w:bCs/>
      <w:szCs w:val="32"/>
    </w:rPr>
  </w:style>
  <w:style w:type="paragraph" w:styleId="6">
    <w:name w:val="heading 3"/>
    <w:basedOn w:val="1"/>
    <w:next w:val="1"/>
    <w:link w:val="26"/>
    <w:unhideWhenUsed/>
    <w:qFormat/>
    <w:uiPriority w:val="9"/>
    <w:pPr>
      <w:outlineLvl w:val="2"/>
    </w:pPr>
    <w:rPr>
      <w:rFonts w:eastAsia="楷体_GB2312"/>
      <w:szCs w:val="32"/>
    </w:rPr>
  </w:style>
  <w:style w:type="paragraph" w:styleId="7">
    <w:name w:val="heading 4"/>
    <w:basedOn w:val="1"/>
    <w:next w:val="1"/>
    <w:link w:val="27"/>
    <w:unhideWhenUsed/>
    <w:qFormat/>
    <w:uiPriority w:val="9"/>
    <w:pPr>
      <w:keepNext/>
      <w:keepLines/>
      <w:outlineLvl w:val="3"/>
    </w:pPr>
    <w:rPr>
      <w:rFonts w:cstheme="majorBidi"/>
      <w:b/>
      <w:bCs/>
      <w:szCs w:val="28"/>
    </w:rPr>
  </w:style>
  <w:style w:type="paragraph" w:styleId="8">
    <w:name w:val="heading 6"/>
    <w:basedOn w:val="1"/>
    <w:next w:val="1"/>
    <w:link w:val="52"/>
    <w:semiHidden/>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CESI仿宋-GB2312" w:cs="Arial Unicode MS"/>
      <w:color w:val="000000"/>
      <w:szCs w:val="21"/>
    </w:rPr>
  </w:style>
  <w:style w:type="paragraph" w:styleId="3">
    <w:name w:val="Body Text Indent"/>
    <w:basedOn w:val="1"/>
    <w:qFormat/>
    <w:uiPriority w:val="0"/>
    <w:pPr>
      <w:spacing w:after="120"/>
      <w:ind w:left="420" w:leftChars="200"/>
    </w:pPr>
  </w:style>
  <w:style w:type="paragraph" w:styleId="9">
    <w:name w:val="caption"/>
    <w:basedOn w:val="1"/>
    <w:next w:val="1"/>
    <w:link w:val="46"/>
    <w:autoRedefine/>
    <w:unhideWhenUsed/>
    <w:qFormat/>
    <w:uiPriority w:val="35"/>
    <w:pPr>
      <w:widowControl/>
      <w:spacing w:line="240" w:lineRule="auto"/>
      <w:ind w:firstLine="0" w:firstLineChars="0"/>
    </w:pPr>
    <w:rPr>
      <w:rFonts w:eastAsia="宋体" w:asciiTheme="minorHAnsi" w:hAnsiTheme="minorHAnsi"/>
      <w:bCs/>
      <w:color w:val="000000" w:themeColor="text1"/>
      <w:kern w:val="0"/>
      <w:sz w:val="21"/>
      <w:szCs w:val="16"/>
      <w:lang w:eastAsia="en-US" w:bidi="en-US"/>
      <w14:textFill>
        <w14:solidFill>
          <w14:schemeClr w14:val="tx1"/>
        </w14:solidFill>
      </w14:textFill>
    </w:rPr>
  </w:style>
  <w:style w:type="paragraph" w:styleId="10">
    <w:name w:val="annotation text"/>
    <w:basedOn w:val="1"/>
    <w:link w:val="50"/>
    <w:autoRedefine/>
    <w:semiHidden/>
    <w:unhideWhenUsed/>
    <w:qFormat/>
    <w:uiPriority w:val="99"/>
    <w:pPr>
      <w:jc w:val="left"/>
    </w:pPr>
  </w:style>
  <w:style w:type="paragraph" w:styleId="11">
    <w:name w:val="Plain Text"/>
    <w:basedOn w:val="1"/>
    <w:link w:val="37"/>
    <w:autoRedefine/>
    <w:unhideWhenUsed/>
    <w:qFormat/>
    <w:uiPriority w:val="99"/>
    <w:pPr>
      <w:spacing w:line="240" w:lineRule="auto"/>
      <w:ind w:firstLine="0" w:firstLineChars="0"/>
    </w:pPr>
    <w:rPr>
      <w:rFonts w:ascii="宋体" w:hAnsi="Courier New" w:eastAsia="宋体" w:cs="文星简大标宋"/>
      <w:sz w:val="21"/>
      <w:szCs w:val="21"/>
    </w:rPr>
  </w:style>
  <w:style w:type="paragraph" w:styleId="12">
    <w:name w:val="Date"/>
    <w:basedOn w:val="1"/>
    <w:next w:val="1"/>
    <w:link w:val="51"/>
    <w:autoRedefine/>
    <w:semiHidden/>
    <w:unhideWhenUsed/>
    <w:qFormat/>
    <w:uiPriority w:val="99"/>
    <w:pPr>
      <w:ind w:left="100" w:leftChars="2500"/>
    </w:pPr>
  </w:style>
  <w:style w:type="paragraph" w:styleId="13">
    <w:name w:val="footer"/>
    <w:basedOn w:val="1"/>
    <w:link w:val="28"/>
    <w:autoRedefine/>
    <w:unhideWhenUsed/>
    <w:qFormat/>
    <w:uiPriority w:val="99"/>
    <w:pPr>
      <w:tabs>
        <w:tab w:val="center" w:pos="4153"/>
        <w:tab w:val="right" w:pos="8306"/>
      </w:tabs>
      <w:snapToGrid w:val="0"/>
      <w:spacing w:line="240" w:lineRule="atLeast"/>
      <w:jc w:val="left"/>
    </w:pPr>
    <w:rPr>
      <w:sz w:val="18"/>
      <w:szCs w:val="18"/>
    </w:rPr>
  </w:style>
  <w:style w:type="paragraph" w:styleId="14">
    <w:name w:val="footnote text"/>
    <w:basedOn w:val="1"/>
    <w:link w:val="47"/>
    <w:autoRedefine/>
    <w:semiHidden/>
    <w:unhideWhenUsed/>
    <w:qFormat/>
    <w:uiPriority w:val="99"/>
    <w:pPr>
      <w:adjustRightInd w:val="0"/>
      <w:snapToGrid w:val="0"/>
      <w:spacing w:line="500" w:lineRule="exact"/>
      <w:ind w:firstLine="480"/>
      <w:jc w:val="left"/>
    </w:pPr>
    <w:rPr>
      <w:rFonts w:eastAsia="宋体"/>
      <w:sz w:val="18"/>
      <w:szCs w:val="18"/>
    </w:rPr>
  </w:style>
  <w:style w:type="paragraph" w:styleId="15">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Emphasis"/>
    <w:basedOn w:val="18"/>
    <w:autoRedefine/>
    <w:qFormat/>
    <w:uiPriority w:val="20"/>
    <w:rPr>
      <w:i/>
      <w:iCs/>
    </w:rPr>
  </w:style>
  <w:style w:type="character" w:styleId="21">
    <w:name w:val="Hyperlink"/>
    <w:basedOn w:val="18"/>
    <w:autoRedefine/>
    <w:semiHidden/>
    <w:unhideWhenUsed/>
    <w:qFormat/>
    <w:uiPriority w:val="99"/>
    <w:rPr>
      <w:color w:val="0000FF"/>
      <w:u w:val="single"/>
    </w:rPr>
  </w:style>
  <w:style w:type="character" w:styleId="22">
    <w:name w:val="annotation reference"/>
    <w:basedOn w:val="18"/>
    <w:autoRedefine/>
    <w:semiHidden/>
    <w:unhideWhenUsed/>
    <w:qFormat/>
    <w:uiPriority w:val="99"/>
    <w:rPr>
      <w:sz w:val="21"/>
      <w:szCs w:val="21"/>
    </w:rPr>
  </w:style>
  <w:style w:type="character" w:styleId="23">
    <w:name w:val="footnote reference"/>
    <w:basedOn w:val="18"/>
    <w:autoRedefine/>
    <w:semiHidden/>
    <w:unhideWhenUsed/>
    <w:qFormat/>
    <w:uiPriority w:val="99"/>
    <w:rPr>
      <w:vertAlign w:val="superscript"/>
    </w:rPr>
  </w:style>
  <w:style w:type="character" w:customStyle="1" w:styleId="24">
    <w:name w:val="标题 1 字符"/>
    <w:basedOn w:val="18"/>
    <w:link w:val="4"/>
    <w:autoRedefine/>
    <w:qFormat/>
    <w:uiPriority w:val="9"/>
    <w:rPr>
      <w:rFonts w:ascii="Times New Roman" w:hAnsi="Times New Roman" w:eastAsia="方正小标宋简体"/>
      <w:bCs/>
      <w:kern w:val="44"/>
      <w:sz w:val="44"/>
      <w:szCs w:val="44"/>
    </w:rPr>
  </w:style>
  <w:style w:type="character" w:customStyle="1" w:styleId="25">
    <w:name w:val="标题 2 字符"/>
    <w:basedOn w:val="18"/>
    <w:link w:val="5"/>
    <w:autoRedefine/>
    <w:qFormat/>
    <w:uiPriority w:val="9"/>
    <w:rPr>
      <w:rFonts w:ascii="Times New Roman" w:hAnsi="Times New Roman" w:eastAsia="黑体" w:cstheme="majorBidi"/>
      <w:bCs/>
      <w:sz w:val="32"/>
      <w:szCs w:val="32"/>
    </w:rPr>
  </w:style>
  <w:style w:type="character" w:customStyle="1" w:styleId="26">
    <w:name w:val="标题 3 字符"/>
    <w:link w:val="6"/>
    <w:autoRedefine/>
    <w:qFormat/>
    <w:uiPriority w:val="9"/>
    <w:rPr>
      <w:rFonts w:ascii="仿宋_GB2312" w:hAnsi="Times New Roman" w:eastAsia="楷体_GB2312"/>
      <w:kern w:val="2"/>
      <w:sz w:val="32"/>
      <w:szCs w:val="32"/>
    </w:rPr>
  </w:style>
  <w:style w:type="character" w:customStyle="1" w:styleId="27">
    <w:name w:val="标题 4 字符"/>
    <w:basedOn w:val="18"/>
    <w:link w:val="7"/>
    <w:autoRedefine/>
    <w:qFormat/>
    <w:uiPriority w:val="9"/>
    <w:rPr>
      <w:rFonts w:ascii="Times New Roman" w:hAnsi="Times New Roman" w:eastAsia="仿宋_GB2312" w:cstheme="majorBidi"/>
      <w:b/>
      <w:bCs/>
      <w:sz w:val="32"/>
      <w:szCs w:val="28"/>
    </w:rPr>
  </w:style>
  <w:style w:type="character" w:customStyle="1" w:styleId="28">
    <w:name w:val="页脚 字符"/>
    <w:basedOn w:val="18"/>
    <w:link w:val="13"/>
    <w:autoRedefine/>
    <w:qFormat/>
    <w:uiPriority w:val="99"/>
    <w:rPr>
      <w:rFonts w:ascii="Times New Roman" w:hAnsi="Times New Roman" w:eastAsia="仿宋_GB2312"/>
      <w:sz w:val="18"/>
      <w:szCs w:val="18"/>
    </w:rPr>
  </w:style>
  <w:style w:type="character" w:customStyle="1" w:styleId="29">
    <w:name w:val="yanse"/>
    <w:basedOn w:val="18"/>
    <w:autoRedefine/>
    <w:qFormat/>
    <w:uiPriority w:val="0"/>
  </w:style>
  <w:style w:type="character" w:customStyle="1" w:styleId="30">
    <w:name w:val="whspan"/>
    <w:basedOn w:val="18"/>
    <w:autoRedefine/>
    <w:qFormat/>
    <w:uiPriority w:val="0"/>
  </w:style>
  <w:style w:type="paragraph" w:customStyle="1" w:styleId="31">
    <w:name w:val="article-subtitle"/>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2">
    <w:name w:val="zh"/>
    <w:basedOn w:val="18"/>
    <w:autoRedefine/>
    <w:qFormat/>
    <w:uiPriority w:val="0"/>
  </w:style>
  <w:style w:type="character" w:customStyle="1" w:styleId="33">
    <w:name w:val="small-span"/>
    <w:basedOn w:val="18"/>
    <w:autoRedefine/>
    <w:qFormat/>
    <w:uiPriority w:val="0"/>
  </w:style>
  <w:style w:type="character" w:customStyle="1" w:styleId="34">
    <w:name w:val="middle-span"/>
    <w:basedOn w:val="18"/>
    <w:autoRedefine/>
    <w:qFormat/>
    <w:uiPriority w:val="0"/>
  </w:style>
  <w:style w:type="character" w:customStyle="1" w:styleId="35">
    <w:name w:val="large-span"/>
    <w:basedOn w:val="18"/>
    <w:autoRedefine/>
    <w:qFormat/>
    <w:uiPriority w:val="0"/>
  </w:style>
  <w:style w:type="character" w:customStyle="1" w:styleId="36">
    <w:name w:val="print-span"/>
    <w:basedOn w:val="18"/>
    <w:autoRedefine/>
    <w:qFormat/>
    <w:uiPriority w:val="0"/>
  </w:style>
  <w:style w:type="character" w:customStyle="1" w:styleId="37">
    <w:name w:val="纯文本 字符"/>
    <w:basedOn w:val="18"/>
    <w:link w:val="11"/>
    <w:autoRedefine/>
    <w:qFormat/>
    <w:uiPriority w:val="99"/>
    <w:rPr>
      <w:rFonts w:ascii="宋体" w:hAnsi="Courier New" w:eastAsia="宋体" w:cs="文星简大标宋"/>
      <w:szCs w:val="21"/>
    </w:rPr>
  </w:style>
  <w:style w:type="character" w:customStyle="1" w:styleId="38">
    <w:name w:val="rich_media_meta"/>
    <w:basedOn w:val="18"/>
    <w:autoRedefine/>
    <w:qFormat/>
    <w:uiPriority w:val="0"/>
  </w:style>
  <w:style w:type="character" w:customStyle="1" w:styleId="39">
    <w:name w:val="font"/>
    <w:basedOn w:val="18"/>
    <w:autoRedefine/>
    <w:qFormat/>
    <w:uiPriority w:val="0"/>
  </w:style>
  <w:style w:type="character" w:customStyle="1" w:styleId="40">
    <w:name w:val="bigger"/>
    <w:basedOn w:val="18"/>
    <w:autoRedefine/>
    <w:qFormat/>
    <w:uiPriority w:val="0"/>
  </w:style>
  <w:style w:type="character" w:customStyle="1" w:styleId="41">
    <w:name w:val="medium"/>
    <w:basedOn w:val="18"/>
    <w:autoRedefine/>
    <w:qFormat/>
    <w:uiPriority w:val="0"/>
  </w:style>
  <w:style w:type="character" w:customStyle="1" w:styleId="42">
    <w:name w:val="smaller"/>
    <w:basedOn w:val="18"/>
    <w:autoRedefine/>
    <w:qFormat/>
    <w:uiPriority w:val="0"/>
  </w:style>
  <w:style w:type="character" w:customStyle="1" w:styleId="43">
    <w:name w:val="gwds_more"/>
    <w:basedOn w:val="18"/>
    <w:autoRedefine/>
    <w:qFormat/>
    <w:uiPriority w:val="0"/>
  </w:style>
  <w:style w:type="paragraph" w:styleId="44">
    <w:name w:val="List Paragraph"/>
    <w:basedOn w:val="1"/>
    <w:autoRedefine/>
    <w:qFormat/>
    <w:uiPriority w:val="34"/>
    <w:pPr>
      <w:ind w:firstLine="420"/>
    </w:pPr>
  </w:style>
  <w:style w:type="character" w:customStyle="1" w:styleId="45">
    <w:name w:val="fontstyle01"/>
    <w:basedOn w:val="18"/>
    <w:autoRedefine/>
    <w:qFormat/>
    <w:uiPriority w:val="0"/>
    <w:rPr>
      <w:rFonts w:hint="eastAsia" w:ascii="仿宋_GB2312" w:eastAsia="仿宋_GB2312"/>
      <w:color w:val="000000"/>
      <w:sz w:val="32"/>
      <w:szCs w:val="32"/>
    </w:rPr>
  </w:style>
  <w:style w:type="character" w:customStyle="1" w:styleId="46">
    <w:name w:val="题注 字符"/>
    <w:basedOn w:val="18"/>
    <w:link w:val="9"/>
    <w:autoRedefine/>
    <w:qFormat/>
    <w:uiPriority w:val="35"/>
    <w:rPr>
      <w:rFonts w:eastAsia="宋体"/>
      <w:bCs/>
      <w:color w:val="000000" w:themeColor="text1"/>
      <w:kern w:val="0"/>
      <w:szCs w:val="16"/>
      <w:lang w:eastAsia="en-US" w:bidi="en-US"/>
      <w14:textFill>
        <w14:solidFill>
          <w14:schemeClr w14:val="tx1"/>
        </w14:solidFill>
      </w14:textFill>
    </w:rPr>
  </w:style>
  <w:style w:type="character" w:customStyle="1" w:styleId="47">
    <w:name w:val="脚注文本 字符"/>
    <w:basedOn w:val="18"/>
    <w:link w:val="14"/>
    <w:autoRedefine/>
    <w:semiHidden/>
    <w:qFormat/>
    <w:uiPriority w:val="99"/>
    <w:rPr>
      <w:rFonts w:ascii="Times New Roman" w:hAnsi="Times New Roman" w:eastAsia="宋体"/>
      <w:sz w:val="18"/>
      <w:szCs w:val="18"/>
    </w:rPr>
  </w:style>
  <w:style w:type="paragraph" w:customStyle="1" w:styleId="48">
    <w:name w:val="Default"/>
    <w:autoRedefine/>
    <w:qFormat/>
    <w:uiPriority w:val="0"/>
    <w:pPr>
      <w:widowControl w:val="0"/>
      <w:autoSpaceDE w:val="0"/>
      <w:autoSpaceDN w:val="0"/>
      <w:adjustRightInd w:val="0"/>
    </w:pPr>
    <w:rPr>
      <w:rFonts w:ascii="华文新魏" w:eastAsia="华文新魏" w:cs="华文新魏" w:hAnsiTheme="minorHAnsi"/>
      <w:color w:val="000000"/>
      <w:sz w:val="24"/>
      <w:szCs w:val="24"/>
      <w:lang w:val="en-US" w:eastAsia="zh-CN" w:bidi="ar-SA"/>
    </w:rPr>
  </w:style>
  <w:style w:type="paragraph" w:customStyle="1" w:styleId="49">
    <w:name w:val="列表段落1"/>
    <w:basedOn w:val="1"/>
    <w:autoRedefine/>
    <w:qFormat/>
    <w:uiPriority w:val="0"/>
    <w:pPr>
      <w:adjustRightInd w:val="0"/>
      <w:snapToGrid w:val="0"/>
      <w:spacing w:line="360" w:lineRule="auto"/>
      <w:ind w:firstLine="420"/>
    </w:pPr>
    <w:rPr>
      <w:rFonts w:ascii="Calibri" w:hAnsi="Calibri" w:cs="Calibri"/>
      <w:szCs w:val="32"/>
    </w:rPr>
  </w:style>
  <w:style w:type="character" w:customStyle="1" w:styleId="50">
    <w:name w:val="批注文字 字符"/>
    <w:basedOn w:val="18"/>
    <w:link w:val="10"/>
    <w:autoRedefine/>
    <w:semiHidden/>
    <w:qFormat/>
    <w:uiPriority w:val="99"/>
    <w:rPr>
      <w:rFonts w:ascii="Times New Roman" w:hAnsi="Times New Roman" w:eastAsia="仿宋_GB2312"/>
      <w:sz w:val="32"/>
    </w:rPr>
  </w:style>
  <w:style w:type="character" w:customStyle="1" w:styleId="51">
    <w:name w:val="日期 字符"/>
    <w:basedOn w:val="18"/>
    <w:link w:val="12"/>
    <w:autoRedefine/>
    <w:semiHidden/>
    <w:qFormat/>
    <w:uiPriority w:val="99"/>
    <w:rPr>
      <w:rFonts w:ascii="Times New Roman" w:hAnsi="Times New Roman" w:eastAsia="仿宋_GB2312"/>
      <w:sz w:val="32"/>
    </w:rPr>
  </w:style>
  <w:style w:type="character" w:customStyle="1" w:styleId="52">
    <w:name w:val="标题 6 字符"/>
    <w:basedOn w:val="18"/>
    <w:link w:val="8"/>
    <w:autoRedefine/>
    <w:semiHidden/>
    <w:qFormat/>
    <w:uiPriority w:val="9"/>
    <w:rPr>
      <w:rFonts w:asciiTheme="majorHAnsi" w:hAnsiTheme="majorHAnsi" w:eastAsiaTheme="majorEastAsia" w:cstheme="majorBidi"/>
      <w:b/>
      <w:bCs/>
      <w:sz w:val="24"/>
      <w:szCs w:val="24"/>
    </w:rPr>
  </w:style>
  <w:style w:type="paragraph" w:customStyle="1" w:styleId="53">
    <w:name w:val="修订1"/>
    <w:autoRedefine/>
    <w:hidden/>
    <w:unhideWhenUsed/>
    <w:qFormat/>
    <w:uiPriority w:val="99"/>
    <w:rPr>
      <w:rFonts w:ascii="仿宋_GB2312" w:hAnsi="Times New Roman" w:eastAsia="仿宋_GB2312" w:cstheme="minorBidi"/>
      <w:kern w:val="2"/>
      <w:sz w:val="32"/>
      <w:szCs w:val="22"/>
      <w:lang w:val="en-US" w:eastAsia="zh-CN" w:bidi="ar-SA"/>
    </w:rPr>
  </w:style>
  <w:style w:type="character" w:customStyle="1" w:styleId="54">
    <w:name w:val="fontstyle31"/>
    <w:autoRedefine/>
    <w:qFormat/>
    <w:uiPriority w:val="0"/>
    <w:rPr>
      <w:rFonts w:hint="eastAsia" w:ascii="楷体_GB2312" w:eastAsia="楷体_GB2312"/>
      <w:color w:val="000000"/>
      <w:sz w:val="32"/>
      <w:szCs w:val="32"/>
    </w:rPr>
  </w:style>
  <w:style w:type="paragraph" w:customStyle="1" w:styleId="55">
    <w:name w:val="Revision"/>
    <w:autoRedefine/>
    <w:hidden/>
    <w:semiHidden/>
    <w:qFormat/>
    <w:uiPriority w:val="99"/>
    <w:rPr>
      <w:rFonts w:ascii="仿宋_GB2312"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4954</Words>
  <Characters>5124</Characters>
  <Lines>36</Lines>
  <Paragraphs>10</Paragraphs>
  <TotalTime>5</TotalTime>
  <ScaleCrop>false</ScaleCrop>
  <LinksUpToDate>false</LinksUpToDate>
  <CharactersWithSpaces>5125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2024-07-19T14:00:00Z</dcterms:created>
  <dc:creator>GUO</dc:creator>
  <cp:lastModifiedBy>可扬</cp:lastModifiedBy>
  <cp:lastPrinted>2022-11-12T16:04:00Z</cp:lastPrinted>
  <dcterms:modified xsi:type="dcterms:W3CDTF">2024-08-14T08:39:30Z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29A353966E804FFD806B475670C149CE_13</vt:lpwstr>
  </property>
</Properties>
</file>