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5F344">
      <w:pPr>
        <w:snapToGrid w:val="0"/>
        <w:spacing w:after="0" w:line="336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附件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 w14:paraId="55693A1D">
      <w:pPr>
        <w:snapToGrid w:val="0"/>
        <w:spacing w:after="0" w:line="336" w:lineRule="auto"/>
        <w:jc w:val="center"/>
        <w:rPr>
          <w:rFonts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bCs/>
          <w:sz w:val="44"/>
          <w:szCs w:val="44"/>
        </w:rPr>
        <w:t>論文格式</w:t>
      </w:r>
    </w:p>
    <w:p w14:paraId="1806630C">
      <w:pPr>
        <w:snapToGrid w:val="0"/>
        <w:spacing w:after="0" w:line="336" w:lineRule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一、</w:t>
      </w:r>
      <w:r>
        <w:rPr>
          <w:rFonts w:hint="eastAsia" w:cs="宋体" w:asciiTheme="minorEastAsia" w:hAnsiTheme="minorEastAsia" w:eastAsiaTheme="minorEastAsia"/>
          <w:sz w:val="32"/>
          <w:szCs w:val="32"/>
          <w:u w:val="single"/>
        </w:rPr>
        <w:t>論文名稱</w:t>
      </w:r>
    </w:p>
    <w:p w14:paraId="5D68A16C">
      <w:pPr>
        <w:snapToGrid w:val="0"/>
        <w:spacing w:after="0" w:line="336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置於論文首頁，以</w:t>
      </w:r>
      <w:r>
        <w:rPr>
          <w:rFonts w:asciiTheme="minorEastAsia" w:hAnsiTheme="minorEastAsia" w:eastAsiaTheme="minorEastAsia"/>
          <w:sz w:val="32"/>
          <w:szCs w:val="32"/>
        </w:rPr>
        <w:t>14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點新細明體粗體呈現。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 w14:paraId="3D413790">
      <w:pPr>
        <w:snapToGrid w:val="0"/>
        <w:spacing w:after="0" w:line="336" w:lineRule="auto"/>
        <w:rPr>
          <w:rFonts w:hint="eastAsia" w:cs="宋体"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二、</w:t>
      </w:r>
      <w:r>
        <w:rPr>
          <w:rFonts w:hint="eastAsia" w:cs="宋体" w:asciiTheme="minorEastAsia" w:hAnsiTheme="minorEastAsia" w:eastAsiaTheme="minorEastAsia"/>
          <w:sz w:val="32"/>
          <w:szCs w:val="32"/>
          <w:u w:val="single"/>
        </w:rPr>
        <w:t>作者</w:t>
      </w:r>
    </w:p>
    <w:p w14:paraId="005C912E">
      <w:pPr>
        <w:snapToGrid w:val="0"/>
        <w:spacing w:after="0" w:line="336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單行間距、居中，依序為姓名、職稱、所屬機構和電郵地址。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 w14:paraId="5934FA23">
      <w:pPr>
        <w:snapToGrid w:val="0"/>
        <w:spacing w:after="0" w:line="336" w:lineRule="auto"/>
        <w:rPr>
          <w:rFonts w:hint="eastAsia" w:cs="宋体"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三、</w:t>
      </w:r>
      <w:r>
        <w:rPr>
          <w:rFonts w:hint="eastAsia" w:cs="宋体" w:asciiTheme="minorEastAsia" w:hAnsiTheme="minorEastAsia" w:eastAsiaTheme="minorEastAsia"/>
          <w:sz w:val="32"/>
          <w:szCs w:val="32"/>
          <w:u w:val="single"/>
        </w:rPr>
        <w:t>摘要及關鍵字</w:t>
      </w:r>
    </w:p>
    <w:p w14:paraId="254E0949">
      <w:pPr>
        <w:snapToGrid w:val="0"/>
        <w:spacing w:after="0" w:line="336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可以採用中文摘要及關鍵字或英文摘要及關鍵字，字數限</w:t>
      </w:r>
      <w:r>
        <w:rPr>
          <w:rFonts w:asciiTheme="minorEastAsia" w:hAnsiTheme="minorEastAsia" w:eastAsiaTheme="minorEastAsia"/>
          <w:sz w:val="32"/>
          <w:szCs w:val="32"/>
        </w:rPr>
        <w:t>100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字左右，關鍵字緊隨摘要之後，限</w:t>
      </w:r>
      <w:r>
        <w:rPr>
          <w:rFonts w:asciiTheme="minorEastAsia" w:hAnsiTheme="minorEastAsia" w:eastAsiaTheme="minorEastAsia"/>
          <w:sz w:val="32"/>
          <w:szCs w:val="32"/>
        </w:rPr>
        <w:t xml:space="preserve"> 5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個以內。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 w14:paraId="79FE5CB8">
      <w:pPr>
        <w:snapToGrid w:val="0"/>
        <w:spacing w:after="0" w:line="336" w:lineRule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四、</w:t>
      </w:r>
      <w:r>
        <w:rPr>
          <w:rFonts w:hint="eastAsia" w:cs="宋体" w:asciiTheme="minorEastAsia" w:hAnsiTheme="minorEastAsia" w:eastAsiaTheme="minorEastAsia"/>
          <w:sz w:val="32"/>
          <w:szCs w:val="32"/>
          <w:u w:val="single"/>
        </w:rPr>
        <w:t>章節</w:t>
      </w:r>
    </w:p>
    <w:p w14:paraId="171C2F3B">
      <w:pPr>
        <w:snapToGrid w:val="0"/>
        <w:spacing w:after="0" w:line="336" w:lineRule="auto"/>
        <w:ind w:firstLine="640" w:firstLineChars="200"/>
        <w:rPr>
          <w:rFonts w:hint="eastAsia" w:cs="宋体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章節之標號如下所示：</w:t>
      </w:r>
    </w:p>
    <w:p w14:paraId="4E352D6E">
      <w:pPr>
        <w:snapToGrid w:val="0"/>
        <w:spacing w:after="0" w:line="336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1.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大段落之標明應置於每行正中央；例如：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 w14:paraId="1072B264">
      <w:pPr>
        <w:snapToGrid w:val="0"/>
        <w:spacing w:after="0" w:line="336" w:lineRule="auto"/>
        <w:ind w:firstLine="72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壹、引言</w:t>
      </w:r>
      <w:r>
        <w:rPr>
          <w:rFonts w:asciiTheme="minorEastAsia" w:hAnsiTheme="minorEastAsia" w:eastAsiaTheme="minorEastAsia"/>
          <w:sz w:val="32"/>
          <w:szCs w:val="32"/>
        </w:rPr>
        <w:t xml:space="preserve">         14pt (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中黑體居中</w:t>
      </w:r>
      <w:r>
        <w:rPr>
          <w:rFonts w:asciiTheme="minorEastAsia" w:hAnsiTheme="minorEastAsia" w:eastAsiaTheme="minorEastAsia"/>
          <w:sz w:val="32"/>
          <w:szCs w:val="32"/>
        </w:rPr>
        <w:t xml:space="preserve">) </w:t>
      </w:r>
    </w:p>
    <w:p w14:paraId="05C781DB">
      <w:pPr>
        <w:snapToGrid w:val="0"/>
        <w:spacing w:after="0" w:line="336" w:lineRule="auto"/>
        <w:ind w:firstLine="720"/>
        <w:rPr>
          <w:rFonts w:hint="eastAsia" w:cs="宋体"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2.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中段落之標明應置於每行之最左方；例如：</w:t>
      </w:r>
    </w:p>
    <w:p w14:paraId="27BAC089">
      <w:pPr>
        <w:snapToGrid w:val="0"/>
        <w:spacing w:after="0" w:line="336" w:lineRule="auto"/>
        <w:ind w:firstLine="72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一、管理外匯風險暴</w:t>
      </w:r>
      <w:r>
        <w:rPr>
          <w:rFonts w:asciiTheme="minorEastAsia" w:hAnsiTheme="minorEastAsia" w:eastAsiaTheme="minorEastAsia"/>
          <w:sz w:val="32"/>
          <w:szCs w:val="32"/>
        </w:rPr>
        <w:t xml:space="preserve">  12pt (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中黑體居左</w:t>
      </w:r>
      <w:r>
        <w:rPr>
          <w:rFonts w:asciiTheme="minorEastAsia" w:hAnsiTheme="minorEastAsia" w:eastAsiaTheme="minorEastAsia"/>
          <w:sz w:val="32"/>
          <w:szCs w:val="32"/>
        </w:rPr>
        <w:t>)</w:t>
      </w:r>
    </w:p>
    <w:p w14:paraId="5CAA265B">
      <w:pPr>
        <w:snapToGrid w:val="0"/>
        <w:spacing w:after="0" w:line="336" w:lineRule="auto"/>
        <w:ind w:firstLine="720"/>
        <w:rPr>
          <w:rFonts w:hint="eastAsia" w:cs="宋体"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3.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小段落之標明應依照中段落向右一格處開始；例如：</w:t>
      </w:r>
    </w:p>
    <w:p w14:paraId="67C4B41F">
      <w:pPr>
        <w:snapToGrid w:val="0"/>
        <w:spacing w:after="0" w:line="336" w:lineRule="auto"/>
        <w:ind w:firstLine="72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（一）交易暴露</w:t>
      </w:r>
      <w:r>
        <w:rPr>
          <w:rFonts w:asciiTheme="minorEastAsia" w:hAnsiTheme="minorEastAsia" w:eastAsiaTheme="minorEastAsia"/>
          <w:sz w:val="32"/>
          <w:szCs w:val="32"/>
        </w:rPr>
        <w:t xml:space="preserve">     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內文</w:t>
      </w:r>
      <w:r>
        <w:rPr>
          <w:rFonts w:asciiTheme="minorEastAsia" w:hAnsiTheme="minorEastAsia" w:eastAsiaTheme="minorEastAsia"/>
          <w:sz w:val="32"/>
          <w:szCs w:val="32"/>
        </w:rPr>
        <w:t xml:space="preserve"> 10pt (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新細明體</w:t>
      </w:r>
      <w:r>
        <w:rPr>
          <w:rFonts w:asciiTheme="minorEastAsia" w:hAnsiTheme="minorEastAsia" w:eastAsiaTheme="minorEastAsia"/>
          <w:sz w:val="32"/>
          <w:szCs w:val="32"/>
        </w:rPr>
        <w:t>)</w:t>
      </w:r>
    </w:p>
    <w:p w14:paraId="5D5EFD0D">
      <w:pPr>
        <w:snapToGrid w:val="0"/>
        <w:spacing w:after="0" w:line="336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4.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其他更小段落之標明請依此類推；各段落前之數字號碼請按：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 w14:paraId="0CF0AC3C">
      <w:pPr>
        <w:snapToGrid w:val="0"/>
        <w:spacing w:after="0" w:line="336" w:lineRule="auto"/>
        <w:ind w:firstLine="72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壹、一、</w:t>
      </w:r>
      <w:r>
        <w:rPr>
          <w:rFonts w:asciiTheme="minorEastAsia" w:hAnsiTheme="minorEastAsia" w:eastAsiaTheme="minorEastAsia"/>
          <w:sz w:val="32"/>
          <w:szCs w:val="32"/>
        </w:rPr>
        <w:t xml:space="preserve">  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（一）</w:t>
      </w:r>
      <w:r>
        <w:rPr>
          <w:rFonts w:asciiTheme="minorEastAsia" w:hAnsiTheme="minorEastAsia" w:eastAsiaTheme="minorEastAsia"/>
          <w:sz w:val="32"/>
          <w:szCs w:val="32"/>
        </w:rPr>
        <w:t xml:space="preserve">  1.  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（</w:t>
      </w:r>
      <w:r>
        <w:rPr>
          <w:rFonts w:asciiTheme="minorEastAsia" w:hAnsiTheme="minorEastAsia" w:eastAsiaTheme="minorEastAsia"/>
          <w:sz w:val="32"/>
          <w:szCs w:val="32"/>
        </w:rPr>
        <w:t>1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）</w:t>
      </w:r>
      <w:r>
        <w:rPr>
          <w:rFonts w:asciiTheme="minorEastAsia" w:hAnsiTheme="minorEastAsia" w:eastAsiaTheme="minorEastAsia"/>
          <w:sz w:val="32"/>
          <w:szCs w:val="32"/>
        </w:rPr>
        <w:t xml:space="preserve">  a.  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（</w:t>
      </w:r>
      <w:r>
        <w:rPr>
          <w:rFonts w:asciiTheme="minorEastAsia" w:hAnsiTheme="minorEastAsia" w:eastAsiaTheme="minorEastAsia"/>
          <w:sz w:val="32"/>
          <w:szCs w:val="32"/>
        </w:rPr>
        <w:t>a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）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等順序排列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 w14:paraId="560FEF89">
      <w:pPr>
        <w:snapToGrid w:val="0"/>
        <w:spacing w:after="0" w:line="336" w:lineRule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五、</w:t>
      </w:r>
      <w:r>
        <w:rPr>
          <w:rFonts w:hint="eastAsia" w:cs="宋体" w:asciiTheme="minorEastAsia" w:hAnsiTheme="minorEastAsia" w:eastAsiaTheme="minorEastAsia"/>
          <w:sz w:val="32"/>
          <w:szCs w:val="32"/>
          <w:u w:val="single"/>
        </w:rPr>
        <w:t>圖表</w:t>
      </w:r>
    </w:p>
    <w:p w14:paraId="2E80DE75">
      <w:pPr>
        <w:snapToGrid w:val="0"/>
        <w:spacing w:after="0" w:line="336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圖表之標號，無論以中文或英文撰寫，一律以阿拉伯數字表之。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 w14:paraId="45992DF7">
      <w:pPr>
        <w:snapToGrid w:val="0"/>
        <w:spacing w:after="0" w:line="336" w:lineRule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六、</w:t>
      </w:r>
      <w:r>
        <w:rPr>
          <w:rFonts w:hint="eastAsia" w:cs="宋体" w:asciiTheme="minorEastAsia" w:hAnsiTheme="minorEastAsia" w:eastAsiaTheme="minorEastAsia"/>
          <w:sz w:val="32"/>
          <w:szCs w:val="32"/>
          <w:u w:val="single"/>
        </w:rPr>
        <w:t>公式</w:t>
      </w:r>
    </w:p>
    <w:p w14:paraId="68295BCD">
      <w:pPr>
        <w:snapToGrid w:val="0"/>
        <w:spacing w:after="0" w:line="336" w:lineRule="auto"/>
        <w:ind w:left="642" w:leftChars="292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所有公式應該單獨成行並依序編號，如下例示。</w:t>
      </w:r>
      <w:r>
        <w:rPr>
          <w:rFonts w:asciiTheme="minorEastAsia" w:hAnsiTheme="minorEastAsia" w:eastAsiaTheme="minorEastAsia"/>
          <w:sz w:val="32"/>
          <w:szCs w:val="32"/>
        </w:rPr>
        <w:t xml:space="preserve"> F = f(x1)       (1) </w:t>
      </w:r>
    </w:p>
    <w:p w14:paraId="641EEA4F">
      <w:pPr>
        <w:snapToGrid w:val="0"/>
        <w:spacing w:after="0" w:line="336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七、</w:t>
      </w:r>
      <w:r>
        <w:rPr>
          <w:rFonts w:hint="eastAsia" w:cs="宋体" w:asciiTheme="minorEastAsia" w:hAnsiTheme="minorEastAsia" w:eastAsiaTheme="minorEastAsia"/>
          <w:sz w:val="32"/>
          <w:szCs w:val="32"/>
          <w:u w:val="single"/>
        </w:rPr>
        <w:t>注釋</w:t>
      </w:r>
    </w:p>
    <w:p w14:paraId="0DF63B9A">
      <w:pPr>
        <w:snapToGrid w:val="0"/>
        <w:spacing w:after="0" w:line="336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不鼓勵使用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 w14:paraId="4EEB05FC">
      <w:pPr>
        <w:snapToGrid w:val="0"/>
        <w:spacing w:after="0" w:line="336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八、</w:t>
      </w:r>
      <w:r>
        <w:rPr>
          <w:rFonts w:hint="eastAsia" w:cs="宋体" w:asciiTheme="minorEastAsia" w:hAnsiTheme="minorEastAsia" w:eastAsiaTheme="minorEastAsia"/>
          <w:sz w:val="32"/>
          <w:szCs w:val="32"/>
          <w:u w:val="single"/>
        </w:rPr>
        <w:t>附錄</w:t>
      </w:r>
    </w:p>
    <w:p w14:paraId="35E96778">
      <w:pPr>
        <w:snapToGrid w:val="0"/>
        <w:spacing w:after="0" w:line="336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附錄應該緊隨論文主體之後，參考文獻之前。附錄如超過一個，應該依序編號。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 w14:paraId="5F1DB004">
      <w:pPr>
        <w:snapToGrid w:val="0"/>
        <w:spacing w:after="0" w:line="336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九、</w:t>
      </w:r>
      <w:r>
        <w:rPr>
          <w:rFonts w:hint="eastAsia" w:cs="宋体" w:asciiTheme="minorEastAsia" w:hAnsiTheme="minorEastAsia" w:eastAsiaTheme="minorEastAsia"/>
          <w:sz w:val="32"/>
          <w:szCs w:val="32"/>
          <w:u w:val="single"/>
        </w:rPr>
        <w:t>文獻</w:t>
      </w:r>
    </w:p>
    <w:p w14:paraId="0F430997">
      <w:pPr>
        <w:snapToGrid w:val="0"/>
        <w:spacing w:after="0" w:line="336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文獻部分，請將中文列於前，英文列於後，中文按姓名筆劃，英文按字母次序排列。</w:t>
      </w:r>
    </w:p>
    <w:p w14:paraId="7285EE1E">
      <w:pPr>
        <w:snapToGrid w:val="0"/>
        <w:spacing w:after="0" w:line="336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 w14:paraId="18EFC14E">
      <w:pPr>
        <w:snapToGrid w:val="0"/>
        <w:spacing w:after="0" w:line="336" w:lineRule="auto"/>
        <w:rPr>
          <w:rFonts w:hint="eastAsia" w:cs="宋体" w:asciiTheme="minorEastAsia" w:hAnsiTheme="minorEastAsia" w:eastAsiaTheme="minorEastAsia"/>
          <w:sz w:val="32"/>
          <w:szCs w:val="32"/>
        </w:rPr>
      </w:pPr>
    </w:p>
    <w:p w14:paraId="55D43098">
      <w:pPr>
        <w:snapToGrid w:val="0"/>
        <w:spacing w:after="0" w:line="336" w:lineRule="auto"/>
        <w:rPr>
          <w:rFonts w:hint="eastAsia" w:cs="宋体" w:asciiTheme="minorEastAsia" w:hAnsiTheme="minorEastAsia" w:eastAsiaTheme="minorEastAsia"/>
          <w:sz w:val="32"/>
          <w:szCs w:val="32"/>
        </w:rPr>
      </w:pPr>
    </w:p>
    <w:p w14:paraId="2AD2CCCC">
      <w:pPr>
        <w:snapToGrid w:val="0"/>
        <w:spacing w:after="0" w:line="336" w:lineRule="auto"/>
        <w:rPr>
          <w:rFonts w:asciiTheme="minorEastAsia" w:hAnsiTheme="minorEastAsia" w:eastAsiaTheme="minorEastAsia"/>
          <w:sz w:val="32"/>
          <w:szCs w:val="32"/>
        </w:rPr>
      </w:pPr>
      <w:bookmarkStart w:id="0" w:name="_GoBack"/>
      <w:bookmarkEnd w:id="0"/>
      <w:r>
        <w:rPr>
          <w:rFonts w:hint="eastAsia" w:cs="宋体" w:asciiTheme="minorEastAsia" w:hAnsiTheme="minorEastAsia" w:eastAsiaTheme="minorEastAsia"/>
          <w:sz w:val="32"/>
          <w:szCs w:val="32"/>
        </w:rPr>
        <w:t>例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子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：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 w14:paraId="4819DDEE">
      <w:pPr>
        <w:snapToGrid w:val="0"/>
        <w:spacing w:after="0" w:line="336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 w14:paraId="29262215">
      <w:pPr>
        <w:snapToGrid w:val="0"/>
        <w:spacing w:after="0" w:line="336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32"/>
        </w:rPr>
        <w:t>中國加入世貿對運輸業的影響</w:t>
      </w:r>
    </w:p>
    <w:p w14:paraId="0E768D05">
      <w:pPr>
        <w:snapToGrid w:val="0"/>
        <w:spacing w:after="0" w:line="336" w:lineRule="auto"/>
        <w:jc w:val="center"/>
        <w:rPr>
          <w:rFonts w:hint="eastAsia" w:cs="宋体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張大明</w:t>
      </w:r>
    </w:p>
    <w:p w14:paraId="07E65B64">
      <w:pPr>
        <w:snapToGrid w:val="0"/>
        <w:spacing w:after="0" w:line="336" w:lineRule="auto"/>
        <w:jc w:val="center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委員</w:t>
      </w:r>
    </w:p>
    <w:p w14:paraId="24257B56">
      <w:pPr>
        <w:snapToGrid w:val="0"/>
        <w:spacing w:after="0" w:line="336" w:lineRule="auto"/>
        <w:jc w:val="center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海運學會</w:t>
      </w:r>
    </w:p>
    <w:p w14:paraId="4EC719AA">
      <w:pPr>
        <w:snapToGrid w:val="0"/>
        <w:spacing w:after="0" w:line="336" w:lineRule="auto"/>
        <w:jc w:val="center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info@seatransport.com.hk</w:t>
      </w:r>
    </w:p>
    <w:p w14:paraId="61624D6D">
      <w:pPr>
        <w:snapToGrid w:val="0"/>
        <w:spacing w:after="0" w:line="336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 w14:paraId="43F5AC4D">
      <w:pPr>
        <w:snapToGrid w:val="0"/>
        <w:spacing w:after="0" w:line="336" w:lineRule="auto"/>
        <w:jc w:val="center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sz w:val="32"/>
          <w:szCs w:val="32"/>
          <w:u w:val="single"/>
        </w:rPr>
        <w:t>摘</w:t>
      </w:r>
      <w:r>
        <w:rPr>
          <w:rFonts w:asciiTheme="minorEastAsia" w:hAnsiTheme="minorEastAsia" w:eastAsiaTheme="minorEastAsia"/>
          <w:sz w:val="32"/>
          <w:szCs w:val="32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32"/>
          <w:szCs w:val="32"/>
          <w:u w:val="single"/>
        </w:rPr>
        <w:t>要</w:t>
      </w:r>
    </w:p>
    <w:p w14:paraId="6B5022F2">
      <w:pPr>
        <w:snapToGrid w:val="0"/>
        <w:spacing w:after="0" w:line="336" w:lineRule="auto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32"/>
        </w:rPr>
        <w:t>關鍵字：世貿、</w:t>
      </w:r>
      <w:r>
        <w:rPr>
          <w:rFonts w:asciiTheme="minorEastAsia" w:hAnsiTheme="minorEastAsia" w:eastAsiaTheme="minorEastAsia"/>
          <w:b/>
          <w:bCs/>
          <w:sz w:val="32"/>
          <w:szCs w:val="32"/>
        </w:rPr>
        <w:t xml:space="preserve"> 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32"/>
        </w:rPr>
        <w:t>運輸業</w:t>
      </w:r>
      <w:r>
        <w:rPr>
          <w:rFonts w:asciiTheme="minorEastAsia" w:hAnsiTheme="minorEastAsia" w:eastAsiaTheme="minorEastAsia"/>
          <w:b/>
          <w:bCs/>
          <w:sz w:val="32"/>
          <w:szCs w:val="32"/>
        </w:rPr>
        <w:t xml:space="preserve"> </w:t>
      </w:r>
    </w:p>
    <w:p w14:paraId="5ECC3010">
      <w:pPr>
        <w:snapToGrid w:val="0"/>
        <w:spacing w:after="0" w:line="336" w:lineRule="auto"/>
        <w:ind w:firstLine="72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交通運輸業，是國民經濟的基礎産業，也是命脈産業，其發達程度不僅關係著交通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運輸行業的自身利益，而且影響著國民經濟各部門以及人民生活的便利與否。加入世貿組織，我國海運業、航空運輸業、公路運輸業和鐵路運輸業及其相關的服務業務都將在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不同程度上對外開放，對我國交通運輸業將産生積極而深遠的影響。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 w14:paraId="18E84A73">
      <w:pPr>
        <w:snapToGrid w:val="0"/>
        <w:spacing w:after="0" w:line="336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 w14:paraId="04BA8331">
      <w:pPr>
        <w:snapToGrid w:val="0"/>
        <w:spacing w:after="0" w:line="336" w:lineRule="auto"/>
        <w:jc w:val="center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32"/>
        </w:rPr>
        <w:t>壹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、引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言</w:t>
      </w:r>
    </w:p>
    <w:p w14:paraId="4D15B214">
      <w:pPr>
        <w:snapToGrid w:val="0"/>
        <w:spacing w:after="0" w:line="336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 w14:paraId="065A2926">
      <w:pPr>
        <w:snapToGrid w:val="0"/>
        <w:spacing w:after="0" w:line="336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我國幅員遼闊，人口衆多，經濟發展水平差異大，因而導致我國水路、陸路和空運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業服務市場潛力巨大，加之我國外貿出口持續快速增長，對遠洋運輸服務的需求不斷增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多，因此在我國加入世貿組織談判過程中，外方紛紛看好我國市場，交通運輸服務市場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的開放成爲必然。</w:t>
      </w:r>
    </w:p>
    <w:p w14:paraId="43DF37F8">
      <w:pPr>
        <w:snapToGrid w:val="0"/>
        <w:spacing w:after="0" w:line="336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 w14:paraId="4C238849">
      <w:pPr>
        <w:snapToGrid w:val="0"/>
        <w:spacing w:after="0" w:line="336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一、</w:t>
      </w:r>
      <w:r>
        <w:rPr>
          <w:rFonts w:asciiTheme="minorEastAsia" w:hAnsiTheme="minorEastAsia" w:eastAsiaTheme="minorEastAsia"/>
          <w:b/>
          <w:bCs/>
          <w:sz w:val="32"/>
          <w:szCs w:val="32"/>
        </w:rPr>
        <w:t xml:space="preserve"> 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32"/>
        </w:rPr>
        <w:t>改革開放以來交通運輸業的發展成就</w:t>
      </w:r>
    </w:p>
    <w:p w14:paraId="1C730C22">
      <w:pPr>
        <w:snapToGrid w:val="0"/>
        <w:spacing w:after="0" w:line="336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改革開放以來，我國交通運輸業得到快速發展。</w:t>
      </w:r>
    </w:p>
    <w:p w14:paraId="32B3CFAB">
      <w:pPr>
        <w:snapToGrid w:val="0"/>
        <w:spacing w:after="0" w:line="336" w:lineRule="auto"/>
        <w:ind w:firstLine="720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(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一</w:t>
      </w:r>
      <w:r>
        <w:rPr>
          <w:rFonts w:asciiTheme="minorEastAsia" w:hAnsiTheme="minorEastAsia" w:eastAsiaTheme="minorEastAsia"/>
          <w:sz w:val="32"/>
          <w:szCs w:val="32"/>
        </w:rPr>
        <w:t>)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、水運</w:t>
      </w:r>
    </w:p>
    <w:p w14:paraId="72B9B76D">
      <w:pPr>
        <w:snapToGrid w:val="0"/>
        <w:spacing w:after="0" w:line="336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據統計，到</w:t>
      </w:r>
      <w:r>
        <w:rPr>
          <w:rFonts w:asciiTheme="minorEastAsia" w:hAnsiTheme="minorEastAsia" w:eastAsiaTheme="minorEastAsia"/>
          <w:sz w:val="32"/>
          <w:szCs w:val="32"/>
        </w:rPr>
        <w:t>2000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年末，在我國境內登記註冊從事國際海上運輸的航運公司</w:t>
      </w:r>
      <w:r>
        <w:rPr>
          <w:rFonts w:asciiTheme="minorEastAsia" w:hAnsiTheme="minorEastAsia" w:eastAsiaTheme="minorEastAsia"/>
          <w:sz w:val="32"/>
          <w:szCs w:val="32"/>
        </w:rPr>
        <w:t>29</w:t>
      </w:r>
      <w:r>
        <w:rPr>
          <w:rFonts w:hint="eastAsia" w:asciiTheme="minorEastAsia" w:hAnsiTheme="minorEastAsia" w:eastAsiaTheme="minorEastAsia"/>
          <w:sz w:val="32"/>
          <w:szCs w:val="32"/>
        </w:rPr>
        <w:t>0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家，從事國內航運的企業</w:t>
      </w:r>
      <w:r>
        <w:rPr>
          <w:rFonts w:asciiTheme="minorEastAsia" w:hAnsiTheme="minorEastAsia" w:eastAsiaTheme="minorEastAsia"/>
          <w:sz w:val="32"/>
          <w:szCs w:val="32"/>
        </w:rPr>
        <w:t xml:space="preserve"> 5000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多家。共擁有各類船隻</w:t>
      </w:r>
      <w:r>
        <w:rPr>
          <w:rFonts w:asciiTheme="minorEastAsia" w:hAnsiTheme="minorEastAsia" w:eastAsiaTheme="minorEastAsia"/>
          <w:sz w:val="32"/>
          <w:szCs w:val="32"/>
        </w:rPr>
        <w:t xml:space="preserve"> 23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萬艘，</w:t>
      </w:r>
      <w:r>
        <w:rPr>
          <w:rFonts w:asciiTheme="minorEastAsia" w:hAnsiTheme="minorEastAsia" w:eastAsiaTheme="minorEastAsia"/>
          <w:sz w:val="32"/>
          <w:szCs w:val="32"/>
        </w:rPr>
        <w:t>6614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多萬載重噸。</w:t>
      </w:r>
    </w:p>
    <w:p w14:paraId="2ADED5AA">
      <w:pPr>
        <w:snapToGrid w:val="0"/>
        <w:spacing w:line="336" w:lineRule="auto"/>
        <w:rPr>
          <w:rFonts w:asciiTheme="minorEastAsia" w:hAnsiTheme="minorEastAsia" w:eastAsiaTheme="minorEastAsia"/>
          <w:sz w:val="32"/>
          <w:szCs w:val="32"/>
        </w:rPr>
      </w:pPr>
    </w:p>
    <w:sectPr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4DA2"/>
    <w:rsid w:val="00BA4DA2"/>
    <w:rsid w:val="00D0643A"/>
    <w:rsid w:val="6ECB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Calibri" w:hAnsi="Calibri" w:eastAsia="PMingLiU" w:cs="Times New Roman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850</Words>
  <Characters>909</Characters>
  <Lines>7</Lines>
  <Paragraphs>2</Paragraphs>
  <TotalTime>9</TotalTime>
  <ScaleCrop>false</ScaleCrop>
  <LinksUpToDate>false</LinksUpToDate>
  <CharactersWithSpaces>987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2025-08-12T06:42:00Z</dcterms:created>
  <dc:creator>84236</dc:creator>
  <cp:lastModifiedBy>lily</cp:lastModifiedBy>
  <dcterms:modified xsi:type="dcterms:W3CDTF">2025-08-27T02:48:08Z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eyJoZGlkIjoiZTZkMmE5ZjdmZGU3NDM2ZDkwNmVjMDE0YThkNGFkMDAiLCJ1c2VySWQiOiI5MDkxOTUyMTUifQ==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49BA3236DF3C4D5A9B57753E99901ABC_12</vt:lpwstr>
  </property>
</Properties>
</file>