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360" w:lineRule="auto"/>
        <w:textAlignment w:val="top"/>
        <w:rPr>
          <w:rFonts w:ascii="Times New Roman" w:hAnsi="Times New Roman" w:eastAsia="黑体"/>
          <w:b/>
          <w:snapToGrid w:val="0"/>
          <w:sz w:val="32"/>
          <w:szCs w:val="32"/>
        </w:rPr>
      </w:pPr>
      <w:bookmarkStart w:id="0" w:name="_Hlk41681293"/>
      <w:bookmarkEnd w:id="0"/>
    </w:p>
    <w:p>
      <w:pPr>
        <w:pStyle w:val="2"/>
      </w:pPr>
      <w:r>
        <w:t>.</w:t>
      </w:r>
    </w:p>
    <w:p>
      <w:pPr>
        <w:rPr>
          <w:rFonts w:ascii="Times New Roman" w:hAnsi="Times New Roman"/>
          <w:b/>
          <w:sz w:val="24"/>
          <w:szCs w:val="24"/>
        </w:rPr>
      </w:pPr>
    </w:p>
    <w:p>
      <w:pPr>
        <w:jc w:val="center"/>
        <w:rPr>
          <w:rFonts w:ascii="Times New Roman" w:hAnsi="Times New Roman"/>
          <w:b/>
          <w:sz w:val="24"/>
          <w:szCs w:val="24"/>
        </w:rPr>
      </w:pPr>
    </w:p>
    <w:p>
      <w:pPr>
        <w:jc w:val="center"/>
        <w:rPr>
          <w:rFonts w:ascii="Times New Roman" w:hAnsi="Times New Roman"/>
          <w:b/>
          <w:sz w:val="24"/>
          <w:szCs w:val="24"/>
        </w:rPr>
      </w:pPr>
    </w:p>
    <w:p>
      <w:pPr>
        <w:rPr>
          <w:rFonts w:ascii="Times New Roman" w:hAnsi="Times New Roman"/>
          <w:b/>
          <w:sz w:val="24"/>
          <w:szCs w:val="24"/>
        </w:rPr>
      </w:pPr>
    </w:p>
    <w:p>
      <w:pPr>
        <w:jc w:val="center"/>
        <w:rPr>
          <w:rFonts w:ascii="Times New Roman" w:hAnsi="Times New Roman"/>
          <w:b/>
          <w:sz w:val="24"/>
          <w:szCs w:val="24"/>
        </w:rPr>
      </w:pPr>
    </w:p>
    <w:p>
      <w:pPr>
        <w:spacing w:line="360" w:lineRule="auto"/>
        <w:jc w:val="center"/>
        <w:rPr>
          <w:rFonts w:ascii="Times New Roman" w:hAnsi="Times New Roman"/>
          <w:b/>
          <w:sz w:val="72"/>
          <w:szCs w:val="24"/>
        </w:rPr>
      </w:pPr>
      <w:r>
        <w:rPr>
          <w:rFonts w:hint="eastAsia" w:ascii="Times New Roman" w:hAnsi="Times New Roman"/>
          <w:b/>
          <w:sz w:val="72"/>
          <w:szCs w:val="24"/>
        </w:rPr>
        <w:t>建设项目环境影响报告表</w:t>
      </w:r>
    </w:p>
    <w:p>
      <w:pPr>
        <w:spacing w:line="360" w:lineRule="auto"/>
        <w:jc w:val="center"/>
        <w:rPr>
          <w:rFonts w:ascii="Times New Roman" w:hAnsi="Times New Roman"/>
          <w:b/>
          <w:bCs/>
          <w:spacing w:val="8"/>
          <w:sz w:val="36"/>
          <w:szCs w:val="36"/>
        </w:rPr>
      </w:pPr>
    </w:p>
    <w:p>
      <w:pPr>
        <w:spacing w:line="360" w:lineRule="auto"/>
        <w:rPr>
          <w:rFonts w:ascii="Times New Roman" w:hAnsi="Times New Roman"/>
          <w:b/>
          <w:bCs/>
          <w:spacing w:val="8"/>
          <w:sz w:val="32"/>
          <w:szCs w:val="24"/>
        </w:rPr>
      </w:pPr>
    </w:p>
    <w:p>
      <w:pPr>
        <w:spacing w:line="360" w:lineRule="auto"/>
        <w:rPr>
          <w:rFonts w:ascii="Times New Roman" w:hAnsi="Times New Roman"/>
          <w:b/>
          <w:bCs/>
          <w:spacing w:val="8"/>
          <w:sz w:val="32"/>
          <w:szCs w:val="24"/>
        </w:rPr>
      </w:pPr>
    </w:p>
    <w:p>
      <w:pPr>
        <w:spacing w:line="360" w:lineRule="auto"/>
        <w:ind w:firstLine="337" w:firstLineChars="100"/>
        <w:rPr>
          <w:rFonts w:ascii="Times New Roman" w:hAnsi="Times New Roman"/>
          <w:b/>
          <w:bCs/>
          <w:spacing w:val="8"/>
          <w:sz w:val="32"/>
          <w:szCs w:val="24"/>
        </w:rPr>
      </w:pPr>
    </w:p>
    <w:p>
      <w:pPr>
        <w:spacing w:line="360" w:lineRule="auto"/>
        <w:ind w:firstLine="337" w:firstLineChars="100"/>
        <w:rPr>
          <w:rFonts w:ascii="Times New Roman" w:hAnsi="Times New Roman"/>
          <w:b/>
          <w:bCs/>
          <w:spacing w:val="8"/>
          <w:sz w:val="32"/>
          <w:szCs w:val="24"/>
        </w:rPr>
      </w:pPr>
    </w:p>
    <w:p>
      <w:pPr>
        <w:spacing w:line="360" w:lineRule="auto"/>
        <w:ind w:firstLine="337" w:firstLineChars="100"/>
        <w:rPr>
          <w:rFonts w:ascii="Times New Roman" w:hAnsi="Times New Roman"/>
          <w:b/>
          <w:bCs/>
          <w:spacing w:val="8"/>
          <w:sz w:val="32"/>
          <w:szCs w:val="24"/>
        </w:rPr>
      </w:pPr>
    </w:p>
    <w:p>
      <w:pPr>
        <w:spacing w:line="360" w:lineRule="auto"/>
        <w:ind w:firstLine="337" w:firstLineChars="100"/>
        <w:rPr>
          <w:rFonts w:ascii="Times New Roman" w:hAnsi="Times New Roman"/>
          <w:b/>
          <w:bCs/>
          <w:spacing w:val="8"/>
          <w:sz w:val="32"/>
          <w:szCs w:val="24"/>
        </w:rPr>
      </w:pPr>
    </w:p>
    <w:p>
      <w:pPr>
        <w:spacing w:line="360" w:lineRule="auto"/>
        <w:ind w:left="4978" w:leftChars="212" w:hanging="4533" w:hangingChars="850"/>
        <w:rPr>
          <w:rFonts w:ascii="Times New Roman" w:hAnsi="Times New Roman"/>
          <w:b/>
          <w:bCs/>
          <w:sz w:val="32"/>
          <w:szCs w:val="24"/>
          <w:u w:val="single"/>
        </w:rPr>
      </w:pPr>
      <w:r>
        <w:rPr>
          <w:rFonts w:hint="eastAsia" w:ascii="Times New Roman" w:hAnsi="Times New Roman"/>
          <w:b/>
          <w:bCs/>
          <w:spacing w:val="106"/>
          <w:sz w:val="32"/>
          <w:szCs w:val="24"/>
        </w:rPr>
        <w:t>项目名称：</w:t>
      </w:r>
      <w:bookmarkStart w:id="1" w:name="_Hlk14189271"/>
      <w:r>
        <w:rPr>
          <w:rFonts w:hint="eastAsia" w:ascii="Times New Roman" w:hAnsi="Times New Roman"/>
          <w:b/>
          <w:bCs/>
          <w:sz w:val="32"/>
          <w:szCs w:val="24"/>
          <w:u w:val="single"/>
        </w:rPr>
        <w:t>定安县定城污水处理厂二期改扩建工程</w:t>
      </w:r>
      <w:bookmarkEnd w:id="1"/>
      <w:r>
        <w:rPr>
          <w:rFonts w:ascii="Times New Roman" w:hAnsi="Times New Roman"/>
          <w:b/>
          <w:bCs/>
          <w:sz w:val="32"/>
          <w:szCs w:val="24"/>
          <w:u w:val="single"/>
        </w:rPr>
        <w:t xml:space="preserve"> </w:t>
      </w:r>
    </w:p>
    <w:p>
      <w:pPr>
        <w:spacing w:line="360" w:lineRule="auto"/>
        <w:ind w:left="445" w:leftChars="212"/>
        <w:jc w:val="left"/>
        <w:rPr>
          <w:rFonts w:ascii="Times New Roman" w:hAnsi="Times New Roman"/>
          <w:sz w:val="24"/>
          <w:szCs w:val="24"/>
          <w:u w:val="single"/>
        </w:rPr>
      </w:pPr>
      <w:r>
        <w:rPr>
          <w:rFonts w:hint="eastAsia" w:ascii="Times New Roman" w:hAnsi="Times New Roman"/>
          <w:b/>
          <w:bCs/>
          <w:sz w:val="32"/>
          <w:szCs w:val="24"/>
        </w:rPr>
        <w:t>建设单位（盖章）：</w:t>
      </w:r>
      <w:r>
        <w:rPr>
          <w:rFonts w:ascii="Times New Roman" w:hAnsi="Times New Roman"/>
          <w:b/>
          <w:bCs/>
          <w:sz w:val="32"/>
          <w:szCs w:val="24"/>
          <w:u w:val="single"/>
        </w:rPr>
        <w:t xml:space="preserve">        </w:t>
      </w:r>
      <w:bookmarkStart w:id="2" w:name="_Hlk40432556"/>
      <w:r>
        <w:rPr>
          <w:rFonts w:hint="eastAsia" w:ascii="Times New Roman" w:hAnsi="Times New Roman"/>
          <w:b/>
          <w:bCs/>
          <w:sz w:val="32"/>
          <w:szCs w:val="24"/>
          <w:u w:val="single"/>
        </w:rPr>
        <w:t>定安县水务有限公司</w:t>
      </w:r>
      <w:bookmarkEnd w:id="2"/>
      <w:r>
        <w:rPr>
          <w:rFonts w:ascii="Times New Roman" w:hAnsi="Times New Roman"/>
          <w:b/>
          <w:bCs/>
          <w:sz w:val="32"/>
          <w:szCs w:val="24"/>
          <w:u w:val="single"/>
        </w:rPr>
        <w:t xml:space="preserve">    </w:t>
      </w:r>
      <w:r>
        <w:rPr>
          <w:rFonts w:ascii="Times New Roman" w:hAnsi="Times New Roman"/>
          <w:sz w:val="24"/>
          <w:szCs w:val="24"/>
          <w:u w:val="single"/>
        </w:rPr>
        <w:t xml:space="preserve">    </w:t>
      </w:r>
    </w:p>
    <w:p>
      <w:pPr>
        <w:spacing w:line="360" w:lineRule="auto"/>
        <w:jc w:val="center"/>
        <w:rPr>
          <w:rFonts w:ascii="Times New Roman" w:hAnsi="Times New Roman"/>
          <w:sz w:val="24"/>
          <w:szCs w:val="24"/>
        </w:rPr>
      </w:pPr>
    </w:p>
    <w:p>
      <w:pPr>
        <w:spacing w:line="360" w:lineRule="auto"/>
        <w:jc w:val="center"/>
        <w:rPr>
          <w:rFonts w:ascii="Times New Roman" w:hAnsi="Times New Roman"/>
          <w:sz w:val="24"/>
          <w:szCs w:val="24"/>
        </w:rPr>
      </w:pPr>
    </w:p>
    <w:p>
      <w:pPr>
        <w:spacing w:line="360" w:lineRule="auto"/>
        <w:jc w:val="center"/>
        <w:rPr>
          <w:rFonts w:ascii="Times New Roman" w:hAnsi="Times New Roman"/>
          <w:sz w:val="24"/>
          <w:szCs w:val="24"/>
        </w:rPr>
      </w:pPr>
    </w:p>
    <w:p>
      <w:pPr>
        <w:spacing w:line="360" w:lineRule="auto"/>
        <w:rPr>
          <w:rFonts w:ascii="Times New Roman" w:hAnsi="Times New Roman"/>
          <w:b/>
          <w:sz w:val="32"/>
          <w:szCs w:val="24"/>
        </w:rPr>
      </w:pPr>
    </w:p>
    <w:p>
      <w:pPr>
        <w:spacing w:line="360" w:lineRule="auto"/>
        <w:rPr>
          <w:rFonts w:ascii="Times New Roman" w:hAnsi="Times New Roman"/>
          <w:b/>
          <w:sz w:val="32"/>
          <w:szCs w:val="24"/>
        </w:rPr>
      </w:pPr>
    </w:p>
    <w:p>
      <w:pPr>
        <w:spacing w:line="360" w:lineRule="auto"/>
        <w:jc w:val="center"/>
        <w:rPr>
          <w:rFonts w:ascii="Times New Roman" w:hAnsi="Times New Roman"/>
          <w:b/>
          <w:spacing w:val="20"/>
          <w:sz w:val="32"/>
          <w:szCs w:val="24"/>
        </w:rPr>
      </w:pPr>
    </w:p>
    <w:p>
      <w:pPr>
        <w:spacing w:line="360" w:lineRule="auto"/>
        <w:jc w:val="center"/>
        <w:rPr>
          <w:rFonts w:ascii="Times New Roman" w:hAnsi="Times New Roman"/>
          <w:b/>
          <w:sz w:val="32"/>
          <w:szCs w:val="24"/>
        </w:rPr>
      </w:pPr>
    </w:p>
    <w:p>
      <w:pPr>
        <w:spacing w:line="360" w:lineRule="auto"/>
        <w:jc w:val="center"/>
        <w:rPr>
          <w:rFonts w:ascii="Times New Roman" w:hAnsi="Times New Roman"/>
          <w:b/>
          <w:sz w:val="32"/>
          <w:szCs w:val="24"/>
        </w:rPr>
      </w:pPr>
      <w:r>
        <w:rPr>
          <w:rFonts w:hint="eastAsia" w:ascii="Times New Roman" w:hAnsi="Times New Roman"/>
          <w:b/>
          <w:sz w:val="32"/>
          <w:szCs w:val="24"/>
        </w:rPr>
        <w:t>编制日期：</w:t>
      </w:r>
      <w:r>
        <w:rPr>
          <w:rFonts w:ascii="Times New Roman" w:hAnsi="Times New Roman"/>
          <w:b/>
          <w:sz w:val="32"/>
          <w:szCs w:val="24"/>
        </w:rPr>
        <w:t>2020</w:t>
      </w:r>
      <w:r>
        <w:rPr>
          <w:rFonts w:hint="eastAsia" w:ascii="Times New Roman" w:hAnsi="Times New Roman"/>
          <w:b/>
          <w:sz w:val="32"/>
          <w:szCs w:val="24"/>
        </w:rPr>
        <w:t>年</w:t>
      </w:r>
      <w:r>
        <w:rPr>
          <w:rFonts w:ascii="Times New Roman" w:hAnsi="Times New Roman"/>
          <w:b/>
          <w:sz w:val="32"/>
          <w:szCs w:val="24"/>
        </w:rPr>
        <w:t>3</w:t>
      </w:r>
      <w:r>
        <w:rPr>
          <w:rFonts w:hint="eastAsia" w:ascii="Times New Roman" w:hAnsi="Times New Roman"/>
          <w:b/>
          <w:sz w:val="32"/>
          <w:szCs w:val="24"/>
        </w:rPr>
        <w:t>月</w:t>
      </w:r>
    </w:p>
    <w:p>
      <w:pPr>
        <w:overflowPunct w:val="0"/>
        <w:spacing w:line="360" w:lineRule="auto"/>
        <w:jc w:val="center"/>
        <w:textAlignment w:val="top"/>
        <w:rPr>
          <w:rFonts w:ascii="Times New Roman" w:hAnsi="Times New Roman"/>
          <w:b/>
          <w:snapToGrid w:val="0"/>
          <w:sz w:val="32"/>
          <w:szCs w:val="32"/>
        </w:rPr>
      </w:pPr>
      <w:r>
        <w:rPr>
          <w:rFonts w:hint="eastAsia"/>
          <w:b/>
          <w:bCs/>
          <w:sz w:val="32"/>
        </w:rPr>
        <w:t>国家环境保护总局制</w:t>
      </w:r>
    </w:p>
    <w:p>
      <w:pPr>
        <w:spacing w:line="600" w:lineRule="exact"/>
        <w:jc w:val="center"/>
        <w:rPr>
          <w:rFonts w:ascii="Times New Roman" w:hAnsi="Times New Roman" w:eastAsia="黑体"/>
          <w:b/>
          <w:spacing w:val="-12"/>
          <w:sz w:val="36"/>
          <w:szCs w:val="24"/>
        </w:rPr>
      </w:pPr>
      <w:r>
        <w:rPr>
          <w:rFonts w:hint="eastAsia" w:ascii="Times New Roman" w:hAnsi="Times New Roman" w:eastAsia="黑体"/>
          <w:b/>
          <w:sz w:val="36"/>
          <w:szCs w:val="24"/>
        </w:rPr>
        <w:t>《建设项目环境影响报告表》编制说明</w:t>
      </w:r>
    </w:p>
    <w:p>
      <w:pPr>
        <w:spacing w:line="600" w:lineRule="exact"/>
        <w:jc w:val="center"/>
        <w:rPr>
          <w:rFonts w:ascii="Times New Roman" w:hAnsi="Times New Roman"/>
          <w:b/>
          <w:spacing w:val="-12"/>
          <w:sz w:val="28"/>
          <w:szCs w:val="24"/>
        </w:rPr>
      </w:pPr>
    </w:p>
    <w:p>
      <w:pPr>
        <w:spacing w:line="700" w:lineRule="exact"/>
        <w:ind w:firstLine="482"/>
        <w:rPr>
          <w:rFonts w:ascii="Times New Roman" w:hAnsi="Times New Roman"/>
          <w:spacing w:val="-12"/>
          <w:sz w:val="28"/>
          <w:szCs w:val="24"/>
        </w:rPr>
      </w:pPr>
      <w:r>
        <w:rPr>
          <w:rFonts w:hint="eastAsia" w:ascii="Times New Roman" w:hAnsi="Times New Roman"/>
          <w:spacing w:val="-12"/>
          <w:sz w:val="28"/>
          <w:szCs w:val="24"/>
        </w:rPr>
        <w:t>《建设项目环境影响报告表》由具有从事环境影响评价工作资质的单位编制。</w:t>
      </w:r>
    </w:p>
    <w:p>
      <w:pPr>
        <w:numPr>
          <w:ilvl w:val="0"/>
          <w:numId w:val="2"/>
        </w:numPr>
        <w:spacing w:line="700" w:lineRule="exact"/>
        <w:rPr>
          <w:rFonts w:ascii="Times New Roman" w:hAnsi="Times New Roman"/>
          <w:spacing w:val="-12"/>
          <w:sz w:val="28"/>
          <w:szCs w:val="24"/>
        </w:rPr>
      </w:pPr>
      <w:r>
        <w:rPr>
          <w:rFonts w:hint="eastAsia" w:ascii="Times New Roman" w:hAnsi="Times New Roman"/>
          <w:spacing w:val="-12"/>
          <w:sz w:val="28"/>
          <w:szCs w:val="24"/>
        </w:rPr>
        <w:t>项目名称</w:t>
      </w:r>
      <w:r>
        <w:rPr>
          <w:rFonts w:ascii="Times New Roman" w:hAnsi="Times New Roman"/>
          <w:spacing w:val="-12"/>
          <w:sz w:val="28"/>
          <w:szCs w:val="24"/>
        </w:rPr>
        <w:t>——</w:t>
      </w:r>
      <w:r>
        <w:rPr>
          <w:rFonts w:hint="eastAsia" w:ascii="Times New Roman" w:hAnsi="Times New Roman"/>
          <w:spacing w:val="-12"/>
          <w:sz w:val="28"/>
          <w:szCs w:val="24"/>
        </w:rPr>
        <w:t>指项目立项批复时的名称，应不超过</w:t>
      </w:r>
      <w:r>
        <w:rPr>
          <w:rFonts w:ascii="Times New Roman" w:hAnsi="Times New Roman"/>
          <w:spacing w:val="-12"/>
          <w:sz w:val="28"/>
          <w:szCs w:val="24"/>
        </w:rPr>
        <w:t>30</w:t>
      </w:r>
      <w:r>
        <w:rPr>
          <w:rFonts w:hint="eastAsia" w:ascii="Times New Roman" w:hAnsi="Times New Roman"/>
          <w:spacing w:val="-12"/>
          <w:sz w:val="28"/>
          <w:szCs w:val="24"/>
        </w:rPr>
        <w:t>个字（两个英文字段作一个汉字）。</w:t>
      </w:r>
    </w:p>
    <w:p>
      <w:pPr>
        <w:numPr>
          <w:ilvl w:val="0"/>
          <w:numId w:val="2"/>
        </w:numPr>
        <w:spacing w:line="700" w:lineRule="exact"/>
        <w:rPr>
          <w:rFonts w:ascii="Times New Roman" w:hAnsi="Times New Roman"/>
          <w:spacing w:val="-12"/>
          <w:sz w:val="28"/>
          <w:szCs w:val="24"/>
        </w:rPr>
      </w:pPr>
      <w:r>
        <w:rPr>
          <w:rFonts w:hint="eastAsia" w:ascii="Times New Roman" w:hAnsi="Times New Roman"/>
          <w:spacing w:val="-12"/>
          <w:sz w:val="28"/>
          <w:szCs w:val="24"/>
        </w:rPr>
        <w:t>建设地点</w:t>
      </w:r>
      <w:r>
        <w:rPr>
          <w:rFonts w:ascii="Times New Roman" w:hAnsi="Times New Roman"/>
          <w:spacing w:val="-12"/>
          <w:sz w:val="28"/>
          <w:szCs w:val="24"/>
        </w:rPr>
        <w:t>——</w:t>
      </w:r>
      <w:r>
        <w:rPr>
          <w:rFonts w:hint="eastAsia" w:ascii="Times New Roman" w:hAnsi="Times New Roman"/>
          <w:spacing w:val="-12"/>
          <w:sz w:val="28"/>
          <w:szCs w:val="24"/>
        </w:rPr>
        <w:t>指项目所在地详细地址，公路、铁路应填写起止地点。</w:t>
      </w:r>
    </w:p>
    <w:p>
      <w:pPr>
        <w:numPr>
          <w:ilvl w:val="0"/>
          <w:numId w:val="2"/>
        </w:numPr>
        <w:spacing w:line="700" w:lineRule="exact"/>
        <w:rPr>
          <w:rFonts w:ascii="Times New Roman" w:hAnsi="Times New Roman"/>
          <w:spacing w:val="-12"/>
          <w:sz w:val="28"/>
          <w:szCs w:val="24"/>
        </w:rPr>
      </w:pPr>
      <w:r>
        <w:rPr>
          <w:rFonts w:hint="eastAsia" w:ascii="Times New Roman" w:hAnsi="Times New Roman"/>
          <w:spacing w:val="-12"/>
          <w:sz w:val="28"/>
          <w:szCs w:val="24"/>
        </w:rPr>
        <w:t>行业类别</w:t>
      </w:r>
      <w:r>
        <w:rPr>
          <w:rFonts w:ascii="Times New Roman" w:hAnsi="Times New Roman"/>
          <w:spacing w:val="-12"/>
          <w:sz w:val="28"/>
          <w:szCs w:val="24"/>
        </w:rPr>
        <w:t>——</w:t>
      </w:r>
      <w:r>
        <w:rPr>
          <w:rFonts w:hint="eastAsia" w:ascii="Times New Roman" w:hAnsi="Times New Roman"/>
          <w:spacing w:val="-12"/>
          <w:sz w:val="28"/>
          <w:szCs w:val="24"/>
        </w:rPr>
        <w:t>按国标填写。</w:t>
      </w:r>
    </w:p>
    <w:p>
      <w:pPr>
        <w:numPr>
          <w:ilvl w:val="0"/>
          <w:numId w:val="2"/>
        </w:numPr>
        <w:spacing w:line="700" w:lineRule="exact"/>
        <w:rPr>
          <w:rFonts w:ascii="Times New Roman" w:hAnsi="Times New Roman"/>
          <w:spacing w:val="-12"/>
          <w:sz w:val="28"/>
          <w:szCs w:val="24"/>
        </w:rPr>
      </w:pPr>
      <w:r>
        <w:rPr>
          <w:rFonts w:hint="eastAsia" w:ascii="Times New Roman" w:hAnsi="Times New Roman"/>
          <w:spacing w:val="-12"/>
          <w:sz w:val="28"/>
          <w:szCs w:val="24"/>
        </w:rPr>
        <w:t>总投资</w:t>
      </w:r>
      <w:r>
        <w:rPr>
          <w:rFonts w:ascii="Times New Roman" w:hAnsi="Times New Roman"/>
          <w:spacing w:val="-12"/>
          <w:sz w:val="28"/>
          <w:szCs w:val="24"/>
        </w:rPr>
        <w:t>——</w:t>
      </w:r>
      <w:r>
        <w:rPr>
          <w:rFonts w:hint="eastAsia" w:ascii="Times New Roman" w:hAnsi="Times New Roman"/>
          <w:spacing w:val="-12"/>
          <w:sz w:val="28"/>
          <w:szCs w:val="24"/>
        </w:rPr>
        <w:t>指项目投资总额。</w:t>
      </w:r>
    </w:p>
    <w:p>
      <w:pPr>
        <w:numPr>
          <w:ilvl w:val="0"/>
          <w:numId w:val="2"/>
        </w:numPr>
        <w:spacing w:line="700" w:lineRule="exact"/>
        <w:rPr>
          <w:rFonts w:ascii="Times New Roman" w:hAnsi="Times New Roman"/>
          <w:spacing w:val="-12"/>
          <w:sz w:val="28"/>
          <w:szCs w:val="24"/>
        </w:rPr>
      </w:pPr>
      <w:r>
        <w:rPr>
          <w:rFonts w:hint="eastAsia" w:ascii="Times New Roman" w:hAnsi="Times New Roman"/>
          <w:spacing w:val="-12"/>
          <w:sz w:val="28"/>
          <w:szCs w:val="24"/>
        </w:rPr>
        <w:t>主要环境保护目标</w:t>
      </w:r>
      <w:r>
        <w:rPr>
          <w:rFonts w:ascii="Times New Roman" w:hAnsi="Times New Roman"/>
          <w:spacing w:val="-12"/>
          <w:sz w:val="28"/>
          <w:szCs w:val="24"/>
        </w:rPr>
        <w:t>——</w:t>
      </w:r>
      <w:r>
        <w:rPr>
          <w:rFonts w:hint="eastAsia" w:ascii="Times New Roman" w:hAnsi="Times New Roman"/>
          <w:spacing w:val="-12"/>
          <w:sz w:val="28"/>
          <w:szCs w:val="24"/>
        </w:rPr>
        <w:t>指项目区周围一定范围内集中居民住宅区、学校、医院、保护文物、风景名胜区、水源地和生态敏感点等，应尽可能给出保护目标、性质、规模和距厂界距离等。</w:t>
      </w:r>
    </w:p>
    <w:p>
      <w:pPr>
        <w:numPr>
          <w:ilvl w:val="0"/>
          <w:numId w:val="2"/>
        </w:numPr>
        <w:spacing w:line="700" w:lineRule="exact"/>
        <w:rPr>
          <w:rFonts w:ascii="Times New Roman" w:hAnsi="Times New Roman"/>
          <w:spacing w:val="-12"/>
          <w:sz w:val="28"/>
          <w:szCs w:val="24"/>
        </w:rPr>
      </w:pPr>
      <w:r>
        <w:rPr>
          <w:rFonts w:hint="eastAsia" w:ascii="Times New Roman" w:hAnsi="Times New Roman"/>
          <w:spacing w:val="-12"/>
          <w:sz w:val="28"/>
          <w:szCs w:val="24"/>
        </w:rPr>
        <w:t>结论与建议</w:t>
      </w:r>
      <w:r>
        <w:rPr>
          <w:rFonts w:ascii="Times New Roman" w:hAnsi="Times New Roman"/>
          <w:spacing w:val="-12"/>
          <w:sz w:val="28"/>
          <w:szCs w:val="24"/>
        </w:rPr>
        <w:t>——</w:t>
      </w:r>
      <w:r>
        <w:rPr>
          <w:rFonts w:hint="eastAsia" w:ascii="Times New Roman" w:hAnsi="Times New Roman"/>
          <w:spacing w:val="-12"/>
          <w:sz w:val="28"/>
          <w:szCs w:val="24"/>
        </w:rPr>
        <w:t>给出本项目清洁生产、达标排放和总量控制的分析结论，确定污染防治措施的有效性，说明本项目对环境造成的影响，给出建设项目环境可行性的明确结论。同时提出减少环境影响的其他建议。</w:t>
      </w:r>
    </w:p>
    <w:p>
      <w:pPr>
        <w:numPr>
          <w:ilvl w:val="0"/>
          <w:numId w:val="2"/>
        </w:numPr>
        <w:spacing w:line="700" w:lineRule="exact"/>
        <w:rPr>
          <w:rFonts w:ascii="Times New Roman" w:hAnsi="Times New Roman"/>
          <w:spacing w:val="-12"/>
          <w:sz w:val="28"/>
          <w:szCs w:val="24"/>
        </w:rPr>
      </w:pPr>
      <w:r>
        <w:rPr>
          <w:rFonts w:hint="eastAsia" w:ascii="Times New Roman" w:hAnsi="Times New Roman"/>
          <w:spacing w:val="-12"/>
          <w:sz w:val="28"/>
          <w:szCs w:val="24"/>
        </w:rPr>
        <w:t>预审意见</w:t>
      </w:r>
      <w:r>
        <w:rPr>
          <w:rFonts w:ascii="Times New Roman" w:hAnsi="Times New Roman"/>
          <w:spacing w:val="-12"/>
          <w:sz w:val="28"/>
          <w:szCs w:val="24"/>
        </w:rPr>
        <w:t>——</w:t>
      </w:r>
      <w:r>
        <w:rPr>
          <w:rFonts w:hint="eastAsia" w:ascii="Times New Roman" w:hAnsi="Times New Roman"/>
          <w:spacing w:val="-12"/>
          <w:sz w:val="28"/>
          <w:szCs w:val="24"/>
        </w:rPr>
        <w:t>由行业主管部门填写答复意见，无主管部门项目，可不填。</w:t>
      </w:r>
    </w:p>
    <w:p>
      <w:pPr>
        <w:numPr>
          <w:ilvl w:val="0"/>
          <w:numId w:val="2"/>
        </w:numPr>
        <w:spacing w:line="700" w:lineRule="exact"/>
        <w:rPr>
          <w:rFonts w:ascii="Times New Roman" w:hAnsi="Times New Roman"/>
          <w:spacing w:val="-12"/>
          <w:sz w:val="28"/>
          <w:szCs w:val="24"/>
        </w:rPr>
      </w:pPr>
      <w:r>
        <w:rPr>
          <w:rFonts w:hint="eastAsia" w:ascii="Times New Roman" w:hAnsi="Times New Roman"/>
          <w:spacing w:val="-12"/>
          <w:sz w:val="28"/>
          <w:szCs w:val="24"/>
        </w:rPr>
        <w:t>审批意见</w:t>
      </w:r>
      <w:r>
        <w:rPr>
          <w:rFonts w:ascii="Times New Roman" w:hAnsi="Times New Roman"/>
          <w:spacing w:val="-12"/>
          <w:sz w:val="28"/>
          <w:szCs w:val="24"/>
        </w:rPr>
        <w:t>——</w:t>
      </w:r>
      <w:r>
        <w:rPr>
          <w:rFonts w:hint="eastAsia" w:ascii="Times New Roman" w:hAnsi="Times New Roman"/>
          <w:spacing w:val="-12"/>
          <w:sz w:val="28"/>
          <w:szCs w:val="24"/>
        </w:rPr>
        <w:t>由负责审批该项目的环境保护行政主管部门批复。</w:t>
      </w:r>
    </w:p>
    <w:p>
      <w:pPr>
        <w:ind w:firstLine="768" w:firstLineChars="300"/>
        <w:jc w:val="left"/>
        <w:rPr>
          <w:rFonts w:ascii="Times New Roman" w:hAnsi="Times New Roman"/>
          <w:spacing w:val="-12"/>
          <w:sz w:val="28"/>
          <w:szCs w:val="24"/>
        </w:rPr>
      </w:pPr>
    </w:p>
    <w:p>
      <w:pPr>
        <w:ind w:firstLine="256" w:firstLineChars="100"/>
        <w:jc w:val="left"/>
        <w:rPr>
          <w:rFonts w:ascii="Times New Roman" w:hAnsi="Times New Roman"/>
          <w:spacing w:val="-12"/>
          <w:sz w:val="28"/>
          <w:szCs w:val="24"/>
        </w:rPr>
      </w:pPr>
    </w:p>
    <w:p>
      <w:pPr>
        <w:spacing w:before="240" w:after="60" w:line="360" w:lineRule="auto"/>
        <w:jc w:val="left"/>
        <w:outlineLvl w:val="0"/>
        <w:rPr>
          <w:rFonts w:ascii="Times New Roman" w:hAnsi="Times New Roman"/>
          <w:bCs/>
          <w:sz w:val="30"/>
          <w:szCs w:val="30"/>
        </w:rPr>
        <w:sectPr>
          <w:headerReference r:id="rId3" w:type="default"/>
          <w:footerReference r:id="rId4" w:type="default"/>
          <w:pgSz w:w="11906" w:h="16838"/>
          <w:pgMar w:top="1134" w:right="1134" w:bottom="1134" w:left="1418" w:header="851" w:footer="851" w:gutter="0"/>
          <w:pgNumType w:start="1"/>
          <w:cols w:space="425" w:num="1"/>
          <w:docGrid w:type="lines" w:linePitch="312" w:charSpace="0"/>
        </w:sectPr>
      </w:pPr>
    </w:p>
    <w:p>
      <w:pPr>
        <w:spacing w:before="240" w:after="60" w:line="360" w:lineRule="auto"/>
        <w:jc w:val="left"/>
        <w:outlineLvl w:val="0"/>
        <w:rPr>
          <w:rFonts w:ascii="Times New Roman" w:hAnsi="Times New Roman"/>
          <w:b/>
          <w:bCs/>
          <w:sz w:val="32"/>
          <w:szCs w:val="32"/>
        </w:rPr>
      </w:pPr>
      <w:bookmarkStart w:id="3" w:name="_Toc354673212"/>
      <w:bookmarkStart w:id="4" w:name="_Toc404248791"/>
      <w:r>
        <w:rPr>
          <w:rFonts w:hint="eastAsia" w:ascii="Times New Roman" w:hAnsi="Times New Roman"/>
          <w:b/>
          <w:bCs/>
          <w:sz w:val="32"/>
          <w:szCs w:val="32"/>
        </w:rPr>
        <w:t>建设项目基本情况</w:t>
      </w:r>
      <w:bookmarkEnd w:id="3"/>
      <w:bookmarkEnd w:id="4"/>
    </w:p>
    <w:tbl>
      <w:tblPr>
        <w:tblStyle w:val="37"/>
        <w:tblW w:w="934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54"/>
        <w:gridCol w:w="1499"/>
        <w:gridCol w:w="261"/>
        <w:gridCol w:w="1612"/>
        <w:gridCol w:w="841"/>
        <w:gridCol w:w="404"/>
        <w:gridCol w:w="841"/>
        <w:gridCol w:w="385"/>
        <w:gridCol w:w="8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exact"/>
          <w:jc w:val="center"/>
        </w:trPr>
        <w:tc>
          <w:tcPr>
            <w:tcW w:w="2654" w:type="dxa"/>
            <w:tcBorders>
              <w:top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项目名称</w:t>
            </w:r>
          </w:p>
        </w:tc>
        <w:tc>
          <w:tcPr>
            <w:tcW w:w="6690" w:type="dxa"/>
            <w:gridSpan w:val="8"/>
            <w:tcBorders>
              <w:top w:val="single" w:color="auto" w:sz="4" w:space="0"/>
              <w:left w:val="single" w:color="auto" w:sz="4" w:space="0"/>
              <w:bottom w:val="single" w:color="auto" w:sz="4" w:space="0"/>
            </w:tcBorders>
            <w:vAlign w:val="center"/>
          </w:tcPr>
          <w:p>
            <w:pPr>
              <w:spacing w:line="440" w:lineRule="exact"/>
              <w:ind w:firstLine="240" w:firstLineChars="100"/>
              <w:jc w:val="center"/>
              <w:textAlignment w:val="center"/>
              <w:rPr>
                <w:rFonts w:ascii="Times New Roman" w:hAnsi="Times New Roman"/>
                <w:bCs/>
                <w:sz w:val="24"/>
                <w:szCs w:val="24"/>
              </w:rPr>
            </w:pPr>
            <w:bookmarkStart w:id="5" w:name="_Hlk8136423"/>
            <w:r>
              <w:rPr>
                <w:rFonts w:hint="eastAsia" w:ascii="Times New Roman" w:hAnsi="Times New Roman"/>
                <w:bCs/>
                <w:sz w:val="24"/>
                <w:szCs w:val="24"/>
              </w:rPr>
              <w:t>定安县定城污水处理厂二期改扩建工程</w:t>
            </w:r>
            <w:bookmarkEnd w:id="5"/>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exact"/>
          <w:jc w:val="center"/>
        </w:trPr>
        <w:tc>
          <w:tcPr>
            <w:tcW w:w="2654" w:type="dxa"/>
            <w:tcBorders>
              <w:top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建设单位</w:t>
            </w:r>
          </w:p>
        </w:tc>
        <w:tc>
          <w:tcPr>
            <w:tcW w:w="6690" w:type="dxa"/>
            <w:gridSpan w:val="8"/>
            <w:tcBorders>
              <w:top w:val="single" w:color="auto" w:sz="4" w:space="0"/>
              <w:left w:val="single" w:color="auto" w:sz="4" w:space="0"/>
              <w:bottom w:val="single" w:color="auto" w:sz="4" w:space="0"/>
            </w:tcBorders>
            <w:vAlign w:val="center"/>
          </w:tcPr>
          <w:p>
            <w:pPr>
              <w:spacing w:line="440" w:lineRule="exact"/>
              <w:ind w:firstLine="240" w:firstLineChars="100"/>
              <w:jc w:val="center"/>
              <w:textAlignment w:val="center"/>
              <w:rPr>
                <w:rFonts w:ascii="Times New Roman" w:hAnsi="Times New Roman"/>
                <w:bCs/>
                <w:sz w:val="24"/>
                <w:szCs w:val="24"/>
              </w:rPr>
            </w:pPr>
            <w:bookmarkStart w:id="6" w:name="_Hlk8136510"/>
            <w:r>
              <w:rPr>
                <w:rFonts w:hint="eastAsia" w:ascii="Times New Roman" w:hAnsi="Times New Roman"/>
                <w:bCs/>
                <w:sz w:val="24"/>
                <w:szCs w:val="24"/>
              </w:rPr>
              <w:t>定安县水务有限公司</w:t>
            </w:r>
            <w:bookmarkEnd w:id="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exact"/>
          <w:jc w:val="center"/>
        </w:trPr>
        <w:tc>
          <w:tcPr>
            <w:tcW w:w="2654" w:type="dxa"/>
            <w:tcBorders>
              <w:top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法人代表</w:t>
            </w:r>
          </w:p>
        </w:tc>
        <w:tc>
          <w:tcPr>
            <w:tcW w:w="3372"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ind w:firstLine="240" w:firstLineChars="100"/>
              <w:jc w:val="center"/>
              <w:textAlignment w:val="center"/>
              <w:rPr>
                <w:rFonts w:ascii="Times New Roman" w:hAnsi="Times New Roman"/>
                <w:bCs/>
                <w:sz w:val="24"/>
                <w:szCs w:val="24"/>
              </w:rPr>
            </w:pPr>
            <w:r>
              <w:rPr>
                <w:rFonts w:hint="eastAsia" w:ascii="Times New Roman" w:hAnsi="Times New Roman"/>
                <w:bCs/>
                <w:sz w:val="24"/>
                <w:szCs w:val="24"/>
              </w:rPr>
              <w:t>曾得效</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联系人</w:t>
            </w:r>
          </w:p>
        </w:tc>
        <w:tc>
          <w:tcPr>
            <w:tcW w:w="2073" w:type="dxa"/>
            <w:gridSpan w:val="3"/>
            <w:tcBorders>
              <w:top w:val="single" w:color="auto" w:sz="4" w:space="0"/>
              <w:left w:val="single" w:color="auto" w:sz="4" w:space="0"/>
              <w:bottom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rPr>
              <w:t>吴清飞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exact"/>
          <w:jc w:val="center"/>
        </w:trPr>
        <w:tc>
          <w:tcPr>
            <w:tcW w:w="2654" w:type="dxa"/>
            <w:tcBorders>
              <w:top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通讯地址</w:t>
            </w:r>
          </w:p>
        </w:tc>
        <w:tc>
          <w:tcPr>
            <w:tcW w:w="6690" w:type="dxa"/>
            <w:gridSpan w:val="8"/>
            <w:tcBorders>
              <w:top w:val="single" w:color="auto" w:sz="4" w:space="0"/>
              <w:left w:val="single" w:color="auto" w:sz="4" w:space="0"/>
              <w:bottom w:val="single" w:color="auto" w:sz="4" w:space="0"/>
            </w:tcBorders>
            <w:vAlign w:val="center"/>
          </w:tcPr>
          <w:p>
            <w:pPr>
              <w:spacing w:line="440" w:lineRule="exact"/>
              <w:ind w:firstLine="240" w:firstLineChars="100"/>
              <w:jc w:val="center"/>
              <w:textAlignment w:val="center"/>
              <w:rPr>
                <w:rFonts w:ascii="Times New Roman" w:hAnsi="Times New Roman"/>
                <w:bCs/>
                <w:sz w:val="24"/>
                <w:szCs w:val="24"/>
              </w:rPr>
            </w:pPr>
            <w:r>
              <w:rPr>
                <w:rFonts w:hint="eastAsia" w:ascii="Times New Roman" w:hAnsi="Times New Roman"/>
                <w:sz w:val="24"/>
              </w:rPr>
              <w:t>海南省定安县环城北路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exact"/>
          <w:jc w:val="center"/>
        </w:trPr>
        <w:tc>
          <w:tcPr>
            <w:tcW w:w="2654" w:type="dxa"/>
            <w:tcBorders>
              <w:top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联系电话</w:t>
            </w:r>
          </w:p>
        </w:tc>
        <w:tc>
          <w:tcPr>
            <w:tcW w:w="1499"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bookmarkStart w:id="7" w:name="_Hlk8136530"/>
            <w:r>
              <w:rPr>
                <w:rFonts w:ascii="Times New Roman" w:hAnsi="Times New Roman"/>
                <w:bCs/>
                <w:sz w:val="24"/>
              </w:rPr>
              <w:t>18876952152</w:t>
            </w:r>
            <w:bookmarkEnd w:id="7"/>
          </w:p>
        </w:tc>
        <w:tc>
          <w:tcPr>
            <w:tcW w:w="187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传真</w:t>
            </w:r>
          </w:p>
        </w:tc>
        <w:tc>
          <w:tcPr>
            <w:tcW w:w="84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ascii="Times New Roman" w:hAnsi="Times New Roman"/>
                <w:bCs/>
                <w:sz w:val="24"/>
                <w:szCs w:val="24"/>
              </w:rPr>
              <w:t>——</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邮政编码</w:t>
            </w:r>
          </w:p>
        </w:tc>
        <w:tc>
          <w:tcPr>
            <w:tcW w:w="1232" w:type="dxa"/>
            <w:gridSpan w:val="2"/>
            <w:tcBorders>
              <w:top w:val="single" w:color="auto" w:sz="4" w:space="0"/>
              <w:left w:val="single" w:color="auto" w:sz="4" w:space="0"/>
              <w:bottom w:val="single" w:color="auto" w:sz="4" w:space="0"/>
            </w:tcBorders>
            <w:vAlign w:val="center"/>
          </w:tcPr>
          <w:p>
            <w:pPr>
              <w:spacing w:line="440" w:lineRule="exact"/>
              <w:jc w:val="center"/>
              <w:textAlignment w:val="center"/>
              <w:rPr>
                <w:rFonts w:ascii="Times New Roman" w:hAnsi="Times New Roman"/>
                <w:bCs/>
                <w:sz w:val="24"/>
                <w:szCs w:val="24"/>
              </w:rPr>
            </w:pPr>
            <w:r>
              <w:rPr>
                <w:rFonts w:ascii="Times New Roman" w:hAnsi="Times New Roman"/>
                <w:bCs/>
                <w:sz w:val="24"/>
              </w:rPr>
              <w:t>571200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exact"/>
          <w:jc w:val="center"/>
        </w:trPr>
        <w:tc>
          <w:tcPr>
            <w:tcW w:w="2654" w:type="dxa"/>
            <w:tcBorders>
              <w:top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建设地点</w:t>
            </w:r>
          </w:p>
        </w:tc>
        <w:tc>
          <w:tcPr>
            <w:tcW w:w="6690" w:type="dxa"/>
            <w:gridSpan w:val="8"/>
            <w:tcBorders>
              <w:top w:val="single" w:color="auto" w:sz="4" w:space="0"/>
              <w:left w:val="single" w:color="auto" w:sz="4" w:space="0"/>
              <w:bottom w:val="single" w:color="auto" w:sz="4" w:space="0"/>
            </w:tcBorders>
            <w:vAlign w:val="center"/>
          </w:tcPr>
          <w:p>
            <w:pPr>
              <w:spacing w:line="440" w:lineRule="exact"/>
              <w:jc w:val="center"/>
              <w:textAlignment w:val="center"/>
              <w:rPr>
                <w:rFonts w:ascii="Times New Roman" w:hAnsi="Times New Roman"/>
                <w:bCs/>
                <w:sz w:val="24"/>
                <w:szCs w:val="24"/>
              </w:rPr>
            </w:pPr>
            <w:bookmarkStart w:id="8" w:name="_Hlk8136602"/>
            <w:r>
              <w:rPr>
                <w:rFonts w:hint="eastAsia" w:ascii="Times New Roman" w:hAnsi="Times New Roman"/>
                <w:sz w:val="24"/>
              </w:rPr>
              <w:t>海南省定安县环城北路定城污水处理厂</w:t>
            </w:r>
            <w:bookmarkEnd w:id="8"/>
            <w:r>
              <w:rPr>
                <w:rFonts w:hint="eastAsia" w:ascii="Times New Roman" w:hAnsi="Times New Roman"/>
                <w:sz w:val="24"/>
              </w:rPr>
              <w:t>预留二期建设场地。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8" w:hRule="atLeast"/>
          <w:jc w:val="center"/>
        </w:trPr>
        <w:tc>
          <w:tcPr>
            <w:tcW w:w="2654" w:type="dxa"/>
            <w:tcBorders>
              <w:top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立项审批部门</w:t>
            </w:r>
          </w:p>
        </w:tc>
        <w:tc>
          <w:tcPr>
            <w:tcW w:w="3372"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ascii="Times New Roman" w:hAnsi="Times New Roman"/>
                <w:bCs/>
                <w:sz w:val="24"/>
                <w:szCs w:val="24"/>
              </w:rPr>
              <w:t>-</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textAlignment w:val="center"/>
              <w:rPr>
                <w:rFonts w:ascii="Times New Roman" w:hAnsi="Times New Roman"/>
                <w:bCs/>
                <w:sz w:val="24"/>
                <w:szCs w:val="24"/>
              </w:rPr>
            </w:pPr>
            <w:r>
              <w:rPr>
                <w:rFonts w:hint="eastAsia" w:ascii="Times New Roman" w:hAnsi="Times New Roman"/>
                <w:bCs/>
                <w:sz w:val="24"/>
                <w:szCs w:val="24"/>
              </w:rPr>
              <w:t>批准文号</w:t>
            </w:r>
          </w:p>
        </w:tc>
        <w:tc>
          <w:tcPr>
            <w:tcW w:w="2073" w:type="dxa"/>
            <w:gridSpan w:val="3"/>
            <w:tcBorders>
              <w:top w:val="single" w:color="auto" w:sz="4" w:space="0"/>
              <w:left w:val="single" w:color="auto" w:sz="4" w:space="0"/>
              <w:bottom w:val="single" w:color="auto" w:sz="4" w:space="0"/>
            </w:tcBorders>
            <w:vAlign w:val="center"/>
          </w:tcPr>
          <w:p>
            <w:pPr>
              <w:spacing w:line="440" w:lineRule="exact"/>
              <w:jc w:val="center"/>
              <w:textAlignment w:val="center"/>
              <w:rPr>
                <w:rFonts w:ascii="Times New Roman" w:hAnsi="Times New Roman"/>
                <w:bCs/>
                <w:sz w:val="24"/>
                <w:szCs w:val="24"/>
              </w:rPr>
            </w:pPr>
            <w:r>
              <w:rPr>
                <w:rFonts w:ascii="Times New Roman" w:hAnsi="Times New Roman"/>
                <w:bCs/>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8" w:hRule="atLeast"/>
          <w:jc w:val="center"/>
        </w:trPr>
        <w:tc>
          <w:tcPr>
            <w:tcW w:w="2654" w:type="dxa"/>
            <w:tcBorders>
              <w:top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建设性质</w:t>
            </w:r>
          </w:p>
        </w:tc>
        <w:tc>
          <w:tcPr>
            <w:tcW w:w="3372"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改扩建</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行业类别及代码</w:t>
            </w:r>
          </w:p>
        </w:tc>
        <w:tc>
          <w:tcPr>
            <w:tcW w:w="2073" w:type="dxa"/>
            <w:gridSpan w:val="3"/>
            <w:tcBorders>
              <w:top w:val="single" w:color="auto" w:sz="4" w:space="0"/>
              <w:left w:val="single" w:color="auto" w:sz="4" w:space="0"/>
              <w:bottom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kern w:val="0"/>
                <w:sz w:val="24"/>
                <w:szCs w:val="24"/>
              </w:rPr>
              <w:t>污水处理及其再生利用</w:t>
            </w:r>
            <w:r>
              <w:rPr>
                <w:rFonts w:ascii="Times New Roman" w:hAnsi="Times New Roman"/>
                <w:kern w:val="0"/>
                <w:sz w:val="24"/>
                <w:szCs w:val="24"/>
              </w:rPr>
              <w:t>D4620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8" w:hRule="atLeast"/>
          <w:jc w:val="center"/>
        </w:trPr>
        <w:tc>
          <w:tcPr>
            <w:tcW w:w="2654" w:type="dxa"/>
            <w:tcBorders>
              <w:top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占地面积</w:t>
            </w:r>
          </w:p>
          <w:p>
            <w:pPr>
              <w:spacing w:line="320" w:lineRule="exact"/>
              <w:jc w:val="center"/>
              <w:textAlignment w:val="center"/>
              <w:rPr>
                <w:rFonts w:ascii="Times New Roman" w:hAnsi="Times New Roman"/>
                <w:bCs/>
                <w:sz w:val="24"/>
                <w:szCs w:val="24"/>
              </w:rPr>
            </w:pPr>
            <w:r>
              <w:rPr>
                <w:rFonts w:ascii="Times New Roman" w:hAnsi="Times New Roman"/>
                <w:bCs/>
                <w:sz w:val="24"/>
                <w:szCs w:val="24"/>
              </w:rPr>
              <w:t>(</w:t>
            </w:r>
            <w:r>
              <w:rPr>
                <w:rFonts w:hint="eastAsia" w:ascii="Times New Roman" w:hAnsi="Times New Roman"/>
                <w:bCs/>
                <w:sz w:val="24"/>
                <w:szCs w:val="24"/>
              </w:rPr>
              <w:t>平方米</w:t>
            </w:r>
            <w:r>
              <w:rPr>
                <w:rFonts w:ascii="Times New Roman" w:hAnsi="Times New Roman"/>
                <w:bCs/>
                <w:sz w:val="24"/>
                <w:szCs w:val="24"/>
              </w:rPr>
              <w:t>)</w:t>
            </w:r>
          </w:p>
        </w:tc>
        <w:tc>
          <w:tcPr>
            <w:tcW w:w="3372"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ascii="Times New Roman" w:hAnsi="Times New Roman"/>
                <w:bCs/>
                <w:sz w:val="24"/>
              </w:rPr>
              <w:t>39669m</w:t>
            </w:r>
            <w:r>
              <w:rPr>
                <w:rFonts w:ascii="Times New Roman" w:hAnsi="Times New Roman"/>
                <w:bCs/>
                <w:sz w:val="24"/>
                <w:vertAlign w:val="superscript"/>
              </w:rPr>
              <w:t>2</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绿化面积</w:t>
            </w:r>
            <w:r>
              <w:rPr>
                <w:rFonts w:ascii="Times New Roman" w:hAnsi="Times New Roman"/>
                <w:bCs/>
                <w:sz w:val="24"/>
                <w:szCs w:val="24"/>
              </w:rPr>
              <w:t>(</w:t>
            </w:r>
            <w:r>
              <w:rPr>
                <w:rFonts w:hint="eastAsia" w:ascii="Times New Roman" w:hAnsi="Times New Roman"/>
                <w:bCs/>
                <w:sz w:val="24"/>
                <w:szCs w:val="24"/>
              </w:rPr>
              <w:t>平方米</w:t>
            </w:r>
            <w:r>
              <w:rPr>
                <w:rFonts w:ascii="Times New Roman" w:hAnsi="Times New Roman"/>
                <w:bCs/>
                <w:sz w:val="24"/>
                <w:szCs w:val="24"/>
              </w:rPr>
              <w:t>)</w:t>
            </w:r>
          </w:p>
        </w:tc>
        <w:tc>
          <w:tcPr>
            <w:tcW w:w="2073" w:type="dxa"/>
            <w:gridSpan w:val="3"/>
            <w:tcBorders>
              <w:top w:val="single" w:color="auto" w:sz="4" w:space="0"/>
              <w:left w:val="single" w:color="auto" w:sz="4" w:space="0"/>
              <w:bottom w:val="single" w:color="auto" w:sz="4" w:space="0"/>
            </w:tcBorders>
            <w:vAlign w:val="center"/>
          </w:tcPr>
          <w:p>
            <w:pPr>
              <w:spacing w:line="320" w:lineRule="exact"/>
              <w:jc w:val="center"/>
              <w:textAlignment w:val="center"/>
              <w:rPr>
                <w:rFonts w:ascii="Times New Roman" w:hAnsi="Times New Roman"/>
                <w:bCs/>
                <w:sz w:val="24"/>
                <w:szCs w:val="24"/>
              </w:rPr>
            </w:pPr>
            <w:r>
              <w:rPr>
                <w:rFonts w:ascii="Times New Roman" w:hAnsi="Times New Roman"/>
                <w:bCs/>
                <w:sz w:val="24"/>
                <w:szCs w:val="24"/>
              </w:rPr>
              <w:t>12496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85" w:hRule="atLeast"/>
          <w:jc w:val="center"/>
        </w:trPr>
        <w:tc>
          <w:tcPr>
            <w:tcW w:w="2654" w:type="dxa"/>
            <w:tcBorders>
              <w:top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总投资</w:t>
            </w:r>
          </w:p>
          <w:p>
            <w:pPr>
              <w:spacing w:line="320" w:lineRule="exact"/>
              <w:jc w:val="center"/>
              <w:textAlignment w:val="center"/>
              <w:rPr>
                <w:rFonts w:ascii="Times New Roman" w:hAnsi="Times New Roman"/>
                <w:bCs/>
                <w:sz w:val="24"/>
                <w:szCs w:val="24"/>
              </w:rPr>
            </w:pPr>
            <w:r>
              <w:rPr>
                <w:rFonts w:ascii="Times New Roman" w:hAnsi="Times New Roman"/>
                <w:bCs/>
                <w:sz w:val="24"/>
                <w:szCs w:val="24"/>
              </w:rPr>
              <w:t>(</w:t>
            </w:r>
            <w:r>
              <w:rPr>
                <w:rFonts w:hint="eastAsia" w:ascii="Times New Roman" w:hAnsi="Times New Roman"/>
                <w:bCs/>
                <w:sz w:val="24"/>
                <w:szCs w:val="24"/>
              </w:rPr>
              <w:t>万元</w:t>
            </w:r>
            <w:r>
              <w:rPr>
                <w:rFonts w:ascii="Times New Roman" w:hAnsi="Times New Roman"/>
                <w:bCs/>
                <w:sz w:val="24"/>
                <w:szCs w:val="24"/>
              </w:rPr>
              <w:t>)</w:t>
            </w:r>
          </w:p>
        </w:tc>
        <w:tc>
          <w:tcPr>
            <w:tcW w:w="17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ascii="Times New Roman" w:hAnsi="Times New Roman"/>
                <w:bCs/>
                <w:sz w:val="24"/>
                <w:szCs w:val="24"/>
              </w:rPr>
              <w:t>8623.19</w:t>
            </w:r>
          </w:p>
        </w:tc>
        <w:tc>
          <w:tcPr>
            <w:tcW w:w="161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其中：环保投资</w:t>
            </w:r>
          </w:p>
          <w:p>
            <w:pPr>
              <w:spacing w:line="320" w:lineRule="exact"/>
              <w:jc w:val="center"/>
              <w:textAlignment w:val="center"/>
              <w:rPr>
                <w:rFonts w:ascii="Times New Roman" w:hAnsi="Times New Roman"/>
                <w:bCs/>
                <w:sz w:val="24"/>
                <w:szCs w:val="24"/>
              </w:rPr>
            </w:pPr>
            <w:r>
              <w:rPr>
                <w:rFonts w:ascii="Times New Roman" w:hAnsi="Times New Roman"/>
                <w:bCs/>
                <w:sz w:val="24"/>
                <w:szCs w:val="24"/>
              </w:rPr>
              <w:t>(</w:t>
            </w:r>
            <w:r>
              <w:rPr>
                <w:rFonts w:hint="eastAsia" w:ascii="Times New Roman" w:hAnsi="Times New Roman"/>
                <w:bCs/>
                <w:sz w:val="24"/>
                <w:szCs w:val="24"/>
              </w:rPr>
              <w:t>万元</w:t>
            </w:r>
            <w:r>
              <w:rPr>
                <w:rFonts w:ascii="Times New Roman" w:hAnsi="Times New Roman"/>
                <w:bCs/>
                <w:sz w:val="24"/>
                <w:szCs w:val="24"/>
              </w:rPr>
              <w:t>)</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ascii="Times New Roman" w:hAnsi="Times New Roman"/>
                <w:bCs/>
                <w:sz w:val="24"/>
                <w:szCs w:val="24"/>
              </w:rPr>
              <w:t>430</w:t>
            </w:r>
          </w:p>
        </w:tc>
        <w:tc>
          <w:tcPr>
            <w:tcW w:w="1226"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环保投资占总投资比例</w:t>
            </w:r>
          </w:p>
        </w:tc>
        <w:tc>
          <w:tcPr>
            <w:tcW w:w="847" w:type="dxa"/>
            <w:tcBorders>
              <w:top w:val="single" w:color="auto" w:sz="4" w:space="0"/>
              <w:left w:val="single" w:color="auto" w:sz="4" w:space="0"/>
              <w:bottom w:val="single" w:color="auto" w:sz="4" w:space="0"/>
            </w:tcBorders>
            <w:vAlign w:val="center"/>
          </w:tcPr>
          <w:p>
            <w:pPr>
              <w:spacing w:line="320" w:lineRule="exact"/>
              <w:jc w:val="center"/>
              <w:textAlignment w:val="center"/>
              <w:rPr>
                <w:rFonts w:ascii="Times New Roman" w:hAnsi="Times New Roman"/>
                <w:bCs/>
                <w:sz w:val="24"/>
                <w:szCs w:val="24"/>
              </w:rPr>
            </w:pPr>
            <w:r>
              <w:rPr>
                <w:rFonts w:ascii="Times New Roman" w:hAnsi="Times New Roman"/>
                <w:bCs/>
                <w:sz w:val="24"/>
                <w:szCs w:val="24"/>
              </w:rPr>
              <w:t>4.99%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97" w:hRule="exact"/>
          <w:jc w:val="center"/>
        </w:trPr>
        <w:tc>
          <w:tcPr>
            <w:tcW w:w="2654" w:type="dxa"/>
            <w:tcBorders>
              <w:top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评价经费</w:t>
            </w:r>
            <w:r>
              <w:rPr>
                <w:rFonts w:ascii="Times New Roman" w:hAnsi="Times New Roman"/>
                <w:bCs/>
                <w:sz w:val="24"/>
                <w:szCs w:val="24"/>
              </w:rPr>
              <w:t>(</w:t>
            </w:r>
            <w:r>
              <w:rPr>
                <w:rFonts w:hint="eastAsia" w:ascii="Times New Roman" w:hAnsi="Times New Roman"/>
                <w:bCs/>
                <w:sz w:val="24"/>
                <w:szCs w:val="24"/>
              </w:rPr>
              <w:t>万元</w:t>
            </w:r>
            <w:r>
              <w:rPr>
                <w:rFonts w:ascii="Times New Roman" w:hAnsi="Times New Roman"/>
                <w:bCs/>
                <w:sz w:val="24"/>
                <w:szCs w:val="24"/>
              </w:rPr>
              <w:t>)</w:t>
            </w:r>
          </w:p>
        </w:tc>
        <w:tc>
          <w:tcPr>
            <w:tcW w:w="176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ascii="Times New Roman" w:hAnsi="Times New Roman"/>
                <w:bCs/>
                <w:sz w:val="24"/>
              </w:rPr>
              <w:t>14.3</w:t>
            </w:r>
          </w:p>
        </w:tc>
        <w:tc>
          <w:tcPr>
            <w:tcW w:w="161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textAlignment w:val="center"/>
              <w:rPr>
                <w:rFonts w:ascii="Times New Roman" w:hAnsi="Times New Roman"/>
                <w:bCs/>
                <w:sz w:val="24"/>
                <w:szCs w:val="24"/>
              </w:rPr>
            </w:pPr>
            <w:r>
              <w:rPr>
                <w:rFonts w:hint="eastAsia" w:ascii="Times New Roman" w:hAnsi="Times New Roman"/>
                <w:bCs/>
                <w:sz w:val="24"/>
                <w:szCs w:val="24"/>
              </w:rPr>
              <w:t>预期投产日期</w:t>
            </w:r>
          </w:p>
        </w:tc>
        <w:tc>
          <w:tcPr>
            <w:tcW w:w="3318" w:type="dxa"/>
            <w:gridSpan w:val="5"/>
            <w:tcBorders>
              <w:top w:val="single" w:color="auto" w:sz="4" w:space="0"/>
              <w:left w:val="single" w:color="auto" w:sz="4" w:space="0"/>
              <w:bottom w:val="single" w:color="auto" w:sz="4" w:space="0"/>
            </w:tcBorders>
            <w:vAlign w:val="center"/>
          </w:tcPr>
          <w:p>
            <w:pPr>
              <w:spacing w:line="320" w:lineRule="exact"/>
              <w:jc w:val="center"/>
              <w:textAlignment w:val="center"/>
              <w:rPr>
                <w:rFonts w:ascii="Times New Roman" w:hAnsi="Times New Roman"/>
                <w:bCs/>
                <w:sz w:val="24"/>
                <w:szCs w:val="24"/>
              </w:rPr>
            </w:pPr>
            <w:r>
              <w:rPr>
                <w:rFonts w:ascii="Times New Roman" w:hAnsi="Times New Roman"/>
                <w:bCs/>
                <w:sz w:val="24"/>
                <w:szCs w:val="24"/>
              </w:rPr>
              <w:t>2021</w:t>
            </w:r>
            <w:r>
              <w:rPr>
                <w:rFonts w:hint="eastAsia" w:ascii="Times New Roman" w:hAnsi="Times New Roman"/>
                <w:bCs/>
                <w:sz w:val="24"/>
                <w:szCs w:val="24"/>
              </w:rPr>
              <w:t>年</w:t>
            </w:r>
            <w:r>
              <w:rPr>
                <w:rFonts w:ascii="Times New Roman" w:hAnsi="Times New Roman"/>
                <w:bCs/>
                <w:sz w:val="24"/>
                <w:szCs w:val="24"/>
              </w:rPr>
              <w:t>10</w:t>
            </w:r>
            <w:r>
              <w:rPr>
                <w:rFonts w:hint="eastAsia" w:ascii="Times New Roman" w:hAnsi="Times New Roman"/>
                <w:bCs/>
                <w:sz w:val="24"/>
                <w:szCs w:val="24"/>
              </w:rPr>
              <w:t>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344" w:type="dxa"/>
            <w:gridSpan w:val="9"/>
            <w:tcBorders>
              <w:top w:val="single" w:color="auto" w:sz="4" w:space="0"/>
              <w:bottom w:val="single" w:color="auto" w:sz="4" w:space="0"/>
            </w:tcBorders>
          </w:tcPr>
          <w:p>
            <w:pPr>
              <w:spacing w:line="360" w:lineRule="auto"/>
              <w:ind w:firstLine="420"/>
              <w:rPr>
                <w:rFonts w:ascii="Times New Roman" w:hAnsi="Times New Roman"/>
                <w:b/>
                <w:sz w:val="24"/>
                <w:szCs w:val="28"/>
              </w:rPr>
            </w:pPr>
            <w:r>
              <w:rPr>
                <w:rFonts w:hint="eastAsia" w:ascii="Times New Roman" w:hAnsi="Times New Roman"/>
                <w:b/>
                <w:sz w:val="24"/>
                <w:szCs w:val="28"/>
              </w:rPr>
              <w:t>一、项目由来</w:t>
            </w:r>
          </w:p>
          <w:p>
            <w:pPr>
              <w:spacing w:line="360" w:lineRule="auto"/>
              <w:ind w:firstLine="420"/>
              <w:rPr>
                <w:rFonts w:ascii="Times New Roman" w:hAnsi="Times New Roman"/>
                <w:sz w:val="24"/>
                <w:szCs w:val="28"/>
              </w:rPr>
            </w:pPr>
            <w:r>
              <w:rPr>
                <w:rFonts w:hint="eastAsia" w:ascii="Times New Roman" w:hAnsi="Times New Roman"/>
                <w:sz w:val="24"/>
                <w:szCs w:val="28"/>
              </w:rPr>
              <w:t>定城污水处理厂位于定安县环城北路，总占地面积</w:t>
            </w:r>
            <w:r>
              <w:rPr>
                <w:rFonts w:ascii="Times New Roman" w:hAnsi="Times New Roman"/>
                <w:sz w:val="24"/>
                <w:szCs w:val="28"/>
              </w:rPr>
              <w:t>39669</w:t>
            </w:r>
            <w:r>
              <w:rPr>
                <w:rFonts w:ascii="Times New Roman" w:hAnsi="Times New Roman"/>
                <w:bCs/>
                <w:sz w:val="24"/>
              </w:rPr>
              <w:t>m</w:t>
            </w:r>
            <w:r>
              <w:rPr>
                <w:rFonts w:ascii="Times New Roman" w:hAnsi="Times New Roman"/>
                <w:bCs/>
                <w:sz w:val="24"/>
                <w:vertAlign w:val="superscript"/>
              </w:rPr>
              <w:t>2</w:t>
            </w:r>
            <w:r>
              <w:rPr>
                <w:rFonts w:hint="eastAsia" w:ascii="Times New Roman" w:hAnsi="Times New Roman"/>
                <w:sz w:val="24"/>
                <w:szCs w:val="28"/>
              </w:rPr>
              <w:t>。一期工程于</w:t>
            </w:r>
            <w:r>
              <w:rPr>
                <w:rFonts w:ascii="Times New Roman" w:hAnsi="Times New Roman"/>
                <w:sz w:val="24"/>
                <w:szCs w:val="28"/>
              </w:rPr>
              <w:t>2010</w:t>
            </w:r>
            <w:r>
              <w:rPr>
                <w:rFonts w:hint="eastAsia" w:ascii="Times New Roman" w:hAnsi="Times New Roman"/>
                <w:sz w:val="24"/>
                <w:szCs w:val="28"/>
              </w:rPr>
              <w:t>年</w:t>
            </w:r>
            <w:r>
              <w:rPr>
                <w:rFonts w:ascii="Times New Roman" w:hAnsi="Times New Roman"/>
                <w:sz w:val="24"/>
                <w:szCs w:val="28"/>
              </w:rPr>
              <w:t>1</w:t>
            </w:r>
            <w:r>
              <w:rPr>
                <w:rFonts w:hint="eastAsia" w:ascii="Times New Roman" w:hAnsi="Times New Roman"/>
                <w:sz w:val="24"/>
                <w:szCs w:val="28"/>
              </w:rPr>
              <w:t>月投产运行，设计规模为</w:t>
            </w:r>
            <w:r>
              <w:rPr>
                <w:rFonts w:ascii="Times New Roman" w:hAnsi="Times New Roman"/>
                <w:sz w:val="24"/>
                <w:szCs w:val="28"/>
              </w:rPr>
              <w:t>1.5</w:t>
            </w:r>
            <w:r>
              <w:rPr>
                <w:rFonts w:hint="eastAsia" w:ascii="Times New Roman" w:hAnsi="Times New Roman"/>
                <w:sz w:val="24"/>
                <w:szCs w:val="28"/>
              </w:rPr>
              <w:t>万</w:t>
            </w:r>
            <w:r>
              <w:rPr>
                <w:rFonts w:ascii="Times New Roman" w:hAnsi="Times New Roman"/>
                <w:sz w:val="24"/>
                <w:szCs w:val="28"/>
              </w:rPr>
              <w:t>m</w:t>
            </w:r>
            <w:r>
              <w:rPr>
                <w:rFonts w:ascii="Times New Roman" w:hAnsi="Times New Roman"/>
                <w:sz w:val="24"/>
                <w:szCs w:val="28"/>
                <w:vertAlign w:val="superscript"/>
              </w:rPr>
              <w:t>3</w:t>
            </w:r>
            <w:r>
              <w:rPr>
                <w:rFonts w:ascii="Times New Roman" w:hAnsi="Times New Roman"/>
                <w:sz w:val="24"/>
                <w:szCs w:val="28"/>
              </w:rPr>
              <w:t>/d</w:t>
            </w:r>
            <w:r>
              <w:rPr>
                <w:rFonts w:hint="eastAsia" w:ascii="Times New Roman" w:hAnsi="Times New Roman"/>
                <w:sz w:val="24"/>
                <w:szCs w:val="28"/>
              </w:rPr>
              <w:t>，现处理量已达到</w:t>
            </w:r>
            <w:r>
              <w:rPr>
                <w:rFonts w:ascii="Times New Roman" w:hAnsi="Times New Roman"/>
                <w:sz w:val="24"/>
                <w:szCs w:val="28"/>
              </w:rPr>
              <w:t>1.2-1.4</w:t>
            </w:r>
            <w:r>
              <w:rPr>
                <w:rFonts w:hint="eastAsia" w:ascii="Times New Roman" w:hAnsi="Times New Roman"/>
                <w:sz w:val="24"/>
                <w:szCs w:val="28"/>
              </w:rPr>
              <w:t>万</w:t>
            </w:r>
            <w:r>
              <w:rPr>
                <w:rFonts w:ascii="Times New Roman" w:hAnsi="Times New Roman"/>
                <w:sz w:val="24"/>
                <w:szCs w:val="28"/>
              </w:rPr>
              <w:t>m</w:t>
            </w:r>
            <w:r>
              <w:rPr>
                <w:rFonts w:ascii="Times New Roman" w:hAnsi="Times New Roman"/>
                <w:sz w:val="24"/>
                <w:szCs w:val="28"/>
                <w:vertAlign w:val="superscript"/>
              </w:rPr>
              <w:t>3</w:t>
            </w:r>
            <w:r>
              <w:rPr>
                <w:rFonts w:ascii="Times New Roman" w:hAnsi="Times New Roman"/>
                <w:sz w:val="24"/>
                <w:szCs w:val="28"/>
              </w:rPr>
              <w:t>/d</w:t>
            </w:r>
            <w:r>
              <w:rPr>
                <w:rFonts w:hint="eastAsia" w:ascii="Times New Roman" w:hAnsi="Times New Roman"/>
                <w:sz w:val="24"/>
                <w:szCs w:val="28"/>
              </w:rPr>
              <w:t>。定城污水处理厂服务范围为定安县县城内的生活污水，包括已规划的定安县老城区、定安县塔岭新区（一期、定安县塔岭新区（二期）以及定安县仙沟片区，共约</w:t>
            </w:r>
            <w:r>
              <w:rPr>
                <w:rFonts w:ascii="Times New Roman" w:hAnsi="Times New Roman"/>
                <w:sz w:val="24"/>
                <w:szCs w:val="28"/>
              </w:rPr>
              <w:t>3110hm</w:t>
            </w:r>
            <w:r>
              <w:rPr>
                <w:rFonts w:ascii="Times New Roman" w:hAnsi="Times New Roman"/>
                <w:sz w:val="24"/>
                <w:szCs w:val="28"/>
                <w:vertAlign w:val="superscript"/>
              </w:rPr>
              <w:t>2</w:t>
            </w:r>
            <w:r>
              <w:rPr>
                <w:rFonts w:hint="eastAsia" w:ascii="Times New Roman" w:hAnsi="Times New Roman"/>
                <w:sz w:val="24"/>
                <w:szCs w:val="28"/>
              </w:rPr>
              <w:t>的服务面积。随着城市发展和城区人口数量的增加，污水产生量不断增加，为了确保定城镇污水有效处理，</w:t>
            </w:r>
            <w:r>
              <w:rPr>
                <w:rFonts w:hint="eastAsia" w:ascii="Times New Roman" w:hAnsi="Times New Roman"/>
                <w:bCs/>
                <w:sz w:val="24"/>
                <w:szCs w:val="24"/>
              </w:rPr>
              <w:t>定安县水务有限公司拟在</w:t>
            </w:r>
            <w:r>
              <w:rPr>
                <w:rFonts w:hint="eastAsia" w:ascii="Times New Roman" w:hAnsi="Times New Roman"/>
                <w:sz w:val="24"/>
                <w:szCs w:val="28"/>
              </w:rPr>
              <w:t>定城污水处理厂厂区预留空地内建设“定安县定城污水处理厂二期改扩建工程”（以下简称“二期工程”）。</w:t>
            </w:r>
          </w:p>
          <w:p>
            <w:pPr>
              <w:spacing w:line="360" w:lineRule="auto"/>
              <w:ind w:firstLine="420"/>
              <w:rPr>
                <w:rFonts w:ascii="Times New Roman" w:hAnsi="Times New Roman"/>
                <w:sz w:val="24"/>
                <w:szCs w:val="28"/>
              </w:rPr>
            </w:pPr>
            <w:r>
              <w:rPr>
                <w:rFonts w:hint="eastAsia" w:ascii="Times New Roman" w:hAnsi="Times New Roman"/>
                <w:sz w:val="24"/>
                <w:szCs w:val="28"/>
              </w:rPr>
              <w:t>二期工程主要建设内容包括新建处理规模为</w:t>
            </w:r>
            <w:r>
              <w:rPr>
                <w:rFonts w:ascii="Times New Roman" w:hAnsi="Times New Roman"/>
                <w:sz w:val="24"/>
                <w:szCs w:val="28"/>
              </w:rPr>
              <w:t>1.5</w:t>
            </w:r>
            <w:r>
              <w:rPr>
                <w:rFonts w:hint="eastAsia" w:ascii="Times New Roman" w:hAnsi="Times New Roman"/>
                <w:sz w:val="24"/>
                <w:szCs w:val="28"/>
              </w:rPr>
              <w:t>万</w:t>
            </w:r>
            <w:r>
              <w:rPr>
                <w:rFonts w:ascii="Times New Roman" w:hAnsi="Times New Roman"/>
                <w:sz w:val="24"/>
                <w:szCs w:val="28"/>
              </w:rPr>
              <w:t>m</w:t>
            </w:r>
            <w:r>
              <w:rPr>
                <w:rFonts w:ascii="Times New Roman" w:hAnsi="Times New Roman"/>
                <w:sz w:val="24"/>
                <w:szCs w:val="28"/>
                <w:vertAlign w:val="superscript"/>
              </w:rPr>
              <w:t>3</w:t>
            </w:r>
            <w:r>
              <w:rPr>
                <w:rFonts w:ascii="Times New Roman" w:hAnsi="Times New Roman"/>
                <w:sz w:val="24"/>
                <w:szCs w:val="28"/>
              </w:rPr>
              <w:t>/d</w:t>
            </w:r>
            <w:r>
              <w:rPr>
                <w:rFonts w:hint="eastAsia" w:ascii="Times New Roman" w:hAnsi="Times New Roman"/>
                <w:sz w:val="24"/>
                <w:szCs w:val="28"/>
              </w:rPr>
              <w:t>污水处理设施一套，同时对一期工程部分处理建构筑物进行局部改造，对部分工艺设备进行更换。改扩建后全厂总设计处理规模为</w:t>
            </w:r>
            <w:r>
              <w:rPr>
                <w:rFonts w:ascii="Times New Roman" w:hAnsi="Times New Roman"/>
                <w:sz w:val="24"/>
                <w:szCs w:val="28"/>
              </w:rPr>
              <w:t>3</w:t>
            </w:r>
            <w:r>
              <w:rPr>
                <w:rFonts w:hint="eastAsia" w:ascii="Times New Roman" w:hAnsi="Times New Roman"/>
                <w:sz w:val="24"/>
                <w:szCs w:val="28"/>
              </w:rPr>
              <w:t>万</w:t>
            </w:r>
            <w:r>
              <w:rPr>
                <w:rFonts w:ascii="Times New Roman" w:hAnsi="Times New Roman"/>
                <w:sz w:val="24"/>
                <w:szCs w:val="28"/>
              </w:rPr>
              <w:t>m</w:t>
            </w:r>
            <w:r>
              <w:rPr>
                <w:rFonts w:ascii="Times New Roman" w:hAnsi="Times New Roman"/>
                <w:sz w:val="24"/>
                <w:szCs w:val="28"/>
                <w:vertAlign w:val="superscript"/>
              </w:rPr>
              <w:t>3</w:t>
            </w:r>
            <w:r>
              <w:rPr>
                <w:rFonts w:ascii="Times New Roman" w:hAnsi="Times New Roman"/>
                <w:sz w:val="24"/>
                <w:szCs w:val="28"/>
              </w:rPr>
              <w:t>/d</w:t>
            </w:r>
            <w:r>
              <w:rPr>
                <w:rFonts w:hint="eastAsia" w:ascii="Times New Roman" w:hAnsi="Times New Roman"/>
                <w:sz w:val="24"/>
                <w:szCs w:val="28"/>
              </w:rPr>
              <w:t>。二期工程扩建前后收水服务范围保持不变。</w:t>
            </w:r>
          </w:p>
          <w:p>
            <w:pPr>
              <w:spacing w:line="360" w:lineRule="auto"/>
              <w:ind w:firstLine="480" w:firstLineChars="200"/>
              <w:textAlignment w:val="center"/>
              <w:rPr>
                <w:sz w:val="24"/>
                <w:szCs w:val="24"/>
              </w:rPr>
            </w:pPr>
            <w:r>
              <w:rPr>
                <w:rFonts w:hint="eastAsia"/>
                <w:sz w:val="24"/>
                <w:szCs w:val="24"/>
              </w:rPr>
              <w:t>根据《中华人民共和国环境保护法》、《中华人民共和国环境影响评价法》和《国务院关于修改〈建设项目环境保护管理条例〉的决定》（中华人民共和国国务院令第</w:t>
            </w:r>
            <w:r>
              <w:rPr>
                <w:sz w:val="24"/>
                <w:szCs w:val="24"/>
              </w:rPr>
              <w:t>682</w:t>
            </w:r>
            <w:r>
              <w:rPr>
                <w:rFonts w:hint="eastAsia"/>
                <w:sz w:val="24"/>
                <w:szCs w:val="24"/>
              </w:rPr>
              <w:t>号）等有关规定</w:t>
            </w:r>
            <w:r>
              <w:rPr>
                <w:rFonts w:hint="eastAsia" w:ascii="Times New Roman" w:hAnsi="Times New Roman"/>
                <w:sz w:val="24"/>
                <w:szCs w:val="28"/>
              </w:rPr>
              <w:t>，本项目需进行环境影响评价。</w:t>
            </w:r>
            <w:r>
              <w:rPr>
                <w:rFonts w:hint="eastAsia"/>
                <w:sz w:val="24"/>
                <w:szCs w:val="24"/>
              </w:rPr>
              <w:t>依据《建设项目环境影响评价分类管理名录》（中华人民共和国环境保护部令第</w:t>
            </w:r>
            <w:r>
              <w:rPr>
                <w:sz w:val="24"/>
                <w:szCs w:val="24"/>
              </w:rPr>
              <w:t>44</w:t>
            </w:r>
            <w:r>
              <w:rPr>
                <w:rFonts w:hint="eastAsia"/>
                <w:sz w:val="24"/>
                <w:szCs w:val="24"/>
              </w:rPr>
              <w:t>号）及《关于修改</w:t>
            </w:r>
            <w:r>
              <w:rPr>
                <w:sz w:val="24"/>
                <w:szCs w:val="24"/>
              </w:rPr>
              <w:t>&lt;</w:t>
            </w:r>
            <w:r>
              <w:rPr>
                <w:rFonts w:hint="eastAsia"/>
                <w:sz w:val="24"/>
                <w:szCs w:val="24"/>
              </w:rPr>
              <w:t>建设项目环境影响评价分类管理名录</w:t>
            </w:r>
            <w:r>
              <w:rPr>
                <w:sz w:val="24"/>
                <w:szCs w:val="24"/>
              </w:rPr>
              <w:t>&gt;</w:t>
            </w:r>
            <w:r>
              <w:rPr>
                <w:rFonts w:hint="eastAsia"/>
                <w:sz w:val="24"/>
                <w:szCs w:val="24"/>
              </w:rPr>
              <w:t>部分内容的决定（生态环境部令第</w:t>
            </w:r>
            <w:r>
              <w:rPr>
                <w:sz w:val="24"/>
                <w:szCs w:val="24"/>
              </w:rPr>
              <w:t>1</w:t>
            </w:r>
            <w:r>
              <w:rPr>
                <w:rFonts w:hint="eastAsia"/>
                <w:sz w:val="24"/>
                <w:szCs w:val="24"/>
              </w:rPr>
              <w:t>号）》，</w:t>
            </w:r>
            <w:r>
              <w:rPr>
                <w:rFonts w:hint="eastAsia" w:ascii="Times New Roman" w:hAnsi="Times New Roman"/>
                <w:sz w:val="24"/>
                <w:szCs w:val="28"/>
              </w:rPr>
              <w:t>本项目属于</w:t>
            </w:r>
            <w:r>
              <w:rPr>
                <w:rFonts w:ascii="Times New Roman" w:hAnsi="Times New Roman"/>
                <w:sz w:val="24"/>
                <w:szCs w:val="28"/>
              </w:rPr>
              <w:t>“</w:t>
            </w:r>
            <w:r>
              <w:rPr>
                <w:rFonts w:hint="eastAsia" w:ascii="Times New Roman" w:hAnsi="Times New Roman"/>
                <w:sz w:val="24"/>
                <w:szCs w:val="28"/>
              </w:rPr>
              <w:t>十三、水的生产和供应业</w:t>
            </w:r>
            <w:r>
              <w:rPr>
                <w:rFonts w:ascii="Times New Roman" w:hAnsi="Times New Roman"/>
                <w:sz w:val="24"/>
                <w:szCs w:val="28"/>
              </w:rPr>
              <w:t>”</w:t>
            </w:r>
            <w:r>
              <w:rPr>
                <w:rFonts w:hint="eastAsia" w:ascii="Times New Roman" w:hAnsi="Times New Roman"/>
                <w:sz w:val="24"/>
                <w:szCs w:val="28"/>
              </w:rPr>
              <w:t>中的</w:t>
            </w:r>
            <w:r>
              <w:rPr>
                <w:rFonts w:ascii="Times New Roman" w:hAnsi="Times New Roman"/>
                <w:sz w:val="24"/>
                <w:szCs w:val="28"/>
              </w:rPr>
              <w:t>“96</w:t>
            </w:r>
            <w:r>
              <w:rPr>
                <w:rFonts w:hint="eastAsia" w:ascii="Times New Roman" w:hAnsi="Times New Roman"/>
                <w:sz w:val="24"/>
                <w:szCs w:val="28"/>
              </w:rPr>
              <w:t>、生活污水集中处理</w:t>
            </w:r>
            <w:r>
              <w:rPr>
                <w:rFonts w:ascii="Times New Roman" w:hAnsi="Times New Roman"/>
                <w:sz w:val="24"/>
                <w:szCs w:val="28"/>
              </w:rPr>
              <w:t>”</w:t>
            </w:r>
            <w:r>
              <w:rPr>
                <w:rFonts w:hint="eastAsia" w:ascii="Times New Roman" w:hAnsi="Times New Roman"/>
                <w:sz w:val="24"/>
                <w:szCs w:val="28"/>
              </w:rPr>
              <w:t>，其中</w:t>
            </w:r>
            <w:r>
              <w:rPr>
                <w:rFonts w:ascii="Times New Roman" w:hAnsi="Times New Roman"/>
                <w:sz w:val="24"/>
                <w:szCs w:val="28"/>
              </w:rPr>
              <w:t>“</w:t>
            </w:r>
            <w:r>
              <w:rPr>
                <w:rFonts w:hint="eastAsia" w:ascii="Times New Roman" w:hAnsi="Times New Roman"/>
                <w:sz w:val="24"/>
                <w:szCs w:val="28"/>
              </w:rPr>
              <w:t>其他</w:t>
            </w:r>
            <w:r>
              <w:rPr>
                <w:rFonts w:ascii="Times New Roman" w:hAnsi="Times New Roman"/>
                <w:sz w:val="24"/>
                <w:szCs w:val="28"/>
              </w:rPr>
              <w:t>”</w:t>
            </w:r>
            <w:r>
              <w:rPr>
                <w:rFonts w:hint="eastAsia" w:ascii="Times New Roman" w:hAnsi="Times New Roman"/>
                <w:sz w:val="24"/>
                <w:szCs w:val="28"/>
              </w:rPr>
              <w:t>，应编制环境影响报告表。</w:t>
            </w:r>
          </w:p>
          <w:p>
            <w:pPr>
              <w:spacing w:line="360" w:lineRule="auto"/>
              <w:ind w:firstLine="480" w:firstLineChars="200"/>
              <w:rPr>
                <w:rFonts w:ascii="Times New Roman" w:hAnsi="Times New Roman"/>
                <w:sz w:val="24"/>
                <w:szCs w:val="28"/>
              </w:rPr>
            </w:pPr>
            <w:r>
              <w:rPr>
                <w:rFonts w:hint="eastAsia" w:ascii="Times New Roman" w:hAnsi="Times New Roman"/>
                <w:sz w:val="24"/>
                <w:szCs w:val="28"/>
              </w:rPr>
              <w:t>为此，定安县水务有限公司委托</w:t>
            </w:r>
            <w:bookmarkStart w:id="9" w:name="_Hlk40432296"/>
            <w:r>
              <w:rPr>
                <w:rFonts w:hint="eastAsia" w:ascii="Times New Roman" w:hAnsi="Times New Roman"/>
                <w:sz w:val="24"/>
                <w:szCs w:val="28"/>
              </w:rPr>
              <w:t>中材地质工程勘查研究院有限公司</w:t>
            </w:r>
            <w:bookmarkEnd w:id="9"/>
            <w:r>
              <w:rPr>
                <w:rFonts w:hint="eastAsia" w:ascii="Times New Roman" w:hAnsi="Times New Roman"/>
                <w:sz w:val="24"/>
                <w:szCs w:val="28"/>
              </w:rPr>
              <w:t>承担该项目的环境影响评价工作。评价单位组织环评技术人员进行了实地踏勘，收集了有关的资料，按照相关导则、技术规范及标准的要求编制了项目的环境影响报告表。</w:t>
            </w:r>
          </w:p>
          <w:p>
            <w:pPr>
              <w:spacing w:line="360" w:lineRule="auto"/>
              <w:ind w:firstLine="482" w:firstLineChars="200"/>
              <w:rPr>
                <w:rFonts w:ascii="Times New Roman" w:hAnsi="Times New Roman"/>
                <w:b/>
                <w:sz w:val="24"/>
                <w:szCs w:val="28"/>
              </w:rPr>
            </w:pPr>
            <w:r>
              <w:rPr>
                <w:rFonts w:hint="eastAsia" w:ascii="Times New Roman" w:hAnsi="Times New Roman"/>
                <w:b/>
                <w:sz w:val="24"/>
                <w:szCs w:val="28"/>
              </w:rPr>
              <w:t>二、评价等级</w:t>
            </w:r>
          </w:p>
          <w:p>
            <w:pPr>
              <w:pStyle w:val="2"/>
              <w:spacing w:line="360" w:lineRule="auto"/>
              <w:ind w:firstLine="480" w:firstLineChars="200"/>
              <w:rPr>
                <w:rStyle w:val="36"/>
                <w:rFonts w:ascii="Calibri" w:hAnsi="Calibri"/>
                <w:sz w:val="24"/>
                <w:szCs w:val="24"/>
              </w:rPr>
            </w:pPr>
            <w:r>
              <w:rPr>
                <w:rFonts w:hint="eastAsia"/>
                <w:szCs w:val="24"/>
              </w:rPr>
              <w:t>根据各专题评价工作等级，结合当地气象、水文、地质条件和建设项目</w:t>
            </w:r>
            <w:r>
              <w:rPr>
                <w:szCs w:val="24"/>
              </w:rPr>
              <w:t>“</w:t>
            </w:r>
            <w:r>
              <w:rPr>
                <w:rFonts w:hint="eastAsia"/>
                <w:szCs w:val="24"/>
              </w:rPr>
              <w:t>三废</w:t>
            </w:r>
            <w:r>
              <w:rPr>
                <w:szCs w:val="24"/>
              </w:rPr>
              <w:t>”</w:t>
            </w:r>
            <w:r>
              <w:rPr>
                <w:rFonts w:hint="eastAsia"/>
                <w:szCs w:val="24"/>
              </w:rPr>
              <w:t>排放情况及场址周围企事业单位、居民分布特点，大气、地表水、地下水、土壤评价等级情况见表</w:t>
            </w:r>
            <w:r>
              <w:rPr>
                <w:szCs w:val="24"/>
              </w:rPr>
              <w:t>1-1</w:t>
            </w:r>
            <w:r>
              <w:rPr>
                <w:rFonts w:hint="eastAsia"/>
                <w:szCs w:val="24"/>
              </w:rPr>
              <w:t>。</w:t>
            </w:r>
          </w:p>
          <w:p>
            <w:pPr>
              <w:pStyle w:val="111"/>
            </w:pPr>
            <w:r>
              <w:rPr>
                <w:rFonts w:hint="eastAsia"/>
              </w:rPr>
              <w:t>表</w:t>
            </w:r>
            <w:r>
              <w:t>1-1</w:t>
            </w:r>
            <w:r>
              <w:rPr>
                <w:rFonts w:hint="eastAsia"/>
              </w:rPr>
              <w:t>评价等级一览表</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16"/>
              <w:gridCol w:w="42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4816" w:type="dxa"/>
                  <w:tcBorders>
                    <w:top w:val="single" w:color="auto" w:sz="12" w:space="0"/>
                    <w:left w:val="single" w:color="auto" w:sz="12" w:space="0"/>
                    <w:bottom w:val="double" w:color="auto" w:sz="4" w:space="0"/>
                    <w:right w:val="single" w:color="auto" w:sz="6" w:space="0"/>
                  </w:tcBorders>
                  <w:vAlign w:val="center"/>
                </w:tcPr>
                <w:p>
                  <w:pPr>
                    <w:adjustRightInd w:val="0"/>
                    <w:snapToGrid w:val="0"/>
                    <w:spacing w:line="240" w:lineRule="atLeast"/>
                    <w:jc w:val="center"/>
                    <w:rPr>
                      <w:rFonts w:ascii="宋体" w:cs="宋体"/>
                    </w:rPr>
                  </w:pPr>
                  <w:r>
                    <w:rPr>
                      <w:rFonts w:hint="eastAsia" w:ascii="宋体" w:hAnsi="宋体" w:cs="宋体"/>
                    </w:rPr>
                    <w:t>项目</w:t>
                  </w:r>
                </w:p>
              </w:tc>
              <w:tc>
                <w:tcPr>
                  <w:tcW w:w="4282" w:type="dxa"/>
                  <w:tcBorders>
                    <w:top w:val="single" w:color="auto" w:sz="12" w:space="0"/>
                    <w:left w:val="single" w:color="auto" w:sz="6" w:space="0"/>
                    <w:bottom w:val="double" w:color="auto" w:sz="4" w:space="0"/>
                    <w:right w:val="single" w:color="auto" w:sz="12" w:space="0"/>
                  </w:tcBorders>
                  <w:vAlign w:val="center"/>
                </w:tcPr>
                <w:p>
                  <w:pPr>
                    <w:adjustRightInd w:val="0"/>
                    <w:snapToGrid w:val="0"/>
                    <w:spacing w:line="240" w:lineRule="atLeast"/>
                    <w:jc w:val="center"/>
                    <w:rPr>
                      <w:rFonts w:ascii="宋体" w:cs="宋体"/>
                    </w:rPr>
                  </w:pPr>
                  <w:r>
                    <w:rPr>
                      <w:rFonts w:hint="eastAsia" w:ascii="宋体" w:hAnsi="宋体" w:cs="宋体"/>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16" w:type="dxa"/>
                  <w:tcBorders>
                    <w:top w:val="double" w:color="auto" w:sz="4" w:space="0"/>
                    <w:left w:val="single" w:color="auto" w:sz="12"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宋体"/>
                    </w:rPr>
                  </w:pPr>
                  <w:r>
                    <w:rPr>
                      <w:rFonts w:hint="eastAsia" w:ascii="宋体" w:hAnsi="宋体"/>
                    </w:rPr>
                    <w:t>大气</w:t>
                  </w:r>
                </w:p>
              </w:tc>
              <w:tc>
                <w:tcPr>
                  <w:tcW w:w="4282" w:type="dxa"/>
                  <w:tcBorders>
                    <w:top w:val="double" w:color="auto" w:sz="4" w:space="0"/>
                    <w:left w:val="single" w:color="auto" w:sz="6" w:space="0"/>
                    <w:bottom w:val="single" w:color="auto" w:sz="6" w:space="0"/>
                    <w:right w:val="single" w:color="auto" w:sz="12" w:space="0"/>
                  </w:tcBorders>
                  <w:vAlign w:val="center"/>
                </w:tcPr>
                <w:p>
                  <w:pPr>
                    <w:autoSpaceDN w:val="0"/>
                    <w:adjustRightInd w:val="0"/>
                    <w:snapToGrid w:val="0"/>
                    <w:spacing w:line="240" w:lineRule="atLeast"/>
                    <w:jc w:val="center"/>
                    <w:textAlignment w:val="center"/>
                    <w:rPr>
                      <w:rFonts w:ascii="宋体"/>
                    </w:rPr>
                  </w:pPr>
                  <w:r>
                    <w:rPr>
                      <w:rFonts w:hint="eastAsia" w:ascii="宋体" w:hAnsi="宋体"/>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16" w:type="dxa"/>
                  <w:tcBorders>
                    <w:top w:val="single" w:color="auto" w:sz="6" w:space="0"/>
                    <w:left w:val="single" w:color="auto" w:sz="12"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宋体"/>
                    </w:rPr>
                  </w:pPr>
                  <w:r>
                    <w:rPr>
                      <w:rFonts w:hint="eastAsia" w:ascii="宋体" w:hAnsi="宋体"/>
                    </w:rPr>
                    <w:t>地表水</w:t>
                  </w:r>
                </w:p>
              </w:tc>
              <w:tc>
                <w:tcPr>
                  <w:tcW w:w="4282" w:type="dxa"/>
                  <w:tcBorders>
                    <w:top w:val="single" w:color="auto" w:sz="6" w:space="0"/>
                    <w:left w:val="single" w:color="auto" w:sz="6" w:space="0"/>
                    <w:bottom w:val="single" w:color="auto" w:sz="6" w:space="0"/>
                    <w:right w:val="single" w:color="auto" w:sz="12" w:space="0"/>
                  </w:tcBorders>
                  <w:vAlign w:val="center"/>
                </w:tcPr>
                <w:p>
                  <w:pPr>
                    <w:autoSpaceDN w:val="0"/>
                    <w:adjustRightInd w:val="0"/>
                    <w:snapToGrid w:val="0"/>
                    <w:spacing w:line="240" w:lineRule="atLeast"/>
                    <w:jc w:val="center"/>
                    <w:textAlignment w:val="center"/>
                    <w:rPr>
                      <w:rFonts w:ascii="宋体"/>
                    </w:rPr>
                  </w:pPr>
                  <w:r>
                    <w:rPr>
                      <w:rFonts w:hint="eastAsia" w:ascii="宋体" w:hAnsi="宋体"/>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16" w:type="dxa"/>
                  <w:tcBorders>
                    <w:top w:val="single" w:color="auto" w:sz="6" w:space="0"/>
                    <w:left w:val="single" w:color="auto" w:sz="12"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宋体"/>
                    </w:rPr>
                  </w:pPr>
                  <w:r>
                    <w:rPr>
                      <w:rFonts w:hint="eastAsia" w:ascii="宋体" w:hAnsi="宋体"/>
                    </w:rPr>
                    <w:t>地下水</w:t>
                  </w:r>
                </w:p>
              </w:tc>
              <w:tc>
                <w:tcPr>
                  <w:tcW w:w="4282" w:type="dxa"/>
                  <w:tcBorders>
                    <w:top w:val="single" w:color="auto" w:sz="6" w:space="0"/>
                    <w:left w:val="single" w:color="auto" w:sz="6" w:space="0"/>
                    <w:bottom w:val="single" w:color="auto" w:sz="6" w:space="0"/>
                    <w:right w:val="single" w:color="auto" w:sz="12" w:space="0"/>
                  </w:tcBorders>
                  <w:vAlign w:val="center"/>
                </w:tcPr>
                <w:p>
                  <w:pPr>
                    <w:autoSpaceDN w:val="0"/>
                    <w:adjustRightInd w:val="0"/>
                    <w:snapToGrid w:val="0"/>
                    <w:spacing w:line="240" w:lineRule="atLeast"/>
                    <w:jc w:val="center"/>
                    <w:textAlignment w:val="center"/>
                    <w:rPr>
                      <w:rFonts w:ascii="宋体"/>
                    </w:rPr>
                  </w:pPr>
                  <w:r>
                    <w:rPr>
                      <w:rFonts w:hint="eastAsia" w:ascii="宋体" w:hAnsi="宋体"/>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16" w:type="dxa"/>
                  <w:tcBorders>
                    <w:top w:val="single" w:color="auto" w:sz="6" w:space="0"/>
                    <w:left w:val="single" w:color="auto" w:sz="12" w:space="0"/>
                    <w:bottom w:val="single" w:color="auto" w:sz="12"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宋体"/>
                    </w:rPr>
                  </w:pPr>
                  <w:r>
                    <w:rPr>
                      <w:rFonts w:hint="eastAsia" w:ascii="宋体" w:hAnsi="宋体"/>
                    </w:rPr>
                    <w:t>土壤</w:t>
                  </w:r>
                </w:p>
              </w:tc>
              <w:tc>
                <w:tcPr>
                  <w:tcW w:w="4282" w:type="dxa"/>
                  <w:tcBorders>
                    <w:top w:val="single" w:color="auto" w:sz="6" w:space="0"/>
                    <w:left w:val="single" w:color="auto" w:sz="6" w:space="0"/>
                    <w:bottom w:val="single" w:color="auto" w:sz="12" w:space="0"/>
                    <w:right w:val="single" w:color="auto" w:sz="12" w:space="0"/>
                  </w:tcBorders>
                  <w:vAlign w:val="center"/>
                </w:tcPr>
                <w:p>
                  <w:pPr>
                    <w:autoSpaceDN w:val="0"/>
                    <w:adjustRightInd w:val="0"/>
                    <w:snapToGrid w:val="0"/>
                    <w:spacing w:line="240" w:lineRule="atLeast"/>
                    <w:jc w:val="center"/>
                    <w:textAlignment w:val="center"/>
                    <w:rPr>
                      <w:rFonts w:ascii="宋体"/>
                    </w:rPr>
                  </w:pPr>
                  <w:r>
                    <w:rPr>
                      <w:rFonts w:hint="eastAsia" w:ascii="宋体" w:hAnsi="宋体"/>
                    </w:rPr>
                    <w:t>三级</w:t>
                  </w:r>
                </w:p>
              </w:tc>
            </w:tr>
          </w:tbl>
          <w:p>
            <w:pPr>
              <w:pStyle w:val="2"/>
              <w:spacing w:line="360" w:lineRule="auto"/>
              <w:ind w:firstLine="480" w:firstLineChars="200"/>
              <w:rPr>
                <w:rStyle w:val="36"/>
                <w:sz w:val="24"/>
                <w:szCs w:val="24"/>
              </w:rPr>
            </w:pPr>
          </w:p>
          <w:p>
            <w:pPr>
              <w:spacing w:line="360" w:lineRule="auto"/>
              <w:ind w:firstLine="482" w:firstLineChars="200"/>
              <w:rPr>
                <w:rFonts w:ascii="Times New Roman" w:hAnsi="Times New Roman"/>
                <w:b/>
                <w:sz w:val="24"/>
                <w:szCs w:val="28"/>
              </w:rPr>
            </w:pPr>
            <w:r>
              <w:rPr>
                <w:rFonts w:hint="eastAsia" w:ascii="Times New Roman" w:hAnsi="Times New Roman"/>
                <w:b/>
                <w:sz w:val="24"/>
                <w:szCs w:val="28"/>
              </w:rPr>
              <w:t>三、产业政策与规划符合性</w:t>
            </w:r>
          </w:p>
          <w:p>
            <w:pPr>
              <w:spacing w:line="360" w:lineRule="auto"/>
              <w:ind w:firstLine="482" w:firstLineChars="200"/>
              <w:rPr>
                <w:rFonts w:ascii="Times New Roman" w:hAnsi="Times New Roman"/>
                <w:b/>
                <w:sz w:val="24"/>
                <w:szCs w:val="28"/>
              </w:rPr>
            </w:pPr>
            <w:r>
              <w:rPr>
                <w:rFonts w:ascii="Times New Roman" w:hAnsi="Times New Roman"/>
                <w:b/>
                <w:sz w:val="24"/>
                <w:szCs w:val="28"/>
              </w:rPr>
              <w:t>1</w:t>
            </w:r>
            <w:r>
              <w:rPr>
                <w:rFonts w:hint="eastAsia" w:ascii="Times New Roman" w:hAnsi="Times New Roman"/>
                <w:b/>
                <w:sz w:val="24"/>
                <w:szCs w:val="28"/>
              </w:rPr>
              <w:t>、产业政策符合性分析</w:t>
            </w:r>
          </w:p>
          <w:p>
            <w:pPr>
              <w:spacing w:line="360" w:lineRule="auto"/>
              <w:ind w:firstLine="480" w:firstLineChars="200"/>
              <w:rPr>
                <w:rFonts w:ascii="Times New Roman" w:hAnsi="Times New Roman"/>
                <w:sz w:val="24"/>
                <w:szCs w:val="28"/>
              </w:rPr>
            </w:pPr>
            <w:r>
              <w:rPr>
                <w:rFonts w:hint="eastAsia" w:ascii="Times New Roman" w:hAnsi="Times New Roman"/>
                <w:sz w:val="24"/>
                <w:szCs w:val="28"/>
              </w:rPr>
              <w:t>本项目属于</w:t>
            </w:r>
            <w:r>
              <w:rPr>
                <w:rFonts w:ascii="Times New Roman" w:hAnsi="Times New Roman"/>
                <w:sz w:val="24"/>
                <w:szCs w:val="28"/>
              </w:rPr>
              <w:t>D4620</w:t>
            </w:r>
            <w:r>
              <w:rPr>
                <w:rFonts w:hint="eastAsia" w:ascii="Times New Roman" w:hAnsi="Times New Roman"/>
                <w:sz w:val="24"/>
                <w:szCs w:val="28"/>
              </w:rPr>
              <w:t>污水处理及再生利用，属于《产业结构调整指导目录》（</w:t>
            </w:r>
            <w:r>
              <w:rPr>
                <w:rFonts w:ascii="Times New Roman" w:hAnsi="Times New Roman"/>
                <w:sz w:val="24"/>
                <w:szCs w:val="28"/>
              </w:rPr>
              <w:t>2019</w:t>
            </w:r>
            <w:r>
              <w:rPr>
                <w:rFonts w:hint="eastAsia" w:ascii="Times New Roman" w:hAnsi="Times New Roman"/>
                <w:sz w:val="24"/>
                <w:szCs w:val="28"/>
              </w:rPr>
              <w:t>年本）鼓励类“四十三、环境保护与资源节约综合利用”中“</w:t>
            </w:r>
            <w:r>
              <w:rPr>
                <w:rFonts w:ascii="Times New Roman" w:hAnsi="Times New Roman"/>
                <w:sz w:val="24"/>
                <w:szCs w:val="28"/>
              </w:rPr>
              <w:t>15</w:t>
            </w:r>
            <w:r>
              <w:rPr>
                <w:rFonts w:hint="eastAsia" w:ascii="Times New Roman" w:hAnsi="Times New Roman"/>
                <w:sz w:val="24"/>
                <w:szCs w:val="28"/>
              </w:rPr>
              <w:t>、</w:t>
            </w:r>
            <w:r>
              <w:rPr>
                <w:rFonts w:ascii="Times New Roman" w:hAnsi="Times New Roman"/>
                <w:sz w:val="24"/>
                <w:szCs w:val="28"/>
              </w:rPr>
              <w:t>“</w:t>
            </w:r>
            <w:r>
              <w:rPr>
                <w:rFonts w:hint="eastAsia" w:ascii="Times New Roman" w:hAnsi="Times New Roman"/>
                <w:sz w:val="24"/>
                <w:szCs w:val="28"/>
              </w:rPr>
              <w:t>三废</w:t>
            </w:r>
            <w:r>
              <w:rPr>
                <w:rFonts w:ascii="Times New Roman" w:hAnsi="Times New Roman"/>
                <w:sz w:val="24"/>
                <w:szCs w:val="28"/>
              </w:rPr>
              <w:t>”</w:t>
            </w:r>
            <w:r>
              <w:rPr>
                <w:rFonts w:hint="eastAsia" w:ascii="Times New Roman" w:hAnsi="Times New Roman"/>
                <w:sz w:val="24"/>
                <w:szCs w:val="28"/>
              </w:rPr>
              <w:t>综合利用与治理技术、装备和工程”；另本项目不属于国土资源部和国家发改委发布的《限制用地项目目录（</w:t>
            </w:r>
            <w:r>
              <w:rPr>
                <w:rFonts w:ascii="Times New Roman" w:hAnsi="Times New Roman"/>
                <w:sz w:val="24"/>
                <w:szCs w:val="28"/>
              </w:rPr>
              <w:t>2012</w:t>
            </w:r>
            <w:r>
              <w:rPr>
                <w:rFonts w:hint="eastAsia" w:ascii="Times New Roman" w:hAnsi="Times New Roman"/>
                <w:sz w:val="24"/>
                <w:szCs w:val="28"/>
              </w:rPr>
              <w:t>年本）》和《禁止用地项目目录（</w:t>
            </w:r>
            <w:r>
              <w:rPr>
                <w:rFonts w:ascii="Times New Roman" w:hAnsi="Times New Roman"/>
                <w:sz w:val="24"/>
                <w:szCs w:val="28"/>
              </w:rPr>
              <w:t>2013</w:t>
            </w:r>
            <w:r>
              <w:rPr>
                <w:rFonts w:hint="eastAsia" w:ascii="Times New Roman" w:hAnsi="Times New Roman"/>
                <w:sz w:val="24"/>
                <w:szCs w:val="28"/>
              </w:rPr>
              <w:t>年本）》规定的项目；本项目不属于《</w:t>
            </w:r>
            <w:bookmarkStart w:id="10" w:name="_Hlk25767823"/>
            <w:r>
              <w:rPr>
                <w:rFonts w:hint="eastAsia" w:ascii="Times New Roman" w:hAnsi="Times New Roman"/>
                <w:sz w:val="24"/>
                <w:szCs w:val="28"/>
              </w:rPr>
              <w:t>海南省产业准入禁止限制目录（</w:t>
            </w:r>
            <w:r>
              <w:rPr>
                <w:rFonts w:ascii="Times New Roman" w:hAnsi="Times New Roman"/>
                <w:sz w:val="24"/>
                <w:szCs w:val="28"/>
              </w:rPr>
              <w:t>2019</w:t>
            </w:r>
            <w:r>
              <w:rPr>
                <w:rFonts w:hint="eastAsia" w:ascii="Times New Roman" w:hAnsi="Times New Roman"/>
                <w:sz w:val="24"/>
                <w:szCs w:val="28"/>
              </w:rPr>
              <w:t>年版）》（琼发改产业〔</w:t>
            </w:r>
            <w:r>
              <w:rPr>
                <w:rFonts w:ascii="Times New Roman" w:hAnsi="Times New Roman"/>
                <w:sz w:val="24"/>
                <w:szCs w:val="28"/>
              </w:rPr>
              <w:t>2019</w:t>
            </w:r>
            <w:r>
              <w:rPr>
                <w:rFonts w:hint="eastAsia" w:ascii="Times New Roman" w:hAnsi="Times New Roman"/>
                <w:sz w:val="24"/>
                <w:szCs w:val="28"/>
              </w:rPr>
              <w:t>〕</w:t>
            </w:r>
            <w:r>
              <w:rPr>
                <w:rFonts w:ascii="Times New Roman" w:hAnsi="Times New Roman"/>
                <w:sz w:val="24"/>
                <w:szCs w:val="28"/>
              </w:rPr>
              <w:t>1043</w:t>
            </w:r>
            <w:r>
              <w:rPr>
                <w:rFonts w:hint="eastAsia" w:ascii="Times New Roman" w:hAnsi="Times New Roman"/>
                <w:sz w:val="24"/>
                <w:szCs w:val="28"/>
              </w:rPr>
              <w:t>号）</w:t>
            </w:r>
            <w:bookmarkEnd w:id="10"/>
            <w:r>
              <w:rPr>
                <w:rFonts w:hint="eastAsia" w:ascii="Times New Roman" w:hAnsi="Times New Roman"/>
                <w:sz w:val="24"/>
                <w:szCs w:val="28"/>
              </w:rPr>
              <w:t>中“禁止类、限制类”项目。综上所述，本项目建设符合国家及地方的产业政策的要求。</w:t>
            </w:r>
          </w:p>
          <w:p>
            <w:pPr>
              <w:spacing w:line="360" w:lineRule="auto"/>
              <w:ind w:firstLine="482" w:firstLineChars="200"/>
              <w:rPr>
                <w:rFonts w:ascii="Times New Roman" w:hAnsi="Times New Roman"/>
                <w:b/>
                <w:sz w:val="24"/>
                <w:szCs w:val="28"/>
              </w:rPr>
            </w:pPr>
            <w:r>
              <w:rPr>
                <w:rFonts w:ascii="Times New Roman" w:hAnsi="Times New Roman"/>
                <w:b/>
                <w:sz w:val="24"/>
                <w:szCs w:val="28"/>
              </w:rPr>
              <w:t>2</w:t>
            </w:r>
            <w:r>
              <w:rPr>
                <w:rFonts w:hint="eastAsia" w:ascii="Times New Roman" w:hAnsi="Times New Roman"/>
                <w:b/>
                <w:sz w:val="24"/>
                <w:szCs w:val="28"/>
              </w:rPr>
              <w:t>、相关规划符合性分析</w:t>
            </w:r>
          </w:p>
          <w:p>
            <w:pPr>
              <w:spacing w:line="360" w:lineRule="auto"/>
              <w:ind w:firstLine="360" w:firstLineChars="150"/>
              <w:outlineLvl w:val="1"/>
              <w:rPr>
                <w:rFonts w:ascii="Times New Roman" w:hAnsi="Times New Roman"/>
                <w:sz w:val="24"/>
                <w:szCs w:val="28"/>
              </w:rPr>
            </w:pPr>
            <w:r>
              <w:rPr>
                <w:rFonts w:hint="eastAsia" w:ascii="Times New Roman" w:hAnsi="Times New Roman"/>
                <w:sz w:val="24"/>
                <w:szCs w:val="28"/>
              </w:rPr>
              <w:t>（</w:t>
            </w:r>
            <w:r>
              <w:rPr>
                <w:rFonts w:ascii="Times New Roman" w:hAnsi="Times New Roman"/>
                <w:sz w:val="24"/>
                <w:szCs w:val="28"/>
              </w:rPr>
              <w:t>1</w:t>
            </w:r>
            <w:r>
              <w:rPr>
                <w:rFonts w:hint="eastAsia" w:ascii="Times New Roman" w:hAnsi="Times New Roman"/>
                <w:sz w:val="24"/>
                <w:szCs w:val="28"/>
              </w:rPr>
              <w:t>）根据《海南省生态环境保护“十三五”规划》中“第三节创建宜居适度的生活空间推进城乡生活污水治理。大力推进城镇污水处理工程及其配套管网设施建设，提高污水处理厂运营管理水平，提升污水处理率和减排成效。”本项目为污水处理厂改扩建项目，本项目的建设符合《海南省生态环境保护“十三五”规划》中要求。</w:t>
            </w:r>
          </w:p>
          <w:p>
            <w:pPr>
              <w:spacing w:line="360" w:lineRule="auto"/>
              <w:ind w:firstLine="420"/>
              <w:rPr>
                <w:rFonts w:ascii="Times New Roman" w:hAnsi="Times New Roman"/>
                <w:sz w:val="24"/>
                <w:szCs w:val="28"/>
              </w:rPr>
            </w:pPr>
            <w:r>
              <w:rPr>
                <w:rFonts w:hint="eastAsia" w:ascii="Times New Roman" w:hAnsi="Times New Roman"/>
                <w:sz w:val="24"/>
                <w:szCs w:val="28"/>
              </w:rPr>
              <w:t>（</w:t>
            </w:r>
            <w:r>
              <w:rPr>
                <w:rFonts w:ascii="Times New Roman" w:hAnsi="Times New Roman"/>
                <w:sz w:val="24"/>
                <w:szCs w:val="28"/>
              </w:rPr>
              <w:t>2</w:t>
            </w:r>
            <w:r>
              <w:rPr>
                <w:rFonts w:hint="eastAsia" w:ascii="Times New Roman" w:hAnsi="Times New Roman"/>
                <w:sz w:val="24"/>
                <w:szCs w:val="28"/>
              </w:rPr>
              <w:t>）根据关于印发《海南省</w:t>
            </w:r>
            <w:r>
              <w:rPr>
                <w:rFonts w:ascii="Times New Roman" w:hAnsi="Times New Roman"/>
                <w:sz w:val="24"/>
                <w:szCs w:val="28"/>
              </w:rPr>
              <w:t>2019</w:t>
            </w:r>
            <w:r>
              <w:rPr>
                <w:rFonts w:hint="eastAsia" w:ascii="Times New Roman" w:hAnsi="Times New Roman"/>
                <w:sz w:val="24"/>
                <w:szCs w:val="28"/>
              </w:rPr>
              <w:t>年度水污染防治工作计划》的函（海南省水污染防治行动计划实施工作领导小组办公室</w:t>
            </w:r>
            <w:r>
              <w:rPr>
                <w:rFonts w:ascii="Times New Roman" w:hAnsi="Times New Roman"/>
                <w:sz w:val="24"/>
                <w:szCs w:val="28"/>
              </w:rPr>
              <w:t xml:space="preserve"> </w:t>
            </w:r>
            <w:r>
              <w:rPr>
                <w:rFonts w:hint="eastAsia" w:ascii="Times New Roman" w:hAnsi="Times New Roman"/>
                <w:sz w:val="24"/>
                <w:szCs w:val="28"/>
              </w:rPr>
              <w:t>琼环函</w:t>
            </w:r>
            <w:r>
              <w:rPr>
                <w:rFonts w:ascii="Times New Roman" w:hAnsi="Times New Roman"/>
                <w:sz w:val="24"/>
                <w:szCs w:val="28"/>
              </w:rPr>
              <w:t>[2019]148</w:t>
            </w:r>
            <w:r>
              <w:rPr>
                <w:rFonts w:hint="eastAsia" w:ascii="Times New Roman" w:hAnsi="Times New Roman"/>
                <w:sz w:val="24"/>
                <w:szCs w:val="28"/>
              </w:rPr>
              <w:t>号）中“二、主要工作，（四）加强城镇污染治理，</w:t>
            </w:r>
            <w:r>
              <w:rPr>
                <w:rFonts w:ascii="Times New Roman" w:hAnsi="Times New Roman"/>
                <w:sz w:val="24"/>
                <w:szCs w:val="28"/>
              </w:rPr>
              <w:t>1.</w:t>
            </w:r>
            <w:r>
              <w:rPr>
                <w:rFonts w:hint="eastAsia" w:ascii="Times New Roman" w:hAnsi="Times New Roman"/>
                <w:sz w:val="24"/>
                <w:szCs w:val="28"/>
              </w:rPr>
              <w:t>加快城镇污水处理设施建设。贯彻落实《“十三五”全国城镇污水处理机再生利用设施建设规划》，加快城镇污水处理厂及配套管网建设，确保</w:t>
            </w:r>
            <w:r>
              <w:rPr>
                <w:rFonts w:ascii="Times New Roman" w:hAnsi="Times New Roman"/>
                <w:sz w:val="24"/>
                <w:szCs w:val="28"/>
              </w:rPr>
              <w:t>2020</w:t>
            </w:r>
            <w:r>
              <w:rPr>
                <w:rFonts w:hint="eastAsia" w:ascii="Times New Roman" w:hAnsi="Times New Roman"/>
                <w:sz w:val="24"/>
                <w:szCs w:val="28"/>
              </w:rPr>
              <w:t>，所有市县和重点镇具备污水收集处理能力，其他市县污水处理率达到</w:t>
            </w:r>
            <w:r>
              <w:rPr>
                <w:rFonts w:ascii="Times New Roman" w:hAnsi="Times New Roman"/>
                <w:sz w:val="24"/>
                <w:szCs w:val="28"/>
              </w:rPr>
              <w:t>85%</w:t>
            </w:r>
            <w:r>
              <w:rPr>
                <w:rFonts w:hint="eastAsia" w:ascii="Times New Roman" w:hAnsi="Times New Roman"/>
                <w:sz w:val="24"/>
                <w:szCs w:val="28"/>
              </w:rPr>
              <w:t>”，</w:t>
            </w:r>
            <w:r>
              <w:rPr>
                <w:rFonts w:ascii="Times New Roman" w:hAnsi="Times New Roman"/>
                <w:sz w:val="24"/>
                <w:szCs w:val="28"/>
              </w:rPr>
              <w:t xml:space="preserve"> </w:t>
            </w:r>
            <w:r>
              <w:rPr>
                <w:rFonts w:hint="eastAsia" w:ascii="Times New Roman" w:hAnsi="Times New Roman"/>
                <w:sz w:val="24"/>
                <w:szCs w:val="28"/>
              </w:rPr>
              <w:t>本项目为污水处理厂改扩建项目，本项目的建设符合《海南省</w:t>
            </w:r>
            <w:r>
              <w:rPr>
                <w:rFonts w:ascii="Times New Roman" w:hAnsi="Times New Roman"/>
                <w:sz w:val="24"/>
                <w:szCs w:val="28"/>
              </w:rPr>
              <w:t>2019</w:t>
            </w:r>
            <w:r>
              <w:rPr>
                <w:rFonts w:hint="eastAsia" w:ascii="Times New Roman" w:hAnsi="Times New Roman"/>
                <w:sz w:val="24"/>
                <w:szCs w:val="28"/>
              </w:rPr>
              <w:t>年度水污染防治工作计划》的要求。</w:t>
            </w:r>
          </w:p>
          <w:p>
            <w:pPr>
              <w:spacing w:line="360" w:lineRule="auto"/>
              <w:ind w:firstLine="420"/>
              <w:rPr>
                <w:rFonts w:ascii="Times New Roman" w:hAnsi="Times New Roman"/>
                <w:sz w:val="24"/>
                <w:szCs w:val="28"/>
              </w:rPr>
            </w:pPr>
            <w:r>
              <w:rPr>
                <w:rFonts w:hint="eastAsia" w:ascii="Times New Roman" w:hAnsi="Times New Roman"/>
                <w:sz w:val="24"/>
                <w:szCs w:val="28"/>
              </w:rPr>
              <w:t>（</w:t>
            </w:r>
            <w:r>
              <w:rPr>
                <w:rFonts w:ascii="Times New Roman" w:hAnsi="Times New Roman"/>
                <w:sz w:val="24"/>
                <w:szCs w:val="28"/>
              </w:rPr>
              <w:t>3</w:t>
            </w:r>
            <w:r>
              <w:rPr>
                <w:rFonts w:hint="eastAsia" w:ascii="Times New Roman" w:hAnsi="Times New Roman"/>
                <w:sz w:val="24"/>
                <w:szCs w:val="28"/>
              </w:rPr>
              <w:t>）根据《海南省发展和改革委员会关于印发海南省</w:t>
            </w:r>
            <w:r>
              <w:rPr>
                <w:rFonts w:ascii="Times New Roman" w:hAnsi="Times New Roman"/>
                <w:sz w:val="24"/>
                <w:szCs w:val="28"/>
              </w:rPr>
              <w:t>2019</w:t>
            </w:r>
            <w:r>
              <w:rPr>
                <w:rFonts w:hint="eastAsia" w:ascii="Times New Roman" w:hAnsi="Times New Roman"/>
                <w:sz w:val="24"/>
                <w:szCs w:val="28"/>
              </w:rPr>
              <w:t>年重点项目投资计划的通知》（海南省发展和改革委员会文件</w:t>
            </w:r>
            <w:r>
              <w:rPr>
                <w:rFonts w:ascii="Times New Roman" w:hAnsi="Times New Roman"/>
                <w:sz w:val="24"/>
                <w:szCs w:val="28"/>
              </w:rPr>
              <w:t xml:space="preserve"> </w:t>
            </w:r>
            <w:r>
              <w:rPr>
                <w:rFonts w:hint="eastAsia" w:ascii="Times New Roman" w:hAnsi="Times New Roman"/>
                <w:sz w:val="24"/>
                <w:szCs w:val="28"/>
              </w:rPr>
              <w:t>琼发改重点</w:t>
            </w:r>
            <w:r>
              <w:rPr>
                <w:rFonts w:ascii="Times New Roman" w:hAnsi="Times New Roman"/>
                <w:sz w:val="24"/>
                <w:szCs w:val="28"/>
              </w:rPr>
              <w:t>[2019]520</w:t>
            </w:r>
            <w:r>
              <w:rPr>
                <w:rFonts w:hint="eastAsia" w:ascii="Times New Roman" w:hAnsi="Times New Roman"/>
                <w:sz w:val="24"/>
                <w:szCs w:val="28"/>
              </w:rPr>
              <w:t>号）中附件可知，本项目为序号</w:t>
            </w:r>
            <w:r>
              <w:rPr>
                <w:rFonts w:ascii="Times New Roman" w:hAnsi="Times New Roman"/>
                <w:sz w:val="24"/>
                <w:szCs w:val="28"/>
              </w:rPr>
              <w:t>102</w:t>
            </w:r>
            <w:r>
              <w:rPr>
                <w:rFonts w:hint="eastAsia" w:ascii="Times New Roman" w:hAnsi="Times New Roman"/>
                <w:sz w:val="24"/>
                <w:szCs w:val="28"/>
              </w:rPr>
              <w:t>对定安、东方等</w:t>
            </w:r>
            <w:r>
              <w:rPr>
                <w:rFonts w:ascii="Times New Roman" w:hAnsi="Times New Roman"/>
                <w:sz w:val="24"/>
                <w:szCs w:val="28"/>
              </w:rPr>
              <w:t>2</w:t>
            </w:r>
            <w:r>
              <w:rPr>
                <w:rFonts w:hint="eastAsia" w:ascii="Times New Roman" w:hAnsi="Times New Roman"/>
                <w:sz w:val="24"/>
                <w:szCs w:val="28"/>
              </w:rPr>
              <w:t>个市县的污水处理厂进行（二期）扩建中定安污水处理厂二期项目，属于所列重点项目，本项目的建设符合《关于印发海南省</w:t>
            </w:r>
            <w:r>
              <w:rPr>
                <w:rFonts w:ascii="Times New Roman" w:hAnsi="Times New Roman"/>
                <w:sz w:val="24"/>
                <w:szCs w:val="28"/>
              </w:rPr>
              <w:t>2019</w:t>
            </w:r>
            <w:r>
              <w:rPr>
                <w:rFonts w:hint="eastAsia" w:ascii="Times New Roman" w:hAnsi="Times New Roman"/>
                <w:sz w:val="24"/>
                <w:szCs w:val="28"/>
              </w:rPr>
              <w:t>年重点项目投资计划的通知》中要求。</w:t>
            </w:r>
          </w:p>
          <w:p>
            <w:pPr>
              <w:spacing w:line="360" w:lineRule="auto"/>
              <w:ind w:firstLine="420"/>
              <w:rPr>
                <w:rFonts w:ascii="Times New Roman" w:hAnsi="Times New Roman"/>
                <w:sz w:val="24"/>
                <w:szCs w:val="28"/>
              </w:rPr>
            </w:pPr>
            <w:r>
              <w:rPr>
                <w:rFonts w:hint="eastAsia" w:ascii="Times New Roman" w:hAnsi="Times New Roman"/>
                <w:sz w:val="24"/>
                <w:szCs w:val="28"/>
              </w:rPr>
              <w:t>（</w:t>
            </w:r>
            <w:r>
              <w:rPr>
                <w:rFonts w:ascii="Times New Roman" w:hAnsi="Times New Roman"/>
                <w:sz w:val="24"/>
                <w:szCs w:val="28"/>
              </w:rPr>
              <w:t>4</w:t>
            </w:r>
            <w:r>
              <w:rPr>
                <w:rFonts w:hint="eastAsia" w:ascii="Times New Roman" w:hAnsi="Times New Roman"/>
                <w:sz w:val="24"/>
                <w:szCs w:val="28"/>
              </w:rPr>
              <w:t>）根据《定安县国民经济和社会发展第十三个五年规划纲要》中“第六章坚持绿色发展，着力改善生态环境”中“</w:t>
            </w:r>
            <w:r>
              <w:rPr>
                <w:rFonts w:ascii="Times New Roman" w:hAnsi="Times New Roman"/>
                <w:sz w:val="24"/>
                <w:szCs w:val="28"/>
              </w:rPr>
              <w:t>6.4</w:t>
            </w:r>
            <w:r>
              <w:rPr>
                <w:rFonts w:hint="eastAsia" w:ascii="Times New Roman" w:hAnsi="Times New Roman"/>
                <w:sz w:val="24"/>
                <w:szCs w:val="28"/>
              </w:rPr>
              <w:t>强力开展城乡环境治理行动”中指出推进镇墟生活污水处理工程建设项目。本项目为污水处理厂改扩建项目，本项目的建设符合《定安县国民经济和社会发展第十三个五年规划纲要》中要求。</w:t>
            </w:r>
          </w:p>
          <w:p>
            <w:pPr>
              <w:spacing w:line="360" w:lineRule="auto"/>
              <w:ind w:firstLine="420"/>
              <w:rPr>
                <w:rFonts w:ascii="Times New Roman" w:hAnsi="Times New Roman"/>
                <w:sz w:val="24"/>
                <w:szCs w:val="28"/>
              </w:rPr>
            </w:pPr>
            <w:r>
              <w:rPr>
                <w:rFonts w:hint="eastAsia" w:ascii="Times New Roman" w:hAnsi="Times New Roman"/>
                <w:sz w:val="24"/>
                <w:szCs w:val="28"/>
              </w:rPr>
              <w:t>（</w:t>
            </w:r>
            <w:r>
              <w:rPr>
                <w:rFonts w:ascii="Times New Roman" w:hAnsi="Times New Roman"/>
                <w:sz w:val="24"/>
                <w:szCs w:val="28"/>
              </w:rPr>
              <w:t>5</w:t>
            </w:r>
            <w:r>
              <w:rPr>
                <w:rFonts w:hint="eastAsia" w:ascii="Times New Roman" w:hAnsi="Times New Roman"/>
                <w:sz w:val="24"/>
                <w:szCs w:val="28"/>
              </w:rPr>
              <w:t>）本项目为《定安县人民政府办公室关于印发定安县污染水体治理三年行动实施方案（</w:t>
            </w:r>
            <w:r>
              <w:rPr>
                <w:rFonts w:ascii="Times New Roman" w:hAnsi="Times New Roman"/>
                <w:sz w:val="24"/>
                <w:szCs w:val="28"/>
              </w:rPr>
              <w:t>2018-2020</w:t>
            </w:r>
            <w:r>
              <w:rPr>
                <w:rFonts w:hint="eastAsia" w:ascii="Times New Roman" w:hAnsi="Times New Roman"/>
                <w:sz w:val="24"/>
                <w:szCs w:val="28"/>
              </w:rPr>
              <w:t>年）的通知》（定安县人民政府办公室文件</w:t>
            </w:r>
            <w:r>
              <w:rPr>
                <w:rFonts w:ascii="Times New Roman" w:hAnsi="Times New Roman"/>
                <w:sz w:val="24"/>
                <w:szCs w:val="28"/>
              </w:rPr>
              <w:t xml:space="preserve"> </w:t>
            </w:r>
            <w:r>
              <w:rPr>
                <w:rFonts w:hint="eastAsia" w:ascii="Times New Roman" w:hAnsi="Times New Roman"/>
                <w:sz w:val="24"/>
                <w:szCs w:val="28"/>
              </w:rPr>
              <w:t>定府办</w:t>
            </w:r>
            <w:r>
              <w:rPr>
                <w:rFonts w:ascii="Times New Roman" w:hAnsi="Times New Roman"/>
                <w:sz w:val="24"/>
                <w:szCs w:val="28"/>
              </w:rPr>
              <w:t>[2018]85</w:t>
            </w:r>
            <w:r>
              <w:rPr>
                <w:rFonts w:hint="eastAsia" w:ascii="Times New Roman" w:hAnsi="Times New Roman"/>
                <w:sz w:val="24"/>
                <w:szCs w:val="28"/>
              </w:rPr>
              <w:t>号）中“三、主要任务，（三）强化能力建设，</w:t>
            </w:r>
            <w:r>
              <w:rPr>
                <w:rFonts w:ascii="Times New Roman" w:hAnsi="Times New Roman"/>
                <w:sz w:val="24"/>
                <w:szCs w:val="28"/>
              </w:rPr>
              <w:t>1</w:t>
            </w:r>
            <w:r>
              <w:rPr>
                <w:rFonts w:hint="eastAsia" w:ascii="Times New Roman" w:hAnsi="Times New Roman"/>
                <w:sz w:val="24"/>
                <w:szCs w:val="28"/>
              </w:rPr>
              <w:t>、加快污水处理设施建设。”本项目为污水处理厂改扩建项目，本项目的建设符合《定安县人民政府办公室关于印发定安县污染水体治理三年行动实施方案（</w:t>
            </w:r>
            <w:r>
              <w:rPr>
                <w:rFonts w:ascii="Times New Roman" w:hAnsi="Times New Roman"/>
                <w:sz w:val="24"/>
                <w:szCs w:val="28"/>
              </w:rPr>
              <w:t>2018-2020</w:t>
            </w:r>
            <w:r>
              <w:rPr>
                <w:rFonts w:hint="eastAsia" w:ascii="Times New Roman" w:hAnsi="Times New Roman"/>
                <w:sz w:val="24"/>
                <w:szCs w:val="28"/>
              </w:rPr>
              <w:t>年）的通知》中要求。</w:t>
            </w:r>
          </w:p>
          <w:p>
            <w:pPr>
              <w:pStyle w:val="2"/>
              <w:spacing w:line="360" w:lineRule="auto"/>
              <w:ind w:firstLine="482" w:firstLineChars="200"/>
              <w:rPr>
                <w:b/>
                <w:bCs/>
              </w:rPr>
            </w:pPr>
            <w:r>
              <w:rPr>
                <w:rFonts w:hint="eastAsia"/>
                <w:b/>
                <w:bCs/>
              </w:rPr>
              <w:t>四、现有项目概况及规模</w:t>
            </w:r>
          </w:p>
          <w:p>
            <w:pPr>
              <w:pStyle w:val="114"/>
              <w:ind w:firstLine="482"/>
              <w:rPr>
                <w:b/>
              </w:rPr>
            </w:pPr>
            <w:r>
              <w:rPr>
                <w:b/>
              </w:rPr>
              <w:t>1</w:t>
            </w:r>
            <w:r>
              <w:rPr>
                <w:rFonts w:hint="eastAsia"/>
                <w:b/>
              </w:rPr>
              <w:t>、建设内容及规模</w:t>
            </w:r>
          </w:p>
          <w:p>
            <w:pPr>
              <w:pStyle w:val="114"/>
            </w:pPr>
            <w:r>
              <w:rPr>
                <w:rFonts w:hint="eastAsia"/>
              </w:rPr>
              <w:t>定城污水处理厂现有项目设计处理规模为</w:t>
            </w:r>
            <w:r>
              <w:t>1.5</w:t>
            </w:r>
            <w:r>
              <w:rPr>
                <w:rFonts w:hint="eastAsia"/>
              </w:rPr>
              <w:t>万</w:t>
            </w:r>
            <w:r>
              <w:t>m</w:t>
            </w:r>
            <w:r>
              <w:rPr>
                <w:vertAlign w:val="superscript"/>
              </w:rPr>
              <w:t>3</w:t>
            </w:r>
            <w:r>
              <w:t>/d</w:t>
            </w:r>
            <w:r>
              <w:rPr>
                <w:rFonts w:hint="eastAsia"/>
              </w:rPr>
              <w:t>。处理工艺为格栅</w:t>
            </w:r>
            <w:r>
              <w:t>—</w:t>
            </w:r>
            <w:r>
              <w:rPr>
                <w:rFonts w:hint="eastAsia"/>
              </w:rPr>
              <w:t>沉砂</w:t>
            </w:r>
            <w:r>
              <w:t>—AAO—</w:t>
            </w:r>
            <w:r>
              <w:rPr>
                <w:rFonts w:hint="eastAsia"/>
              </w:rPr>
              <w:t>沉淀</w:t>
            </w:r>
            <w:r>
              <w:t>—</w:t>
            </w:r>
            <w:r>
              <w:rPr>
                <w:rFonts w:hint="eastAsia"/>
              </w:rPr>
              <w:t>消毒。定城污水处理厂服务范围为定安县县城内的生活污水，包括已规划的定安县老城区、定安县塔岭新区（一期、定安县塔岭新区（二期）以及定安县仙沟片区，共约</w:t>
            </w:r>
            <w:r>
              <w:t>3110hm</w:t>
            </w:r>
            <w:r>
              <w:rPr>
                <w:vertAlign w:val="superscript"/>
              </w:rPr>
              <w:t>2</w:t>
            </w:r>
            <w:r>
              <w:rPr>
                <w:rFonts w:hint="eastAsia"/>
              </w:rPr>
              <w:t>的服务面积。现处理量已达到</w:t>
            </w:r>
            <w:r>
              <w:t>1.2-1.4</w:t>
            </w:r>
            <w:r>
              <w:rPr>
                <w:rFonts w:hint="eastAsia"/>
              </w:rPr>
              <w:t>万</w:t>
            </w:r>
            <w:r>
              <w:t>m</w:t>
            </w:r>
            <w:r>
              <w:rPr>
                <w:vertAlign w:val="superscript"/>
              </w:rPr>
              <w:t>3</w:t>
            </w:r>
            <w:r>
              <w:t>/d</w:t>
            </w:r>
            <w:r>
              <w:rPr>
                <w:rFonts w:hint="eastAsia"/>
              </w:rPr>
              <w:t>。</w:t>
            </w:r>
          </w:p>
          <w:p>
            <w:pPr>
              <w:pStyle w:val="114"/>
              <w:ind w:firstLine="482"/>
              <w:rPr>
                <w:b/>
              </w:rPr>
            </w:pPr>
            <w:r>
              <w:rPr>
                <w:b/>
              </w:rPr>
              <w:t>2</w:t>
            </w:r>
            <w:r>
              <w:rPr>
                <w:rFonts w:hint="eastAsia"/>
                <w:b/>
              </w:rPr>
              <w:t>、环保手续履行情况</w:t>
            </w:r>
          </w:p>
          <w:p>
            <w:pPr>
              <w:pStyle w:val="114"/>
            </w:pPr>
            <w:r>
              <w:rPr>
                <w:rFonts w:hint="eastAsia"/>
              </w:rPr>
              <w:t>定城污水处理厂一期工程于</w:t>
            </w:r>
            <w:r>
              <w:t>2008</w:t>
            </w:r>
            <w:r>
              <w:rPr>
                <w:rFonts w:hint="eastAsia"/>
              </w:rPr>
              <w:t>年</w:t>
            </w:r>
            <w:r>
              <w:t>1</w:t>
            </w:r>
            <w:r>
              <w:rPr>
                <w:rFonts w:hint="eastAsia"/>
              </w:rPr>
              <w:t>月</w:t>
            </w:r>
            <w:r>
              <w:t>8</w:t>
            </w:r>
            <w:r>
              <w:rPr>
                <w:rFonts w:hint="eastAsia"/>
              </w:rPr>
              <w:t>日取得原海南省国土环境资源厅《关于定安县定城污水处理设施项目环境影响报告表的批复》（琼土环资监表字</w:t>
            </w:r>
            <w:r>
              <w:t>[2008]02</w:t>
            </w:r>
            <w:r>
              <w:rPr>
                <w:rFonts w:hint="eastAsia"/>
              </w:rPr>
              <w:t>号），</w:t>
            </w:r>
            <w:r>
              <w:t>2016</w:t>
            </w:r>
            <w:r>
              <w:rPr>
                <w:rFonts w:hint="eastAsia"/>
              </w:rPr>
              <w:t>年</w:t>
            </w:r>
            <w:r>
              <w:t>12</w:t>
            </w:r>
            <w:r>
              <w:rPr>
                <w:rFonts w:hint="eastAsia"/>
              </w:rPr>
              <w:t>月</w:t>
            </w:r>
            <w:r>
              <w:t>25</w:t>
            </w:r>
            <w:r>
              <w:rPr>
                <w:rFonts w:hint="eastAsia"/>
              </w:rPr>
              <w:t>日取得原定安县环境保护局和城乡综合管理委员会《关于批复定安县定城污水处理设施项目竣工环境保护验收的函》（定环城委函</w:t>
            </w:r>
            <w:r>
              <w:t>[2016]841</w:t>
            </w:r>
            <w:r>
              <w:rPr>
                <w:rFonts w:hint="eastAsia"/>
              </w:rPr>
              <w:t>号），于</w:t>
            </w:r>
            <w:r>
              <w:t>2019</w:t>
            </w:r>
            <w:r>
              <w:rPr>
                <w:rFonts w:hint="eastAsia"/>
              </w:rPr>
              <w:t>年</w:t>
            </w:r>
            <w:r>
              <w:t>04</w:t>
            </w:r>
            <w:r>
              <w:rPr>
                <w:rFonts w:hint="eastAsia"/>
              </w:rPr>
              <w:t>月</w:t>
            </w:r>
            <w:r>
              <w:t>03</w:t>
            </w:r>
            <w:r>
              <w:rPr>
                <w:rFonts w:hint="eastAsia"/>
              </w:rPr>
              <w:t>日取得海南省生态环境厅核发的《排污许可证》（证书编号</w:t>
            </w:r>
            <w:r>
              <w:t>91469025583946622M001Z</w:t>
            </w:r>
            <w:r>
              <w:rPr>
                <w:rFonts w:hint="eastAsia"/>
              </w:rPr>
              <w:t>）。项目运营期间无居民投诉。</w:t>
            </w:r>
          </w:p>
          <w:p>
            <w:pPr>
              <w:pStyle w:val="114"/>
            </w:pPr>
            <w:r>
              <w:rPr>
                <w:rFonts w:hint="eastAsia"/>
              </w:rPr>
              <w:t>污水处理厂一期工程建设内容一览表见表</w:t>
            </w:r>
            <w:r>
              <w:t>1-2</w:t>
            </w:r>
            <w:r>
              <w:rPr>
                <w:rFonts w:hint="eastAsia"/>
              </w:rPr>
              <w:t>。</w:t>
            </w:r>
          </w:p>
          <w:p>
            <w:pPr>
              <w:pStyle w:val="114"/>
            </w:pPr>
          </w:p>
          <w:p>
            <w:pPr>
              <w:pStyle w:val="111"/>
            </w:pPr>
            <w:r>
              <w:rPr>
                <w:rFonts w:hint="eastAsia"/>
              </w:rPr>
              <w:t>表</w:t>
            </w:r>
            <w:r>
              <w:t>1-2</w:t>
            </w:r>
            <w:r>
              <w:rPr>
                <w:rFonts w:hint="eastAsia"/>
              </w:rPr>
              <w:t>一期工程建设内容一览表</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559"/>
              <w:gridCol w:w="5246"/>
              <w:gridCol w:w="1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tcBorders>
                    <w:top w:val="single" w:color="auto" w:sz="12" w:space="0"/>
                    <w:left w:val="single" w:color="auto" w:sz="12" w:space="0"/>
                    <w:bottom w:val="double" w:color="auto" w:sz="4" w:space="0"/>
                    <w:right w:val="single" w:color="auto" w:sz="4" w:space="0"/>
                  </w:tcBorders>
                  <w:vAlign w:val="center"/>
                </w:tcPr>
                <w:p>
                  <w:pPr>
                    <w:pStyle w:val="90"/>
                    <w:spacing w:line="240" w:lineRule="atLeast"/>
                    <w:ind w:firstLine="0"/>
                    <w:jc w:val="center"/>
                    <w:rPr>
                      <w:rFonts w:ascii="Times New Roman" w:hAnsi="Times New Roman"/>
                      <w:b/>
                      <w:bCs/>
                      <w:spacing w:val="0"/>
                      <w:sz w:val="21"/>
                      <w:szCs w:val="21"/>
                    </w:rPr>
                  </w:pPr>
                  <w:r>
                    <w:rPr>
                      <w:rFonts w:hint="eastAsia" w:ascii="Times New Roman" w:hAnsi="Times New Roman"/>
                      <w:b/>
                      <w:bCs/>
                      <w:spacing w:val="0"/>
                      <w:sz w:val="21"/>
                      <w:szCs w:val="21"/>
                    </w:rPr>
                    <w:t>工程类别</w:t>
                  </w:r>
                </w:p>
              </w:tc>
              <w:tc>
                <w:tcPr>
                  <w:tcW w:w="1559" w:type="dxa"/>
                  <w:tcBorders>
                    <w:top w:val="single" w:color="auto" w:sz="12" w:space="0"/>
                    <w:left w:val="single" w:color="auto" w:sz="4" w:space="0"/>
                    <w:bottom w:val="double" w:color="auto" w:sz="4" w:space="0"/>
                    <w:right w:val="single" w:color="auto" w:sz="4" w:space="0"/>
                  </w:tcBorders>
                  <w:vAlign w:val="center"/>
                </w:tcPr>
                <w:p>
                  <w:pPr>
                    <w:pStyle w:val="90"/>
                    <w:spacing w:line="240" w:lineRule="atLeast"/>
                    <w:ind w:firstLine="0"/>
                    <w:jc w:val="center"/>
                    <w:rPr>
                      <w:rFonts w:ascii="Times New Roman" w:hAnsi="Times New Roman"/>
                      <w:b/>
                      <w:bCs/>
                      <w:spacing w:val="0"/>
                      <w:sz w:val="21"/>
                      <w:szCs w:val="21"/>
                    </w:rPr>
                  </w:pPr>
                  <w:r>
                    <w:rPr>
                      <w:rFonts w:hint="eastAsia" w:ascii="Times New Roman" w:hAnsi="Times New Roman"/>
                      <w:b/>
                      <w:bCs/>
                      <w:spacing w:val="0"/>
                      <w:sz w:val="21"/>
                      <w:szCs w:val="21"/>
                    </w:rPr>
                    <w:t>工程名称</w:t>
                  </w:r>
                </w:p>
              </w:tc>
              <w:tc>
                <w:tcPr>
                  <w:tcW w:w="5246" w:type="dxa"/>
                  <w:tcBorders>
                    <w:top w:val="single" w:color="auto" w:sz="12" w:space="0"/>
                    <w:left w:val="single" w:color="auto" w:sz="4" w:space="0"/>
                    <w:bottom w:val="double" w:color="auto" w:sz="4" w:space="0"/>
                    <w:right w:val="single" w:color="auto" w:sz="4" w:space="0"/>
                  </w:tcBorders>
                  <w:vAlign w:val="center"/>
                </w:tcPr>
                <w:p>
                  <w:pPr>
                    <w:pStyle w:val="90"/>
                    <w:spacing w:line="240" w:lineRule="atLeast"/>
                    <w:ind w:firstLine="0"/>
                    <w:jc w:val="center"/>
                    <w:rPr>
                      <w:rFonts w:ascii="Times New Roman" w:hAnsi="Times New Roman"/>
                      <w:b/>
                      <w:bCs/>
                      <w:spacing w:val="0"/>
                      <w:sz w:val="21"/>
                      <w:szCs w:val="21"/>
                    </w:rPr>
                  </w:pPr>
                  <w:r>
                    <w:rPr>
                      <w:rFonts w:hint="eastAsia" w:ascii="Times New Roman" w:hAnsi="Times New Roman"/>
                      <w:b/>
                      <w:bCs/>
                      <w:spacing w:val="0"/>
                      <w:sz w:val="21"/>
                      <w:szCs w:val="21"/>
                    </w:rPr>
                    <w:t>工程内容</w:t>
                  </w:r>
                </w:p>
              </w:tc>
              <w:tc>
                <w:tcPr>
                  <w:tcW w:w="1152" w:type="dxa"/>
                  <w:tcBorders>
                    <w:top w:val="single" w:color="auto" w:sz="12" w:space="0"/>
                    <w:left w:val="single" w:color="auto" w:sz="4" w:space="0"/>
                    <w:bottom w:val="double" w:color="auto" w:sz="4" w:space="0"/>
                    <w:right w:val="single" w:color="auto" w:sz="12" w:space="0"/>
                  </w:tcBorders>
                  <w:vAlign w:val="center"/>
                </w:tcPr>
                <w:p>
                  <w:pPr>
                    <w:pStyle w:val="90"/>
                    <w:spacing w:line="240" w:lineRule="atLeast"/>
                    <w:ind w:firstLine="0"/>
                    <w:jc w:val="center"/>
                    <w:rPr>
                      <w:rFonts w:ascii="Times New Roman" w:hAnsi="Times New Roman"/>
                      <w:b/>
                      <w:bCs/>
                      <w:spacing w:val="0"/>
                      <w:sz w:val="21"/>
                      <w:szCs w:val="21"/>
                    </w:rPr>
                  </w:pPr>
                  <w:r>
                    <w:rPr>
                      <w:rFonts w:hint="eastAsia" w:ascii="Times New Roman" w:hAnsi="Times New Roman"/>
                      <w:b/>
                      <w:bCs/>
                      <w:spacing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restart"/>
                  <w:tcBorders>
                    <w:top w:val="doub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hint="eastAsia" w:ascii="Times New Roman" w:hAnsi="Times New Roman"/>
                      <w:spacing w:val="0"/>
                      <w:sz w:val="21"/>
                      <w:szCs w:val="21"/>
                    </w:rPr>
                    <w:t>主体工程</w:t>
                  </w:r>
                </w:p>
              </w:tc>
              <w:tc>
                <w:tcPr>
                  <w:tcW w:w="1559" w:type="dxa"/>
                  <w:tcBorders>
                    <w:top w:val="doub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hint="eastAsia" w:ascii="Times New Roman" w:hAnsi="Times New Roman"/>
                      <w:spacing w:val="0"/>
                      <w:sz w:val="21"/>
                      <w:szCs w:val="21"/>
                    </w:rPr>
                    <w:t>粗格栅、进水泵房</w:t>
                  </w:r>
                </w:p>
              </w:tc>
              <w:tc>
                <w:tcPr>
                  <w:tcW w:w="5246" w:type="dxa"/>
                  <w:tcBorders>
                    <w:top w:val="doub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3.0</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p>
              </w:tc>
              <w:tc>
                <w:tcPr>
                  <w:tcW w:w="1152" w:type="dxa"/>
                  <w:tcBorders>
                    <w:top w:val="doub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hint="eastAsia" w:ascii="Times New Roman" w:hAnsi="Times New Roman"/>
                      <w:spacing w:val="0"/>
                      <w:sz w:val="21"/>
                      <w:szCs w:val="21"/>
                    </w:rPr>
                    <w:t>细格栅、旋流沉砂池</w:t>
                  </w:r>
                </w:p>
              </w:tc>
              <w:tc>
                <w:tcPr>
                  <w:tcW w:w="524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1</w:t>
                  </w:r>
                  <w:r>
                    <w:rPr>
                      <w:rFonts w:hint="eastAsia" w:ascii="Times New Roman" w:hAnsi="Times New Roman"/>
                      <w:szCs w:val="21"/>
                    </w:rPr>
                    <w:t>座，按</w:t>
                  </w:r>
                  <w:r>
                    <w:rPr>
                      <w:rFonts w:ascii="Times New Roman" w:hAnsi="Times New Roman"/>
                      <w:szCs w:val="21"/>
                    </w:rPr>
                    <w:t>1.5</w:t>
                  </w:r>
                  <w:r>
                    <w:rPr>
                      <w:rFonts w:hint="eastAsia" w:ascii="Times New Roman" w:hAnsi="Times New Roman"/>
                      <w:szCs w:val="21"/>
                    </w:rPr>
                    <w:t>万</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/d</w:t>
                  </w:r>
                  <w:r>
                    <w:rPr>
                      <w:rFonts w:hint="eastAsia" w:ascii="Times New Roman" w:hAnsi="Times New Roman"/>
                      <w:szCs w:val="21"/>
                    </w:rPr>
                    <w:t>规模设计。</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hint="eastAsia" w:ascii="Times New Roman" w:hAnsi="Times New Roman"/>
                      <w:spacing w:val="0"/>
                      <w:sz w:val="21"/>
                      <w:szCs w:val="21"/>
                    </w:rPr>
                    <w:t>沉砂池附属间</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3.0</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rFonts w:ascii="Times New Roman" w:hAnsi="Times New Roman"/>
                      <w:spacing w:val="0"/>
                      <w:sz w:val="21"/>
                      <w:szCs w:val="21"/>
                    </w:rPr>
                    <w:t>9.6×6×3.6m</w:t>
                  </w:r>
                  <w:r>
                    <w:rPr>
                      <w:rFonts w:hint="eastAsia" w:ascii="Times New Roman" w:hAnsi="Times New Roman"/>
                      <w:spacing w:val="0"/>
                      <w:sz w:val="21"/>
                      <w:szCs w:val="21"/>
                    </w:rPr>
                    <w:t>。</w:t>
                  </w:r>
                </w:p>
                <w:p>
                  <w:pPr>
                    <w:pStyle w:val="90"/>
                    <w:spacing w:line="240" w:lineRule="atLeast"/>
                    <w:ind w:firstLine="0"/>
                    <w:jc w:val="center"/>
                    <w:rPr>
                      <w:rFonts w:ascii="Times New Roman" w:hAnsi="Times New Roman"/>
                      <w:spacing w:val="0"/>
                      <w:sz w:val="21"/>
                      <w:szCs w:val="21"/>
                    </w:rPr>
                  </w:pP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hint="eastAsia" w:ascii="Times New Roman" w:hAnsi="Times New Roman"/>
                      <w:spacing w:val="0"/>
                      <w:sz w:val="21"/>
                      <w:szCs w:val="21"/>
                    </w:rPr>
                    <w:t>厌氧池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rFonts w:ascii="Times New Roman" w:hAnsi="Times New Roman"/>
                      <w:spacing w:val="0"/>
                      <w:sz w:val="21"/>
                      <w:szCs w:val="21"/>
                    </w:rPr>
                    <w:t>12×30×5.5m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缺氧池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12×30×5.5m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好氧池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44.5×30×5m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二沉池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2</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φ28×3.8m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混凝反应池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rFonts w:ascii="Times New Roman" w:hAnsi="Times New Roman"/>
                      <w:spacing w:val="0"/>
                      <w:sz w:val="21"/>
                      <w:szCs w:val="21"/>
                    </w:rPr>
                    <w:t>12×30×5.5m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加药间</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3.0</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rFonts w:ascii="Times New Roman" w:hAnsi="Times New Roman"/>
                      <w:spacing w:val="0"/>
                      <w:sz w:val="21"/>
                      <w:szCs w:val="21"/>
                    </w:rPr>
                    <w:t>7.2×6×3.6m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快滤池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112.5×11.6×3.7m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反冲洗水池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5×5×5.5m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反冲洗泵房</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16.8×6×3.9m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反冲洗贮水池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5×5×5.5m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加氯间</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3.0</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rFonts w:ascii="Times New Roman" w:hAnsi="Times New Roman"/>
                      <w:spacing w:val="0"/>
                      <w:sz w:val="21"/>
                      <w:szCs w:val="21"/>
                    </w:rPr>
                    <w:t>10.8×6×3.6m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消毒池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1.5</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rFonts w:ascii="Times New Roman" w:hAnsi="Times New Roman"/>
                      <w:spacing w:val="0"/>
                      <w:sz w:val="21"/>
                      <w:szCs w:val="21"/>
                    </w:rPr>
                    <w:t>12.5×6×4.5m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贮泥池</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3.0</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7×9×5.5</w:t>
                  </w:r>
                  <w:r>
                    <w:rPr>
                      <w:rFonts w:ascii="Times New Roman" w:hAnsi="Times New Roman"/>
                      <w:spacing w:val="0"/>
                      <w:sz w:val="21"/>
                      <w:szCs w:val="21"/>
                    </w:rPr>
                    <w:t>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szCs w:val="21"/>
                    </w:rPr>
                  </w:pPr>
                  <w:r>
                    <w:rPr>
                      <w:rFonts w:hint="eastAsia"/>
                      <w:szCs w:val="21"/>
                    </w:rPr>
                    <w:t>污泥浓缩脱水间</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3.0</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27.6×7.5×6</w:t>
                  </w:r>
                  <w:r>
                    <w:rPr>
                      <w:rFonts w:ascii="Times New Roman" w:hAnsi="Times New Roman"/>
                      <w:spacing w:val="0"/>
                      <w:sz w:val="21"/>
                      <w:szCs w:val="21"/>
                    </w:rPr>
                    <w:t>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hint="eastAsia"/>
                      <w:sz w:val="21"/>
                      <w:szCs w:val="21"/>
                    </w:rPr>
                    <w:t>泥棚</w:t>
                  </w:r>
                </w:p>
              </w:tc>
              <w:tc>
                <w:tcPr>
                  <w:tcW w:w="5246" w:type="dxa"/>
                  <w:tcBorders>
                    <w:top w:val="single" w:color="auto" w:sz="4" w:space="0"/>
                    <w:left w:val="single" w:color="auto" w:sz="4" w:space="0"/>
                    <w:bottom w:val="single" w:color="auto" w:sz="4" w:space="0"/>
                    <w:right w:val="single" w:color="auto" w:sz="4" w:space="0"/>
                  </w:tcBorders>
                  <w:vAlign w:val="center"/>
                </w:tcPr>
                <w:p>
                  <w:pPr>
                    <w:pStyle w:val="90"/>
                    <w:spacing w:line="240" w:lineRule="atLeast"/>
                    <w:ind w:firstLine="0"/>
                    <w:jc w:val="center"/>
                    <w:rPr>
                      <w:rFonts w:ascii="Times New Roman" w:hAnsi="Times New Roman"/>
                      <w:spacing w:val="0"/>
                      <w:sz w:val="21"/>
                      <w:szCs w:val="21"/>
                    </w:rPr>
                  </w:pPr>
                  <w:r>
                    <w:rPr>
                      <w:rFonts w:ascii="Times New Roman" w:hAnsi="Times New Roman"/>
                      <w:spacing w:val="0"/>
                      <w:sz w:val="21"/>
                      <w:szCs w:val="21"/>
                    </w:rPr>
                    <w:t>1</w:t>
                  </w:r>
                  <w:r>
                    <w:rPr>
                      <w:rFonts w:hint="eastAsia" w:ascii="Times New Roman" w:hAnsi="Times New Roman"/>
                      <w:spacing w:val="0"/>
                      <w:sz w:val="21"/>
                      <w:szCs w:val="21"/>
                    </w:rPr>
                    <w:t>座，按</w:t>
                  </w:r>
                  <w:r>
                    <w:rPr>
                      <w:rFonts w:ascii="Times New Roman" w:hAnsi="Times New Roman"/>
                      <w:spacing w:val="0"/>
                      <w:sz w:val="21"/>
                      <w:szCs w:val="21"/>
                    </w:rPr>
                    <w:t>3.0</w:t>
                  </w:r>
                  <w:r>
                    <w:rPr>
                      <w:rFonts w:hint="eastAsia" w:ascii="Times New Roman" w:hAnsi="Times New Roman"/>
                      <w:spacing w:val="0"/>
                      <w:sz w:val="21"/>
                      <w:szCs w:val="21"/>
                    </w:rPr>
                    <w:t>万</w:t>
                  </w:r>
                  <w:r>
                    <w:rPr>
                      <w:rFonts w:ascii="Times New Roman" w:hAnsi="Times New Roman"/>
                      <w:spacing w:val="0"/>
                      <w:sz w:val="21"/>
                      <w:szCs w:val="21"/>
                    </w:rPr>
                    <w:t>m</w:t>
                  </w:r>
                  <w:r>
                    <w:rPr>
                      <w:rFonts w:ascii="Times New Roman" w:hAnsi="Times New Roman"/>
                      <w:spacing w:val="0"/>
                      <w:sz w:val="21"/>
                      <w:szCs w:val="21"/>
                      <w:vertAlign w:val="superscript"/>
                    </w:rPr>
                    <w:t>3</w:t>
                  </w:r>
                  <w:r>
                    <w:rPr>
                      <w:rFonts w:ascii="Times New Roman" w:hAnsi="Times New Roman"/>
                      <w:spacing w:val="0"/>
                      <w:sz w:val="21"/>
                      <w:szCs w:val="21"/>
                    </w:rPr>
                    <w:t>/d</w:t>
                  </w:r>
                  <w:r>
                    <w:rPr>
                      <w:rFonts w:hint="eastAsia" w:ascii="Times New Roman" w:hAnsi="Times New Roman"/>
                      <w:spacing w:val="0"/>
                      <w:sz w:val="21"/>
                      <w:szCs w:val="21"/>
                    </w:rPr>
                    <w:t>规模设计，</w:t>
                  </w:r>
                  <w:r>
                    <w:rPr>
                      <w:sz w:val="21"/>
                      <w:szCs w:val="21"/>
                    </w:rPr>
                    <w:t>6×6×3</w:t>
                  </w:r>
                  <w:r>
                    <w:rPr>
                      <w:rFonts w:ascii="Times New Roman" w:hAnsi="Times New Roman"/>
                      <w:spacing w:val="0"/>
                      <w:sz w:val="21"/>
                      <w:szCs w:val="21"/>
                    </w:rPr>
                    <w:t>m</w:t>
                  </w:r>
                  <w:r>
                    <w:rPr>
                      <w:rFonts w:hint="eastAsia" w:ascii="Times New Roman" w:hAnsi="Times New Roman"/>
                      <w:spacing w:val="0"/>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szCs w:val="21"/>
                    </w:rPr>
                  </w:pPr>
                  <w:r>
                    <w:rPr>
                      <w:rFonts w:hint="eastAsia"/>
                      <w:szCs w:val="21"/>
                    </w:rPr>
                    <w:t>轻钢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辅助工程</w:t>
                  </w: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综合楼</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1</w:t>
                  </w:r>
                  <w:r>
                    <w:rPr>
                      <w:rFonts w:hint="eastAsia"/>
                      <w:sz w:val="21"/>
                      <w:szCs w:val="21"/>
                    </w:rPr>
                    <w:t>座，</w:t>
                  </w:r>
                  <w:r>
                    <w:rPr>
                      <w:sz w:val="21"/>
                      <w:szCs w:val="21"/>
                    </w:rPr>
                    <w:t>28.8×12×7.5m</w:t>
                  </w:r>
                  <w:r>
                    <w:rPr>
                      <w:rFonts w:hint="eastAsia"/>
                      <w:sz w:val="21"/>
                      <w:szCs w:val="21"/>
                    </w:rPr>
                    <w:t>，建筑面积</w:t>
                  </w:r>
                  <w:r>
                    <w:rPr>
                      <w:sz w:val="21"/>
                      <w:szCs w:val="21"/>
                    </w:rPr>
                    <w:t>691.2m</w:t>
                  </w:r>
                  <w:r>
                    <w:rPr>
                      <w:sz w:val="21"/>
                      <w:szCs w:val="21"/>
                      <w:vertAlign w:val="superscript"/>
                    </w:rPr>
                    <w:t>2</w:t>
                  </w:r>
                  <w:r>
                    <w:rPr>
                      <w:rFonts w:hint="eastAsia"/>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rFonts w:hint="eastAsia"/>
                      <w:sz w:val="21"/>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门卫室</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1</w:t>
                  </w:r>
                  <w:r>
                    <w:rPr>
                      <w:rFonts w:hint="eastAsia"/>
                      <w:sz w:val="21"/>
                      <w:szCs w:val="21"/>
                    </w:rPr>
                    <w:t>座，</w:t>
                  </w:r>
                  <w:r>
                    <w:rPr>
                      <w:sz w:val="21"/>
                      <w:szCs w:val="21"/>
                    </w:rPr>
                    <w:t>6×4.5×3.6m</w:t>
                  </w:r>
                  <w:r>
                    <w:rPr>
                      <w:rFonts w:hint="eastAsia"/>
                      <w:sz w:val="21"/>
                      <w:szCs w:val="21"/>
                    </w:rPr>
                    <w:t>，建筑面积</w:t>
                  </w:r>
                  <w:r>
                    <w:rPr>
                      <w:sz w:val="21"/>
                      <w:szCs w:val="21"/>
                    </w:rPr>
                    <w:t>27m</w:t>
                  </w:r>
                  <w:r>
                    <w:rPr>
                      <w:sz w:val="21"/>
                      <w:szCs w:val="21"/>
                      <w:vertAlign w:val="superscript"/>
                    </w:rPr>
                    <w:t>2</w:t>
                  </w:r>
                  <w:r>
                    <w:rPr>
                      <w:rFonts w:hint="eastAsia"/>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rFonts w:hint="eastAsia"/>
                      <w:sz w:val="21"/>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机修间、车库、仓库</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1</w:t>
                  </w:r>
                  <w:r>
                    <w:rPr>
                      <w:rFonts w:hint="eastAsia"/>
                      <w:sz w:val="21"/>
                      <w:szCs w:val="21"/>
                    </w:rPr>
                    <w:t>座，</w:t>
                  </w:r>
                  <w:r>
                    <w:rPr>
                      <w:sz w:val="21"/>
                      <w:szCs w:val="21"/>
                    </w:rPr>
                    <w:t>28.8×7.2×4.2m</w:t>
                  </w:r>
                  <w:r>
                    <w:rPr>
                      <w:rFonts w:hint="eastAsia"/>
                      <w:sz w:val="21"/>
                      <w:szCs w:val="21"/>
                    </w:rPr>
                    <w:t>，建筑面积</w:t>
                  </w:r>
                  <w:r>
                    <w:rPr>
                      <w:sz w:val="21"/>
                      <w:szCs w:val="21"/>
                    </w:rPr>
                    <w:t>207.36m</w:t>
                  </w:r>
                  <w:r>
                    <w:rPr>
                      <w:sz w:val="21"/>
                      <w:szCs w:val="21"/>
                      <w:vertAlign w:val="superscript"/>
                    </w:rPr>
                    <w:t>2</w:t>
                  </w:r>
                  <w:r>
                    <w:rPr>
                      <w:rFonts w:hint="eastAsia"/>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rFonts w:hint="eastAsia"/>
                      <w:sz w:val="21"/>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szCs w:val="21"/>
                    </w:rPr>
                  </w:pPr>
                  <w:r>
                    <w:rPr>
                      <w:rFonts w:hint="eastAsia"/>
                      <w:szCs w:val="21"/>
                    </w:rPr>
                    <w:t>风机房</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1</w:t>
                  </w:r>
                  <w:r>
                    <w:rPr>
                      <w:rFonts w:hint="eastAsia"/>
                      <w:sz w:val="21"/>
                      <w:szCs w:val="21"/>
                    </w:rPr>
                    <w:t>座，</w:t>
                  </w:r>
                  <w:r>
                    <w:rPr>
                      <w:sz w:val="21"/>
                      <w:szCs w:val="21"/>
                    </w:rPr>
                    <w:t>21×9×4.5m</w:t>
                  </w:r>
                  <w:r>
                    <w:rPr>
                      <w:rFonts w:hint="eastAsia"/>
                      <w:sz w:val="21"/>
                      <w:szCs w:val="21"/>
                    </w:rPr>
                    <w:t>，建筑面积</w:t>
                  </w:r>
                  <w:r>
                    <w:rPr>
                      <w:sz w:val="21"/>
                      <w:szCs w:val="21"/>
                    </w:rPr>
                    <w:t>189m</w:t>
                  </w:r>
                  <w:r>
                    <w:rPr>
                      <w:sz w:val="21"/>
                      <w:szCs w:val="21"/>
                      <w:vertAlign w:val="superscript"/>
                    </w:rPr>
                    <w:t>2</w:t>
                  </w:r>
                  <w:r>
                    <w:rPr>
                      <w:rFonts w:hint="eastAsia"/>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rFonts w:hint="eastAsia"/>
                      <w:sz w:val="21"/>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szCs w:val="21"/>
                    </w:rPr>
                  </w:pPr>
                  <w:r>
                    <w:rPr>
                      <w:rFonts w:hint="eastAsia"/>
                      <w:szCs w:val="21"/>
                    </w:rPr>
                    <w:t>变配电所</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1</w:t>
                  </w:r>
                  <w:r>
                    <w:rPr>
                      <w:rFonts w:hint="eastAsia"/>
                      <w:sz w:val="21"/>
                      <w:szCs w:val="21"/>
                    </w:rPr>
                    <w:t>座，</w:t>
                  </w:r>
                  <w:r>
                    <w:rPr>
                      <w:sz w:val="21"/>
                      <w:szCs w:val="21"/>
                    </w:rPr>
                    <w:t>31.2×8.5×3.9m</w:t>
                  </w:r>
                  <w:r>
                    <w:rPr>
                      <w:rFonts w:hint="eastAsia"/>
                      <w:sz w:val="21"/>
                      <w:szCs w:val="21"/>
                    </w:rPr>
                    <w:t>，建筑面积</w:t>
                  </w:r>
                  <w:r>
                    <w:rPr>
                      <w:sz w:val="21"/>
                      <w:szCs w:val="21"/>
                    </w:rPr>
                    <w:t>265m</w:t>
                  </w:r>
                  <w:r>
                    <w:rPr>
                      <w:sz w:val="21"/>
                      <w:szCs w:val="21"/>
                      <w:vertAlign w:val="superscript"/>
                    </w:rPr>
                    <w:t>2</w:t>
                  </w:r>
                  <w:r>
                    <w:rPr>
                      <w:rFonts w:hint="eastAsia"/>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rFonts w:hint="eastAsia"/>
                      <w:sz w:val="21"/>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在线监控间</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1</w:t>
                  </w:r>
                  <w:r>
                    <w:rPr>
                      <w:rFonts w:hint="eastAsia"/>
                      <w:sz w:val="21"/>
                      <w:szCs w:val="21"/>
                    </w:rPr>
                    <w:t>座，建筑面积</w:t>
                  </w:r>
                  <w:r>
                    <w:rPr>
                      <w:sz w:val="21"/>
                      <w:szCs w:val="21"/>
                    </w:rPr>
                    <w:t>25m</w:t>
                  </w:r>
                  <w:r>
                    <w:rPr>
                      <w:sz w:val="21"/>
                      <w:szCs w:val="21"/>
                      <w:vertAlign w:val="superscript"/>
                    </w:rPr>
                    <w:t>2</w:t>
                  </w:r>
                  <w:r>
                    <w:rPr>
                      <w:rFonts w:hint="eastAsia"/>
                      <w:sz w:val="21"/>
                      <w:szCs w:val="21"/>
                    </w:rPr>
                    <w:t>。</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rFonts w:hint="eastAsia"/>
                      <w:sz w:val="21"/>
                      <w:szCs w:val="21"/>
                    </w:rPr>
                    <w:t>砖混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公用工程</w:t>
                  </w: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给排水</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厂区生活用水及消防用水接自城市给水管网；生活及生产废水全部由污水管网收集进入粗格栅间，雨水由道路上雨水口收集，进入城市雨水管道系统</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供电</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厂区现有两台</w:t>
                  </w:r>
                  <w:r>
                    <w:rPr>
                      <w:sz w:val="21"/>
                      <w:szCs w:val="21"/>
                    </w:rPr>
                    <w:t>630kVA</w:t>
                  </w:r>
                  <w:r>
                    <w:rPr>
                      <w:rFonts w:hint="eastAsia"/>
                      <w:sz w:val="21"/>
                      <w:szCs w:val="21"/>
                    </w:rPr>
                    <w:t>干式变压器，一用一备。污水厂负荷等级为二级，受条件所限，目前仅有一路</w:t>
                  </w:r>
                  <w:r>
                    <w:rPr>
                      <w:sz w:val="21"/>
                      <w:szCs w:val="21"/>
                    </w:rPr>
                    <w:t>10kV</w:t>
                  </w:r>
                  <w:r>
                    <w:rPr>
                      <w:rFonts w:hint="eastAsia"/>
                      <w:sz w:val="21"/>
                      <w:szCs w:val="21"/>
                    </w:rPr>
                    <w:t>电源，未能满足负荷等级要求。受雷电影响，现有</w:t>
                  </w:r>
                  <w:r>
                    <w:rPr>
                      <w:sz w:val="21"/>
                      <w:szCs w:val="21"/>
                    </w:rPr>
                    <w:t>10kV</w:t>
                  </w:r>
                  <w:r>
                    <w:rPr>
                      <w:rFonts w:hint="eastAsia"/>
                      <w:sz w:val="21"/>
                      <w:szCs w:val="21"/>
                    </w:rPr>
                    <w:t>高压柜及一台变压器受损。</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restart"/>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环保工程</w:t>
                  </w: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废气治理</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以无组织形式排放，设</w:t>
                  </w:r>
                  <w:r>
                    <w:rPr>
                      <w:sz w:val="21"/>
                      <w:szCs w:val="21"/>
                    </w:rPr>
                    <w:t>150m</w:t>
                  </w:r>
                  <w:r>
                    <w:rPr>
                      <w:rFonts w:hint="eastAsia"/>
                      <w:sz w:val="21"/>
                      <w:szCs w:val="21"/>
                    </w:rPr>
                    <w:t>卫生防护距离。做好厂区绿化，特别是厂界周围种植高大乔木，减少厂区臭气对周围环境的影响。</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废水治理</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生活污水经化粪池预处理后排入本项目污水处理厂处理</w:t>
                  </w:r>
                </w:p>
              </w:tc>
              <w:tc>
                <w:tcPr>
                  <w:tcW w:w="115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噪声防治</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优先采用先进的低噪声设备，将较大的噪声设备布置在独立的房间内，同时采取消声、减震及合理布置等措施，并对其所在厂房采取适当的吸声、隔声等降噪措施，厂区内进行合理绿化。</w:t>
                  </w:r>
                </w:p>
              </w:tc>
              <w:tc>
                <w:tcPr>
                  <w:tcW w:w="1152" w:type="dxa"/>
                  <w:vMerge w:val="continue"/>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固废治理</w:t>
                  </w:r>
                </w:p>
              </w:tc>
              <w:tc>
                <w:tcPr>
                  <w:tcW w:w="524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生活垃圾由环卫部门定期运走，集中处置。污泥脱水后的泥饼定期运至定安县垃圾填埋场；在线监控废液和实验室废液暂存于危废暂存间，定期交由有资质单位进行处理</w:t>
                  </w:r>
                </w:p>
              </w:tc>
              <w:tc>
                <w:tcPr>
                  <w:tcW w:w="1152" w:type="dxa"/>
                  <w:vMerge w:val="continue"/>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12" w:space="0"/>
                    <w:right w:val="single" w:color="auto" w:sz="4" w:space="0"/>
                  </w:tcBorders>
                  <w:vAlign w:val="center"/>
                </w:tcPr>
                <w:p>
                  <w:pPr>
                    <w:pStyle w:val="2"/>
                    <w:spacing w:line="240" w:lineRule="atLeast"/>
                    <w:jc w:val="center"/>
                    <w:rPr>
                      <w:sz w:val="21"/>
                      <w:szCs w:val="21"/>
                    </w:rPr>
                  </w:pPr>
                </w:p>
              </w:tc>
              <w:tc>
                <w:tcPr>
                  <w:tcW w:w="1559" w:type="dxa"/>
                  <w:tcBorders>
                    <w:top w:val="single" w:color="auto" w:sz="4" w:space="0"/>
                    <w:left w:val="single" w:color="auto" w:sz="4" w:space="0"/>
                    <w:bottom w:val="single" w:color="auto" w:sz="12" w:space="0"/>
                    <w:right w:val="single" w:color="auto" w:sz="4" w:space="0"/>
                  </w:tcBorders>
                  <w:vAlign w:val="center"/>
                </w:tcPr>
                <w:p>
                  <w:pPr>
                    <w:pStyle w:val="2"/>
                    <w:spacing w:line="240" w:lineRule="atLeast"/>
                    <w:jc w:val="center"/>
                    <w:rPr>
                      <w:sz w:val="21"/>
                      <w:szCs w:val="21"/>
                    </w:rPr>
                  </w:pPr>
                  <w:r>
                    <w:rPr>
                      <w:rFonts w:hint="eastAsia"/>
                      <w:sz w:val="21"/>
                      <w:szCs w:val="21"/>
                    </w:rPr>
                    <w:t>排污口及在线监测</w:t>
                  </w:r>
                </w:p>
              </w:tc>
              <w:tc>
                <w:tcPr>
                  <w:tcW w:w="5246" w:type="dxa"/>
                  <w:tcBorders>
                    <w:top w:val="single" w:color="auto" w:sz="4" w:space="0"/>
                    <w:left w:val="single" w:color="auto" w:sz="4" w:space="0"/>
                    <w:bottom w:val="single" w:color="auto" w:sz="12" w:space="0"/>
                    <w:right w:val="single" w:color="auto" w:sz="4" w:space="0"/>
                  </w:tcBorders>
                  <w:vAlign w:val="center"/>
                </w:tcPr>
                <w:p>
                  <w:pPr>
                    <w:pStyle w:val="2"/>
                    <w:spacing w:line="240" w:lineRule="atLeast"/>
                    <w:jc w:val="center"/>
                    <w:rPr>
                      <w:sz w:val="21"/>
                      <w:szCs w:val="21"/>
                    </w:rPr>
                  </w:pPr>
                  <w:r>
                    <w:rPr>
                      <w:rFonts w:hint="eastAsia"/>
                      <w:sz w:val="21"/>
                      <w:szCs w:val="21"/>
                    </w:rPr>
                    <w:t>于厂区北侧潭榄溪南岸设污水排放口</w:t>
                  </w:r>
                  <w:r>
                    <w:rPr>
                      <w:sz w:val="21"/>
                      <w:szCs w:val="21"/>
                    </w:rPr>
                    <w:t>1</w:t>
                  </w:r>
                  <w:r>
                    <w:rPr>
                      <w:rFonts w:hint="eastAsia"/>
                      <w:sz w:val="21"/>
                      <w:szCs w:val="21"/>
                    </w:rPr>
                    <w:t>个；排污口出设在线监测设施</w:t>
                  </w:r>
                  <w:r>
                    <w:rPr>
                      <w:sz w:val="21"/>
                      <w:szCs w:val="21"/>
                    </w:rPr>
                    <w:t>1</w:t>
                  </w:r>
                  <w:r>
                    <w:rPr>
                      <w:rFonts w:hint="eastAsia"/>
                      <w:sz w:val="21"/>
                      <w:szCs w:val="21"/>
                    </w:rPr>
                    <w:t>套并与环境主管部门联网。</w:t>
                  </w:r>
                </w:p>
              </w:tc>
              <w:tc>
                <w:tcPr>
                  <w:tcW w:w="1152" w:type="dxa"/>
                  <w:vMerge w:val="continue"/>
                  <w:tcBorders>
                    <w:top w:val="single" w:color="auto" w:sz="4" w:space="0"/>
                    <w:left w:val="single" w:color="auto" w:sz="4" w:space="0"/>
                    <w:bottom w:val="single" w:color="auto" w:sz="12" w:space="0"/>
                    <w:right w:val="single" w:color="auto" w:sz="12" w:space="0"/>
                  </w:tcBorders>
                  <w:vAlign w:val="center"/>
                </w:tcPr>
                <w:p>
                  <w:pPr>
                    <w:pStyle w:val="2"/>
                    <w:spacing w:line="240" w:lineRule="atLeast"/>
                    <w:jc w:val="center"/>
                    <w:rPr>
                      <w:sz w:val="21"/>
                      <w:szCs w:val="21"/>
                    </w:rPr>
                  </w:pPr>
                </w:p>
              </w:tc>
            </w:tr>
          </w:tbl>
          <w:p>
            <w:pPr>
              <w:pStyle w:val="90"/>
              <w:spacing w:line="360" w:lineRule="auto"/>
              <w:ind w:firstLine="482"/>
              <w:rPr>
                <w:rFonts w:ascii="Times New Roman" w:hAnsi="Times New Roman"/>
                <w:spacing w:val="0"/>
                <w:sz w:val="24"/>
                <w:szCs w:val="24"/>
              </w:rPr>
            </w:pPr>
          </w:p>
          <w:p>
            <w:pPr>
              <w:pStyle w:val="90"/>
              <w:spacing w:line="360" w:lineRule="auto"/>
              <w:ind w:firstLine="482"/>
              <w:rPr>
                <w:rFonts w:ascii="Times New Roman" w:hAnsi="Times New Roman"/>
                <w:spacing w:val="0"/>
                <w:sz w:val="24"/>
                <w:szCs w:val="24"/>
              </w:rPr>
            </w:pPr>
            <w:r>
              <w:rPr>
                <w:rFonts w:hint="eastAsia" w:ascii="Times New Roman" w:hAnsi="Times New Roman"/>
                <w:spacing w:val="0"/>
                <w:sz w:val="24"/>
                <w:szCs w:val="24"/>
              </w:rPr>
              <w:t>污水处理厂一期工程主要生产设备见表</w:t>
            </w:r>
            <w:r>
              <w:rPr>
                <w:rFonts w:ascii="Times New Roman" w:hAnsi="Times New Roman"/>
                <w:spacing w:val="0"/>
                <w:sz w:val="24"/>
                <w:szCs w:val="24"/>
              </w:rPr>
              <w:t>1-3</w:t>
            </w:r>
            <w:r>
              <w:rPr>
                <w:rFonts w:hint="eastAsia" w:ascii="Times New Roman" w:hAnsi="Times New Roman"/>
                <w:spacing w:val="0"/>
                <w:sz w:val="24"/>
                <w:szCs w:val="24"/>
              </w:rPr>
              <w:t>。</w:t>
            </w:r>
          </w:p>
          <w:p>
            <w:pPr>
              <w:pStyle w:val="111"/>
            </w:pPr>
            <w:r>
              <w:rPr>
                <w:rFonts w:hint="eastAsia"/>
              </w:rPr>
              <w:t>表</w:t>
            </w:r>
            <w:r>
              <w:t xml:space="preserve">1-3  </w:t>
            </w:r>
            <w:r>
              <w:rPr>
                <w:rFonts w:hint="eastAsia"/>
              </w:rPr>
              <w:t>污水处理厂一期工程主要生产设备清单</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7"/>
              <w:gridCol w:w="2862"/>
              <w:gridCol w:w="3727"/>
              <w:gridCol w:w="564"/>
              <w:gridCol w:w="533"/>
              <w:gridCol w:w="8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537" w:type="dxa"/>
                  <w:tcBorders>
                    <w:top w:val="single" w:color="auto" w:sz="12" w:space="0"/>
                    <w:left w:val="single" w:color="auto" w:sz="12"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cs="宋体"/>
                      <w:szCs w:val="21"/>
                    </w:rPr>
                  </w:pPr>
                  <w:r>
                    <w:rPr>
                      <w:rFonts w:hint="eastAsia" w:ascii="Times New Roman" w:hAnsi="Times New Roman" w:cs="宋体"/>
                      <w:szCs w:val="21"/>
                    </w:rPr>
                    <w:t>序号</w:t>
                  </w:r>
                </w:p>
              </w:tc>
              <w:tc>
                <w:tcPr>
                  <w:tcW w:w="2862"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cs="宋体"/>
                      <w:szCs w:val="21"/>
                    </w:rPr>
                  </w:pPr>
                  <w:r>
                    <w:rPr>
                      <w:rFonts w:hint="eastAsia" w:ascii="Times New Roman" w:hAnsi="Times New Roman" w:cs="宋体"/>
                      <w:szCs w:val="21"/>
                    </w:rPr>
                    <w:t>设备名称</w:t>
                  </w:r>
                </w:p>
              </w:tc>
              <w:tc>
                <w:tcPr>
                  <w:tcW w:w="3727"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cs="宋体"/>
                      <w:szCs w:val="21"/>
                    </w:rPr>
                  </w:pPr>
                  <w:r>
                    <w:rPr>
                      <w:rFonts w:hint="eastAsia" w:ascii="Times New Roman" w:hAnsi="Times New Roman" w:cs="宋体"/>
                      <w:szCs w:val="21"/>
                    </w:rPr>
                    <w:t>型号规格及主要参数</w:t>
                  </w:r>
                </w:p>
              </w:tc>
              <w:tc>
                <w:tcPr>
                  <w:tcW w:w="564"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cs="宋体"/>
                      <w:szCs w:val="21"/>
                    </w:rPr>
                  </w:pPr>
                  <w:r>
                    <w:rPr>
                      <w:rFonts w:hint="eastAsia" w:ascii="Times New Roman" w:hAnsi="Times New Roman" w:cs="宋体"/>
                      <w:szCs w:val="21"/>
                    </w:rPr>
                    <w:t>单位</w:t>
                  </w:r>
                </w:p>
              </w:tc>
              <w:tc>
                <w:tcPr>
                  <w:tcW w:w="533"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cs="宋体"/>
                      <w:szCs w:val="21"/>
                    </w:rPr>
                  </w:pPr>
                  <w:r>
                    <w:rPr>
                      <w:rFonts w:hint="eastAsia" w:ascii="Times New Roman" w:hAnsi="Times New Roman" w:cs="宋体"/>
                      <w:szCs w:val="21"/>
                    </w:rPr>
                    <w:t>数量</w:t>
                  </w:r>
                </w:p>
              </w:tc>
              <w:tc>
                <w:tcPr>
                  <w:tcW w:w="875" w:type="dxa"/>
                  <w:tcBorders>
                    <w:top w:val="single" w:color="auto" w:sz="12" w:space="0"/>
                    <w:left w:val="single" w:color="auto" w:sz="6" w:space="0"/>
                    <w:bottom w:val="double" w:color="auto" w:sz="4" w:space="0"/>
                    <w:right w:val="single" w:color="auto" w:sz="12" w:space="0"/>
                  </w:tcBorders>
                  <w:vAlign w:val="center"/>
                </w:tcPr>
                <w:p>
                  <w:pPr>
                    <w:adjustRightInd w:val="0"/>
                    <w:snapToGrid w:val="0"/>
                    <w:spacing w:line="240" w:lineRule="atLeast"/>
                    <w:jc w:val="center"/>
                    <w:rPr>
                      <w:rFonts w:ascii="Times New Roman" w:hAnsi="Times New Roman" w:cs="宋体"/>
                      <w:szCs w:val="21"/>
                    </w:rPr>
                  </w:pPr>
                  <w:r>
                    <w:rPr>
                      <w:rFonts w:hint="eastAsia" w:ascii="Times New Roman" w:hAnsi="Times New Roman" w:cs="宋体"/>
                      <w:szCs w:val="21"/>
                    </w:rPr>
                    <w:t>使用年限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double" w:color="auto" w:sz="4"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double" w:color="auto" w:sz="4"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粗格栅前超声波液位差计</w:t>
                  </w:r>
                </w:p>
              </w:tc>
              <w:tc>
                <w:tcPr>
                  <w:tcW w:w="3727" w:type="dxa"/>
                  <w:tcBorders>
                    <w:top w:val="double" w:color="auto" w:sz="4"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MultiRanger 200</w:t>
                  </w:r>
                </w:p>
              </w:tc>
              <w:tc>
                <w:tcPr>
                  <w:tcW w:w="564" w:type="dxa"/>
                  <w:tcBorders>
                    <w:top w:val="double" w:color="auto" w:sz="4"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hint="eastAsia" w:ascii="Times New Roman" w:hAnsi="Times New Roman"/>
                      <w:szCs w:val="21"/>
                    </w:rPr>
                    <w:t>台</w:t>
                  </w:r>
                </w:p>
              </w:tc>
              <w:tc>
                <w:tcPr>
                  <w:tcW w:w="533" w:type="dxa"/>
                  <w:tcBorders>
                    <w:top w:val="double" w:color="auto" w:sz="4"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double" w:color="auto" w:sz="4"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粗格栅前超声波液位差计</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MultiRanger 200</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回转式格栅除污机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CF-1200</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回转式格栅除污机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CF-1200</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皮带输送机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L=4500mm</w:t>
                  </w:r>
                  <w:r>
                    <w:rPr>
                      <w:rFonts w:hint="eastAsia" w:ascii="Times New Roman" w:hAnsi="Times New Roman"/>
                      <w:szCs w:val="21"/>
                    </w:rPr>
                    <w:t>，</w:t>
                  </w:r>
                  <w:r>
                    <w:rPr>
                      <w:rFonts w:ascii="Times New Roman" w:hAnsi="Times New Roman"/>
                      <w:szCs w:val="21"/>
                    </w:rPr>
                    <w:t>H=3.8KW</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提升泵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200WQ350-20-37</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提升泵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200WQ350-20-37</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3#</w:t>
                  </w:r>
                  <w:r>
                    <w:rPr>
                      <w:rFonts w:hint="eastAsia" w:ascii="Times New Roman" w:hAnsi="Times New Roman"/>
                      <w:szCs w:val="21"/>
                    </w:rPr>
                    <w:t>提升泵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200WQ350-20-37</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4#</w:t>
                  </w:r>
                  <w:r>
                    <w:rPr>
                      <w:rFonts w:hint="eastAsia" w:ascii="Times New Roman" w:hAnsi="Times New Roman"/>
                      <w:szCs w:val="21"/>
                    </w:rPr>
                    <w:t>提升泵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200WQ350-20-37</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进水泵房电源箱</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超声波液位计</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MultiRanger 100</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电动悬挂单梁起重机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有毒有害气体检测报警装置</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细栅前超声波液位差计</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MultiRanger 200</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细栅前超声波液位差计</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MultiRanger 200</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回转式格栅除污机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CF-700</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回转式格栅除污机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CF-700</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皮带输送机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L=4500mm</w:t>
                  </w:r>
                  <w:r>
                    <w:rPr>
                      <w:rFonts w:hint="eastAsia" w:ascii="Times New Roman" w:hAnsi="Times New Roman"/>
                      <w:szCs w:val="21"/>
                    </w:rPr>
                    <w:t>，</w:t>
                  </w:r>
                  <w:r>
                    <w:rPr>
                      <w:rFonts w:ascii="Times New Roman" w:hAnsi="Times New Roman"/>
                      <w:szCs w:val="21"/>
                    </w:rPr>
                    <w:t>3.8KW</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细格栅设备控制箱</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搅拌机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GB/T9616-1999</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搅拌机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GB/T9616-1999</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砂水分离器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SLF-260</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电磁流量计</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MAG5000</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低噪声</w:t>
                  </w:r>
                  <w:r>
                    <w:rPr>
                      <w:rFonts w:ascii="Times New Roman" w:hAnsi="Times New Roman"/>
                      <w:szCs w:val="21"/>
                    </w:rPr>
                    <w:t>-</w:t>
                  </w:r>
                  <w:r>
                    <w:rPr>
                      <w:rFonts w:hint="eastAsia" w:ascii="Times New Roman" w:hAnsi="Times New Roman"/>
                      <w:szCs w:val="21"/>
                    </w:rPr>
                    <w:t>回转式鼓风机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HC-60s</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低噪声</w:t>
                  </w:r>
                  <w:r>
                    <w:rPr>
                      <w:rFonts w:ascii="Times New Roman" w:hAnsi="Times New Roman"/>
                      <w:szCs w:val="21"/>
                    </w:rPr>
                    <w:t>-</w:t>
                  </w:r>
                  <w:r>
                    <w:rPr>
                      <w:rFonts w:hint="eastAsia" w:ascii="Times New Roman" w:hAnsi="Times New Roman"/>
                      <w:szCs w:val="21"/>
                    </w:rPr>
                    <w:t>回转式鼓风机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HC-60s</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沉砂池设备控制箱</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进水阀门</w:t>
                  </w:r>
                  <w:r>
                    <w:rPr>
                      <w:rFonts w:ascii="Times New Roman" w:hAnsi="Times New Roman"/>
                      <w:szCs w:val="21"/>
                    </w:rPr>
                    <w:t>(</w:t>
                  </w:r>
                  <w:r>
                    <w:rPr>
                      <w:rFonts w:hint="eastAsia" w:ascii="Times New Roman" w:hAnsi="Times New Roman"/>
                      <w:szCs w:val="21"/>
                    </w:rPr>
                    <w:t>自沉砂池</w:t>
                  </w:r>
                  <w:r>
                    <w:rPr>
                      <w:rFonts w:ascii="Times New Roman" w:hAnsi="Times New Roman"/>
                      <w:szCs w:val="21"/>
                    </w:rPr>
                    <w:t>)</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个</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回流阀门</w:t>
                  </w:r>
                  <w:r>
                    <w:rPr>
                      <w:rFonts w:ascii="Times New Roman" w:hAnsi="Times New Roman"/>
                      <w:szCs w:val="21"/>
                    </w:rPr>
                    <w:t>(</w:t>
                  </w:r>
                  <w:r>
                    <w:rPr>
                      <w:rFonts w:hint="eastAsia" w:ascii="Times New Roman" w:hAnsi="Times New Roman"/>
                      <w:szCs w:val="21"/>
                    </w:rPr>
                    <w:t>自二沉池</w:t>
                  </w:r>
                  <w:r>
                    <w:rPr>
                      <w:rFonts w:ascii="Times New Roman" w:hAnsi="Times New Roman"/>
                      <w:szCs w:val="21"/>
                    </w:rPr>
                    <w:t>)</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个</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混合液回流阀门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个</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污泥回流阀门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个</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厌氧池放空阀门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个</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厌氧池</w:t>
                  </w:r>
                  <w:r>
                    <w:rPr>
                      <w:rFonts w:ascii="Times New Roman" w:hAnsi="Times New Roman"/>
                      <w:szCs w:val="21"/>
                    </w:rPr>
                    <w:t>1#</w:t>
                  </w:r>
                  <w:r>
                    <w:rPr>
                      <w:rFonts w:hint="eastAsia" w:ascii="Times New Roman" w:hAnsi="Times New Roman"/>
                      <w:szCs w:val="21"/>
                    </w:rPr>
                    <w:t>搅拌器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厌氧池</w:t>
                  </w:r>
                  <w:r>
                    <w:rPr>
                      <w:rFonts w:ascii="Times New Roman" w:hAnsi="Times New Roman"/>
                      <w:szCs w:val="21"/>
                    </w:rPr>
                    <w:t>2#</w:t>
                  </w:r>
                  <w:r>
                    <w:rPr>
                      <w:rFonts w:hint="eastAsia" w:ascii="Times New Roman" w:hAnsi="Times New Roman"/>
                      <w:szCs w:val="21"/>
                    </w:rPr>
                    <w:t>搅拌器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厌氧池</w:t>
                  </w:r>
                  <w:r>
                    <w:rPr>
                      <w:rFonts w:ascii="Times New Roman" w:hAnsi="Times New Roman"/>
                      <w:szCs w:val="21"/>
                    </w:rPr>
                    <w:t>3#</w:t>
                  </w:r>
                  <w:r>
                    <w:rPr>
                      <w:rFonts w:hint="eastAsia" w:ascii="Times New Roman" w:hAnsi="Times New Roman"/>
                      <w:szCs w:val="21"/>
                    </w:rPr>
                    <w:t>搅拌器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缺氧池</w:t>
                  </w:r>
                  <w:r>
                    <w:rPr>
                      <w:rFonts w:ascii="Times New Roman" w:hAnsi="Times New Roman"/>
                      <w:szCs w:val="21"/>
                    </w:rPr>
                    <w:t>1#</w:t>
                  </w:r>
                  <w:r>
                    <w:rPr>
                      <w:rFonts w:hint="eastAsia" w:ascii="Times New Roman" w:hAnsi="Times New Roman"/>
                      <w:szCs w:val="21"/>
                    </w:rPr>
                    <w:t>搅拌器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缺氧池</w:t>
                  </w:r>
                  <w:r>
                    <w:rPr>
                      <w:rFonts w:ascii="Times New Roman" w:hAnsi="Times New Roman"/>
                      <w:szCs w:val="21"/>
                    </w:rPr>
                    <w:t>2#</w:t>
                  </w:r>
                  <w:r>
                    <w:rPr>
                      <w:rFonts w:hint="eastAsia" w:ascii="Times New Roman" w:hAnsi="Times New Roman"/>
                      <w:szCs w:val="21"/>
                    </w:rPr>
                    <w:t>搅拌器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缺氧池</w:t>
                  </w:r>
                  <w:r>
                    <w:rPr>
                      <w:rFonts w:ascii="Times New Roman" w:hAnsi="Times New Roman"/>
                      <w:szCs w:val="21"/>
                    </w:rPr>
                    <w:t>3#</w:t>
                  </w:r>
                  <w:r>
                    <w:rPr>
                      <w:rFonts w:hint="eastAsia" w:ascii="Times New Roman" w:hAnsi="Times New Roman"/>
                      <w:szCs w:val="21"/>
                    </w:rPr>
                    <w:t>搅拌器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溶解氧仪</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沃曼尼电缆</w:t>
                  </w:r>
                  <w:r>
                    <w:rPr>
                      <w:rFonts w:ascii="Times New Roman" w:hAnsi="Times New Roman"/>
                      <w:szCs w:val="21"/>
                    </w:rPr>
                    <w:t>:5m,0</w:t>
                  </w:r>
                  <w:r>
                    <w:rPr>
                      <w:rFonts w:hint="eastAsia" w:ascii="Times New Roman" w:hAnsi="Times New Roman"/>
                      <w:szCs w:val="21"/>
                    </w:rPr>
                    <w:t>－</w:t>
                  </w:r>
                  <w:r>
                    <w:rPr>
                      <w:rFonts w:ascii="Times New Roman" w:hAnsi="Times New Roman"/>
                      <w:szCs w:val="21"/>
                    </w:rPr>
                    <w:t>5mg/L</w:t>
                  </w:r>
                  <w:r>
                    <w:rPr>
                      <w:rFonts w:hint="eastAsia" w:ascii="Times New Roman" w:hAnsi="Times New Roman"/>
                      <w:szCs w:val="21"/>
                    </w:rPr>
                    <w:t>，</w:t>
                  </w:r>
                  <w:r>
                    <w:rPr>
                      <w:rFonts w:ascii="Times New Roman" w:hAnsi="Times New Roman"/>
                      <w:szCs w:val="21"/>
                    </w:rPr>
                    <w:t>220V AC,</w:t>
                  </w:r>
                  <w:r>
                    <w:rPr>
                      <w:rFonts w:hint="eastAsia" w:ascii="Times New Roman" w:hAnsi="Times New Roman"/>
                      <w:szCs w:val="21"/>
                    </w:rPr>
                    <w:t>输出</w:t>
                  </w:r>
                  <w:r>
                    <w:rPr>
                      <w:rFonts w:ascii="Times New Roman" w:hAnsi="Times New Roman"/>
                      <w:szCs w:val="21"/>
                    </w:rPr>
                    <w:t>4</w:t>
                  </w:r>
                  <w:r>
                    <w:rPr>
                      <w:rFonts w:hint="eastAsia" w:ascii="Times New Roman" w:hAnsi="Times New Roman"/>
                      <w:szCs w:val="21"/>
                    </w:rPr>
                    <w:t>－</w:t>
                  </w:r>
                  <w:r>
                    <w:rPr>
                      <w:rFonts w:ascii="Times New Roman" w:hAnsi="Times New Roman"/>
                      <w:szCs w:val="21"/>
                    </w:rPr>
                    <w:t>20mA</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kern w:val="0"/>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hint="eastAsia" w:ascii="Times New Roman" w:hAnsi="Times New Roman"/>
                      <w:szCs w:val="21"/>
                    </w:rPr>
                    <w:t>缺氧池放空阀门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管式曝气器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ECOPOLYMERφ120mm</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溶解氧仪</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hint="eastAsia" w:ascii="Times New Roman" w:hAnsi="Times New Roman"/>
                      <w:szCs w:val="21"/>
                    </w:rPr>
                    <w:t>沃曼尼电缆</w:t>
                  </w:r>
                  <w:r>
                    <w:rPr>
                      <w:rFonts w:ascii="Times New Roman" w:hAnsi="Times New Roman"/>
                      <w:szCs w:val="21"/>
                    </w:rPr>
                    <w:t>:5m,0</w:t>
                  </w:r>
                  <w:r>
                    <w:rPr>
                      <w:rFonts w:hint="eastAsia" w:ascii="Times New Roman" w:hAnsi="Times New Roman"/>
                      <w:szCs w:val="21"/>
                    </w:rPr>
                    <w:t>－</w:t>
                  </w:r>
                  <w:r>
                    <w:rPr>
                      <w:rFonts w:ascii="Times New Roman" w:hAnsi="Times New Roman"/>
                      <w:szCs w:val="21"/>
                    </w:rPr>
                    <w:t>5mg/L</w:t>
                  </w:r>
                  <w:r>
                    <w:rPr>
                      <w:rFonts w:hint="eastAsia" w:ascii="Times New Roman" w:hAnsi="Times New Roman"/>
                      <w:szCs w:val="21"/>
                    </w:rPr>
                    <w:t>，</w:t>
                  </w:r>
                  <w:r>
                    <w:rPr>
                      <w:rFonts w:ascii="Times New Roman" w:hAnsi="Times New Roman"/>
                      <w:szCs w:val="21"/>
                    </w:rPr>
                    <w:t>220V AC,</w:t>
                  </w:r>
                  <w:r>
                    <w:rPr>
                      <w:rFonts w:hint="eastAsia" w:ascii="Times New Roman" w:hAnsi="Times New Roman"/>
                      <w:szCs w:val="21"/>
                    </w:rPr>
                    <w:t>输出</w:t>
                  </w:r>
                  <w:r>
                    <w:rPr>
                      <w:rFonts w:ascii="Times New Roman" w:hAnsi="Times New Roman"/>
                      <w:szCs w:val="21"/>
                    </w:rPr>
                    <w:t>4</w:t>
                  </w:r>
                  <w:r>
                    <w:rPr>
                      <w:rFonts w:hint="eastAsia" w:ascii="Times New Roman" w:hAnsi="Times New Roman"/>
                      <w:szCs w:val="21"/>
                    </w:rPr>
                    <w:t>－</w:t>
                  </w:r>
                  <w:r>
                    <w:rPr>
                      <w:rFonts w:ascii="Times New Roman" w:hAnsi="Times New Roman"/>
                      <w:szCs w:val="21"/>
                    </w:rPr>
                    <w:t>20mA</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MLSS</w:t>
                  </w:r>
                  <w:r>
                    <w:rPr>
                      <w:rFonts w:hint="eastAsia" w:ascii="Times New Roman" w:hAnsi="Times New Roman"/>
                      <w:szCs w:val="21"/>
                    </w:rPr>
                    <w:t>测定仪</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hint="eastAsia" w:ascii="Times New Roman" w:hAnsi="Times New Roman"/>
                      <w:szCs w:val="21"/>
                    </w:rPr>
                    <w:t>沃曼尼电缆</w:t>
                  </w:r>
                  <w:r>
                    <w:rPr>
                      <w:rFonts w:ascii="Times New Roman" w:hAnsi="Times New Roman"/>
                      <w:szCs w:val="21"/>
                    </w:rPr>
                    <w:t>:5m,0</w:t>
                  </w:r>
                  <w:r>
                    <w:rPr>
                      <w:rFonts w:hint="eastAsia" w:ascii="Times New Roman" w:hAnsi="Times New Roman"/>
                      <w:szCs w:val="21"/>
                    </w:rPr>
                    <w:t>－</w:t>
                  </w:r>
                  <w:r>
                    <w:rPr>
                      <w:rFonts w:ascii="Times New Roman" w:hAnsi="Times New Roman"/>
                      <w:szCs w:val="21"/>
                    </w:rPr>
                    <w:t>5mg/L</w:t>
                  </w:r>
                  <w:r>
                    <w:rPr>
                      <w:rFonts w:hint="eastAsia" w:ascii="Times New Roman" w:hAnsi="Times New Roman"/>
                      <w:szCs w:val="21"/>
                    </w:rPr>
                    <w:t>，</w:t>
                  </w:r>
                  <w:r>
                    <w:rPr>
                      <w:rFonts w:ascii="Times New Roman" w:hAnsi="Times New Roman"/>
                      <w:szCs w:val="21"/>
                    </w:rPr>
                    <w:t>220V AC,</w:t>
                  </w:r>
                  <w:r>
                    <w:rPr>
                      <w:rFonts w:hint="eastAsia" w:ascii="Times New Roman" w:hAnsi="Times New Roman"/>
                      <w:szCs w:val="21"/>
                    </w:rPr>
                    <w:t>输出</w:t>
                  </w:r>
                  <w:r>
                    <w:rPr>
                      <w:rFonts w:ascii="Times New Roman" w:hAnsi="Times New Roman"/>
                      <w:szCs w:val="21"/>
                    </w:rPr>
                    <w:t>4</w:t>
                  </w:r>
                  <w:r>
                    <w:rPr>
                      <w:rFonts w:hint="eastAsia" w:ascii="Times New Roman" w:hAnsi="Times New Roman"/>
                      <w:szCs w:val="21"/>
                    </w:rPr>
                    <w:t>－</w:t>
                  </w:r>
                  <w:r>
                    <w:rPr>
                      <w:rFonts w:ascii="Times New Roman" w:hAnsi="Times New Roman"/>
                      <w:szCs w:val="21"/>
                    </w:rPr>
                    <w:t>20mA</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好氧池放空阀门</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个</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闸阀</w:t>
                  </w:r>
                  <w:r>
                    <w:rPr>
                      <w:rFonts w:ascii="Times New Roman" w:hAnsi="Times New Roman"/>
                      <w:szCs w:val="21"/>
                    </w:rPr>
                    <w:t>(</w:t>
                  </w:r>
                  <w:r>
                    <w:rPr>
                      <w:rFonts w:hint="eastAsia" w:ascii="Times New Roman" w:hAnsi="Times New Roman"/>
                      <w:szCs w:val="21"/>
                    </w:rPr>
                    <w:t>至二沉池</w:t>
                  </w:r>
                  <w:r>
                    <w:rPr>
                      <w:rFonts w:ascii="Times New Roman" w:hAnsi="Times New Roman"/>
                      <w:szCs w:val="21"/>
                    </w:rPr>
                    <w:t>)</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个</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闸阀</w:t>
                  </w:r>
                  <w:r>
                    <w:rPr>
                      <w:rFonts w:ascii="Times New Roman" w:hAnsi="Times New Roman"/>
                      <w:szCs w:val="21"/>
                    </w:rPr>
                    <w:t>(</w:t>
                  </w:r>
                  <w:r>
                    <w:rPr>
                      <w:rFonts w:hint="eastAsia" w:ascii="Times New Roman" w:hAnsi="Times New Roman"/>
                      <w:szCs w:val="21"/>
                    </w:rPr>
                    <w:t>至二沉池</w:t>
                  </w:r>
                  <w:r>
                    <w:rPr>
                      <w:rFonts w:ascii="Times New Roman" w:hAnsi="Times New Roman"/>
                      <w:szCs w:val="21"/>
                    </w:rPr>
                    <w:t>)</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个</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罗茨鼓风机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BK7018</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罗茨鼓风机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BK7018</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3#</w:t>
                  </w:r>
                  <w:r>
                    <w:rPr>
                      <w:rFonts w:hint="eastAsia" w:ascii="Times New Roman" w:hAnsi="Times New Roman"/>
                      <w:szCs w:val="21"/>
                    </w:rPr>
                    <w:t>罗茨鼓风机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BK7018</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4#</w:t>
                  </w:r>
                  <w:r>
                    <w:rPr>
                      <w:rFonts w:hint="eastAsia" w:ascii="Times New Roman" w:hAnsi="Times New Roman"/>
                      <w:szCs w:val="21"/>
                    </w:rPr>
                    <w:t>罗茨鼓风机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BK7018</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混合液回流泵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YYW200-200IA-18.5/4</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混合液回流泵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YYW200-200IA-18.5/4</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3#</w:t>
                  </w:r>
                  <w:r>
                    <w:rPr>
                      <w:rFonts w:hint="eastAsia" w:ascii="Times New Roman" w:hAnsi="Times New Roman"/>
                      <w:szCs w:val="21"/>
                    </w:rPr>
                    <w:t>混合液回流泵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YYW200-200IA-18.5/4</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r>
                    <w:rPr>
                      <w:rFonts w:hint="eastAsia" w:ascii="Times New Roman" w:hAnsi="Times New Roman"/>
                      <w:szCs w:val="21"/>
                    </w:rPr>
                    <w:t>混合液回流泵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350QZ-70D</w:t>
                  </w:r>
                  <w:r>
                    <w:rPr>
                      <w:rFonts w:hint="eastAsia" w:ascii="Times New Roman" w:hAnsi="Times New Roman"/>
                      <w:szCs w:val="21"/>
                    </w:rPr>
                    <w:t>，</w:t>
                  </w:r>
                  <w:r>
                    <w:rPr>
                      <w:rFonts w:ascii="Times New Roman" w:hAnsi="Times New Roman"/>
                      <w:szCs w:val="21"/>
                    </w:rPr>
                    <w:t>Q=600~800m3/h</w:t>
                  </w:r>
                  <w:r>
                    <w:rPr>
                      <w:rFonts w:hint="eastAsia" w:ascii="Times New Roman" w:hAnsi="Times New Roman"/>
                      <w:szCs w:val="21"/>
                    </w:rPr>
                    <w:t>、</w:t>
                  </w:r>
                  <w:r>
                    <w:rPr>
                      <w:rFonts w:ascii="Times New Roman" w:hAnsi="Times New Roman"/>
                      <w:szCs w:val="21"/>
                    </w:rPr>
                    <w:t>H=4~2m</w:t>
                  </w:r>
                  <w:r>
                    <w:rPr>
                      <w:rFonts w:hint="eastAsia" w:ascii="Times New Roman" w:hAnsi="Times New Roman"/>
                      <w:szCs w:val="21"/>
                    </w:rPr>
                    <w:t>，</w:t>
                  </w:r>
                  <w:r>
                    <w:rPr>
                      <w:rFonts w:ascii="Times New Roman" w:hAnsi="Times New Roman"/>
                      <w:szCs w:val="21"/>
                    </w:rPr>
                    <w:t>N=11.0kw</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8#</w:t>
                  </w:r>
                  <w:r>
                    <w:rPr>
                      <w:rFonts w:hint="eastAsia" w:ascii="Times New Roman" w:hAnsi="Times New Roman"/>
                      <w:szCs w:val="21"/>
                    </w:rPr>
                    <w:t>混合液回流泵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350QZ-70D</w:t>
                  </w:r>
                  <w:r>
                    <w:rPr>
                      <w:rFonts w:hint="eastAsia" w:ascii="Times New Roman" w:hAnsi="Times New Roman"/>
                      <w:szCs w:val="21"/>
                    </w:rPr>
                    <w:t>，</w:t>
                  </w:r>
                  <w:r>
                    <w:rPr>
                      <w:rFonts w:ascii="Times New Roman" w:hAnsi="Times New Roman"/>
                      <w:szCs w:val="21"/>
                    </w:rPr>
                    <w:t>Q=600~800m3/h</w:t>
                  </w:r>
                  <w:r>
                    <w:rPr>
                      <w:rFonts w:hint="eastAsia" w:ascii="Times New Roman" w:hAnsi="Times New Roman"/>
                      <w:szCs w:val="21"/>
                    </w:rPr>
                    <w:t>、</w:t>
                  </w:r>
                  <w:r>
                    <w:rPr>
                      <w:rFonts w:ascii="Times New Roman" w:hAnsi="Times New Roman"/>
                      <w:szCs w:val="21"/>
                    </w:rPr>
                    <w:t>H=4~2m</w:t>
                  </w:r>
                  <w:r>
                    <w:rPr>
                      <w:rFonts w:hint="eastAsia" w:ascii="Times New Roman" w:hAnsi="Times New Roman"/>
                      <w:szCs w:val="21"/>
                    </w:rPr>
                    <w:t>，</w:t>
                  </w:r>
                  <w:r>
                    <w:rPr>
                      <w:rFonts w:ascii="Times New Roman" w:hAnsi="Times New Roman"/>
                      <w:szCs w:val="21"/>
                    </w:rPr>
                    <w:t>N=11.0kw</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kern w:val="0"/>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hint="eastAsia" w:ascii="Times New Roman" w:hAnsi="Times New Roman"/>
                      <w:szCs w:val="21"/>
                    </w:rPr>
                    <w:t>混合液回流泵控制箱</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kern w:val="0"/>
                      <w:szCs w:val="21"/>
                    </w:rPr>
                    <w:t>/</w:t>
                  </w:r>
                </w:p>
              </w:tc>
              <w:tc>
                <w:tcPr>
                  <w:tcW w:w="564" w:type="dxa"/>
                  <w:tcBorders>
                    <w:top w:val="single" w:color="auto" w:sz="6" w:space="0"/>
                    <w:left w:val="single" w:color="auto" w:sz="6" w:space="0"/>
                    <w:bottom w:val="single" w:color="auto" w:sz="6" w:space="0"/>
                    <w:right w:val="single" w:color="auto" w:sz="6" w:space="0"/>
                  </w:tcBorders>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污泥回流泵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YYW200-200-15/4</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污泥回流泵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YYW200-200-15/4</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3#</w:t>
                  </w:r>
                  <w:r>
                    <w:rPr>
                      <w:rFonts w:hint="eastAsia" w:ascii="Times New Roman" w:hAnsi="Times New Roman"/>
                      <w:szCs w:val="21"/>
                    </w:rPr>
                    <w:t>污泥回流泵</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YYW200-200-15/4</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kern w:val="0"/>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hint="eastAsia" w:ascii="Times New Roman" w:hAnsi="Times New Roman"/>
                      <w:szCs w:val="21"/>
                    </w:rPr>
                    <w:t>污泥回流泵控制箱</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电磁流量计</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kern w:val="0"/>
                      <w:szCs w:val="21"/>
                    </w:rPr>
                  </w:pPr>
                  <w:r>
                    <w:rPr>
                      <w:rFonts w:ascii="Times New Roman" w:hAnsi="Times New Roman"/>
                      <w:szCs w:val="21"/>
                    </w:rPr>
                    <w:t>SIEMENS MAG 5000</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8" w:hRule="atLeast"/>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电磁流量计</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SIEMENS MAG 5000</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6"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r>
                    <w:rPr>
                      <w:rFonts w:hint="eastAsia" w:ascii="Times New Roman" w:hAnsi="Times New Roman"/>
                      <w:szCs w:val="21"/>
                    </w:rPr>
                    <w:t>监控管理计算机</w:t>
                  </w:r>
                </w:p>
              </w:tc>
              <w:tc>
                <w:tcPr>
                  <w:tcW w:w="372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HYC Multi</w:t>
                  </w:r>
                </w:p>
              </w:tc>
              <w:tc>
                <w:tcPr>
                  <w:tcW w:w="56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6"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537" w:type="dxa"/>
                  <w:tcBorders>
                    <w:top w:val="single" w:color="auto" w:sz="6" w:space="0"/>
                    <w:left w:val="single" w:color="auto" w:sz="12" w:space="0"/>
                    <w:bottom w:val="single" w:color="auto" w:sz="12" w:space="0"/>
                    <w:right w:val="single" w:color="auto" w:sz="6" w:space="0"/>
                  </w:tcBorders>
                  <w:shd w:val="clear" w:color="auto" w:fill="FFFFFF"/>
                  <w:vAlign w:val="center"/>
                </w:tcPr>
                <w:p>
                  <w:pPr>
                    <w:numPr>
                      <w:ilvl w:val="0"/>
                      <w:numId w:val="3"/>
                    </w:numPr>
                    <w:autoSpaceDN w:val="0"/>
                    <w:adjustRightInd w:val="0"/>
                    <w:snapToGrid w:val="0"/>
                    <w:spacing w:line="240" w:lineRule="atLeast"/>
                    <w:jc w:val="center"/>
                    <w:textAlignment w:val="center"/>
                    <w:rPr>
                      <w:rFonts w:ascii="Times New Roman" w:hAnsi="Times New Roman"/>
                      <w:szCs w:val="21"/>
                    </w:rPr>
                  </w:pPr>
                </w:p>
              </w:tc>
              <w:tc>
                <w:tcPr>
                  <w:tcW w:w="2862" w:type="dxa"/>
                  <w:tcBorders>
                    <w:top w:val="single" w:color="auto" w:sz="6" w:space="0"/>
                    <w:left w:val="single" w:color="auto" w:sz="6" w:space="0"/>
                    <w:bottom w:val="single" w:color="auto" w:sz="12"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r>
                    <w:rPr>
                      <w:rFonts w:hint="eastAsia" w:ascii="Times New Roman" w:hAnsi="Times New Roman"/>
                      <w:szCs w:val="21"/>
                    </w:rPr>
                    <w:t>监控管理计算机</w:t>
                  </w:r>
                </w:p>
              </w:tc>
              <w:tc>
                <w:tcPr>
                  <w:tcW w:w="3727" w:type="dxa"/>
                  <w:tcBorders>
                    <w:top w:val="single" w:color="auto" w:sz="6" w:space="0"/>
                    <w:left w:val="single" w:color="auto" w:sz="6" w:space="0"/>
                    <w:bottom w:val="single" w:color="auto" w:sz="12"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HYC Multi</w:t>
                  </w:r>
                </w:p>
              </w:tc>
              <w:tc>
                <w:tcPr>
                  <w:tcW w:w="564" w:type="dxa"/>
                  <w:tcBorders>
                    <w:top w:val="single" w:color="auto" w:sz="6" w:space="0"/>
                    <w:left w:val="single" w:color="auto" w:sz="6" w:space="0"/>
                    <w:bottom w:val="single" w:color="auto" w:sz="12"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hint="eastAsia" w:ascii="Times New Roman" w:hAnsi="Times New Roman"/>
                      <w:szCs w:val="21"/>
                    </w:rPr>
                    <w:t>台</w:t>
                  </w:r>
                </w:p>
              </w:tc>
              <w:tc>
                <w:tcPr>
                  <w:tcW w:w="533" w:type="dxa"/>
                  <w:tcBorders>
                    <w:top w:val="single" w:color="auto" w:sz="6" w:space="0"/>
                    <w:left w:val="single" w:color="auto" w:sz="6" w:space="0"/>
                    <w:bottom w:val="single" w:color="auto" w:sz="12" w:space="0"/>
                    <w:right w:val="single" w:color="auto" w:sz="6"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1</w:t>
                  </w:r>
                </w:p>
              </w:tc>
              <w:tc>
                <w:tcPr>
                  <w:tcW w:w="875" w:type="dxa"/>
                  <w:tcBorders>
                    <w:top w:val="single" w:color="auto" w:sz="6" w:space="0"/>
                    <w:left w:val="single" w:color="auto" w:sz="6" w:space="0"/>
                    <w:bottom w:val="single" w:color="auto" w:sz="12" w:space="0"/>
                    <w:right w:val="single" w:color="auto" w:sz="12" w:space="0"/>
                  </w:tcBorders>
                  <w:shd w:val="clear" w:color="auto" w:fill="FFFFFF"/>
                  <w:vAlign w:val="center"/>
                </w:tcPr>
                <w:p>
                  <w:pPr>
                    <w:autoSpaceDN w:val="0"/>
                    <w:adjustRightInd w:val="0"/>
                    <w:snapToGrid w:val="0"/>
                    <w:spacing w:line="240" w:lineRule="atLeast"/>
                    <w:jc w:val="center"/>
                    <w:textAlignment w:val="center"/>
                    <w:rPr>
                      <w:rFonts w:ascii="Times New Roman" w:hAnsi="Times New Roman"/>
                      <w:szCs w:val="21"/>
                    </w:rPr>
                  </w:pPr>
                  <w:r>
                    <w:rPr>
                      <w:rFonts w:ascii="Times New Roman" w:hAnsi="Times New Roman"/>
                      <w:szCs w:val="21"/>
                    </w:rPr>
                    <w:t>2</w:t>
                  </w:r>
                </w:p>
              </w:tc>
            </w:tr>
          </w:tbl>
          <w:p>
            <w:pPr>
              <w:pStyle w:val="2"/>
              <w:spacing w:line="360" w:lineRule="auto"/>
              <w:ind w:firstLine="482" w:firstLineChars="200"/>
              <w:rPr>
                <w:b/>
                <w:bCs/>
              </w:rPr>
            </w:pPr>
            <w:r>
              <w:rPr>
                <w:rFonts w:hint="eastAsia"/>
                <w:b/>
                <w:bCs/>
              </w:rPr>
              <w:t>五、改扩建内容及规模</w:t>
            </w:r>
          </w:p>
          <w:p>
            <w:pPr>
              <w:pStyle w:val="2"/>
              <w:spacing w:line="360" w:lineRule="auto"/>
              <w:ind w:firstLine="482" w:firstLineChars="200"/>
              <w:rPr>
                <w:b/>
                <w:bCs/>
              </w:rPr>
            </w:pPr>
            <w:r>
              <w:rPr>
                <w:b/>
                <w:bCs/>
              </w:rPr>
              <w:t>1</w:t>
            </w:r>
            <w:r>
              <w:rPr>
                <w:rFonts w:hint="eastAsia"/>
                <w:b/>
                <w:bCs/>
              </w:rPr>
              <w:t>、主要建设内容</w:t>
            </w:r>
          </w:p>
          <w:p>
            <w:pPr>
              <w:pStyle w:val="2"/>
              <w:spacing w:line="360" w:lineRule="auto"/>
              <w:ind w:firstLine="480" w:firstLineChars="200"/>
              <w:rPr>
                <w:szCs w:val="28"/>
              </w:rPr>
            </w:pPr>
            <w:r>
              <w:rPr>
                <w:rFonts w:hint="eastAsia"/>
              </w:rPr>
              <w:t>本项目</w:t>
            </w:r>
            <w:r>
              <w:rPr>
                <w:rFonts w:hint="eastAsia"/>
                <w:szCs w:val="28"/>
              </w:rPr>
              <w:t>主要建设内容包括新建处理规模为</w:t>
            </w:r>
            <w:r>
              <w:rPr>
                <w:szCs w:val="28"/>
              </w:rPr>
              <w:t>1.5</w:t>
            </w:r>
            <w:r>
              <w:rPr>
                <w:rFonts w:hint="eastAsia"/>
                <w:szCs w:val="28"/>
              </w:rPr>
              <w:t>万</w:t>
            </w:r>
            <w:r>
              <w:rPr>
                <w:szCs w:val="28"/>
              </w:rPr>
              <w:t>m</w:t>
            </w:r>
            <w:r>
              <w:rPr>
                <w:szCs w:val="28"/>
                <w:vertAlign w:val="superscript"/>
              </w:rPr>
              <w:t>3</w:t>
            </w:r>
            <w:r>
              <w:rPr>
                <w:szCs w:val="28"/>
              </w:rPr>
              <w:t>/d</w:t>
            </w:r>
            <w:r>
              <w:rPr>
                <w:rFonts w:hint="eastAsia"/>
                <w:szCs w:val="28"/>
              </w:rPr>
              <w:t>污水处理设施一套，同时对一期工程部分处理建构筑物进行局部改造，对部分工艺设备进行更换。改扩建后全厂总设计处理规模为</w:t>
            </w:r>
            <w:r>
              <w:rPr>
                <w:szCs w:val="28"/>
              </w:rPr>
              <w:t>3</w:t>
            </w:r>
            <w:r>
              <w:rPr>
                <w:rFonts w:hint="eastAsia"/>
                <w:szCs w:val="28"/>
              </w:rPr>
              <w:t>万</w:t>
            </w:r>
            <w:r>
              <w:rPr>
                <w:szCs w:val="28"/>
              </w:rPr>
              <w:t>m</w:t>
            </w:r>
            <w:r>
              <w:rPr>
                <w:szCs w:val="28"/>
                <w:vertAlign w:val="superscript"/>
              </w:rPr>
              <w:t>3</w:t>
            </w:r>
            <w:r>
              <w:rPr>
                <w:szCs w:val="28"/>
              </w:rPr>
              <w:t>/d</w:t>
            </w:r>
            <w:r>
              <w:rPr>
                <w:rFonts w:hint="eastAsia"/>
                <w:szCs w:val="28"/>
              </w:rPr>
              <w:t>。收水服务范围保持不变，仍</w:t>
            </w:r>
            <w:r>
              <w:rPr>
                <w:rFonts w:hint="eastAsia"/>
              </w:rPr>
              <w:t>为定安县县城内的生活污水，包括已规划的定安县老城区、定安县塔岭新区（一期、定安县塔岭新区（二期）以及定安县仙沟片区，共约</w:t>
            </w:r>
            <w:r>
              <w:t>3110hm</w:t>
            </w:r>
            <w:r>
              <w:rPr>
                <w:vertAlign w:val="superscript"/>
              </w:rPr>
              <w:t>2</w:t>
            </w:r>
            <w:r>
              <w:rPr>
                <w:rFonts w:hint="eastAsia"/>
              </w:rPr>
              <w:t>的服务面积。</w:t>
            </w:r>
          </w:p>
          <w:p>
            <w:pPr>
              <w:pStyle w:val="2"/>
              <w:spacing w:line="360" w:lineRule="auto"/>
              <w:ind w:firstLine="480" w:firstLineChars="200"/>
            </w:pPr>
            <w:r>
              <w:rPr>
                <w:rFonts w:hint="eastAsia"/>
              </w:rPr>
              <w:t>本项目在定安县定城污水处理厂厂区内预留场地进行建设，无新增用地，只建设场内管网工程，不涉及厂外市政管网的建设。</w:t>
            </w:r>
          </w:p>
          <w:p>
            <w:pPr>
              <w:pStyle w:val="2"/>
              <w:spacing w:line="360" w:lineRule="auto"/>
              <w:ind w:firstLine="480" w:firstLineChars="200"/>
              <w:rPr>
                <w:b/>
                <w:bCs/>
                <w:szCs w:val="28"/>
              </w:rPr>
            </w:pPr>
            <w:r>
              <w:rPr>
                <w:rFonts w:hint="eastAsia"/>
                <w:szCs w:val="28"/>
              </w:rPr>
              <w:t>本项目主要建设内容及规模见表</w:t>
            </w:r>
            <w:r>
              <w:rPr>
                <w:szCs w:val="28"/>
              </w:rPr>
              <w:t>1-4</w:t>
            </w:r>
            <w:r>
              <w:rPr>
                <w:rFonts w:hint="eastAsia"/>
                <w:szCs w:val="28"/>
              </w:rPr>
              <w:t>。</w:t>
            </w:r>
          </w:p>
          <w:p>
            <w:pPr>
              <w:pStyle w:val="2"/>
              <w:spacing w:line="360" w:lineRule="auto"/>
              <w:ind w:firstLine="482" w:firstLineChars="200"/>
              <w:jc w:val="center"/>
              <w:rPr>
                <w:b/>
                <w:bCs/>
                <w:szCs w:val="28"/>
              </w:rPr>
            </w:pPr>
            <w:r>
              <w:rPr>
                <w:rFonts w:hint="eastAsia"/>
                <w:b/>
                <w:bCs/>
                <w:szCs w:val="28"/>
              </w:rPr>
              <w:t>表</w:t>
            </w:r>
            <w:r>
              <w:rPr>
                <w:b/>
                <w:bCs/>
                <w:szCs w:val="28"/>
              </w:rPr>
              <w:t>1-4</w:t>
            </w:r>
            <w:r>
              <w:rPr>
                <w:rFonts w:hint="eastAsia"/>
                <w:b/>
                <w:bCs/>
                <w:szCs w:val="28"/>
              </w:rPr>
              <w:t>本项目主要建设内容及规模</w:t>
            </w:r>
          </w:p>
          <w:tbl>
            <w:tblPr>
              <w:tblStyle w:val="37"/>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245"/>
              <w:gridCol w:w="4314"/>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restart"/>
                  <w:tcBorders>
                    <w:top w:val="single" w:color="auto" w:sz="12" w:space="0"/>
                    <w:left w:val="single" w:color="auto" w:sz="12" w:space="0"/>
                    <w:bottom w:val="single" w:color="auto" w:sz="4" w:space="0"/>
                    <w:right w:val="single" w:color="auto" w:sz="4" w:space="0"/>
                  </w:tcBorders>
                  <w:vAlign w:val="center"/>
                </w:tcPr>
                <w:p>
                  <w:pPr>
                    <w:pStyle w:val="2"/>
                    <w:jc w:val="center"/>
                    <w:rPr>
                      <w:b/>
                      <w:bCs/>
                      <w:sz w:val="21"/>
                      <w:szCs w:val="21"/>
                    </w:rPr>
                  </w:pPr>
                  <w:r>
                    <w:rPr>
                      <w:rFonts w:hint="eastAsia"/>
                      <w:b/>
                      <w:bCs/>
                      <w:sz w:val="21"/>
                      <w:szCs w:val="21"/>
                    </w:rPr>
                    <w:t>工程类别</w:t>
                  </w:r>
                </w:p>
              </w:tc>
              <w:tc>
                <w:tcPr>
                  <w:tcW w:w="1245" w:type="dxa"/>
                  <w:vMerge w:val="restart"/>
                  <w:tcBorders>
                    <w:top w:val="single" w:color="auto" w:sz="12" w:space="0"/>
                    <w:left w:val="single" w:color="auto" w:sz="4" w:space="0"/>
                    <w:bottom w:val="single" w:color="auto" w:sz="4" w:space="0"/>
                    <w:right w:val="single" w:color="auto" w:sz="4" w:space="0"/>
                  </w:tcBorders>
                  <w:vAlign w:val="center"/>
                </w:tcPr>
                <w:p>
                  <w:pPr>
                    <w:pStyle w:val="2"/>
                    <w:jc w:val="center"/>
                    <w:rPr>
                      <w:b/>
                      <w:bCs/>
                      <w:sz w:val="21"/>
                      <w:szCs w:val="21"/>
                    </w:rPr>
                  </w:pPr>
                  <w:r>
                    <w:rPr>
                      <w:rFonts w:hint="eastAsia"/>
                      <w:b/>
                      <w:bCs/>
                      <w:sz w:val="21"/>
                      <w:szCs w:val="21"/>
                    </w:rPr>
                    <w:t>工程名称</w:t>
                  </w:r>
                </w:p>
              </w:tc>
              <w:tc>
                <w:tcPr>
                  <w:tcW w:w="7176" w:type="dxa"/>
                  <w:gridSpan w:val="2"/>
                  <w:tcBorders>
                    <w:top w:val="single" w:color="auto" w:sz="12" w:space="0"/>
                    <w:left w:val="single" w:color="auto" w:sz="4" w:space="0"/>
                    <w:bottom w:val="double" w:color="auto" w:sz="4" w:space="0"/>
                    <w:right w:val="single" w:color="auto" w:sz="12" w:space="0"/>
                  </w:tcBorders>
                  <w:vAlign w:val="center"/>
                </w:tcPr>
                <w:p>
                  <w:pPr>
                    <w:pStyle w:val="2"/>
                    <w:jc w:val="center"/>
                    <w:rPr>
                      <w:b/>
                      <w:bCs/>
                      <w:sz w:val="21"/>
                      <w:szCs w:val="21"/>
                    </w:rPr>
                  </w:pPr>
                  <w:r>
                    <w:rPr>
                      <w:rFonts w:hint="eastAsia"/>
                      <w:b/>
                      <w:bCs/>
                      <w:sz w:val="21"/>
                      <w:szCs w:val="21"/>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double" w:color="auto" w:sz="4" w:space="0"/>
                    <w:right w:val="single" w:color="auto" w:sz="4" w:space="0"/>
                  </w:tcBorders>
                  <w:vAlign w:val="center"/>
                </w:tcPr>
                <w:p>
                  <w:pPr>
                    <w:pStyle w:val="2"/>
                    <w:jc w:val="center"/>
                    <w:rPr>
                      <w:b/>
                      <w:bCs/>
                      <w:sz w:val="21"/>
                      <w:szCs w:val="21"/>
                    </w:rPr>
                  </w:pPr>
                </w:p>
              </w:tc>
              <w:tc>
                <w:tcPr>
                  <w:tcW w:w="1245" w:type="dxa"/>
                  <w:vMerge w:val="continue"/>
                  <w:tcBorders>
                    <w:top w:val="single" w:color="auto" w:sz="4" w:space="0"/>
                    <w:left w:val="single" w:color="auto" w:sz="4" w:space="0"/>
                    <w:bottom w:val="double" w:color="auto" w:sz="4" w:space="0"/>
                    <w:right w:val="single" w:color="auto" w:sz="4" w:space="0"/>
                  </w:tcBorders>
                  <w:vAlign w:val="center"/>
                </w:tcPr>
                <w:p>
                  <w:pPr>
                    <w:pStyle w:val="2"/>
                    <w:jc w:val="center"/>
                    <w:rPr>
                      <w:b/>
                      <w:bCs/>
                      <w:sz w:val="21"/>
                      <w:szCs w:val="21"/>
                    </w:rPr>
                  </w:pPr>
                </w:p>
              </w:tc>
              <w:tc>
                <w:tcPr>
                  <w:tcW w:w="4314" w:type="dxa"/>
                  <w:tcBorders>
                    <w:top w:val="single" w:color="auto" w:sz="12" w:space="0"/>
                    <w:left w:val="single" w:color="auto" w:sz="4" w:space="0"/>
                    <w:bottom w:val="double" w:color="auto" w:sz="4" w:space="0"/>
                    <w:right w:val="single" w:color="auto" w:sz="4" w:space="0"/>
                  </w:tcBorders>
                  <w:vAlign w:val="center"/>
                </w:tcPr>
                <w:p>
                  <w:pPr>
                    <w:pStyle w:val="2"/>
                    <w:jc w:val="center"/>
                    <w:rPr>
                      <w:b/>
                      <w:bCs/>
                      <w:sz w:val="21"/>
                      <w:szCs w:val="21"/>
                    </w:rPr>
                  </w:pPr>
                  <w:r>
                    <w:rPr>
                      <w:rFonts w:hint="eastAsia"/>
                      <w:b/>
                      <w:bCs/>
                      <w:sz w:val="21"/>
                      <w:szCs w:val="21"/>
                    </w:rPr>
                    <w:t>新增</w:t>
                  </w:r>
                </w:p>
              </w:tc>
              <w:tc>
                <w:tcPr>
                  <w:tcW w:w="2862" w:type="dxa"/>
                  <w:tcBorders>
                    <w:top w:val="single" w:color="auto" w:sz="12" w:space="0"/>
                    <w:left w:val="single" w:color="auto" w:sz="4" w:space="0"/>
                    <w:bottom w:val="double" w:color="auto" w:sz="4" w:space="0"/>
                    <w:right w:val="single" w:color="auto" w:sz="12" w:space="0"/>
                  </w:tcBorders>
                  <w:vAlign w:val="center"/>
                </w:tcPr>
                <w:p>
                  <w:pPr>
                    <w:pStyle w:val="2"/>
                    <w:jc w:val="center"/>
                    <w:rPr>
                      <w:b/>
                      <w:bCs/>
                      <w:sz w:val="21"/>
                      <w:szCs w:val="21"/>
                    </w:rPr>
                  </w:pPr>
                  <w:r>
                    <w:rPr>
                      <w:rFonts w:hint="eastAsia"/>
                      <w:b/>
                      <w:bCs/>
                      <w:sz w:val="21"/>
                      <w:szCs w:val="21"/>
                    </w:rPr>
                    <w:t>依托</w:t>
                  </w:r>
                  <w:r>
                    <w:rPr>
                      <w:b/>
                      <w:bCs/>
                      <w:sz w:val="21"/>
                      <w:szCs w:val="21"/>
                    </w:rPr>
                    <w:t>/</w:t>
                  </w:r>
                  <w:r>
                    <w:rPr>
                      <w:rFonts w:hint="eastAsia"/>
                      <w:b/>
                      <w:bCs/>
                      <w:sz w:val="21"/>
                      <w:szCs w:val="21"/>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restart"/>
                  <w:tcBorders>
                    <w:top w:val="double" w:color="auto" w:sz="4" w:space="0"/>
                    <w:left w:val="single" w:color="auto" w:sz="12" w:space="0"/>
                    <w:bottom w:val="single" w:color="auto" w:sz="4" w:space="0"/>
                    <w:right w:val="single" w:color="auto" w:sz="4" w:space="0"/>
                  </w:tcBorders>
                  <w:vAlign w:val="center"/>
                </w:tcPr>
                <w:p>
                  <w:pPr>
                    <w:pStyle w:val="2"/>
                    <w:jc w:val="center"/>
                    <w:rPr>
                      <w:sz w:val="21"/>
                      <w:szCs w:val="21"/>
                    </w:rPr>
                  </w:pPr>
                  <w:r>
                    <w:rPr>
                      <w:rFonts w:hint="eastAsia"/>
                      <w:sz w:val="21"/>
                      <w:szCs w:val="21"/>
                    </w:rPr>
                    <w:t>主体工程</w:t>
                  </w:r>
                </w:p>
              </w:tc>
              <w:tc>
                <w:tcPr>
                  <w:tcW w:w="1245"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粗格栅、进水泵房及调节池</w:t>
                  </w:r>
                </w:p>
              </w:tc>
              <w:tc>
                <w:tcPr>
                  <w:tcW w:w="4314"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4</w:t>
                  </w:r>
                  <w:r>
                    <w:rPr>
                      <w:rFonts w:hint="eastAsia"/>
                      <w:sz w:val="21"/>
                      <w:szCs w:val="21"/>
                    </w:rPr>
                    <w:t>台潜污提升泵，参数为</w:t>
                  </w:r>
                  <w:r>
                    <w:rPr>
                      <w:sz w:val="21"/>
                      <w:szCs w:val="21"/>
                    </w:rPr>
                    <w:t>Q=320m</w:t>
                  </w:r>
                  <w:r>
                    <w:rPr>
                      <w:sz w:val="21"/>
                      <w:szCs w:val="21"/>
                      <w:vertAlign w:val="superscript"/>
                    </w:rPr>
                    <w:t>3</w:t>
                  </w:r>
                  <w:r>
                    <w:rPr>
                      <w:sz w:val="21"/>
                      <w:szCs w:val="21"/>
                    </w:rPr>
                    <w:t>/h</w:t>
                  </w:r>
                  <w:r>
                    <w:rPr>
                      <w:rFonts w:hint="eastAsia"/>
                      <w:sz w:val="21"/>
                      <w:szCs w:val="21"/>
                    </w:rPr>
                    <w:t>，扬程</w:t>
                  </w:r>
                  <w:r>
                    <w:rPr>
                      <w:sz w:val="21"/>
                      <w:szCs w:val="21"/>
                    </w:rPr>
                    <w:t>H=13.0m</w:t>
                  </w:r>
                  <w:r>
                    <w:rPr>
                      <w:rFonts w:hint="eastAsia"/>
                      <w:sz w:val="21"/>
                      <w:szCs w:val="21"/>
                    </w:rPr>
                    <w:t>，电机功率</w:t>
                  </w:r>
                  <w:r>
                    <w:rPr>
                      <w:sz w:val="21"/>
                      <w:szCs w:val="21"/>
                    </w:rPr>
                    <w:t>P</w:t>
                  </w:r>
                  <w:r>
                    <w:rPr>
                      <w:rFonts w:hint="eastAsia"/>
                      <w:sz w:val="21"/>
                      <w:szCs w:val="21"/>
                    </w:rPr>
                    <w:t>＝</w:t>
                  </w:r>
                  <w:r>
                    <w:rPr>
                      <w:sz w:val="21"/>
                      <w:szCs w:val="21"/>
                    </w:rPr>
                    <w:t>15.0kw</w:t>
                  </w:r>
                </w:p>
              </w:tc>
              <w:tc>
                <w:tcPr>
                  <w:tcW w:w="2862" w:type="dxa"/>
                  <w:tcBorders>
                    <w:top w:val="double" w:color="auto" w:sz="4" w:space="0"/>
                    <w:left w:val="single" w:color="auto" w:sz="4" w:space="0"/>
                    <w:bottom w:val="single" w:color="auto" w:sz="4" w:space="0"/>
                    <w:right w:val="single" w:color="auto" w:sz="12" w:space="0"/>
                  </w:tcBorders>
                  <w:vAlign w:val="center"/>
                </w:tcPr>
                <w:p>
                  <w:pPr>
                    <w:pStyle w:val="2"/>
                    <w:jc w:val="center"/>
                    <w:rPr>
                      <w:sz w:val="21"/>
                      <w:szCs w:val="21"/>
                    </w:rPr>
                  </w:pPr>
                  <w:r>
                    <w:rPr>
                      <w:rFonts w:hint="eastAsia"/>
                      <w:sz w:val="21"/>
                      <w:szCs w:val="21"/>
                    </w:rPr>
                    <w:t>依托一期粗格栅、进水泵房及调节池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细格栅及曝气沉砂池</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一座设计规模为</w:t>
                  </w:r>
                  <w:r>
                    <w:rPr>
                      <w:sz w:val="21"/>
                      <w:szCs w:val="21"/>
                    </w:rPr>
                    <w:t>1.5</w:t>
                  </w:r>
                  <w:r>
                    <w:rPr>
                      <w:rFonts w:hint="eastAsia"/>
                      <w:sz w:val="21"/>
                      <w:szCs w:val="21"/>
                    </w:rPr>
                    <w:t>万</w:t>
                  </w:r>
                  <w:r>
                    <w:rPr>
                      <w:sz w:val="21"/>
                      <w:szCs w:val="21"/>
                    </w:rPr>
                    <w:t>m</w:t>
                  </w:r>
                  <w:r>
                    <w:rPr>
                      <w:sz w:val="21"/>
                      <w:szCs w:val="21"/>
                      <w:vertAlign w:val="superscript"/>
                    </w:rPr>
                    <w:t>3</w:t>
                  </w:r>
                  <w:r>
                    <w:rPr>
                      <w:sz w:val="21"/>
                      <w:szCs w:val="21"/>
                    </w:rPr>
                    <w:t>/d</w:t>
                  </w:r>
                  <w:r>
                    <w:rPr>
                      <w:rFonts w:hint="eastAsia"/>
                      <w:sz w:val="21"/>
                      <w:szCs w:val="21"/>
                    </w:rPr>
                    <w:t>的细格栅及曝气沉砂池，细格栅及曝气沉砂池设计停留时间为</w:t>
                  </w:r>
                  <w:r>
                    <w:rPr>
                      <w:sz w:val="21"/>
                      <w:szCs w:val="21"/>
                    </w:rPr>
                    <w:t>15min</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改良型合建式</w:t>
                  </w:r>
                  <w:r>
                    <w:rPr>
                      <w:sz w:val="21"/>
                      <w:szCs w:val="21"/>
                    </w:rPr>
                    <w:t>AAO</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设计流量：</w:t>
                  </w:r>
                  <w:r>
                    <w:rPr>
                      <w:sz w:val="21"/>
                      <w:szCs w:val="21"/>
                    </w:rPr>
                    <w:t>1.5</w:t>
                  </w:r>
                  <w:r>
                    <w:rPr>
                      <w:rFonts w:hint="eastAsia"/>
                      <w:sz w:val="21"/>
                      <w:szCs w:val="21"/>
                    </w:rPr>
                    <w:t>万</w:t>
                  </w:r>
                  <w:r>
                    <w:rPr>
                      <w:sz w:val="21"/>
                      <w:szCs w:val="21"/>
                    </w:rPr>
                    <w:t>m</w:t>
                  </w:r>
                  <w:r>
                    <w:rPr>
                      <w:sz w:val="21"/>
                      <w:szCs w:val="21"/>
                      <w:vertAlign w:val="superscript"/>
                    </w:rPr>
                    <w:t>3</w:t>
                  </w:r>
                  <w:r>
                    <w:rPr>
                      <w:sz w:val="21"/>
                      <w:szCs w:val="21"/>
                    </w:rPr>
                    <w:t>/d</w:t>
                  </w:r>
                  <w:r>
                    <w:rPr>
                      <w:rFonts w:hint="eastAsia"/>
                      <w:sz w:val="21"/>
                      <w:szCs w:val="21"/>
                    </w:rPr>
                    <w:t>，设计尺寸为：</w:t>
                  </w:r>
                  <w:r>
                    <w:rPr>
                      <w:sz w:val="21"/>
                      <w:szCs w:val="21"/>
                    </w:rPr>
                    <w:t>L×W×H=51.4×38.7×6.5m</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活性砂滤池</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结构尺寸：</w:t>
                  </w:r>
                  <w:r>
                    <w:rPr>
                      <w:sz w:val="21"/>
                      <w:szCs w:val="21"/>
                    </w:rPr>
                    <w:t>L×W×H=12.59×10.2×6.5</w:t>
                  </w:r>
                  <w:r>
                    <w:rPr>
                      <w:rFonts w:hint="eastAsia"/>
                      <w:sz w:val="21"/>
                      <w:szCs w:val="21"/>
                    </w:rPr>
                    <w:t>，分为</w:t>
                  </w:r>
                  <w:r>
                    <w:rPr>
                      <w:sz w:val="21"/>
                      <w:szCs w:val="21"/>
                    </w:rPr>
                    <w:t>2</w:t>
                  </w:r>
                  <w:r>
                    <w:rPr>
                      <w:rFonts w:hint="eastAsia"/>
                      <w:sz w:val="21"/>
                      <w:szCs w:val="21"/>
                    </w:rPr>
                    <w:t>个独立的过滤单元，并联设计，每单元内包括</w:t>
                  </w:r>
                  <w:r>
                    <w:rPr>
                      <w:sz w:val="21"/>
                      <w:szCs w:val="21"/>
                    </w:rPr>
                    <w:t>8</w:t>
                  </w:r>
                  <w:r>
                    <w:rPr>
                      <w:rFonts w:hint="eastAsia"/>
                      <w:sz w:val="21"/>
                      <w:szCs w:val="21"/>
                    </w:rPr>
                    <w:t>套活性砂过滤器，单台过滤器的过滤面积为</w:t>
                  </w:r>
                  <w:r>
                    <w:rPr>
                      <w:sz w:val="21"/>
                      <w:szCs w:val="21"/>
                    </w:rPr>
                    <w:t>6m</w:t>
                  </w:r>
                  <w:r>
                    <w:rPr>
                      <w:sz w:val="21"/>
                      <w:szCs w:val="21"/>
                      <w:vertAlign w:val="superscript"/>
                    </w:rPr>
                    <w:t>2</w:t>
                  </w:r>
                  <w:r>
                    <w:rPr>
                      <w:rFonts w:hint="eastAsia"/>
                      <w:sz w:val="21"/>
                      <w:szCs w:val="21"/>
                    </w:rPr>
                    <w:t>。平均处理水量</w:t>
                  </w:r>
                  <w:r>
                    <w:rPr>
                      <w:sz w:val="21"/>
                      <w:szCs w:val="21"/>
                    </w:rPr>
                    <w:t xml:space="preserve"> 625m</w:t>
                  </w:r>
                  <w:r>
                    <w:rPr>
                      <w:sz w:val="21"/>
                      <w:szCs w:val="21"/>
                      <w:vertAlign w:val="superscript"/>
                    </w:rPr>
                    <w:t>3</w:t>
                  </w:r>
                  <w:r>
                    <w:rPr>
                      <w:sz w:val="21"/>
                      <w:szCs w:val="21"/>
                    </w:rPr>
                    <w:t>/h</w:t>
                  </w:r>
                  <w:r>
                    <w:rPr>
                      <w:rFonts w:hint="eastAsia"/>
                      <w:sz w:val="21"/>
                      <w:szCs w:val="21"/>
                    </w:rPr>
                    <w:t>，平均过滤速度</w:t>
                  </w:r>
                  <w:r>
                    <w:rPr>
                      <w:sz w:val="21"/>
                      <w:szCs w:val="21"/>
                    </w:rPr>
                    <w:t>6.51m/h</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接触消毒池</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结构尺寸：</w:t>
                  </w:r>
                  <w:r>
                    <w:rPr>
                      <w:sz w:val="21"/>
                      <w:szCs w:val="21"/>
                    </w:rPr>
                    <w:t>L</w:t>
                  </w:r>
                  <w:r>
                    <w:rPr>
                      <w:rFonts w:hint="eastAsia"/>
                      <w:sz w:val="21"/>
                      <w:szCs w:val="21"/>
                    </w:rPr>
                    <w:t>×</w:t>
                  </w:r>
                  <w:r>
                    <w:rPr>
                      <w:sz w:val="21"/>
                      <w:szCs w:val="21"/>
                    </w:rPr>
                    <w:t>W</w:t>
                  </w:r>
                  <w:r>
                    <w:rPr>
                      <w:rFonts w:hint="eastAsia"/>
                      <w:sz w:val="21"/>
                      <w:szCs w:val="21"/>
                    </w:rPr>
                    <w:t>×</w:t>
                  </w:r>
                  <w:r>
                    <w:rPr>
                      <w:sz w:val="21"/>
                      <w:szCs w:val="21"/>
                    </w:rPr>
                    <w:t>H</w:t>
                  </w:r>
                  <w:r>
                    <w:rPr>
                      <w:rFonts w:hint="eastAsia"/>
                      <w:sz w:val="21"/>
                      <w:szCs w:val="21"/>
                    </w:rPr>
                    <w:t>＝</w:t>
                  </w:r>
                  <w:r>
                    <w:rPr>
                      <w:sz w:val="21"/>
                      <w:szCs w:val="21"/>
                    </w:rPr>
                    <w:t>15</w:t>
                  </w:r>
                  <w:r>
                    <w:rPr>
                      <w:rFonts w:hint="eastAsia"/>
                      <w:sz w:val="21"/>
                      <w:szCs w:val="21"/>
                    </w:rPr>
                    <w:t>×</w:t>
                  </w:r>
                  <w:r>
                    <w:rPr>
                      <w:sz w:val="21"/>
                      <w:szCs w:val="21"/>
                    </w:rPr>
                    <w:t>12.0</w:t>
                  </w:r>
                  <w:r>
                    <w:rPr>
                      <w:rFonts w:hint="eastAsia"/>
                      <w:sz w:val="21"/>
                      <w:szCs w:val="21"/>
                    </w:rPr>
                    <w:t>×</w:t>
                  </w:r>
                  <w:r>
                    <w:rPr>
                      <w:sz w:val="21"/>
                      <w:szCs w:val="21"/>
                    </w:rPr>
                    <w:t>4.0</w:t>
                  </w:r>
                  <w:r>
                    <w:rPr>
                      <w:rFonts w:hint="eastAsia"/>
                      <w:sz w:val="21"/>
                      <w:szCs w:val="21"/>
                    </w:rPr>
                    <w:t>，整个厂区的接触消毒的设计停留时间为</w:t>
                  </w:r>
                  <w:r>
                    <w:rPr>
                      <w:sz w:val="21"/>
                      <w:szCs w:val="21"/>
                    </w:rPr>
                    <w:t>51min</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鼓风机房</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新增</w:t>
                  </w:r>
                  <w:r>
                    <w:rPr>
                      <w:sz w:val="21"/>
                      <w:szCs w:val="21"/>
                    </w:rPr>
                    <w:t>3</w:t>
                  </w:r>
                  <w:r>
                    <w:rPr>
                      <w:rFonts w:hint="eastAsia"/>
                      <w:sz w:val="21"/>
                      <w:szCs w:val="21"/>
                    </w:rPr>
                    <w:t>台空气悬浮鼓风机，单台鼓风机参数单台风量</w:t>
                  </w:r>
                  <w:r>
                    <w:rPr>
                      <w:sz w:val="21"/>
                      <w:szCs w:val="21"/>
                    </w:rPr>
                    <w:t>Q</w:t>
                  </w:r>
                  <w:r>
                    <w:rPr>
                      <w:rFonts w:hint="eastAsia"/>
                      <w:sz w:val="21"/>
                      <w:szCs w:val="21"/>
                    </w:rPr>
                    <w:t>＝</w:t>
                  </w:r>
                  <w:r>
                    <w:rPr>
                      <w:sz w:val="21"/>
                      <w:szCs w:val="21"/>
                    </w:rPr>
                    <w:t>40m</w:t>
                  </w:r>
                  <w:r>
                    <w:rPr>
                      <w:sz w:val="21"/>
                      <w:szCs w:val="21"/>
                      <w:vertAlign w:val="superscript"/>
                    </w:rPr>
                    <w:t>3</w:t>
                  </w:r>
                  <w:r>
                    <w:rPr>
                      <w:sz w:val="21"/>
                      <w:szCs w:val="21"/>
                    </w:rPr>
                    <w:t>/min</w:t>
                  </w:r>
                  <w:r>
                    <w:rPr>
                      <w:rFonts w:hint="eastAsia"/>
                      <w:sz w:val="21"/>
                      <w:szCs w:val="21"/>
                    </w:rPr>
                    <w:t>，风压</w:t>
                  </w:r>
                  <w:r>
                    <w:rPr>
                      <w:sz w:val="21"/>
                      <w:szCs w:val="21"/>
                    </w:rPr>
                    <w:t>8.0m</w:t>
                  </w:r>
                  <w:r>
                    <w:rPr>
                      <w:rFonts w:hint="eastAsia"/>
                      <w:sz w:val="21"/>
                      <w:szCs w:val="21"/>
                    </w:rPr>
                    <w:t>，电机功率</w:t>
                  </w:r>
                  <w:r>
                    <w:rPr>
                      <w:sz w:val="21"/>
                      <w:szCs w:val="21"/>
                    </w:rPr>
                    <w:t>P</w:t>
                  </w:r>
                  <w:r>
                    <w:rPr>
                      <w:rFonts w:hint="eastAsia"/>
                      <w:sz w:val="21"/>
                      <w:szCs w:val="21"/>
                    </w:rPr>
                    <w:t>＝</w:t>
                  </w:r>
                  <w:r>
                    <w:rPr>
                      <w:sz w:val="21"/>
                      <w:szCs w:val="21"/>
                    </w:rPr>
                    <w:t>70kw</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加药间</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PAC</w:t>
                  </w:r>
                  <w:r>
                    <w:rPr>
                      <w:rFonts w:hint="eastAsia"/>
                      <w:sz w:val="21"/>
                      <w:szCs w:val="21"/>
                    </w:rPr>
                    <w:t>加药间及次氯酸钠加药间合建，其建筑尺寸：</w:t>
                  </w:r>
                  <w:r>
                    <w:rPr>
                      <w:sz w:val="21"/>
                      <w:szCs w:val="21"/>
                    </w:rPr>
                    <w:t>L</w:t>
                  </w:r>
                  <w:r>
                    <w:rPr>
                      <w:rFonts w:hint="eastAsia"/>
                      <w:sz w:val="21"/>
                      <w:szCs w:val="21"/>
                    </w:rPr>
                    <w:t>×</w:t>
                  </w:r>
                  <w:r>
                    <w:rPr>
                      <w:sz w:val="21"/>
                      <w:szCs w:val="21"/>
                    </w:rPr>
                    <w:t>W</w:t>
                  </w:r>
                  <w:r>
                    <w:rPr>
                      <w:rFonts w:hint="eastAsia"/>
                      <w:sz w:val="21"/>
                      <w:szCs w:val="21"/>
                    </w:rPr>
                    <w:t>＝</w:t>
                  </w:r>
                  <w:r>
                    <w:rPr>
                      <w:sz w:val="21"/>
                      <w:szCs w:val="21"/>
                    </w:rPr>
                    <w:t>12.0</w:t>
                  </w:r>
                  <w:r>
                    <w:rPr>
                      <w:rFonts w:hint="eastAsia"/>
                      <w:sz w:val="21"/>
                      <w:szCs w:val="21"/>
                    </w:rPr>
                    <w:t>×</w:t>
                  </w:r>
                  <w:r>
                    <w:rPr>
                      <w:sz w:val="21"/>
                      <w:szCs w:val="21"/>
                    </w:rPr>
                    <w:t>6.0m</w:t>
                  </w:r>
                  <w:r>
                    <w:rPr>
                      <w:rFonts w:hint="eastAsia"/>
                      <w:sz w:val="21"/>
                      <w:szCs w:val="21"/>
                    </w:rPr>
                    <w:t>，建筑面积为</w:t>
                  </w:r>
                  <w:r>
                    <w:rPr>
                      <w:sz w:val="21"/>
                      <w:szCs w:val="21"/>
                    </w:rPr>
                    <w:t>72m</w:t>
                  </w:r>
                  <w:r>
                    <w:rPr>
                      <w:sz w:val="21"/>
                      <w:szCs w:val="21"/>
                      <w:vertAlign w:val="superscript"/>
                    </w:rPr>
                    <w:t>2</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贮泥池</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结构尺寸：</w:t>
                  </w:r>
                  <w:r>
                    <w:rPr>
                      <w:sz w:val="21"/>
                      <w:szCs w:val="21"/>
                    </w:rPr>
                    <w:t>L</w:t>
                  </w:r>
                  <w:r>
                    <w:rPr>
                      <w:rFonts w:hint="eastAsia"/>
                      <w:sz w:val="21"/>
                      <w:szCs w:val="21"/>
                    </w:rPr>
                    <w:t>×</w:t>
                  </w:r>
                  <w:r>
                    <w:rPr>
                      <w:sz w:val="21"/>
                      <w:szCs w:val="21"/>
                    </w:rPr>
                    <w:t>W</w:t>
                  </w:r>
                  <w:r>
                    <w:rPr>
                      <w:rFonts w:hint="eastAsia"/>
                      <w:sz w:val="21"/>
                      <w:szCs w:val="21"/>
                    </w:rPr>
                    <w:t>×</w:t>
                  </w:r>
                  <w:r>
                    <w:rPr>
                      <w:sz w:val="21"/>
                      <w:szCs w:val="21"/>
                    </w:rPr>
                    <w:t>H</w:t>
                  </w:r>
                  <w:r>
                    <w:rPr>
                      <w:rFonts w:hint="eastAsia"/>
                      <w:sz w:val="21"/>
                      <w:szCs w:val="21"/>
                    </w:rPr>
                    <w:t>＝</w:t>
                  </w:r>
                  <w:r>
                    <w:rPr>
                      <w:sz w:val="21"/>
                      <w:szCs w:val="21"/>
                    </w:rPr>
                    <w:t>7.0</w:t>
                  </w:r>
                  <w:r>
                    <w:rPr>
                      <w:rFonts w:hint="eastAsia"/>
                      <w:sz w:val="21"/>
                      <w:szCs w:val="21"/>
                    </w:rPr>
                    <w:t>×</w:t>
                  </w:r>
                  <w:r>
                    <w:rPr>
                      <w:sz w:val="21"/>
                      <w:szCs w:val="21"/>
                    </w:rPr>
                    <w:t>7.0</w:t>
                  </w:r>
                  <w:r>
                    <w:rPr>
                      <w:rFonts w:hint="eastAsia"/>
                      <w:sz w:val="21"/>
                      <w:szCs w:val="21"/>
                    </w:rPr>
                    <w:t>×</w:t>
                  </w:r>
                  <w:r>
                    <w:rPr>
                      <w:sz w:val="21"/>
                      <w:szCs w:val="21"/>
                    </w:rPr>
                    <w:t>6.0m</w:t>
                  </w:r>
                  <w:r>
                    <w:rPr>
                      <w:rFonts w:hint="eastAsia"/>
                      <w:sz w:val="21"/>
                      <w:szCs w:val="21"/>
                    </w:rPr>
                    <w:t>。潜水搅拌器叶轮直径</w:t>
                  </w:r>
                  <w:r>
                    <w:rPr>
                      <w:sz w:val="21"/>
                      <w:szCs w:val="21"/>
                    </w:rPr>
                    <w:t>D</w:t>
                  </w:r>
                  <w:r>
                    <w:rPr>
                      <w:rFonts w:hint="eastAsia"/>
                      <w:sz w:val="21"/>
                      <w:szCs w:val="21"/>
                    </w:rPr>
                    <w:t>≥</w:t>
                  </w:r>
                  <w:r>
                    <w:rPr>
                      <w:sz w:val="21"/>
                      <w:szCs w:val="21"/>
                    </w:rPr>
                    <w:t>550mm</w:t>
                  </w:r>
                  <w:r>
                    <w:rPr>
                      <w:rFonts w:hint="eastAsia"/>
                      <w:sz w:val="21"/>
                      <w:szCs w:val="21"/>
                    </w:rPr>
                    <w:t>，电机功率</w:t>
                  </w:r>
                  <w:r>
                    <w:rPr>
                      <w:sz w:val="21"/>
                      <w:szCs w:val="21"/>
                    </w:rPr>
                    <w:t>P=10.0kw</w:t>
                  </w:r>
                  <w:r>
                    <w:rPr>
                      <w:rFonts w:hint="eastAsia"/>
                      <w:sz w:val="21"/>
                      <w:szCs w:val="21"/>
                    </w:rPr>
                    <w:t>，中速搅拌。</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脱水车间</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rPr>
                      <w:sz w:val="21"/>
                      <w:szCs w:val="21"/>
                    </w:rPr>
                  </w:pPr>
                  <w:r>
                    <w:rPr>
                      <w:rFonts w:hint="eastAsia"/>
                      <w:sz w:val="21"/>
                      <w:szCs w:val="21"/>
                    </w:rPr>
                    <w:t>新建脱水车间。土建按远期</w:t>
                  </w:r>
                  <w:r>
                    <w:rPr>
                      <w:sz w:val="21"/>
                      <w:szCs w:val="21"/>
                    </w:rPr>
                    <w:t>3.0</w:t>
                  </w:r>
                  <w:r>
                    <w:rPr>
                      <w:rFonts w:hint="eastAsia"/>
                      <w:sz w:val="21"/>
                      <w:szCs w:val="21"/>
                    </w:rPr>
                    <w:t>万</w:t>
                  </w:r>
                  <w:r>
                    <w:rPr>
                      <w:sz w:val="21"/>
                      <w:szCs w:val="21"/>
                    </w:rPr>
                    <w:t>m</w:t>
                  </w:r>
                  <w:r>
                    <w:rPr>
                      <w:sz w:val="21"/>
                      <w:szCs w:val="21"/>
                      <w:vertAlign w:val="superscript"/>
                    </w:rPr>
                    <w:t>3</w:t>
                  </w:r>
                  <w:r>
                    <w:rPr>
                      <w:sz w:val="21"/>
                      <w:szCs w:val="21"/>
                    </w:rPr>
                    <w:t>/d</w:t>
                  </w:r>
                  <w:r>
                    <w:rPr>
                      <w:rFonts w:hint="eastAsia"/>
                      <w:sz w:val="21"/>
                      <w:szCs w:val="21"/>
                    </w:rPr>
                    <w:t>规模建成，脱水车间为一层，建筑面积为</w:t>
                  </w:r>
                  <w:r>
                    <w:rPr>
                      <w:sz w:val="21"/>
                      <w:szCs w:val="21"/>
                    </w:rPr>
                    <w:t>300m</w:t>
                  </w:r>
                  <w:r>
                    <w:rPr>
                      <w:sz w:val="21"/>
                      <w:szCs w:val="21"/>
                      <w:vertAlign w:val="superscript"/>
                    </w:rPr>
                    <w:t>2</w:t>
                  </w:r>
                  <w:r>
                    <w:rPr>
                      <w:rFonts w:hint="eastAsia"/>
                      <w:sz w:val="21"/>
                      <w:szCs w:val="21"/>
                    </w:rPr>
                    <w:t>。脱水机房安装板框压滤机两台，一用一备。单机处理能力过滤面积</w:t>
                  </w:r>
                  <w:r>
                    <w:rPr>
                      <w:sz w:val="21"/>
                      <w:szCs w:val="21"/>
                    </w:rPr>
                    <w:t>280m</w:t>
                  </w:r>
                  <w:r>
                    <w:rPr>
                      <w:sz w:val="21"/>
                      <w:szCs w:val="21"/>
                      <w:vertAlign w:val="superscript"/>
                    </w:rPr>
                    <w:t>2</w:t>
                  </w:r>
                  <w:r>
                    <w:rPr>
                      <w:rFonts w:hint="eastAsia"/>
                      <w:sz w:val="21"/>
                      <w:szCs w:val="21"/>
                    </w:rPr>
                    <w:t>，电机功率</w:t>
                  </w:r>
                  <w:r>
                    <w:rPr>
                      <w:sz w:val="21"/>
                      <w:szCs w:val="21"/>
                    </w:rPr>
                    <w:t>P</w:t>
                  </w:r>
                  <w:r>
                    <w:rPr>
                      <w:rFonts w:hint="eastAsia"/>
                      <w:sz w:val="21"/>
                      <w:szCs w:val="21"/>
                    </w:rPr>
                    <w:t>＝</w:t>
                  </w:r>
                  <w:r>
                    <w:rPr>
                      <w:sz w:val="21"/>
                      <w:szCs w:val="21"/>
                    </w:rPr>
                    <w:t>16.9kw</w:t>
                  </w:r>
                  <w:r>
                    <w:rPr>
                      <w:rFonts w:hint="eastAsia"/>
                      <w:sz w:val="21"/>
                      <w:szCs w:val="21"/>
                    </w:rPr>
                    <w:t>。脱水后污泥量：</w:t>
                  </w:r>
                  <w:r>
                    <w:rPr>
                      <w:sz w:val="21"/>
                      <w:szCs w:val="21"/>
                    </w:rPr>
                    <w:t>5.4m</w:t>
                  </w:r>
                  <w:r>
                    <w:rPr>
                      <w:sz w:val="21"/>
                      <w:szCs w:val="21"/>
                      <w:vertAlign w:val="superscript"/>
                    </w:rPr>
                    <w:t>3</w:t>
                  </w:r>
                  <w:r>
                    <w:rPr>
                      <w:sz w:val="21"/>
                      <w:szCs w:val="21"/>
                    </w:rPr>
                    <w:t>/d</w:t>
                  </w:r>
                  <w:r>
                    <w:rPr>
                      <w:rFonts w:hint="eastAsia"/>
                      <w:sz w:val="21"/>
                      <w:szCs w:val="21"/>
                    </w:rPr>
                    <w:t>，含水率为</w:t>
                  </w:r>
                  <w:r>
                    <w:rPr>
                      <w:sz w:val="21"/>
                      <w:szCs w:val="21"/>
                    </w:rPr>
                    <w:t>50%</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rFonts w:hint="eastAsia"/>
                      <w:sz w:val="21"/>
                      <w:szCs w:val="21"/>
                    </w:rPr>
                    <w:t>拆除原脱水车间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中水清水池</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rPr>
                      <w:sz w:val="21"/>
                      <w:szCs w:val="21"/>
                    </w:rPr>
                  </w:pPr>
                  <w:r>
                    <w:rPr>
                      <w:rFonts w:hint="eastAsia"/>
                      <w:sz w:val="21"/>
                      <w:szCs w:val="21"/>
                    </w:rPr>
                    <w:t>结构尺寸为</w:t>
                  </w:r>
                  <w:r>
                    <w:rPr>
                      <w:sz w:val="21"/>
                      <w:szCs w:val="21"/>
                    </w:rPr>
                    <w:t>L</w:t>
                  </w:r>
                  <w:r>
                    <w:rPr>
                      <w:rFonts w:hint="eastAsia"/>
                      <w:sz w:val="21"/>
                      <w:szCs w:val="21"/>
                    </w:rPr>
                    <w:t>×</w:t>
                  </w:r>
                  <w:r>
                    <w:rPr>
                      <w:sz w:val="21"/>
                      <w:szCs w:val="21"/>
                    </w:rPr>
                    <w:t>W</w:t>
                  </w:r>
                  <w:r>
                    <w:rPr>
                      <w:rFonts w:hint="eastAsia"/>
                      <w:sz w:val="21"/>
                      <w:szCs w:val="21"/>
                    </w:rPr>
                    <w:t>×</w:t>
                  </w:r>
                  <w:r>
                    <w:rPr>
                      <w:sz w:val="21"/>
                      <w:szCs w:val="21"/>
                    </w:rPr>
                    <w:t>H</w:t>
                  </w:r>
                  <w:r>
                    <w:rPr>
                      <w:rFonts w:hint="eastAsia"/>
                      <w:sz w:val="21"/>
                      <w:szCs w:val="21"/>
                    </w:rPr>
                    <w:t>＝</w:t>
                  </w:r>
                  <w:r>
                    <w:rPr>
                      <w:sz w:val="21"/>
                      <w:szCs w:val="21"/>
                    </w:rPr>
                    <w:t>12.5</w:t>
                  </w:r>
                  <w:r>
                    <w:rPr>
                      <w:rFonts w:hint="eastAsia"/>
                      <w:sz w:val="21"/>
                      <w:szCs w:val="21"/>
                    </w:rPr>
                    <w:t>×</w:t>
                  </w:r>
                  <w:r>
                    <w:rPr>
                      <w:sz w:val="21"/>
                      <w:szCs w:val="21"/>
                    </w:rPr>
                    <w:t>8.0</w:t>
                  </w:r>
                  <w:r>
                    <w:rPr>
                      <w:rFonts w:hint="eastAsia"/>
                      <w:sz w:val="21"/>
                      <w:szCs w:val="21"/>
                    </w:rPr>
                    <w:t>×</w:t>
                  </w:r>
                  <w:r>
                    <w:rPr>
                      <w:sz w:val="21"/>
                      <w:szCs w:val="21"/>
                    </w:rPr>
                    <w:t>3.7.m</w:t>
                  </w:r>
                  <w:r>
                    <w:rPr>
                      <w:rFonts w:hint="eastAsia"/>
                      <w:sz w:val="21"/>
                      <w:szCs w:val="21"/>
                    </w:rPr>
                    <w:t>（有效水深</w:t>
                  </w:r>
                  <w:r>
                    <w:rPr>
                      <w:sz w:val="21"/>
                      <w:szCs w:val="21"/>
                    </w:rPr>
                    <w:t>3.0m</w:t>
                  </w:r>
                  <w:r>
                    <w:rPr>
                      <w:rFonts w:hint="eastAsia"/>
                      <w:sz w:val="21"/>
                      <w:szCs w:val="21"/>
                    </w:rPr>
                    <w:t>），中水回用设计规模为</w:t>
                  </w:r>
                  <w:r>
                    <w:rPr>
                      <w:sz w:val="21"/>
                      <w:szCs w:val="21"/>
                    </w:rPr>
                    <w:t>3000m</w:t>
                  </w:r>
                  <w:r>
                    <w:rPr>
                      <w:sz w:val="21"/>
                      <w:szCs w:val="21"/>
                      <w:vertAlign w:val="superscript"/>
                    </w:rPr>
                    <w:t>3</w:t>
                  </w:r>
                  <w:r>
                    <w:rPr>
                      <w:sz w:val="21"/>
                      <w:szCs w:val="21"/>
                    </w:rPr>
                    <w:t>/d</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中水泵房</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本工程设中水泵房</w:t>
                  </w:r>
                  <w:r>
                    <w:rPr>
                      <w:sz w:val="21"/>
                      <w:szCs w:val="21"/>
                    </w:rPr>
                    <w:t>1</w:t>
                  </w:r>
                  <w:r>
                    <w:rPr>
                      <w:rFonts w:hint="eastAsia"/>
                      <w:sz w:val="21"/>
                      <w:szCs w:val="21"/>
                    </w:rPr>
                    <w:t>座，用于对处理后出水进行加压后输送，配水泵房建筑轴线尺寸为</w:t>
                  </w:r>
                  <w:r>
                    <w:rPr>
                      <w:sz w:val="21"/>
                      <w:szCs w:val="21"/>
                    </w:rPr>
                    <w:t>L</w:t>
                  </w:r>
                  <w:r>
                    <w:rPr>
                      <w:rFonts w:hint="eastAsia"/>
                      <w:sz w:val="21"/>
                      <w:szCs w:val="21"/>
                    </w:rPr>
                    <w:t>×</w:t>
                  </w:r>
                  <w:r>
                    <w:rPr>
                      <w:sz w:val="21"/>
                      <w:szCs w:val="21"/>
                    </w:rPr>
                    <w:t>W</w:t>
                  </w:r>
                  <w:r>
                    <w:rPr>
                      <w:rFonts w:hint="eastAsia"/>
                      <w:sz w:val="21"/>
                      <w:szCs w:val="21"/>
                    </w:rPr>
                    <w:t>×</w:t>
                  </w:r>
                  <w:r>
                    <w:rPr>
                      <w:sz w:val="21"/>
                      <w:szCs w:val="21"/>
                    </w:rPr>
                    <w:t>H</w:t>
                  </w:r>
                  <w:r>
                    <w:rPr>
                      <w:rFonts w:hint="eastAsia"/>
                      <w:sz w:val="21"/>
                      <w:szCs w:val="21"/>
                    </w:rPr>
                    <w:t>＝</w:t>
                  </w:r>
                  <w:r>
                    <w:rPr>
                      <w:sz w:val="21"/>
                      <w:szCs w:val="21"/>
                    </w:rPr>
                    <w:t>12.5</w:t>
                  </w:r>
                  <w:r>
                    <w:rPr>
                      <w:rFonts w:hint="eastAsia"/>
                      <w:sz w:val="21"/>
                      <w:szCs w:val="21"/>
                    </w:rPr>
                    <w:t>×</w:t>
                  </w:r>
                  <w:r>
                    <w:rPr>
                      <w:sz w:val="21"/>
                      <w:szCs w:val="21"/>
                    </w:rPr>
                    <w:t>4.0</w:t>
                  </w:r>
                  <w:r>
                    <w:rPr>
                      <w:rFonts w:hint="eastAsia"/>
                      <w:sz w:val="21"/>
                      <w:szCs w:val="21"/>
                    </w:rPr>
                    <w:t>×</w:t>
                  </w:r>
                  <w:r>
                    <w:rPr>
                      <w:sz w:val="21"/>
                      <w:szCs w:val="21"/>
                    </w:rPr>
                    <w:t>6.5m</w:t>
                  </w:r>
                  <w:r>
                    <w:rPr>
                      <w:rFonts w:hint="eastAsia"/>
                      <w:sz w:val="21"/>
                      <w:szCs w:val="21"/>
                    </w:rPr>
                    <w:t>。中水泵房配</w:t>
                  </w:r>
                  <w:r>
                    <w:rPr>
                      <w:sz w:val="21"/>
                      <w:szCs w:val="21"/>
                    </w:rPr>
                    <w:t>62.5m</w:t>
                  </w:r>
                  <w:r>
                    <w:rPr>
                      <w:sz w:val="21"/>
                      <w:szCs w:val="21"/>
                      <w:vertAlign w:val="superscript"/>
                    </w:rPr>
                    <w:t>3</w:t>
                  </w:r>
                  <w:r>
                    <w:rPr>
                      <w:sz w:val="21"/>
                      <w:szCs w:val="21"/>
                    </w:rPr>
                    <w:t>/h</w:t>
                  </w:r>
                  <w:r>
                    <w:rPr>
                      <w:rFonts w:hint="eastAsia"/>
                      <w:sz w:val="21"/>
                      <w:szCs w:val="21"/>
                    </w:rPr>
                    <w:t>水泵</w:t>
                  </w:r>
                  <w:r>
                    <w:rPr>
                      <w:sz w:val="21"/>
                      <w:szCs w:val="21"/>
                    </w:rPr>
                    <w:t>2</w:t>
                  </w:r>
                  <w:r>
                    <w:rPr>
                      <w:rFonts w:hint="eastAsia"/>
                      <w:sz w:val="21"/>
                      <w:szCs w:val="21"/>
                    </w:rPr>
                    <w:t>台，一用一备。</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中水管网预留阀门井</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设中水管网预留阀门井</w:t>
                  </w:r>
                  <w:r>
                    <w:rPr>
                      <w:sz w:val="21"/>
                      <w:szCs w:val="21"/>
                    </w:rPr>
                    <w:t>1</w:t>
                  </w:r>
                  <w:r>
                    <w:rPr>
                      <w:rFonts w:hint="eastAsia"/>
                      <w:sz w:val="21"/>
                      <w:szCs w:val="21"/>
                    </w:rPr>
                    <w:t>座，用于后期中水管网建设完成后衔接，阀门井的结构尺寸为</w:t>
                  </w:r>
                  <w:r>
                    <w:rPr>
                      <w:sz w:val="21"/>
                      <w:szCs w:val="21"/>
                    </w:rPr>
                    <w:t>L</w:t>
                  </w:r>
                  <w:r>
                    <w:rPr>
                      <w:rFonts w:hint="eastAsia"/>
                      <w:sz w:val="21"/>
                      <w:szCs w:val="21"/>
                    </w:rPr>
                    <w:t>×</w:t>
                  </w:r>
                  <w:r>
                    <w:rPr>
                      <w:sz w:val="21"/>
                      <w:szCs w:val="21"/>
                    </w:rPr>
                    <w:t>W</w:t>
                  </w:r>
                  <w:r>
                    <w:rPr>
                      <w:rFonts w:hint="eastAsia"/>
                      <w:sz w:val="21"/>
                      <w:szCs w:val="21"/>
                    </w:rPr>
                    <w:t>×</w:t>
                  </w:r>
                  <w:r>
                    <w:rPr>
                      <w:sz w:val="21"/>
                      <w:szCs w:val="21"/>
                    </w:rPr>
                    <w:t>H</w:t>
                  </w:r>
                  <w:r>
                    <w:rPr>
                      <w:rFonts w:hint="eastAsia"/>
                      <w:sz w:val="21"/>
                      <w:szCs w:val="21"/>
                    </w:rPr>
                    <w:t>＝</w:t>
                  </w:r>
                  <w:r>
                    <w:rPr>
                      <w:sz w:val="21"/>
                      <w:szCs w:val="21"/>
                    </w:rPr>
                    <w:t>3.0</w:t>
                  </w:r>
                  <w:r>
                    <w:rPr>
                      <w:rFonts w:hint="eastAsia"/>
                      <w:sz w:val="21"/>
                      <w:szCs w:val="21"/>
                    </w:rPr>
                    <w:t>×</w:t>
                  </w:r>
                  <w:r>
                    <w:rPr>
                      <w:sz w:val="21"/>
                      <w:szCs w:val="21"/>
                    </w:rPr>
                    <w:t>3.0</w:t>
                  </w:r>
                  <w:r>
                    <w:rPr>
                      <w:rFonts w:hint="eastAsia"/>
                      <w:sz w:val="21"/>
                      <w:szCs w:val="21"/>
                    </w:rPr>
                    <w:t>×</w:t>
                  </w:r>
                  <w:r>
                    <w:rPr>
                      <w:sz w:val="21"/>
                      <w:szCs w:val="21"/>
                    </w:rPr>
                    <w:t>1.8m</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巴氏计量槽</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新建</w:t>
                  </w:r>
                  <w:r>
                    <w:rPr>
                      <w:sz w:val="21"/>
                      <w:szCs w:val="21"/>
                    </w:rPr>
                    <w:t>1</w:t>
                  </w:r>
                  <w:r>
                    <w:rPr>
                      <w:rFonts w:hint="eastAsia"/>
                      <w:sz w:val="21"/>
                      <w:szCs w:val="21"/>
                    </w:rPr>
                    <w:t>座巴氏计量槽，尺寸为</w:t>
                  </w:r>
                  <w:r>
                    <w:rPr>
                      <w:sz w:val="21"/>
                      <w:szCs w:val="21"/>
                    </w:rPr>
                    <w:t>3.0</w:t>
                  </w:r>
                  <w:r>
                    <w:rPr>
                      <w:rFonts w:hint="eastAsia"/>
                      <w:sz w:val="21"/>
                      <w:szCs w:val="21"/>
                    </w:rPr>
                    <w:t>×</w:t>
                  </w:r>
                  <w:r>
                    <w:rPr>
                      <w:sz w:val="21"/>
                      <w:szCs w:val="21"/>
                    </w:rPr>
                    <w:t>3.0</w:t>
                  </w:r>
                  <w:r>
                    <w:rPr>
                      <w:rFonts w:hint="eastAsia"/>
                      <w:sz w:val="21"/>
                      <w:szCs w:val="21"/>
                    </w:rPr>
                    <w:t>×</w:t>
                  </w:r>
                  <w:r>
                    <w:rPr>
                      <w:sz w:val="21"/>
                      <w:szCs w:val="21"/>
                    </w:rPr>
                    <w:t>1.8m</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restart"/>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r>
                    <w:rPr>
                      <w:rFonts w:hint="eastAsia"/>
                      <w:sz w:val="21"/>
                      <w:szCs w:val="21"/>
                    </w:rPr>
                    <w:t>辅助工程</w:t>
                  </w: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厂区新建道路及甬道</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新建厂区</w:t>
                  </w:r>
                  <w:r>
                    <w:rPr>
                      <w:sz w:val="21"/>
                      <w:szCs w:val="21"/>
                    </w:rPr>
                    <w:t>B=3m</w:t>
                  </w:r>
                  <w:r>
                    <w:rPr>
                      <w:rFonts w:hint="eastAsia"/>
                      <w:sz w:val="21"/>
                      <w:szCs w:val="21"/>
                    </w:rPr>
                    <w:t>道路</w:t>
                  </w:r>
                  <w:r>
                    <w:rPr>
                      <w:sz w:val="21"/>
                      <w:szCs w:val="21"/>
                    </w:rPr>
                    <w:t>45m</w:t>
                  </w:r>
                  <w:r>
                    <w:rPr>
                      <w:rFonts w:hint="eastAsia"/>
                      <w:sz w:val="21"/>
                      <w:szCs w:val="21"/>
                    </w:rPr>
                    <w:t>，新建</w:t>
                  </w:r>
                  <w:r>
                    <w:rPr>
                      <w:sz w:val="21"/>
                      <w:szCs w:val="21"/>
                    </w:rPr>
                    <w:t>B=1m</w:t>
                  </w:r>
                  <w:r>
                    <w:rPr>
                      <w:rFonts w:hint="eastAsia"/>
                      <w:sz w:val="21"/>
                      <w:szCs w:val="21"/>
                    </w:rPr>
                    <w:t>甬道</w:t>
                  </w:r>
                  <w:r>
                    <w:rPr>
                      <w:sz w:val="21"/>
                      <w:szCs w:val="21"/>
                    </w:rPr>
                    <w:t>50m</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机修间、车库、仓库</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rFonts w:hint="eastAsia"/>
                      <w:sz w:val="21"/>
                      <w:szCs w:val="21"/>
                    </w:rPr>
                    <w:t>依托现有</w:t>
                  </w:r>
                  <w:r>
                    <w:rPr>
                      <w:sz w:val="21"/>
                      <w:szCs w:val="21"/>
                    </w:rPr>
                    <w:t>L</w:t>
                  </w:r>
                  <w:r>
                    <w:rPr>
                      <w:rFonts w:hint="eastAsia"/>
                      <w:sz w:val="21"/>
                      <w:szCs w:val="21"/>
                    </w:rPr>
                    <w:t>×</w:t>
                  </w:r>
                  <w:r>
                    <w:rPr>
                      <w:sz w:val="21"/>
                      <w:szCs w:val="21"/>
                    </w:rPr>
                    <w:t>W</w:t>
                  </w:r>
                  <w:r>
                    <w:rPr>
                      <w:rFonts w:hint="eastAsia"/>
                      <w:sz w:val="21"/>
                      <w:szCs w:val="21"/>
                    </w:rPr>
                    <w:t>×</w:t>
                  </w:r>
                  <w:r>
                    <w:rPr>
                      <w:sz w:val="21"/>
                      <w:szCs w:val="21"/>
                    </w:rPr>
                    <w:t>H</w:t>
                  </w:r>
                  <w:r>
                    <w:rPr>
                      <w:rFonts w:hint="eastAsia"/>
                      <w:sz w:val="21"/>
                      <w:szCs w:val="21"/>
                    </w:rPr>
                    <w:t>＝</w:t>
                  </w:r>
                  <w:r>
                    <w:rPr>
                      <w:sz w:val="21"/>
                      <w:szCs w:val="21"/>
                    </w:rPr>
                    <w:t>28.8</w:t>
                  </w:r>
                  <w:r>
                    <w:rPr>
                      <w:rFonts w:hint="eastAsia"/>
                      <w:sz w:val="21"/>
                      <w:szCs w:val="21"/>
                    </w:rPr>
                    <w:t>×</w:t>
                  </w:r>
                  <w:r>
                    <w:rPr>
                      <w:sz w:val="21"/>
                      <w:szCs w:val="21"/>
                    </w:rPr>
                    <w:t>7.2</w:t>
                  </w:r>
                  <w:r>
                    <w:rPr>
                      <w:rFonts w:hint="eastAsia"/>
                      <w:sz w:val="21"/>
                      <w:szCs w:val="21"/>
                    </w:rPr>
                    <w:t>×</w:t>
                  </w:r>
                  <w:r>
                    <w:rPr>
                      <w:sz w:val="21"/>
                      <w:szCs w:val="21"/>
                    </w:rPr>
                    <w:t>4.2m</w:t>
                  </w:r>
                  <w:r>
                    <w:rPr>
                      <w:rFonts w:hint="eastAsia"/>
                      <w:sz w:val="21"/>
                      <w:szCs w:val="21"/>
                    </w:rPr>
                    <w:t>，建筑面积</w:t>
                  </w:r>
                  <w:r>
                    <w:rPr>
                      <w:sz w:val="21"/>
                      <w:szCs w:val="21"/>
                    </w:rPr>
                    <w:t>207m</w:t>
                  </w:r>
                  <w:r>
                    <w:rPr>
                      <w:sz w:val="21"/>
                      <w:szCs w:val="21"/>
                      <w:vertAlign w:val="superscript"/>
                    </w:rPr>
                    <w:t>2</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变配电所</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新增</w:t>
                  </w:r>
                  <w:r>
                    <w:rPr>
                      <w:sz w:val="21"/>
                      <w:szCs w:val="21"/>
                    </w:rPr>
                    <w:t>1</w:t>
                  </w:r>
                  <w:r>
                    <w:rPr>
                      <w:rFonts w:hint="eastAsia"/>
                      <w:sz w:val="21"/>
                      <w:szCs w:val="21"/>
                    </w:rPr>
                    <w:t>台备用发电机</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rFonts w:hint="eastAsia"/>
                      <w:sz w:val="21"/>
                      <w:szCs w:val="21"/>
                    </w:rPr>
                    <w:t>厂区现有变配电所</w:t>
                  </w:r>
                  <w:r>
                    <w:rPr>
                      <w:sz w:val="21"/>
                      <w:szCs w:val="21"/>
                    </w:rPr>
                    <w:t>1</w:t>
                  </w:r>
                  <w:r>
                    <w:rPr>
                      <w:rFonts w:hint="eastAsia"/>
                      <w:sz w:val="21"/>
                      <w:szCs w:val="21"/>
                    </w:rPr>
                    <w:t>座，建筑面积</w:t>
                  </w:r>
                  <w:r>
                    <w:rPr>
                      <w:sz w:val="21"/>
                      <w:szCs w:val="21"/>
                    </w:rPr>
                    <w:t>265m</w:t>
                  </w:r>
                  <w:r>
                    <w:rPr>
                      <w:sz w:val="21"/>
                      <w:szCs w:val="21"/>
                      <w:vertAlign w:val="superscript"/>
                    </w:rPr>
                    <w:t>2</w:t>
                  </w:r>
                  <w:r>
                    <w:rPr>
                      <w:rFonts w:hint="eastAsia"/>
                      <w:sz w:val="21"/>
                      <w:szCs w:val="21"/>
                    </w:rPr>
                    <w:t>。对现状</w:t>
                  </w:r>
                  <w:r>
                    <w:rPr>
                      <w:sz w:val="21"/>
                      <w:szCs w:val="21"/>
                    </w:rPr>
                    <w:t>10kV</w:t>
                  </w:r>
                  <w:r>
                    <w:rPr>
                      <w:rFonts w:hint="eastAsia"/>
                      <w:sz w:val="21"/>
                      <w:szCs w:val="21"/>
                    </w:rPr>
                    <w:t>系统进行升级改造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发电机房</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新建柴油发电机房</w:t>
                  </w:r>
                  <w:r>
                    <w:rPr>
                      <w:sz w:val="21"/>
                      <w:szCs w:val="21"/>
                    </w:rPr>
                    <w:t>1</w:t>
                  </w:r>
                  <w:r>
                    <w:rPr>
                      <w:rFonts w:hint="eastAsia"/>
                      <w:sz w:val="21"/>
                      <w:szCs w:val="21"/>
                    </w:rPr>
                    <w:t>座。建筑面积</w:t>
                  </w:r>
                  <w:r>
                    <w:rPr>
                      <w:sz w:val="21"/>
                      <w:szCs w:val="21"/>
                    </w:rPr>
                    <w:t>69.95 m</w:t>
                  </w:r>
                  <w:r>
                    <w:rPr>
                      <w:sz w:val="21"/>
                      <w:szCs w:val="21"/>
                      <w:vertAlign w:val="superscript"/>
                    </w:rPr>
                    <w:t>2</w:t>
                  </w:r>
                  <w:r>
                    <w:rPr>
                      <w:rFonts w:hint="eastAsia"/>
                      <w:sz w:val="21"/>
                      <w:szCs w:val="21"/>
                    </w:rPr>
                    <w:t>，设置</w:t>
                  </w:r>
                  <w:r>
                    <w:rPr>
                      <w:sz w:val="21"/>
                      <w:szCs w:val="21"/>
                    </w:rPr>
                    <w:t>1</w:t>
                  </w:r>
                  <w:r>
                    <w:rPr>
                      <w:rFonts w:hint="eastAsia"/>
                      <w:sz w:val="21"/>
                      <w:szCs w:val="21"/>
                    </w:rPr>
                    <w:t>台连续功率</w:t>
                  </w:r>
                  <w:r>
                    <w:rPr>
                      <w:sz w:val="21"/>
                      <w:szCs w:val="21"/>
                    </w:rPr>
                    <w:t>500KW/</w:t>
                  </w:r>
                  <w:r>
                    <w:rPr>
                      <w:rFonts w:hint="eastAsia"/>
                      <w:sz w:val="21"/>
                      <w:szCs w:val="21"/>
                    </w:rPr>
                    <w:t>备用功率</w:t>
                  </w:r>
                  <w:r>
                    <w:rPr>
                      <w:sz w:val="21"/>
                      <w:szCs w:val="21"/>
                    </w:rPr>
                    <w:t xml:space="preserve">563KW </w:t>
                  </w:r>
                  <w:r>
                    <w:rPr>
                      <w:rFonts w:hint="eastAsia"/>
                      <w:sz w:val="21"/>
                      <w:szCs w:val="21"/>
                    </w:rPr>
                    <w:t>柴油发电机</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在线监控室</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rFonts w:hint="eastAsia"/>
                      <w:sz w:val="21"/>
                      <w:szCs w:val="21"/>
                    </w:rPr>
                    <w:t>依托现有，建筑面积</w:t>
                  </w:r>
                  <w:r>
                    <w:rPr>
                      <w:sz w:val="21"/>
                      <w:szCs w:val="21"/>
                    </w:rPr>
                    <w:t>25m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restart"/>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r>
                    <w:rPr>
                      <w:rFonts w:hint="eastAsia"/>
                      <w:sz w:val="21"/>
                      <w:szCs w:val="21"/>
                    </w:rPr>
                    <w:t>公用工程</w:t>
                  </w: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综合办公楼</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新建一座综合办公楼，结构尺寸为</w:t>
                  </w:r>
                  <w:r>
                    <w:rPr>
                      <w:sz w:val="21"/>
                      <w:szCs w:val="21"/>
                    </w:rPr>
                    <w:t>30.0m</w:t>
                  </w:r>
                  <w:r>
                    <w:rPr>
                      <w:rFonts w:hint="eastAsia"/>
                      <w:sz w:val="21"/>
                      <w:szCs w:val="21"/>
                    </w:rPr>
                    <w:t>×</w:t>
                  </w:r>
                  <w:r>
                    <w:rPr>
                      <w:sz w:val="21"/>
                      <w:szCs w:val="21"/>
                    </w:rPr>
                    <w:t>16.0m</w:t>
                  </w:r>
                  <w:r>
                    <w:rPr>
                      <w:rFonts w:hint="eastAsia"/>
                      <w:sz w:val="21"/>
                      <w:szCs w:val="21"/>
                    </w:rPr>
                    <w:t>，综合办公楼为复式三层，单层建筑面积为</w:t>
                  </w:r>
                  <w:r>
                    <w:rPr>
                      <w:sz w:val="21"/>
                      <w:szCs w:val="21"/>
                    </w:rPr>
                    <w:t>480m</w:t>
                  </w:r>
                  <w:r>
                    <w:rPr>
                      <w:sz w:val="21"/>
                      <w:szCs w:val="21"/>
                      <w:vertAlign w:val="superscript"/>
                    </w:rPr>
                    <w:t>2</w:t>
                  </w:r>
                  <w:r>
                    <w:rPr>
                      <w:rFonts w:hint="eastAsia"/>
                      <w:sz w:val="21"/>
                      <w:szCs w:val="21"/>
                    </w:rPr>
                    <w:t>，总建筑面积为</w:t>
                  </w:r>
                  <w:r>
                    <w:rPr>
                      <w:sz w:val="21"/>
                      <w:szCs w:val="21"/>
                    </w:rPr>
                    <w:t>1440m</w:t>
                  </w:r>
                  <w:r>
                    <w:rPr>
                      <w:sz w:val="21"/>
                      <w:szCs w:val="21"/>
                      <w:vertAlign w:val="superscript"/>
                    </w:rPr>
                    <w:t>2</w:t>
                  </w:r>
                  <w:r>
                    <w:rPr>
                      <w:rFonts w:hint="eastAsia"/>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休息室</w:t>
                  </w:r>
                </w:p>
              </w:tc>
              <w:tc>
                <w:tcPr>
                  <w:tcW w:w="4314"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ascii="Times New Roman" w:hAnsi="Times New Roman"/>
                      <w:szCs w:val="21"/>
                    </w:rPr>
                    <w:t>拟将目前现在的综合办公楼改造为休息室，原综合办公楼为</w:t>
                  </w:r>
                  <w:r>
                    <w:rPr>
                      <w:rFonts w:ascii="Times New Roman" w:hAnsi="Times New Roman"/>
                      <w:szCs w:val="21"/>
                    </w:rPr>
                    <w:t>2</w:t>
                  </w:r>
                  <w:r>
                    <w:rPr>
                      <w:rFonts w:hint="eastAsia" w:ascii="Times New Roman" w:hAnsi="Times New Roman"/>
                      <w:szCs w:val="21"/>
                    </w:rPr>
                    <w:t>层，建筑结构尺寸为</w:t>
                  </w:r>
                  <w:r>
                    <w:rPr>
                      <w:rFonts w:ascii="Times New Roman" w:hAnsi="Times New Roman"/>
                      <w:szCs w:val="21"/>
                    </w:rPr>
                    <w:t>L×W×H</w:t>
                  </w:r>
                  <w:r>
                    <w:rPr>
                      <w:rFonts w:hint="eastAsia" w:ascii="Times New Roman" w:hAnsi="Times New Roman"/>
                      <w:szCs w:val="21"/>
                    </w:rPr>
                    <w:t>＝</w:t>
                  </w:r>
                  <w:r>
                    <w:rPr>
                      <w:rFonts w:ascii="Times New Roman" w:hAnsi="Times New Roman"/>
                      <w:szCs w:val="21"/>
                    </w:rPr>
                    <w:t>28.8×12×7.5m</w:t>
                  </w:r>
                  <w:r>
                    <w:rPr>
                      <w:rFonts w:hint="eastAsia" w:ascii="Times New Roman" w:hAnsi="Times New Roman"/>
                      <w:szCs w:val="21"/>
                    </w:rPr>
                    <w:t>，总建筑面积为</w:t>
                  </w:r>
                  <w:r>
                    <w:rPr>
                      <w:rFonts w:ascii="Times New Roman" w:hAnsi="Times New Roman"/>
                      <w:szCs w:val="21"/>
                    </w:rPr>
                    <w:t>691.2m</w:t>
                  </w:r>
                  <w:r>
                    <w:rPr>
                      <w:rFonts w:ascii="Times New Roman" w:hAnsi="Times New Roman"/>
                      <w:szCs w:val="21"/>
                      <w:vertAlign w:val="superscript"/>
                    </w:rPr>
                    <w:t>2</w:t>
                  </w:r>
                  <w:r>
                    <w:rPr>
                      <w:rFonts w:hint="eastAsia" w:ascii="Times New Roman" w:hAnsi="Times New Roman"/>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给排水</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本项目不新增工作人员，不新增用水。</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6" w:hRule="atLeast"/>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供电</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rPr>
                      <w:sz w:val="21"/>
                      <w:szCs w:val="21"/>
                    </w:rPr>
                  </w:pPr>
                  <w:r>
                    <w:rPr>
                      <w:rFonts w:hint="eastAsia"/>
                      <w:sz w:val="21"/>
                      <w:szCs w:val="21"/>
                    </w:rPr>
                    <w:t>本次新增一路</w:t>
                  </w:r>
                  <w:r>
                    <w:rPr>
                      <w:sz w:val="21"/>
                      <w:szCs w:val="21"/>
                    </w:rPr>
                    <w:t>10kV</w:t>
                  </w:r>
                  <w:r>
                    <w:rPr>
                      <w:rFonts w:hint="eastAsia"/>
                      <w:sz w:val="21"/>
                      <w:szCs w:val="21"/>
                    </w:rPr>
                    <w:t>电源。新增一台</w:t>
                  </w:r>
                  <w:r>
                    <w:rPr>
                      <w:sz w:val="21"/>
                      <w:szCs w:val="21"/>
                    </w:rPr>
                    <w:t>500KW</w:t>
                  </w:r>
                  <w:r>
                    <w:rPr>
                      <w:rFonts w:hint="eastAsia"/>
                      <w:sz w:val="21"/>
                      <w:szCs w:val="21"/>
                    </w:rPr>
                    <w:t>备用发电机组。</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rFonts w:hint="eastAsia"/>
                      <w:sz w:val="21"/>
                      <w:szCs w:val="21"/>
                    </w:rPr>
                    <w:t>依托厂区原有一路高压</w:t>
                  </w:r>
                  <w:r>
                    <w:rPr>
                      <w:sz w:val="21"/>
                      <w:szCs w:val="21"/>
                    </w:rPr>
                    <w:t>10kV</w:t>
                  </w:r>
                  <w:r>
                    <w:rPr>
                      <w:rFonts w:hint="eastAsia"/>
                      <w:sz w:val="21"/>
                      <w:szCs w:val="21"/>
                    </w:rPr>
                    <w:t>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restart"/>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r>
                    <w:rPr>
                      <w:rFonts w:hint="eastAsia"/>
                      <w:sz w:val="21"/>
                      <w:szCs w:val="21"/>
                    </w:rPr>
                    <w:t>环保工程</w:t>
                  </w: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废气治理</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rPr>
                      <w:sz w:val="21"/>
                      <w:szCs w:val="21"/>
                    </w:rPr>
                  </w:pPr>
                  <w:r>
                    <w:rPr>
                      <w:rFonts w:hint="eastAsia"/>
                      <w:sz w:val="21"/>
                      <w:szCs w:val="21"/>
                    </w:rPr>
                    <w:t>新增</w:t>
                  </w:r>
                  <w:r>
                    <w:rPr>
                      <w:sz w:val="21"/>
                      <w:szCs w:val="21"/>
                    </w:rPr>
                    <w:t>2</w:t>
                  </w:r>
                  <w:r>
                    <w:rPr>
                      <w:rFonts w:hint="eastAsia"/>
                      <w:sz w:val="21"/>
                      <w:szCs w:val="21"/>
                    </w:rPr>
                    <w:t>套生物除臭设备及配套的臭气收集系统，</w:t>
                  </w:r>
                  <w:r>
                    <w:rPr>
                      <w:sz w:val="21"/>
                      <w:szCs w:val="21"/>
                    </w:rPr>
                    <w:t>1</w:t>
                  </w:r>
                  <w:r>
                    <w:rPr>
                      <w:rFonts w:hint="eastAsia"/>
                      <w:sz w:val="21"/>
                      <w:szCs w:val="21"/>
                    </w:rPr>
                    <w:t>套用于收集一期粗</w:t>
                  </w:r>
                  <w:r>
                    <w:rPr>
                      <w:rFonts w:hint="eastAsia"/>
                      <w:bCs/>
                      <w:sz w:val="21"/>
                      <w:szCs w:val="21"/>
                    </w:rPr>
                    <w:t>格栅、细格栅、</w:t>
                  </w:r>
                  <w:r>
                    <w:rPr>
                      <w:rFonts w:hint="eastAsia"/>
                      <w:sz w:val="21"/>
                      <w:szCs w:val="21"/>
                    </w:rPr>
                    <w:t>沉砂池、</w:t>
                  </w:r>
                  <w:r>
                    <w:rPr>
                      <w:sz w:val="21"/>
                      <w:szCs w:val="21"/>
                    </w:rPr>
                    <w:t>AAO</w:t>
                  </w:r>
                  <w:r>
                    <w:rPr>
                      <w:rFonts w:hint="eastAsia"/>
                      <w:sz w:val="21"/>
                      <w:szCs w:val="21"/>
                    </w:rPr>
                    <w:t>产生的臭气，废气排放量</w:t>
                  </w:r>
                  <w:r>
                    <w:rPr>
                      <w:sz w:val="21"/>
                      <w:szCs w:val="21"/>
                    </w:rPr>
                    <w:t>6000m</w:t>
                  </w:r>
                  <w:r>
                    <w:rPr>
                      <w:sz w:val="21"/>
                      <w:szCs w:val="21"/>
                      <w:vertAlign w:val="superscript"/>
                    </w:rPr>
                    <w:t>3</w:t>
                  </w:r>
                  <w:r>
                    <w:rPr>
                      <w:sz w:val="21"/>
                      <w:szCs w:val="21"/>
                    </w:rPr>
                    <w:t>/h</w:t>
                  </w:r>
                  <w:r>
                    <w:rPr>
                      <w:rFonts w:hint="eastAsia"/>
                      <w:sz w:val="21"/>
                      <w:szCs w:val="21"/>
                    </w:rPr>
                    <w:t>，设</w:t>
                  </w:r>
                  <w:r>
                    <w:rPr>
                      <w:sz w:val="21"/>
                      <w:szCs w:val="21"/>
                    </w:rPr>
                    <w:t>1</w:t>
                  </w:r>
                  <w:r>
                    <w:rPr>
                      <w:rFonts w:hint="eastAsia"/>
                      <w:sz w:val="21"/>
                      <w:szCs w:val="21"/>
                    </w:rPr>
                    <w:t>根高</w:t>
                  </w:r>
                  <w:r>
                    <w:rPr>
                      <w:sz w:val="21"/>
                      <w:szCs w:val="21"/>
                    </w:rPr>
                    <w:t>15m</w:t>
                  </w:r>
                  <w:r>
                    <w:rPr>
                      <w:rFonts w:hint="eastAsia"/>
                      <w:sz w:val="21"/>
                      <w:szCs w:val="21"/>
                    </w:rPr>
                    <w:t>、内径</w:t>
                  </w:r>
                  <w:r>
                    <w:rPr>
                      <w:sz w:val="21"/>
                      <w:szCs w:val="21"/>
                    </w:rPr>
                    <w:t>0.5m</w:t>
                  </w:r>
                  <w:r>
                    <w:rPr>
                      <w:rFonts w:hint="eastAsia"/>
                      <w:sz w:val="21"/>
                      <w:szCs w:val="21"/>
                    </w:rPr>
                    <w:t>的排气筒；</w:t>
                  </w:r>
                  <w:r>
                    <w:rPr>
                      <w:sz w:val="21"/>
                      <w:szCs w:val="21"/>
                    </w:rPr>
                    <w:t>1</w:t>
                  </w:r>
                  <w:r>
                    <w:rPr>
                      <w:rFonts w:hint="eastAsia"/>
                      <w:sz w:val="21"/>
                      <w:szCs w:val="21"/>
                    </w:rPr>
                    <w:t>套用于收集二期工程细</w:t>
                  </w:r>
                  <w:r>
                    <w:rPr>
                      <w:rFonts w:hint="eastAsia"/>
                      <w:bCs/>
                      <w:sz w:val="21"/>
                      <w:szCs w:val="21"/>
                    </w:rPr>
                    <w:t>格栅、</w:t>
                  </w:r>
                  <w:r>
                    <w:rPr>
                      <w:rFonts w:hint="eastAsia"/>
                      <w:sz w:val="21"/>
                      <w:szCs w:val="21"/>
                    </w:rPr>
                    <w:t>沉砂池、</w:t>
                  </w:r>
                  <w:r>
                    <w:rPr>
                      <w:sz w:val="21"/>
                      <w:szCs w:val="21"/>
                    </w:rPr>
                    <w:t>AAO</w:t>
                  </w:r>
                  <w:r>
                    <w:rPr>
                      <w:rFonts w:hint="eastAsia"/>
                      <w:sz w:val="21"/>
                      <w:szCs w:val="21"/>
                    </w:rPr>
                    <w:t>、贮泥池及污泥浓缩脱水间构筑物产生的臭气，废气排放量</w:t>
                  </w:r>
                  <w:r>
                    <w:rPr>
                      <w:sz w:val="21"/>
                      <w:szCs w:val="21"/>
                    </w:rPr>
                    <w:t>60000m</w:t>
                  </w:r>
                  <w:r>
                    <w:rPr>
                      <w:sz w:val="21"/>
                      <w:szCs w:val="21"/>
                      <w:vertAlign w:val="superscript"/>
                    </w:rPr>
                    <w:t>3</w:t>
                  </w:r>
                  <w:r>
                    <w:rPr>
                      <w:sz w:val="21"/>
                      <w:szCs w:val="21"/>
                    </w:rPr>
                    <w:t>/h</w:t>
                  </w:r>
                  <w:r>
                    <w:rPr>
                      <w:rFonts w:hint="eastAsia"/>
                      <w:sz w:val="21"/>
                      <w:szCs w:val="21"/>
                    </w:rPr>
                    <w:t>，设</w:t>
                  </w:r>
                  <w:r>
                    <w:rPr>
                      <w:sz w:val="21"/>
                      <w:szCs w:val="21"/>
                    </w:rPr>
                    <w:t>1</w:t>
                  </w:r>
                  <w:r>
                    <w:rPr>
                      <w:rFonts w:hint="eastAsia"/>
                      <w:sz w:val="21"/>
                      <w:szCs w:val="21"/>
                    </w:rPr>
                    <w:t>根高</w:t>
                  </w:r>
                  <w:r>
                    <w:rPr>
                      <w:sz w:val="21"/>
                      <w:szCs w:val="21"/>
                    </w:rPr>
                    <w:t>15m</w:t>
                  </w:r>
                  <w:r>
                    <w:rPr>
                      <w:rFonts w:hint="eastAsia"/>
                      <w:sz w:val="21"/>
                      <w:szCs w:val="21"/>
                    </w:rPr>
                    <w:t>、内径</w:t>
                  </w:r>
                  <w:r>
                    <w:rPr>
                      <w:sz w:val="21"/>
                      <w:szCs w:val="21"/>
                    </w:rPr>
                    <w:t>0.5m</w:t>
                  </w:r>
                  <w:r>
                    <w:rPr>
                      <w:rFonts w:hint="eastAsia"/>
                      <w:sz w:val="21"/>
                      <w:szCs w:val="21"/>
                    </w:rPr>
                    <w:t>的排气筒。</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废水治理</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本项目不新增工作人员，不新增废水。</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噪声防治</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rPr>
                      <w:sz w:val="21"/>
                      <w:szCs w:val="21"/>
                    </w:rPr>
                  </w:pPr>
                  <w:r>
                    <w:rPr>
                      <w:sz w:val="21"/>
                      <w:szCs w:val="21"/>
                    </w:rPr>
                    <w:fldChar w:fldCharType="begin"/>
                  </w:r>
                  <w:r>
                    <w:rPr>
                      <w:sz w:val="21"/>
                      <w:szCs w:val="21"/>
                    </w:rPr>
                    <w:instrText xml:space="preserve"> = 1 \* GB3 </w:instrText>
                  </w:r>
                  <w:r>
                    <w:rPr>
                      <w:sz w:val="21"/>
                      <w:szCs w:val="21"/>
                    </w:rPr>
                    <w:fldChar w:fldCharType="separate"/>
                  </w:r>
                  <w:r>
                    <w:rPr>
                      <w:rFonts w:hint="eastAsia"/>
                      <w:sz w:val="21"/>
                      <w:szCs w:val="21"/>
                    </w:rPr>
                    <w:t>①</w:t>
                  </w:r>
                  <w:r>
                    <w:rPr>
                      <w:sz w:val="21"/>
                      <w:szCs w:val="21"/>
                    </w:rPr>
                    <w:fldChar w:fldCharType="end"/>
                  </w:r>
                  <w:r>
                    <w:rPr>
                      <w:rFonts w:hint="eastAsia"/>
                      <w:sz w:val="21"/>
                      <w:szCs w:val="21"/>
                    </w:rPr>
                    <w:t>优先采用先进的低噪声设备；</w:t>
                  </w:r>
                </w:p>
                <w:p>
                  <w:pPr>
                    <w:pStyle w:val="2"/>
                    <w:rPr>
                      <w:sz w:val="21"/>
                      <w:szCs w:val="21"/>
                    </w:rPr>
                  </w:pPr>
                  <w:r>
                    <w:rPr>
                      <w:sz w:val="21"/>
                      <w:szCs w:val="21"/>
                    </w:rPr>
                    <w:fldChar w:fldCharType="begin"/>
                  </w:r>
                  <w:r>
                    <w:rPr>
                      <w:sz w:val="21"/>
                      <w:szCs w:val="21"/>
                    </w:rPr>
                    <w:instrText xml:space="preserve"> = 2 \* GB3 </w:instrText>
                  </w:r>
                  <w:r>
                    <w:rPr>
                      <w:sz w:val="21"/>
                      <w:szCs w:val="21"/>
                    </w:rPr>
                    <w:fldChar w:fldCharType="separate"/>
                  </w:r>
                  <w:r>
                    <w:rPr>
                      <w:rFonts w:hint="eastAsia"/>
                      <w:sz w:val="21"/>
                      <w:szCs w:val="21"/>
                    </w:rPr>
                    <w:t>②</w:t>
                  </w:r>
                  <w:r>
                    <w:rPr>
                      <w:sz w:val="21"/>
                      <w:szCs w:val="21"/>
                    </w:rPr>
                    <w:fldChar w:fldCharType="end"/>
                  </w:r>
                  <w:r>
                    <w:rPr>
                      <w:rFonts w:hint="eastAsia"/>
                      <w:sz w:val="21"/>
                      <w:szCs w:val="21"/>
                    </w:rPr>
                    <w:t>厂房封闭隔声，将噪声级较大的设备布置在独立的封闭厂房内，同时采取设备基础减振等措施；</w:t>
                  </w:r>
                </w:p>
                <w:p>
                  <w:pPr>
                    <w:pStyle w:val="2"/>
                    <w:rPr>
                      <w:sz w:val="21"/>
                      <w:szCs w:val="21"/>
                    </w:rPr>
                  </w:pPr>
                  <w:r>
                    <w:rPr>
                      <w:sz w:val="21"/>
                      <w:szCs w:val="21"/>
                    </w:rPr>
                    <w:fldChar w:fldCharType="begin"/>
                  </w:r>
                  <w:r>
                    <w:rPr>
                      <w:sz w:val="21"/>
                      <w:szCs w:val="21"/>
                    </w:rPr>
                    <w:instrText xml:space="preserve"> = 3 \* GB3 </w:instrText>
                  </w:r>
                  <w:r>
                    <w:rPr>
                      <w:sz w:val="21"/>
                      <w:szCs w:val="21"/>
                    </w:rPr>
                    <w:fldChar w:fldCharType="separate"/>
                  </w:r>
                  <w:r>
                    <w:rPr>
                      <w:rFonts w:hint="eastAsia"/>
                      <w:sz w:val="21"/>
                      <w:szCs w:val="21"/>
                    </w:rPr>
                    <w:t>③</w:t>
                  </w:r>
                  <w:r>
                    <w:rPr>
                      <w:sz w:val="21"/>
                      <w:szCs w:val="21"/>
                    </w:rPr>
                    <w:fldChar w:fldCharType="end"/>
                  </w:r>
                  <w:r>
                    <w:rPr>
                      <w:rFonts w:hint="eastAsia"/>
                      <w:sz w:val="21"/>
                      <w:szCs w:val="21"/>
                    </w:rPr>
                    <w:t>厂区内进行合理绿化，能起到一定的吸声降噪作用。</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固废治理</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rPr>
                      <w:sz w:val="21"/>
                      <w:szCs w:val="21"/>
                    </w:rPr>
                  </w:pPr>
                  <w:r>
                    <w:rPr>
                      <w:rFonts w:hint="eastAsia"/>
                      <w:sz w:val="21"/>
                      <w:szCs w:val="21"/>
                    </w:rPr>
                    <w:t>①格栅栅渣、沉砂池沉砂和污泥脱水后的泥饼定期运至定安县垃圾填埋场；</w:t>
                  </w:r>
                </w:p>
                <w:p>
                  <w:pPr>
                    <w:pStyle w:val="2"/>
                    <w:rPr>
                      <w:sz w:val="21"/>
                      <w:szCs w:val="21"/>
                    </w:rPr>
                  </w:pPr>
                  <w:r>
                    <w:rPr>
                      <w:rFonts w:hint="eastAsia"/>
                      <w:sz w:val="21"/>
                      <w:szCs w:val="21"/>
                    </w:rPr>
                    <w:t>②</w:t>
                  </w:r>
                  <w:r>
                    <w:rPr>
                      <w:rFonts w:hint="eastAsia"/>
                      <w:bCs/>
                      <w:sz w:val="21"/>
                      <w:szCs w:val="21"/>
                    </w:rPr>
                    <w:t>实验室废液、废机油和废油漆桶</w:t>
                  </w:r>
                  <w:r>
                    <w:rPr>
                      <w:rFonts w:hint="eastAsia"/>
                      <w:sz w:val="21"/>
                      <w:szCs w:val="21"/>
                    </w:rPr>
                    <w:t>交由海南宝来工贸有限公司定期处置。</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排污口及在线监测</w:t>
                  </w:r>
                </w:p>
              </w:tc>
              <w:tc>
                <w:tcPr>
                  <w:tcW w:w="4314"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w:t>
                  </w:r>
                </w:p>
              </w:tc>
              <w:tc>
                <w:tcPr>
                  <w:tcW w:w="2862" w:type="dxa"/>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rFonts w:hint="eastAsia"/>
                      <w:sz w:val="21"/>
                      <w:szCs w:val="21"/>
                    </w:rPr>
                    <w:t>依托一期排污口和在线监测设施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Merge w:val="continue"/>
                  <w:tcBorders>
                    <w:top w:val="single" w:color="auto" w:sz="4" w:space="0"/>
                    <w:left w:val="single" w:color="auto" w:sz="12" w:space="0"/>
                    <w:bottom w:val="single" w:color="auto" w:sz="12" w:space="0"/>
                    <w:right w:val="single" w:color="auto" w:sz="4" w:space="0"/>
                  </w:tcBorders>
                  <w:vAlign w:val="center"/>
                </w:tcPr>
                <w:p>
                  <w:pPr>
                    <w:pStyle w:val="2"/>
                    <w:jc w:val="center"/>
                    <w:rPr>
                      <w:sz w:val="21"/>
                      <w:szCs w:val="21"/>
                    </w:rPr>
                  </w:pPr>
                </w:p>
              </w:tc>
              <w:tc>
                <w:tcPr>
                  <w:tcW w:w="1245" w:type="dxa"/>
                  <w:tcBorders>
                    <w:top w:val="single" w:color="auto" w:sz="4" w:space="0"/>
                    <w:left w:val="single" w:color="auto" w:sz="4" w:space="0"/>
                    <w:bottom w:val="single" w:color="auto" w:sz="12" w:space="0"/>
                    <w:right w:val="single" w:color="auto" w:sz="4" w:space="0"/>
                  </w:tcBorders>
                  <w:vAlign w:val="center"/>
                </w:tcPr>
                <w:p>
                  <w:pPr>
                    <w:pStyle w:val="2"/>
                    <w:jc w:val="center"/>
                    <w:rPr>
                      <w:sz w:val="21"/>
                      <w:szCs w:val="21"/>
                    </w:rPr>
                  </w:pPr>
                  <w:r>
                    <w:rPr>
                      <w:rFonts w:hint="eastAsia"/>
                      <w:sz w:val="21"/>
                      <w:szCs w:val="21"/>
                    </w:rPr>
                    <w:t>绿化</w:t>
                  </w:r>
                </w:p>
              </w:tc>
              <w:tc>
                <w:tcPr>
                  <w:tcW w:w="7176" w:type="dxa"/>
                  <w:gridSpan w:val="2"/>
                  <w:tcBorders>
                    <w:top w:val="single" w:color="auto" w:sz="4" w:space="0"/>
                    <w:left w:val="single" w:color="auto" w:sz="4" w:space="0"/>
                    <w:bottom w:val="single" w:color="auto" w:sz="12" w:space="0"/>
                    <w:right w:val="single" w:color="auto" w:sz="12" w:space="0"/>
                  </w:tcBorders>
                  <w:vAlign w:val="center"/>
                </w:tcPr>
                <w:p>
                  <w:pPr>
                    <w:pStyle w:val="2"/>
                    <w:jc w:val="center"/>
                    <w:rPr>
                      <w:sz w:val="21"/>
                      <w:szCs w:val="21"/>
                    </w:rPr>
                  </w:pPr>
                  <w:r>
                    <w:rPr>
                      <w:rFonts w:hint="eastAsia"/>
                      <w:sz w:val="21"/>
                      <w:szCs w:val="21"/>
                    </w:rPr>
                    <w:t>扩建后全厂绿化率为</w:t>
                  </w:r>
                  <w:r>
                    <w:rPr>
                      <w:sz w:val="21"/>
                      <w:szCs w:val="21"/>
                    </w:rPr>
                    <w:t>31.5%</w:t>
                  </w:r>
                </w:p>
              </w:tc>
            </w:tr>
          </w:tbl>
          <w:p>
            <w:pPr>
              <w:pStyle w:val="2"/>
              <w:spacing w:line="360" w:lineRule="auto"/>
              <w:ind w:firstLine="482" w:firstLineChars="200"/>
              <w:rPr>
                <w:b/>
                <w:bCs/>
              </w:rPr>
            </w:pPr>
            <w:r>
              <w:rPr>
                <w:b/>
                <w:bCs/>
              </w:rPr>
              <w:t>2</w:t>
            </w:r>
            <w:r>
              <w:rPr>
                <w:rFonts w:hint="eastAsia"/>
                <w:b/>
                <w:bCs/>
              </w:rPr>
              <w:t>、主要工程量</w:t>
            </w:r>
          </w:p>
          <w:p>
            <w:pPr>
              <w:pStyle w:val="2"/>
              <w:spacing w:line="360" w:lineRule="auto"/>
              <w:ind w:firstLine="480" w:firstLineChars="200"/>
              <w:rPr>
                <w:szCs w:val="28"/>
              </w:rPr>
            </w:pPr>
            <w:r>
              <w:rPr>
                <w:rFonts w:hint="eastAsia"/>
                <w:szCs w:val="28"/>
              </w:rPr>
              <w:t>定城污水处理厂二期工程依托一期工程已建的部分建（构）筑物的基础上进行扩建，二期主要新建建（构）筑物详见表</w:t>
            </w:r>
            <w:r>
              <w:rPr>
                <w:szCs w:val="28"/>
              </w:rPr>
              <w:t>1-5</w:t>
            </w:r>
            <w:r>
              <w:rPr>
                <w:rFonts w:hint="eastAsia"/>
                <w:szCs w:val="28"/>
              </w:rPr>
              <w:t>，一期需要改造的其他辅助项目工程量详见表</w:t>
            </w:r>
            <w:r>
              <w:rPr>
                <w:szCs w:val="28"/>
              </w:rPr>
              <w:t>1-6</w:t>
            </w:r>
            <w:r>
              <w:rPr>
                <w:rFonts w:hint="eastAsia"/>
                <w:szCs w:val="28"/>
              </w:rPr>
              <w:t>，厂区新建管道工程量详见表</w:t>
            </w:r>
            <w:r>
              <w:rPr>
                <w:szCs w:val="28"/>
              </w:rPr>
              <w:t>1-7</w:t>
            </w:r>
            <w:r>
              <w:rPr>
                <w:rFonts w:hint="eastAsia"/>
                <w:szCs w:val="28"/>
              </w:rPr>
              <w:t>。</w:t>
            </w:r>
          </w:p>
          <w:p>
            <w:pPr>
              <w:pStyle w:val="2"/>
              <w:spacing w:line="360" w:lineRule="auto"/>
              <w:jc w:val="center"/>
              <w:rPr>
                <w:b/>
                <w:bCs/>
                <w:szCs w:val="28"/>
              </w:rPr>
            </w:pPr>
            <w:r>
              <w:rPr>
                <w:rFonts w:hint="eastAsia"/>
                <w:b/>
                <w:bCs/>
                <w:szCs w:val="28"/>
              </w:rPr>
              <w:t>表</w:t>
            </w:r>
            <w:r>
              <w:rPr>
                <w:b/>
                <w:bCs/>
                <w:szCs w:val="28"/>
              </w:rPr>
              <w:t>1-5</w:t>
            </w:r>
            <w:r>
              <w:rPr>
                <w:rFonts w:hint="eastAsia"/>
                <w:b/>
                <w:bCs/>
                <w:szCs w:val="28"/>
              </w:rPr>
              <w:t>定城污水处理厂二期工程主要新建建（构）筑物一览表</w:t>
            </w:r>
          </w:p>
          <w:tbl>
            <w:tblPr>
              <w:tblStyle w:val="37"/>
              <w:tblW w:w="9018"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
            <w:tblGrid>
              <w:gridCol w:w="579"/>
              <w:gridCol w:w="2223"/>
              <w:gridCol w:w="2494"/>
              <w:gridCol w:w="693"/>
              <w:gridCol w:w="693"/>
              <w:gridCol w:w="1517"/>
              <w:gridCol w:w="81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12" w:space="0"/>
                    <w:left w:val="single" w:color="000000" w:sz="12" w:space="0"/>
                    <w:bottom w:val="double" w:color="auto" w:sz="4" w:space="0"/>
                    <w:right w:val="single" w:color="000000" w:sz="6" w:space="0"/>
                  </w:tcBorders>
                  <w:vAlign w:val="center"/>
                </w:tcPr>
                <w:p>
                  <w:pPr>
                    <w:jc w:val="center"/>
                    <w:rPr>
                      <w:rFonts w:ascii="Times New Roman" w:hAnsi="Times New Roman"/>
                      <w:b/>
                      <w:bCs/>
                    </w:rPr>
                  </w:pPr>
                  <w:r>
                    <w:rPr>
                      <w:rFonts w:hint="eastAsia" w:ascii="Times New Roman" w:hAnsi="Times New Roman"/>
                      <w:b/>
                      <w:bCs/>
                    </w:rPr>
                    <w:t>序号</w:t>
                  </w:r>
                </w:p>
              </w:tc>
              <w:tc>
                <w:tcPr>
                  <w:tcW w:w="2223" w:type="dxa"/>
                  <w:tcBorders>
                    <w:top w:val="single" w:color="000000" w:sz="12" w:space="0"/>
                    <w:left w:val="single" w:color="000000" w:sz="6" w:space="0"/>
                    <w:bottom w:val="double" w:color="auto" w:sz="4" w:space="0"/>
                    <w:right w:val="single" w:color="000000" w:sz="6" w:space="0"/>
                  </w:tcBorders>
                  <w:vAlign w:val="center"/>
                </w:tcPr>
                <w:p>
                  <w:pPr>
                    <w:jc w:val="center"/>
                    <w:rPr>
                      <w:rFonts w:ascii="Times New Roman" w:hAnsi="Times New Roman"/>
                      <w:b/>
                      <w:bCs/>
                    </w:rPr>
                  </w:pPr>
                  <w:r>
                    <w:rPr>
                      <w:rFonts w:hint="eastAsia" w:ascii="Times New Roman" w:hAnsi="Times New Roman"/>
                      <w:b/>
                      <w:bCs/>
                    </w:rPr>
                    <w:t>建（构）筑物名称</w:t>
                  </w:r>
                </w:p>
              </w:tc>
              <w:tc>
                <w:tcPr>
                  <w:tcW w:w="2494" w:type="dxa"/>
                  <w:tcBorders>
                    <w:top w:val="single" w:color="000000" w:sz="12" w:space="0"/>
                    <w:left w:val="single" w:color="000000" w:sz="6" w:space="0"/>
                    <w:bottom w:val="double" w:color="auto" w:sz="4" w:space="0"/>
                    <w:right w:val="single" w:color="000000" w:sz="6" w:space="0"/>
                  </w:tcBorders>
                  <w:vAlign w:val="center"/>
                </w:tcPr>
                <w:p>
                  <w:pPr>
                    <w:jc w:val="center"/>
                    <w:rPr>
                      <w:rFonts w:ascii="Times New Roman" w:hAnsi="Times New Roman"/>
                      <w:b/>
                      <w:bCs/>
                    </w:rPr>
                  </w:pPr>
                  <w:r>
                    <w:rPr>
                      <w:rFonts w:hint="eastAsia" w:ascii="Times New Roman" w:hAnsi="Times New Roman"/>
                      <w:b/>
                      <w:bCs/>
                    </w:rPr>
                    <w:t>结构尺寸</w:t>
                  </w:r>
                </w:p>
              </w:tc>
              <w:tc>
                <w:tcPr>
                  <w:tcW w:w="693" w:type="dxa"/>
                  <w:tcBorders>
                    <w:top w:val="single" w:color="000000" w:sz="12" w:space="0"/>
                    <w:left w:val="single" w:color="000000" w:sz="6" w:space="0"/>
                    <w:bottom w:val="double" w:color="auto" w:sz="4" w:space="0"/>
                    <w:right w:val="single" w:color="000000" w:sz="6" w:space="0"/>
                  </w:tcBorders>
                  <w:vAlign w:val="center"/>
                </w:tcPr>
                <w:p>
                  <w:pPr>
                    <w:jc w:val="center"/>
                    <w:rPr>
                      <w:rFonts w:ascii="Times New Roman" w:hAnsi="Times New Roman"/>
                      <w:b/>
                      <w:bCs/>
                    </w:rPr>
                  </w:pPr>
                  <w:r>
                    <w:rPr>
                      <w:rFonts w:hint="eastAsia" w:ascii="Times New Roman" w:hAnsi="Times New Roman"/>
                      <w:b/>
                      <w:bCs/>
                    </w:rPr>
                    <w:t>单位</w:t>
                  </w:r>
                </w:p>
              </w:tc>
              <w:tc>
                <w:tcPr>
                  <w:tcW w:w="693" w:type="dxa"/>
                  <w:tcBorders>
                    <w:top w:val="single" w:color="000000" w:sz="12" w:space="0"/>
                    <w:left w:val="single" w:color="000000" w:sz="6" w:space="0"/>
                    <w:bottom w:val="double" w:color="auto" w:sz="4" w:space="0"/>
                    <w:right w:val="single" w:color="000000" w:sz="6" w:space="0"/>
                  </w:tcBorders>
                  <w:vAlign w:val="center"/>
                </w:tcPr>
                <w:p>
                  <w:pPr>
                    <w:jc w:val="center"/>
                    <w:rPr>
                      <w:rFonts w:ascii="Times New Roman" w:hAnsi="Times New Roman"/>
                      <w:b/>
                      <w:bCs/>
                    </w:rPr>
                  </w:pPr>
                  <w:r>
                    <w:rPr>
                      <w:rFonts w:hint="eastAsia" w:ascii="Times New Roman" w:hAnsi="Times New Roman"/>
                      <w:b/>
                      <w:bCs/>
                    </w:rPr>
                    <w:t>数量</w:t>
                  </w:r>
                </w:p>
              </w:tc>
              <w:tc>
                <w:tcPr>
                  <w:tcW w:w="1517" w:type="dxa"/>
                  <w:tcBorders>
                    <w:top w:val="single" w:color="000000" w:sz="12" w:space="0"/>
                    <w:left w:val="single" w:color="000000" w:sz="6" w:space="0"/>
                    <w:bottom w:val="double" w:color="auto" w:sz="4" w:space="0"/>
                    <w:right w:val="single" w:color="000000" w:sz="6" w:space="0"/>
                  </w:tcBorders>
                  <w:vAlign w:val="center"/>
                </w:tcPr>
                <w:p>
                  <w:pPr>
                    <w:jc w:val="center"/>
                    <w:rPr>
                      <w:rFonts w:ascii="Times New Roman" w:hAnsi="Times New Roman"/>
                      <w:b/>
                      <w:bCs/>
                    </w:rPr>
                  </w:pPr>
                  <w:r>
                    <w:rPr>
                      <w:rFonts w:hint="eastAsia" w:ascii="Times New Roman" w:hAnsi="Times New Roman"/>
                      <w:b/>
                      <w:bCs/>
                    </w:rPr>
                    <w:t>材料</w:t>
                  </w:r>
                </w:p>
              </w:tc>
              <w:tc>
                <w:tcPr>
                  <w:tcW w:w="819" w:type="dxa"/>
                  <w:tcBorders>
                    <w:top w:val="single" w:color="000000" w:sz="12" w:space="0"/>
                    <w:left w:val="single" w:color="000000" w:sz="6" w:space="0"/>
                    <w:bottom w:val="double" w:color="auto" w:sz="4" w:space="0"/>
                    <w:right w:val="single" w:color="000000" w:sz="12" w:space="0"/>
                  </w:tcBorders>
                  <w:vAlign w:val="center"/>
                </w:tcPr>
                <w:p>
                  <w:pPr>
                    <w:jc w:val="center"/>
                    <w:rPr>
                      <w:rFonts w:ascii="Times New Roman" w:hAnsi="Times New Roman"/>
                      <w:b/>
                      <w:bCs/>
                    </w:rPr>
                  </w:pPr>
                  <w:r>
                    <w:rPr>
                      <w:rFonts w:hint="eastAsia" w:ascii="Times New Roman" w:hAnsi="Times New Roman"/>
                      <w:b/>
                      <w:bCs/>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double" w:color="auto" w:sz="4"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2223" w:type="dxa"/>
                  <w:tcBorders>
                    <w:top w:val="double" w:color="auto" w:sz="4"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细格栅、曝气沉砂池</w:t>
                  </w:r>
                </w:p>
              </w:tc>
              <w:tc>
                <w:tcPr>
                  <w:tcW w:w="2494" w:type="dxa"/>
                  <w:tcBorders>
                    <w:top w:val="double" w:color="auto" w:sz="4"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L×W×H=20.0×13.5×5.0m</w:t>
                  </w:r>
                </w:p>
              </w:tc>
              <w:tc>
                <w:tcPr>
                  <w:tcW w:w="693" w:type="dxa"/>
                  <w:tcBorders>
                    <w:top w:val="double" w:color="auto" w:sz="4"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double" w:color="auto" w:sz="4"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double" w:color="auto" w:sz="4"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double" w:color="auto" w:sz="4"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2</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改良型合建式</w:t>
                  </w:r>
                  <w:r>
                    <w:rPr>
                      <w:rFonts w:ascii="Times New Roman" w:hAnsi="Times New Roman"/>
                    </w:rPr>
                    <w:t>AAO</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L×W×H=51.4×38.7×6.5m</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钢砼或不锈钢</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3</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活性砂滤池</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L×W×H=12.59×10.2×6.5m</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4</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接触池</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L×W×H=7.5×6.0×4.0m</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5</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PAC</w:t>
                  </w:r>
                  <w:r>
                    <w:rPr>
                      <w:rFonts w:hint="eastAsia" w:ascii="Times New Roman" w:hAnsi="Times New Roman"/>
                    </w:rPr>
                    <w:t>及次氯酸钠加药间</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L×W=12.0×6.0m</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6</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贮泥池</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7.0×7.0×6.0m</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7</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脱水机房</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L×W×H=30.0×100×6.0m</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hint="eastAsia" w:ascii="Times New Roman" w:hAnsi="Times New Roman"/>
                    </w:rPr>
                    <w:t>拆除原有新建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8</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中水清水池</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12.5×11.6×3.7m</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9</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中水泵房</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12.5×4.0×6.5m</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10</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中水预留阀门井</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3.0×3.0×1.8m</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11</w:t>
                  </w:r>
                </w:p>
              </w:tc>
              <w:tc>
                <w:tcPr>
                  <w:tcW w:w="222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综合办公楼</w:t>
                  </w:r>
                </w:p>
              </w:tc>
              <w:tc>
                <w:tcPr>
                  <w:tcW w:w="2494"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平面尺寸：</w:t>
                  </w:r>
                  <w:r>
                    <w:rPr>
                      <w:rFonts w:ascii="Times New Roman" w:hAnsi="Times New Roman"/>
                    </w:rPr>
                    <w:t>30.0×16.0</w:t>
                  </w:r>
                  <w:r>
                    <w:rPr>
                      <w:rFonts w:hint="eastAsia" w:ascii="Times New Roman" w:hAnsi="Times New Roman"/>
                    </w:rPr>
                    <w:t>（复式三层）</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rPr>
                  </w:pPr>
                  <w:r>
                    <w:rPr>
                      <w:rFonts w:ascii="Times New Roman" w:hAnsi="Times New Roma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40" w:type="dxa"/>
                  <w:left w:w="107" w:type="dxa"/>
                  <w:bottom w:w="0" w:type="dxa"/>
                  <w:right w:w="48" w:type="dxa"/>
                </w:tblCellMar>
              </w:tblPrEx>
              <w:trPr>
                <w:jc w:val="center"/>
              </w:trPr>
              <w:tc>
                <w:tcPr>
                  <w:tcW w:w="579" w:type="dxa"/>
                  <w:tcBorders>
                    <w:top w:val="single" w:color="000000" w:sz="6" w:space="0"/>
                    <w:left w:val="single" w:color="000000" w:sz="12" w:space="0"/>
                    <w:bottom w:val="single" w:color="auto" w:sz="12" w:space="0"/>
                    <w:right w:val="single" w:color="000000" w:sz="6" w:space="0"/>
                  </w:tcBorders>
                  <w:vAlign w:val="center"/>
                </w:tcPr>
                <w:p>
                  <w:pPr>
                    <w:jc w:val="center"/>
                    <w:rPr>
                      <w:rFonts w:ascii="Times New Roman" w:hAnsi="Times New Roman"/>
                    </w:rPr>
                  </w:pPr>
                  <w:r>
                    <w:rPr>
                      <w:rFonts w:ascii="Times New Roman" w:hAnsi="Times New Roman"/>
                    </w:rPr>
                    <w:t>12</w:t>
                  </w:r>
                </w:p>
              </w:tc>
              <w:tc>
                <w:tcPr>
                  <w:tcW w:w="2223" w:type="dxa"/>
                  <w:tcBorders>
                    <w:top w:val="single" w:color="000000" w:sz="6" w:space="0"/>
                    <w:left w:val="single" w:color="000000" w:sz="6" w:space="0"/>
                    <w:bottom w:val="single" w:color="auto" w:sz="12" w:space="0"/>
                    <w:right w:val="single" w:color="000000" w:sz="6" w:space="0"/>
                  </w:tcBorders>
                  <w:vAlign w:val="center"/>
                </w:tcPr>
                <w:p>
                  <w:pPr>
                    <w:jc w:val="center"/>
                    <w:rPr>
                      <w:rFonts w:ascii="Times New Roman" w:hAnsi="Times New Roman"/>
                    </w:rPr>
                  </w:pPr>
                  <w:r>
                    <w:rPr>
                      <w:rFonts w:hint="eastAsia" w:ascii="Times New Roman" w:hAnsi="Times New Roman"/>
                    </w:rPr>
                    <w:t>巴氏计量槽</w:t>
                  </w:r>
                </w:p>
              </w:tc>
              <w:tc>
                <w:tcPr>
                  <w:tcW w:w="2494" w:type="dxa"/>
                  <w:tcBorders>
                    <w:top w:val="single" w:color="000000" w:sz="6" w:space="0"/>
                    <w:left w:val="single" w:color="000000" w:sz="6" w:space="0"/>
                    <w:bottom w:val="single" w:color="auto" w:sz="12" w:space="0"/>
                    <w:right w:val="single" w:color="000000" w:sz="6" w:space="0"/>
                  </w:tcBorders>
                  <w:vAlign w:val="center"/>
                </w:tcPr>
                <w:p>
                  <w:pPr>
                    <w:jc w:val="center"/>
                    <w:rPr>
                      <w:rFonts w:ascii="Times New Roman" w:hAnsi="Times New Roman"/>
                    </w:rPr>
                  </w:pPr>
                  <w:r>
                    <w:rPr>
                      <w:rFonts w:ascii="Times New Roman" w:hAnsi="Times New Roman"/>
                    </w:rPr>
                    <w:t>13.8×2.3×2.5m</w:t>
                  </w:r>
                </w:p>
              </w:tc>
              <w:tc>
                <w:tcPr>
                  <w:tcW w:w="693" w:type="dxa"/>
                  <w:tcBorders>
                    <w:top w:val="single" w:color="000000" w:sz="6" w:space="0"/>
                    <w:left w:val="single" w:color="000000" w:sz="6" w:space="0"/>
                    <w:bottom w:val="single" w:color="auto" w:sz="12" w:space="0"/>
                    <w:right w:val="single" w:color="000000" w:sz="6" w:space="0"/>
                  </w:tcBorders>
                  <w:vAlign w:val="center"/>
                </w:tcPr>
                <w:p>
                  <w:pPr>
                    <w:jc w:val="center"/>
                    <w:rPr>
                      <w:rFonts w:ascii="Times New Roman" w:hAnsi="Times New Roman"/>
                    </w:rPr>
                  </w:pPr>
                  <w:r>
                    <w:rPr>
                      <w:rFonts w:hint="eastAsia" w:ascii="Times New Roman" w:hAnsi="Times New Roman"/>
                    </w:rPr>
                    <w:t>座</w:t>
                  </w:r>
                </w:p>
              </w:tc>
              <w:tc>
                <w:tcPr>
                  <w:tcW w:w="693" w:type="dxa"/>
                  <w:tcBorders>
                    <w:top w:val="single" w:color="000000" w:sz="6" w:space="0"/>
                    <w:left w:val="single" w:color="000000" w:sz="6" w:space="0"/>
                    <w:bottom w:val="single" w:color="auto" w:sz="12" w:space="0"/>
                    <w:right w:val="single" w:color="000000" w:sz="6" w:space="0"/>
                  </w:tcBorders>
                  <w:vAlign w:val="center"/>
                </w:tcPr>
                <w:p>
                  <w:pPr>
                    <w:jc w:val="center"/>
                    <w:rPr>
                      <w:rFonts w:ascii="Times New Roman" w:hAnsi="Times New Roman"/>
                    </w:rPr>
                  </w:pPr>
                  <w:r>
                    <w:rPr>
                      <w:rFonts w:ascii="Times New Roman" w:hAnsi="Times New Roman"/>
                    </w:rPr>
                    <w:t>1</w:t>
                  </w:r>
                </w:p>
              </w:tc>
              <w:tc>
                <w:tcPr>
                  <w:tcW w:w="1517" w:type="dxa"/>
                  <w:tcBorders>
                    <w:top w:val="single" w:color="000000" w:sz="6" w:space="0"/>
                    <w:left w:val="single" w:color="000000" w:sz="6" w:space="0"/>
                    <w:bottom w:val="single" w:color="auto" w:sz="12" w:space="0"/>
                    <w:right w:val="single" w:color="000000" w:sz="6" w:space="0"/>
                  </w:tcBorders>
                  <w:vAlign w:val="center"/>
                </w:tcPr>
                <w:p>
                  <w:pPr>
                    <w:jc w:val="center"/>
                    <w:rPr>
                      <w:rFonts w:ascii="Times New Roman" w:hAnsi="Times New Roman"/>
                    </w:rPr>
                  </w:pPr>
                  <w:r>
                    <w:rPr>
                      <w:rFonts w:hint="eastAsia" w:ascii="Times New Roman" w:hAnsi="Times New Roman"/>
                    </w:rPr>
                    <w:t>钢砼</w:t>
                  </w:r>
                </w:p>
              </w:tc>
              <w:tc>
                <w:tcPr>
                  <w:tcW w:w="819" w:type="dxa"/>
                  <w:tcBorders>
                    <w:top w:val="single" w:color="000000" w:sz="6" w:space="0"/>
                    <w:left w:val="single" w:color="000000" w:sz="6" w:space="0"/>
                    <w:bottom w:val="single" w:color="auto" w:sz="12" w:space="0"/>
                    <w:right w:val="single" w:color="000000" w:sz="12" w:space="0"/>
                  </w:tcBorders>
                  <w:vAlign w:val="center"/>
                </w:tcPr>
                <w:p>
                  <w:pPr>
                    <w:jc w:val="center"/>
                    <w:rPr>
                      <w:rFonts w:ascii="Times New Roman" w:hAnsi="Times New Roman"/>
                    </w:rPr>
                  </w:pPr>
                </w:p>
              </w:tc>
            </w:tr>
          </w:tbl>
          <w:p>
            <w:pPr>
              <w:pStyle w:val="2"/>
              <w:spacing w:line="360" w:lineRule="auto"/>
              <w:jc w:val="center"/>
              <w:rPr>
                <w:b/>
                <w:bCs/>
                <w:szCs w:val="28"/>
              </w:rPr>
            </w:pPr>
            <w:r>
              <w:rPr>
                <w:rFonts w:hint="eastAsia"/>
                <w:b/>
                <w:bCs/>
                <w:szCs w:val="28"/>
              </w:rPr>
              <w:t>表</w:t>
            </w:r>
            <w:r>
              <w:rPr>
                <w:b/>
                <w:bCs/>
                <w:szCs w:val="28"/>
              </w:rPr>
              <w:t>1-6</w:t>
            </w:r>
            <w:r>
              <w:rPr>
                <w:rFonts w:hint="eastAsia"/>
                <w:b/>
                <w:bCs/>
                <w:szCs w:val="28"/>
              </w:rPr>
              <w:t>一期拟改造的其他辅助项目工程量一览表</w:t>
            </w:r>
          </w:p>
          <w:tbl>
            <w:tblPr>
              <w:tblStyle w:val="37"/>
              <w:tblW w:w="9098"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
            <w:tblGrid>
              <w:gridCol w:w="774"/>
              <w:gridCol w:w="3177"/>
              <w:gridCol w:w="2175"/>
              <w:gridCol w:w="973"/>
              <w:gridCol w:w="962"/>
              <w:gridCol w:w="10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12" w:space="0"/>
                    <w:left w:val="single" w:color="000000" w:sz="12" w:space="0"/>
                    <w:bottom w:val="double" w:color="auto" w:sz="4" w:space="0"/>
                    <w:right w:val="single" w:color="000000" w:sz="6" w:space="0"/>
                  </w:tcBorders>
                  <w:vAlign w:val="center"/>
                </w:tcPr>
                <w:p>
                  <w:pPr>
                    <w:jc w:val="center"/>
                    <w:rPr>
                      <w:rFonts w:ascii="Times New Roman" w:hAnsi="Times New Roman"/>
                      <w:b/>
                      <w:bCs/>
                      <w:szCs w:val="21"/>
                    </w:rPr>
                  </w:pPr>
                  <w:r>
                    <w:rPr>
                      <w:rFonts w:hint="eastAsia" w:ascii="Times New Roman" w:hAnsi="Times New Roman"/>
                      <w:b/>
                      <w:bCs/>
                      <w:szCs w:val="21"/>
                    </w:rPr>
                    <w:t>序号</w:t>
                  </w:r>
                </w:p>
              </w:tc>
              <w:tc>
                <w:tcPr>
                  <w:tcW w:w="3177" w:type="dxa"/>
                  <w:tcBorders>
                    <w:top w:val="single" w:color="000000" w:sz="12" w:space="0"/>
                    <w:left w:val="single" w:color="000000" w:sz="6" w:space="0"/>
                    <w:bottom w:val="double" w:color="auto" w:sz="4" w:space="0"/>
                    <w:right w:val="single" w:color="000000" w:sz="6" w:space="0"/>
                  </w:tcBorders>
                  <w:vAlign w:val="center"/>
                </w:tcPr>
                <w:p>
                  <w:pPr>
                    <w:jc w:val="center"/>
                    <w:rPr>
                      <w:rFonts w:ascii="Times New Roman" w:hAnsi="Times New Roman"/>
                      <w:b/>
                      <w:bCs/>
                      <w:szCs w:val="21"/>
                    </w:rPr>
                  </w:pPr>
                  <w:r>
                    <w:rPr>
                      <w:rFonts w:hint="eastAsia" w:ascii="Times New Roman" w:hAnsi="Times New Roman"/>
                      <w:b/>
                      <w:bCs/>
                      <w:szCs w:val="21"/>
                    </w:rPr>
                    <w:t>项目名称</w:t>
                  </w:r>
                </w:p>
              </w:tc>
              <w:tc>
                <w:tcPr>
                  <w:tcW w:w="2175" w:type="dxa"/>
                  <w:tcBorders>
                    <w:top w:val="single" w:color="000000" w:sz="12" w:space="0"/>
                    <w:left w:val="single" w:color="000000" w:sz="6" w:space="0"/>
                    <w:bottom w:val="double" w:color="auto" w:sz="4" w:space="0"/>
                    <w:right w:val="single" w:color="000000" w:sz="6" w:space="0"/>
                  </w:tcBorders>
                  <w:vAlign w:val="center"/>
                </w:tcPr>
                <w:p>
                  <w:pPr>
                    <w:jc w:val="center"/>
                    <w:rPr>
                      <w:rFonts w:ascii="Times New Roman" w:hAnsi="Times New Roman"/>
                      <w:b/>
                      <w:bCs/>
                      <w:szCs w:val="21"/>
                    </w:rPr>
                  </w:pPr>
                  <w:r>
                    <w:rPr>
                      <w:rFonts w:hint="eastAsia" w:ascii="Times New Roman" w:hAnsi="Times New Roman"/>
                      <w:b/>
                      <w:bCs/>
                      <w:szCs w:val="21"/>
                    </w:rPr>
                    <w:t>结构尺寸</w:t>
                  </w:r>
                </w:p>
              </w:tc>
              <w:tc>
                <w:tcPr>
                  <w:tcW w:w="973" w:type="dxa"/>
                  <w:tcBorders>
                    <w:top w:val="single" w:color="000000" w:sz="12" w:space="0"/>
                    <w:left w:val="single" w:color="000000" w:sz="6" w:space="0"/>
                    <w:bottom w:val="double" w:color="auto" w:sz="4" w:space="0"/>
                    <w:right w:val="single" w:color="000000" w:sz="6" w:space="0"/>
                  </w:tcBorders>
                  <w:vAlign w:val="center"/>
                </w:tcPr>
                <w:p>
                  <w:pPr>
                    <w:jc w:val="center"/>
                    <w:rPr>
                      <w:rFonts w:ascii="Times New Roman" w:hAnsi="Times New Roman"/>
                      <w:b/>
                      <w:bCs/>
                      <w:szCs w:val="21"/>
                    </w:rPr>
                  </w:pPr>
                  <w:r>
                    <w:rPr>
                      <w:rFonts w:hint="eastAsia" w:ascii="Times New Roman" w:hAnsi="Times New Roman"/>
                      <w:b/>
                      <w:bCs/>
                      <w:szCs w:val="21"/>
                    </w:rPr>
                    <w:t>单位</w:t>
                  </w:r>
                </w:p>
              </w:tc>
              <w:tc>
                <w:tcPr>
                  <w:tcW w:w="962" w:type="dxa"/>
                  <w:tcBorders>
                    <w:top w:val="single" w:color="000000" w:sz="12" w:space="0"/>
                    <w:left w:val="single" w:color="000000" w:sz="6" w:space="0"/>
                    <w:bottom w:val="double" w:color="auto" w:sz="4" w:space="0"/>
                    <w:right w:val="single" w:color="000000" w:sz="6" w:space="0"/>
                  </w:tcBorders>
                  <w:vAlign w:val="center"/>
                </w:tcPr>
                <w:p>
                  <w:pPr>
                    <w:jc w:val="center"/>
                    <w:rPr>
                      <w:rFonts w:ascii="Times New Roman" w:hAnsi="Times New Roman"/>
                      <w:b/>
                      <w:bCs/>
                      <w:szCs w:val="21"/>
                    </w:rPr>
                  </w:pPr>
                  <w:r>
                    <w:rPr>
                      <w:rFonts w:hint="eastAsia" w:ascii="Times New Roman" w:hAnsi="Times New Roman"/>
                      <w:b/>
                      <w:bCs/>
                      <w:szCs w:val="21"/>
                    </w:rPr>
                    <w:t>数量</w:t>
                  </w:r>
                </w:p>
              </w:tc>
              <w:tc>
                <w:tcPr>
                  <w:tcW w:w="1037" w:type="dxa"/>
                  <w:tcBorders>
                    <w:top w:val="single" w:color="000000" w:sz="12" w:space="0"/>
                    <w:left w:val="single" w:color="000000" w:sz="6" w:space="0"/>
                    <w:bottom w:val="double" w:color="auto" w:sz="4" w:space="0"/>
                    <w:right w:val="single" w:color="000000" w:sz="12" w:space="0"/>
                  </w:tcBorders>
                  <w:vAlign w:val="center"/>
                </w:tcPr>
                <w:p>
                  <w:pPr>
                    <w:jc w:val="center"/>
                    <w:rPr>
                      <w:rFonts w:ascii="Times New Roman" w:hAnsi="Times New Roman"/>
                      <w:b/>
                      <w:bCs/>
                      <w:szCs w:val="21"/>
                    </w:rPr>
                  </w:pPr>
                  <w:r>
                    <w:rPr>
                      <w:rFonts w:hint="eastAsia" w:ascii="Times New Roman" w:hAnsi="Times New Roman"/>
                      <w:b/>
                      <w:bCs/>
                      <w:szCs w:val="21"/>
                    </w:rPr>
                    <w:t>材料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double" w:color="auto" w:sz="4" w:space="0"/>
                    <w:left w:val="single" w:color="000000" w:sz="12"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1</w:t>
                  </w:r>
                </w:p>
              </w:tc>
              <w:tc>
                <w:tcPr>
                  <w:tcW w:w="3177" w:type="dxa"/>
                  <w:tcBorders>
                    <w:top w:val="double" w:color="auto" w:sz="4"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厂区围墙防护网</w:t>
                  </w:r>
                </w:p>
              </w:tc>
              <w:tc>
                <w:tcPr>
                  <w:tcW w:w="2175" w:type="dxa"/>
                  <w:tcBorders>
                    <w:top w:val="double" w:color="auto" w:sz="4"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w:t>
                  </w:r>
                </w:p>
              </w:tc>
              <w:tc>
                <w:tcPr>
                  <w:tcW w:w="973" w:type="dxa"/>
                  <w:tcBorders>
                    <w:top w:val="double" w:color="auto" w:sz="4"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m</w:t>
                  </w:r>
                </w:p>
              </w:tc>
              <w:tc>
                <w:tcPr>
                  <w:tcW w:w="962" w:type="dxa"/>
                  <w:tcBorders>
                    <w:top w:val="double" w:color="auto" w:sz="4"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105</w:t>
                  </w:r>
                </w:p>
              </w:tc>
              <w:tc>
                <w:tcPr>
                  <w:tcW w:w="1037" w:type="dxa"/>
                  <w:tcBorders>
                    <w:top w:val="double" w:color="auto" w:sz="4" w:space="0"/>
                    <w:left w:val="single" w:color="000000" w:sz="6" w:space="0"/>
                    <w:bottom w:val="single" w:color="000000" w:sz="6" w:space="0"/>
                    <w:right w:val="single" w:color="000000" w:sz="12" w:space="0"/>
                  </w:tcBorders>
                  <w:vAlign w:val="center"/>
                </w:tcPr>
                <w:p>
                  <w:pPr>
                    <w:jc w:val="center"/>
                    <w:rPr>
                      <w:rFonts w:ascii="Times New Roman" w:hAnsi="Times New Roman"/>
                      <w:szCs w:val="21"/>
                    </w:rPr>
                  </w:pPr>
                  <w:r>
                    <w:rPr>
                      <w:rFonts w:hint="eastAsia" w:ascii="Times New Roman" w:hAnsi="Times New Roman"/>
                      <w:szCs w:val="21"/>
                    </w:rPr>
                    <w:t>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2</w:t>
                  </w:r>
                </w:p>
              </w:tc>
              <w:tc>
                <w:tcPr>
                  <w:tcW w:w="317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化验室操作台</w:t>
                  </w:r>
                </w:p>
              </w:tc>
              <w:tc>
                <w:tcPr>
                  <w:tcW w:w="2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w:t>
                  </w:r>
                </w:p>
              </w:tc>
              <w:tc>
                <w:tcPr>
                  <w:tcW w:w="97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项</w:t>
                  </w:r>
                </w:p>
              </w:tc>
              <w:tc>
                <w:tcPr>
                  <w:tcW w:w="96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1</w:t>
                  </w:r>
                </w:p>
              </w:tc>
              <w:tc>
                <w:tcPr>
                  <w:tcW w:w="1037"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3</w:t>
                  </w:r>
                </w:p>
              </w:tc>
              <w:tc>
                <w:tcPr>
                  <w:tcW w:w="317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厂区各室内地板刷浆</w:t>
                  </w:r>
                </w:p>
              </w:tc>
              <w:tc>
                <w:tcPr>
                  <w:tcW w:w="2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w:t>
                  </w:r>
                </w:p>
              </w:tc>
              <w:tc>
                <w:tcPr>
                  <w:tcW w:w="97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96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900</w:t>
                  </w:r>
                </w:p>
              </w:tc>
              <w:tc>
                <w:tcPr>
                  <w:tcW w:w="1037"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szCs w:val="21"/>
                    </w:rPr>
                  </w:pPr>
                  <w:r>
                    <w:rPr>
                      <w:rFonts w:hint="eastAsia" w:ascii="Times New Roman" w:hAnsi="Times New Roman"/>
                      <w:szCs w:val="21"/>
                    </w:rPr>
                    <w:t>环氧树脂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4</w:t>
                  </w:r>
                </w:p>
              </w:tc>
              <w:tc>
                <w:tcPr>
                  <w:tcW w:w="317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低压配电间及</w:t>
                  </w:r>
                  <w:r>
                    <w:rPr>
                      <w:rFonts w:ascii="Times New Roman" w:hAnsi="Times New Roman"/>
                      <w:szCs w:val="21"/>
                    </w:rPr>
                    <w:t>PLC1</w:t>
                  </w:r>
                  <w:r>
                    <w:rPr>
                      <w:rFonts w:hint="eastAsia" w:ascii="Times New Roman" w:hAnsi="Times New Roman"/>
                      <w:szCs w:val="21"/>
                    </w:rPr>
                    <w:t>站防火门</w:t>
                  </w:r>
                </w:p>
              </w:tc>
              <w:tc>
                <w:tcPr>
                  <w:tcW w:w="2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w:t>
                  </w:r>
                </w:p>
              </w:tc>
              <w:tc>
                <w:tcPr>
                  <w:tcW w:w="97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扇</w:t>
                  </w:r>
                </w:p>
              </w:tc>
              <w:tc>
                <w:tcPr>
                  <w:tcW w:w="96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1</w:t>
                  </w:r>
                </w:p>
              </w:tc>
              <w:tc>
                <w:tcPr>
                  <w:tcW w:w="1037"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5</w:t>
                  </w:r>
                </w:p>
              </w:tc>
              <w:tc>
                <w:tcPr>
                  <w:tcW w:w="317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污泥回流泵房铝合金门</w:t>
                  </w:r>
                </w:p>
              </w:tc>
              <w:tc>
                <w:tcPr>
                  <w:tcW w:w="2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w:t>
                  </w:r>
                </w:p>
              </w:tc>
              <w:tc>
                <w:tcPr>
                  <w:tcW w:w="97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扇</w:t>
                  </w:r>
                </w:p>
              </w:tc>
              <w:tc>
                <w:tcPr>
                  <w:tcW w:w="96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1</w:t>
                  </w:r>
                </w:p>
              </w:tc>
              <w:tc>
                <w:tcPr>
                  <w:tcW w:w="1037"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6</w:t>
                  </w:r>
                </w:p>
              </w:tc>
              <w:tc>
                <w:tcPr>
                  <w:tcW w:w="317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由原综合楼改造为附属楼</w:t>
                  </w:r>
                </w:p>
              </w:tc>
              <w:tc>
                <w:tcPr>
                  <w:tcW w:w="2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w:t>
                  </w:r>
                </w:p>
              </w:tc>
              <w:tc>
                <w:tcPr>
                  <w:tcW w:w="97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座</w:t>
                  </w:r>
                </w:p>
              </w:tc>
              <w:tc>
                <w:tcPr>
                  <w:tcW w:w="96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1</w:t>
                  </w:r>
                </w:p>
              </w:tc>
              <w:tc>
                <w:tcPr>
                  <w:tcW w:w="1037"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7</w:t>
                  </w:r>
                </w:p>
              </w:tc>
              <w:tc>
                <w:tcPr>
                  <w:tcW w:w="317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篮球场</w:t>
                  </w:r>
                </w:p>
              </w:tc>
              <w:tc>
                <w:tcPr>
                  <w:tcW w:w="2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w:t>
                  </w:r>
                </w:p>
              </w:tc>
              <w:tc>
                <w:tcPr>
                  <w:tcW w:w="97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个</w:t>
                  </w:r>
                </w:p>
              </w:tc>
              <w:tc>
                <w:tcPr>
                  <w:tcW w:w="96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1</w:t>
                  </w:r>
                </w:p>
              </w:tc>
              <w:tc>
                <w:tcPr>
                  <w:tcW w:w="1037"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8</w:t>
                  </w:r>
                </w:p>
              </w:tc>
              <w:tc>
                <w:tcPr>
                  <w:tcW w:w="317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挡土墙修复</w:t>
                  </w:r>
                </w:p>
              </w:tc>
              <w:tc>
                <w:tcPr>
                  <w:tcW w:w="2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h1=3870</w:t>
                  </w:r>
                  <w:r>
                    <w:rPr>
                      <w:rFonts w:hint="eastAsia" w:ascii="Times New Roman" w:hAnsi="Times New Roman"/>
                      <w:szCs w:val="21"/>
                    </w:rPr>
                    <w:t>，</w:t>
                  </w:r>
                  <w:r>
                    <w:rPr>
                      <w:rFonts w:ascii="Times New Roman" w:hAnsi="Times New Roman"/>
                      <w:szCs w:val="21"/>
                    </w:rPr>
                    <w:t>hn=240</w:t>
                  </w:r>
                </w:p>
                <w:p>
                  <w:pPr>
                    <w:jc w:val="center"/>
                    <w:rPr>
                      <w:rFonts w:ascii="Times New Roman" w:hAnsi="Times New Roman"/>
                      <w:szCs w:val="21"/>
                    </w:rPr>
                  </w:pPr>
                  <w:r>
                    <w:rPr>
                      <w:rFonts w:ascii="Times New Roman" w:hAnsi="Times New Roman"/>
                      <w:szCs w:val="21"/>
                    </w:rPr>
                    <w:t>b1=440</w:t>
                  </w:r>
                  <w:r>
                    <w:rPr>
                      <w:rFonts w:hint="eastAsia" w:ascii="Times New Roman" w:hAnsi="Times New Roman"/>
                      <w:szCs w:val="21"/>
                    </w:rPr>
                    <w:t>，</w:t>
                  </w:r>
                  <w:r>
                    <w:rPr>
                      <w:rFonts w:ascii="Times New Roman" w:hAnsi="Times New Roman"/>
                      <w:szCs w:val="21"/>
                    </w:rPr>
                    <w:t>b2=430</w:t>
                  </w:r>
                </w:p>
              </w:tc>
              <w:tc>
                <w:tcPr>
                  <w:tcW w:w="97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m</w:t>
                  </w:r>
                </w:p>
              </w:tc>
              <w:tc>
                <w:tcPr>
                  <w:tcW w:w="96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125</w:t>
                  </w:r>
                </w:p>
              </w:tc>
              <w:tc>
                <w:tcPr>
                  <w:tcW w:w="1037"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szCs w:val="21"/>
                    </w:rPr>
                  </w:pPr>
                  <w:r>
                    <w:rPr>
                      <w:rFonts w:hint="eastAsia" w:ascii="Times New Roman" w:hAnsi="Times New Roman"/>
                      <w:szCs w:val="21"/>
                    </w:rPr>
                    <w:t>钢砼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6" w:space="0"/>
                    <w:left w:val="single" w:color="000000" w:sz="12"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9</w:t>
                  </w:r>
                </w:p>
              </w:tc>
              <w:tc>
                <w:tcPr>
                  <w:tcW w:w="3177"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厂区新建道路</w:t>
                  </w:r>
                </w:p>
              </w:tc>
              <w:tc>
                <w:tcPr>
                  <w:tcW w:w="2175"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B=3.0m</w:t>
                  </w:r>
                </w:p>
              </w:tc>
              <w:tc>
                <w:tcPr>
                  <w:tcW w:w="973"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m</w:t>
                  </w:r>
                </w:p>
              </w:tc>
              <w:tc>
                <w:tcPr>
                  <w:tcW w:w="962" w:type="dxa"/>
                  <w:tcBorders>
                    <w:top w:val="single" w:color="000000" w:sz="6" w:space="0"/>
                    <w:left w:val="single" w:color="000000" w:sz="6" w:space="0"/>
                    <w:bottom w:val="single" w:color="000000" w:sz="6" w:space="0"/>
                    <w:right w:val="single" w:color="000000" w:sz="6" w:space="0"/>
                  </w:tcBorders>
                  <w:vAlign w:val="center"/>
                </w:tcPr>
                <w:p>
                  <w:pPr>
                    <w:jc w:val="center"/>
                    <w:rPr>
                      <w:rFonts w:ascii="Times New Roman" w:hAnsi="Times New Roman"/>
                      <w:szCs w:val="21"/>
                    </w:rPr>
                  </w:pPr>
                  <w:r>
                    <w:rPr>
                      <w:rFonts w:ascii="Times New Roman" w:hAnsi="Times New Roman"/>
                      <w:szCs w:val="21"/>
                    </w:rPr>
                    <w:t>45</w:t>
                  </w:r>
                </w:p>
              </w:tc>
              <w:tc>
                <w:tcPr>
                  <w:tcW w:w="1037" w:type="dxa"/>
                  <w:tcBorders>
                    <w:top w:val="single" w:color="000000" w:sz="6" w:space="0"/>
                    <w:left w:val="single" w:color="000000" w:sz="6" w:space="0"/>
                    <w:bottom w:val="single" w:color="000000" w:sz="6" w:space="0"/>
                    <w:right w:val="single" w:color="000000" w:sz="12" w:space="0"/>
                  </w:tcBorders>
                  <w:vAlign w:val="center"/>
                </w:tcPr>
                <w:p>
                  <w:pPr>
                    <w:jc w:val="center"/>
                    <w:rPr>
                      <w:rFonts w:ascii="Times New Roman" w:hAnsi="Times New Roman"/>
                      <w:szCs w:val="21"/>
                    </w:rPr>
                  </w:pPr>
                  <w:r>
                    <w:rPr>
                      <w:rFonts w:hint="eastAsia" w:ascii="Times New Roman" w:hAnsi="Times New Roman"/>
                      <w:szCs w:val="21"/>
                    </w:rPr>
                    <w:t>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28" w:type="dxa"/>
                  <w:left w:w="107" w:type="dxa"/>
                  <w:bottom w:w="0" w:type="dxa"/>
                  <w:right w:w="35" w:type="dxa"/>
                </w:tblCellMar>
              </w:tblPrEx>
              <w:trPr>
                <w:jc w:val="center"/>
              </w:trPr>
              <w:tc>
                <w:tcPr>
                  <w:tcW w:w="774" w:type="dxa"/>
                  <w:tcBorders>
                    <w:top w:val="single" w:color="000000" w:sz="6" w:space="0"/>
                    <w:left w:val="single" w:color="000000" w:sz="12" w:space="0"/>
                    <w:bottom w:val="single" w:color="000000" w:sz="12" w:space="0"/>
                    <w:right w:val="single" w:color="000000" w:sz="6" w:space="0"/>
                  </w:tcBorders>
                  <w:vAlign w:val="center"/>
                </w:tcPr>
                <w:p>
                  <w:pPr>
                    <w:jc w:val="center"/>
                    <w:rPr>
                      <w:rFonts w:ascii="Times New Roman" w:hAnsi="Times New Roman"/>
                      <w:szCs w:val="21"/>
                    </w:rPr>
                  </w:pPr>
                  <w:r>
                    <w:rPr>
                      <w:rFonts w:ascii="Times New Roman" w:hAnsi="Times New Roman"/>
                      <w:szCs w:val="21"/>
                    </w:rPr>
                    <w:t>10</w:t>
                  </w:r>
                </w:p>
              </w:tc>
              <w:tc>
                <w:tcPr>
                  <w:tcW w:w="3177" w:type="dxa"/>
                  <w:tcBorders>
                    <w:top w:val="single" w:color="000000" w:sz="6" w:space="0"/>
                    <w:left w:val="single" w:color="000000" w:sz="6" w:space="0"/>
                    <w:bottom w:val="single" w:color="000000" w:sz="12" w:space="0"/>
                    <w:right w:val="single" w:color="000000" w:sz="6" w:space="0"/>
                  </w:tcBorders>
                  <w:vAlign w:val="center"/>
                </w:tcPr>
                <w:p>
                  <w:pPr>
                    <w:jc w:val="center"/>
                    <w:rPr>
                      <w:rFonts w:ascii="Times New Roman" w:hAnsi="Times New Roman"/>
                      <w:szCs w:val="21"/>
                    </w:rPr>
                  </w:pPr>
                  <w:r>
                    <w:rPr>
                      <w:rFonts w:hint="eastAsia" w:ascii="Times New Roman" w:hAnsi="Times New Roman"/>
                      <w:szCs w:val="21"/>
                    </w:rPr>
                    <w:t>厂区新建甬道</w:t>
                  </w:r>
                </w:p>
              </w:tc>
              <w:tc>
                <w:tcPr>
                  <w:tcW w:w="2175" w:type="dxa"/>
                  <w:tcBorders>
                    <w:top w:val="single" w:color="000000" w:sz="6" w:space="0"/>
                    <w:left w:val="single" w:color="000000" w:sz="6" w:space="0"/>
                    <w:bottom w:val="single" w:color="000000" w:sz="12" w:space="0"/>
                    <w:right w:val="single" w:color="000000" w:sz="6" w:space="0"/>
                  </w:tcBorders>
                  <w:vAlign w:val="center"/>
                </w:tcPr>
                <w:p>
                  <w:pPr>
                    <w:jc w:val="center"/>
                    <w:rPr>
                      <w:rFonts w:ascii="Times New Roman" w:hAnsi="Times New Roman"/>
                      <w:szCs w:val="21"/>
                    </w:rPr>
                  </w:pPr>
                  <w:r>
                    <w:rPr>
                      <w:rFonts w:ascii="Times New Roman" w:hAnsi="Times New Roman"/>
                      <w:szCs w:val="21"/>
                    </w:rPr>
                    <w:t>B=1.0m</w:t>
                  </w:r>
                </w:p>
              </w:tc>
              <w:tc>
                <w:tcPr>
                  <w:tcW w:w="973" w:type="dxa"/>
                  <w:tcBorders>
                    <w:top w:val="single" w:color="000000" w:sz="6" w:space="0"/>
                    <w:left w:val="single" w:color="000000" w:sz="6" w:space="0"/>
                    <w:bottom w:val="single" w:color="000000" w:sz="12" w:space="0"/>
                    <w:right w:val="single" w:color="000000" w:sz="6" w:space="0"/>
                  </w:tcBorders>
                  <w:vAlign w:val="center"/>
                </w:tcPr>
                <w:p>
                  <w:pPr>
                    <w:jc w:val="center"/>
                    <w:rPr>
                      <w:rFonts w:ascii="Times New Roman" w:hAnsi="Times New Roman"/>
                      <w:szCs w:val="21"/>
                    </w:rPr>
                  </w:pPr>
                  <w:r>
                    <w:rPr>
                      <w:rFonts w:ascii="Times New Roman" w:hAnsi="Times New Roman"/>
                      <w:szCs w:val="21"/>
                    </w:rPr>
                    <w:t>m</w:t>
                  </w:r>
                </w:p>
              </w:tc>
              <w:tc>
                <w:tcPr>
                  <w:tcW w:w="962" w:type="dxa"/>
                  <w:tcBorders>
                    <w:top w:val="single" w:color="000000" w:sz="6" w:space="0"/>
                    <w:left w:val="single" w:color="000000" w:sz="6" w:space="0"/>
                    <w:bottom w:val="single" w:color="000000" w:sz="12" w:space="0"/>
                    <w:right w:val="single" w:color="000000" w:sz="6" w:space="0"/>
                  </w:tcBorders>
                  <w:vAlign w:val="center"/>
                </w:tcPr>
                <w:p>
                  <w:pPr>
                    <w:jc w:val="center"/>
                    <w:rPr>
                      <w:rFonts w:ascii="Times New Roman" w:hAnsi="Times New Roman"/>
                      <w:szCs w:val="21"/>
                    </w:rPr>
                  </w:pPr>
                  <w:r>
                    <w:rPr>
                      <w:rFonts w:ascii="Times New Roman" w:hAnsi="Times New Roman"/>
                      <w:szCs w:val="21"/>
                    </w:rPr>
                    <w:t>50</w:t>
                  </w:r>
                </w:p>
              </w:tc>
              <w:tc>
                <w:tcPr>
                  <w:tcW w:w="1037" w:type="dxa"/>
                  <w:tcBorders>
                    <w:top w:val="single" w:color="000000" w:sz="6" w:space="0"/>
                    <w:left w:val="single" w:color="000000" w:sz="6" w:space="0"/>
                    <w:bottom w:val="single" w:color="000000" w:sz="12" w:space="0"/>
                    <w:right w:val="single" w:color="000000" w:sz="12" w:space="0"/>
                  </w:tcBorders>
                  <w:vAlign w:val="center"/>
                </w:tcPr>
                <w:p>
                  <w:pPr>
                    <w:jc w:val="center"/>
                    <w:rPr>
                      <w:rFonts w:ascii="Times New Roman" w:hAnsi="Times New Roman"/>
                      <w:szCs w:val="21"/>
                    </w:rPr>
                  </w:pPr>
                  <w:r>
                    <w:rPr>
                      <w:rFonts w:hint="eastAsia" w:ascii="Times New Roman" w:hAnsi="Times New Roman"/>
                      <w:szCs w:val="21"/>
                    </w:rPr>
                    <w:t>砼</w:t>
                  </w:r>
                </w:p>
              </w:tc>
            </w:tr>
          </w:tbl>
          <w:p>
            <w:pPr>
              <w:pStyle w:val="2"/>
              <w:spacing w:line="360" w:lineRule="auto"/>
              <w:jc w:val="center"/>
              <w:rPr>
                <w:b/>
                <w:bCs/>
                <w:szCs w:val="28"/>
              </w:rPr>
            </w:pPr>
            <w:r>
              <w:rPr>
                <w:rFonts w:hint="eastAsia"/>
                <w:b/>
                <w:bCs/>
                <w:szCs w:val="28"/>
              </w:rPr>
              <w:t>表</w:t>
            </w:r>
            <w:r>
              <w:rPr>
                <w:b/>
                <w:bCs/>
                <w:szCs w:val="28"/>
              </w:rPr>
              <w:t>1-7</w:t>
            </w:r>
            <w:r>
              <w:rPr>
                <w:rFonts w:hint="eastAsia"/>
                <w:b/>
                <w:bCs/>
                <w:szCs w:val="28"/>
              </w:rPr>
              <w:t>厂区新建管道工程量一览表</w:t>
            </w:r>
          </w:p>
          <w:tbl>
            <w:tblPr>
              <w:tblStyle w:val="37"/>
              <w:tblW w:w="9098" w:type="dxa"/>
              <w:jc w:val="center"/>
              <w:tblInd w:w="0" w:type="dxa"/>
              <w:tblLayout w:type="fixed"/>
              <w:tblCellMar>
                <w:top w:w="40" w:type="dxa"/>
                <w:left w:w="107" w:type="dxa"/>
                <w:bottom w:w="0" w:type="dxa"/>
                <w:right w:w="155" w:type="dxa"/>
              </w:tblCellMar>
            </w:tblPr>
            <w:tblGrid>
              <w:gridCol w:w="724"/>
              <w:gridCol w:w="3001"/>
              <w:gridCol w:w="1101"/>
              <w:gridCol w:w="824"/>
              <w:gridCol w:w="826"/>
              <w:gridCol w:w="1239"/>
              <w:gridCol w:w="1383"/>
            </w:tblGrid>
            <w:tr>
              <w:tblPrEx>
                <w:tblLayout w:type="fixed"/>
                <w:tblCellMar>
                  <w:top w:w="40" w:type="dxa"/>
                  <w:left w:w="107" w:type="dxa"/>
                  <w:bottom w:w="0" w:type="dxa"/>
                  <w:right w:w="155" w:type="dxa"/>
                </w:tblCellMar>
              </w:tblPrEx>
              <w:trPr>
                <w:jc w:val="center"/>
              </w:trPr>
              <w:tc>
                <w:tcPr>
                  <w:tcW w:w="724" w:type="dxa"/>
                  <w:tcBorders>
                    <w:top w:val="single" w:color="000000" w:sz="12" w:space="0"/>
                    <w:left w:val="single" w:color="000000" w:sz="12" w:space="0"/>
                    <w:bottom w:val="double" w:color="auto" w:sz="4" w:space="0"/>
                    <w:right w:val="single" w:color="000000" w:sz="4" w:space="0"/>
                  </w:tcBorders>
                  <w:vAlign w:val="center"/>
                </w:tcPr>
                <w:p>
                  <w:pPr>
                    <w:spacing w:line="240" w:lineRule="atLeast"/>
                    <w:jc w:val="center"/>
                    <w:rPr>
                      <w:rFonts w:ascii="Times New Roman" w:hAnsi="Times New Roman"/>
                      <w:b/>
                      <w:bCs/>
                    </w:rPr>
                  </w:pPr>
                  <w:r>
                    <w:rPr>
                      <w:rFonts w:hint="eastAsia" w:ascii="Times New Roman" w:hAnsi="Times New Roman"/>
                      <w:b/>
                      <w:bCs/>
                    </w:rPr>
                    <w:t>序号</w:t>
                  </w:r>
                </w:p>
              </w:tc>
              <w:tc>
                <w:tcPr>
                  <w:tcW w:w="3001" w:type="dxa"/>
                  <w:tcBorders>
                    <w:top w:val="single" w:color="000000" w:sz="12" w:space="0"/>
                    <w:left w:val="single" w:color="000000" w:sz="4" w:space="0"/>
                    <w:bottom w:val="double" w:color="auto" w:sz="4" w:space="0"/>
                    <w:right w:val="single" w:color="000000" w:sz="4" w:space="0"/>
                  </w:tcBorders>
                  <w:vAlign w:val="center"/>
                </w:tcPr>
                <w:p>
                  <w:pPr>
                    <w:spacing w:line="240" w:lineRule="atLeast"/>
                    <w:jc w:val="center"/>
                    <w:rPr>
                      <w:rFonts w:ascii="Times New Roman" w:hAnsi="Times New Roman"/>
                      <w:b/>
                      <w:bCs/>
                    </w:rPr>
                  </w:pPr>
                  <w:r>
                    <w:rPr>
                      <w:rFonts w:hint="eastAsia" w:ascii="Times New Roman" w:hAnsi="Times New Roman"/>
                      <w:b/>
                      <w:bCs/>
                    </w:rPr>
                    <w:t>管道名称</w:t>
                  </w:r>
                </w:p>
              </w:tc>
              <w:tc>
                <w:tcPr>
                  <w:tcW w:w="1101" w:type="dxa"/>
                  <w:tcBorders>
                    <w:top w:val="single" w:color="000000" w:sz="12" w:space="0"/>
                    <w:left w:val="single" w:color="000000" w:sz="4" w:space="0"/>
                    <w:bottom w:val="double" w:color="auto" w:sz="4" w:space="0"/>
                    <w:right w:val="single" w:color="000000" w:sz="4" w:space="0"/>
                  </w:tcBorders>
                  <w:vAlign w:val="center"/>
                </w:tcPr>
                <w:p>
                  <w:pPr>
                    <w:spacing w:line="240" w:lineRule="atLeast"/>
                    <w:jc w:val="center"/>
                    <w:rPr>
                      <w:rFonts w:ascii="Times New Roman" w:hAnsi="Times New Roman"/>
                      <w:b/>
                      <w:bCs/>
                    </w:rPr>
                  </w:pPr>
                  <w:r>
                    <w:rPr>
                      <w:rFonts w:hint="eastAsia" w:ascii="Times New Roman" w:hAnsi="Times New Roman"/>
                      <w:b/>
                      <w:bCs/>
                    </w:rPr>
                    <w:t>尺寸</w:t>
                  </w:r>
                </w:p>
              </w:tc>
              <w:tc>
                <w:tcPr>
                  <w:tcW w:w="824" w:type="dxa"/>
                  <w:tcBorders>
                    <w:top w:val="single" w:color="000000" w:sz="12" w:space="0"/>
                    <w:left w:val="single" w:color="000000" w:sz="4" w:space="0"/>
                    <w:bottom w:val="double" w:color="auto" w:sz="4" w:space="0"/>
                    <w:right w:val="single" w:color="000000" w:sz="4" w:space="0"/>
                  </w:tcBorders>
                  <w:vAlign w:val="center"/>
                </w:tcPr>
                <w:p>
                  <w:pPr>
                    <w:spacing w:line="240" w:lineRule="atLeast"/>
                    <w:jc w:val="center"/>
                    <w:rPr>
                      <w:rFonts w:ascii="Times New Roman" w:hAnsi="Times New Roman"/>
                      <w:b/>
                      <w:bCs/>
                    </w:rPr>
                  </w:pPr>
                  <w:r>
                    <w:rPr>
                      <w:rFonts w:hint="eastAsia" w:ascii="Times New Roman" w:hAnsi="Times New Roman"/>
                      <w:b/>
                      <w:bCs/>
                    </w:rPr>
                    <w:t>单位</w:t>
                  </w:r>
                </w:p>
              </w:tc>
              <w:tc>
                <w:tcPr>
                  <w:tcW w:w="826" w:type="dxa"/>
                  <w:tcBorders>
                    <w:top w:val="single" w:color="000000" w:sz="12" w:space="0"/>
                    <w:left w:val="single" w:color="000000" w:sz="4" w:space="0"/>
                    <w:bottom w:val="double" w:color="auto" w:sz="4" w:space="0"/>
                    <w:right w:val="single" w:color="000000" w:sz="4" w:space="0"/>
                  </w:tcBorders>
                  <w:vAlign w:val="center"/>
                </w:tcPr>
                <w:p>
                  <w:pPr>
                    <w:spacing w:line="240" w:lineRule="atLeast"/>
                    <w:jc w:val="center"/>
                    <w:rPr>
                      <w:rFonts w:ascii="Times New Roman" w:hAnsi="Times New Roman"/>
                      <w:b/>
                      <w:bCs/>
                    </w:rPr>
                  </w:pPr>
                  <w:r>
                    <w:rPr>
                      <w:rFonts w:hint="eastAsia" w:ascii="Times New Roman" w:hAnsi="Times New Roman"/>
                      <w:b/>
                      <w:bCs/>
                    </w:rPr>
                    <w:t>数量</w:t>
                  </w:r>
                </w:p>
              </w:tc>
              <w:tc>
                <w:tcPr>
                  <w:tcW w:w="1239" w:type="dxa"/>
                  <w:tcBorders>
                    <w:top w:val="single" w:color="000000" w:sz="12" w:space="0"/>
                    <w:left w:val="single" w:color="000000" w:sz="4" w:space="0"/>
                    <w:bottom w:val="double" w:color="auto" w:sz="4" w:space="0"/>
                    <w:right w:val="single" w:color="000000" w:sz="4" w:space="0"/>
                  </w:tcBorders>
                  <w:vAlign w:val="center"/>
                </w:tcPr>
                <w:p>
                  <w:pPr>
                    <w:spacing w:line="240" w:lineRule="atLeast"/>
                    <w:jc w:val="center"/>
                    <w:rPr>
                      <w:rFonts w:ascii="Times New Roman" w:hAnsi="Times New Roman"/>
                      <w:b/>
                      <w:bCs/>
                    </w:rPr>
                  </w:pPr>
                  <w:r>
                    <w:rPr>
                      <w:rFonts w:hint="eastAsia" w:ascii="Times New Roman" w:hAnsi="Times New Roman"/>
                      <w:b/>
                      <w:bCs/>
                    </w:rPr>
                    <w:t>材料</w:t>
                  </w:r>
                </w:p>
              </w:tc>
              <w:tc>
                <w:tcPr>
                  <w:tcW w:w="1383" w:type="dxa"/>
                  <w:tcBorders>
                    <w:top w:val="single" w:color="000000" w:sz="12" w:space="0"/>
                    <w:left w:val="single" w:color="000000" w:sz="4" w:space="0"/>
                    <w:bottom w:val="double" w:color="auto" w:sz="4" w:space="0"/>
                    <w:right w:val="single" w:color="000000" w:sz="12" w:space="0"/>
                  </w:tcBorders>
                  <w:vAlign w:val="center"/>
                </w:tcPr>
                <w:p>
                  <w:pPr>
                    <w:spacing w:line="240" w:lineRule="atLeast"/>
                    <w:jc w:val="center"/>
                    <w:rPr>
                      <w:rFonts w:ascii="Times New Roman" w:hAnsi="Times New Roman"/>
                      <w:b/>
                      <w:bCs/>
                    </w:rPr>
                  </w:pPr>
                  <w:r>
                    <w:rPr>
                      <w:rFonts w:hint="eastAsia" w:ascii="Times New Roman" w:hAnsi="Times New Roman"/>
                      <w:b/>
                      <w:bCs/>
                    </w:rPr>
                    <w:t>备注</w:t>
                  </w:r>
                </w:p>
              </w:tc>
            </w:tr>
            <w:tr>
              <w:tblPrEx>
                <w:tblLayout w:type="fixed"/>
                <w:tblCellMar>
                  <w:top w:w="40" w:type="dxa"/>
                  <w:left w:w="107" w:type="dxa"/>
                  <w:bottom w:w="0" w:type="dxa"/>
                  <w:right w:w="155" w:type="dxa"/>
                </w:tblCellMar>
              </w:tblPrEx>
              <w:trPr>
                <w:jc w:val="center"/>
              </w:trPr>
              <w:tc>
                <w:tcPr>
                  <w:tcW w:w="724" w:type="dxa"/>
                  <w:tcBorders>
                    <w:top w:val="double" w:color="auto"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w:t>
                  </w:r>
                </w:p>
              </w:tc>
              <w:tc>
                <w:tcPr>
                  <w:tcW w:w="3001" w:type="dxa"/>
                  <w:tcBorders>
                    <w:top w:val="double" w:color="auto"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粗格栅及提升泵房出水管</w:t>
                  </w:r>
                </w:p>
              </w:tc>
              <w:tc>
                <w:tcPr>
                  <w:tcW w:w="1101" w:type="dxa"/>
                  <w:tcBorders>
                    <w:top w:val="double" w:color="auto"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DN600</w:t>
                  </w:r>
                </w:p>
              </w:tc>
              <w:tc>
                <w:tcPr>
                  <w:tcW w:w="824" w:type="dxa"/>
                  <w:tcBorders>
                    <w:top w:val="double" w:color="auto"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double" w:color="auto"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25</w:t>
                  </w:r>
                </w:p>
              </w:tc>
              <w:tc>
                <w:tcPr>
                  <w:tcW w:w="1239" w:type="dxa"/>
                  <w:tcBorders>
                    <w:top w:val="double" w:color="auto"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double" w:color="auto"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2</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细格栅及曝气沉砂池出水管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DN600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82</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3</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改良型</w:t>
                  </w:r>
                  <w:r>
                    <w:rPr>
                      <w:rFonts w:ascii="Times New Roman" w:hAnsi="Times New Roman"/>
                    </w:rPr>
                    <w:t>AAO</w:t>
                  </w:r>
                  <w:r>
                    <w:rPr>
                      <w:rFonts w:hint="eastAsia" w:ascii="Times New Roman" w:hAnsi="Times New Roman"/>
                    </w:rPr>
                    <w:t>池进水管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DN400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24</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4</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改良型</w:t>
                  </w:r>
                  <w:r>
                    <w:rPr>
                      <w:rFonts w:ascii="Times New Roman" w:hAnsi="Times New Roman"/>
                    </w:rPr>
                    <w:t>AAO</w:t>
                  </w:r>
                  <w:r>
                    <w:rPr>
                      <w:rFonts w:hint="eastAsia" w:ascii="Times New Roman" w:hAnsi="Times New Roman"/>
                    </w:rPr>
                    <w:t>池出水管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DN400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32</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5</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改良型</w:t>
                  </w:r>
                  <w:r>
                    <w:rPr>
                      <w:rFonts w:ascii="Times New Roman" w:hAnsi="Times New Roman"/>
                    </w:rPr>
                    <w:t>AAO</w:t>
                  </w:r>
                  <w:r>
                    <w:rPr>
                      <w:rFonts w:hint="eastAsia" w:ascii="Times New Roman" w:hAnsi="Times New Roman"/>
                    </w:rPr>
                    <w:t>池出水总管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DN600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61</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6</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活性砂滤池出水管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DN600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9</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7</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接触消毒池出水管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DN600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68</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8</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中水清水池进水管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DN300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13</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9</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中水泵房出水管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DN300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338</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10</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AAO</w:t>
                  </w:r>
                  <w:r>
                    <w:rPr>
                      <w:rFonts w:hint="eastAsia" w:ascii="Times New Roman" w:hAnsi="Times New Roman"/>
                    </w:rPr>
                    <w:t>池排泥管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DN300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136</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11</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贮泥池进泥管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DN400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85</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12</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污泥泵房进泥管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DN400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14</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13</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PAC</w:t>
                  </w:r>
                  <w:r>
                    <w:rPr>
                      <w:rFonts w:hint="eastAsia" w:ascii="Times New Roman" w:hAnsi="Times New Roman"/>
                    </w:rPr>
                    <w:t>加药管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DN300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23</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14</w:t>
                  </w:r>
                </w:p>
              </w:tc>
              <w:tc>
                <w:tcPr>
                  <w:tcW w:w="30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鼓风总管</w:t>
                  </w:r>
                </w:p>
              </w:tc>
              <w:tc>
                <w:tcPr>
                  <w:tcW w:w="110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DN400</w:t>
                  </w:r>
                </w:p>
              </w:tc>
              <w:tc>
                <w:tcPr>
                  <w:tcW w:w="824"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50</w:t>
                  </w:r>
                </w:p>
              </w:tc>
              <w:tc>
                <w:tcPr>
                  <w:tcW w:w="1239"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r>
              <w:tblPrEx>
                <w:tblLayout w:type="fixed"/>
                <w:tblCellMar>
                  <w:top w:w="40" w:type="dxa"/>
                  <w:left w:w="107" w:type="dxa"/>
                  <w:bottom w:w="0" w:type="dxa"/>
                  <w:right w:w="155" w:type="dxa"/>
                </w:tblCellMar>
              </w:tblPrEx>
              <w:trPr>
                <w:jc w:val="center"/>
              </w:trPr>
              <w:tc>
                <w:tcPr>
                  <w:tcW w:w="724" w:type="dxa"/>
                  <w:tcBorders>
                    <w:top w:val="single" w:color="000000" w:sz="4" w:space="0"/>
                    <w:left w:val="single" w:color="000000" w:sz="12" w:space="0"/>
                    <w:bottom w:val="single" w:color="000000" w:sz="12"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15</w:t>
                  </w:r>
                </w:p>
              </w:tc>
              <w:tc>
                <w:tcPr>
                  <w:tcW w:w="3001" w:type="dxa"/>
                  <w:tcBorders>
                    <w:top w:val="single" w:color="000000" w:sz="4" w:space="0"/>
                    <w:left w:val="single" w:color="000000" w:sz="4" w:space="0"/>
                    <w:bottom w:val="single" w:color="000000" w:sz="12"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鼓风支管</w:t>
                  </w:r>
                </w:p>
              </w:tc>
              <w:tc>
                <w:tcPr>
                  <w:tcW w:w="1101" w:type="dxa"/>
                  <w:tcBorders>
                    <w:top w:val="single" w:color="000000" w:sz="4" w:space="0"/>
                    <w:left w:val="single" w:color="000000" w:sz="4" w:space="0"/>
                    <w:bottom w:val="single" w:color="000000" w:sz="12"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DN300</w:t>
                  </w:r>
                </w:p>
              </w:tc>
              <w:tc>
                <w:tcPr>
                  <w:tcW w:w="824" w:type="dxa"/>
                  <w:tcBorders>
                    <w:top w:val="single" w:color="000000" w:sz="4" w:space="0"/>
                    <w:left w:val="single" w:color="000000" w:sz="4" w:space="0"/>
                    <w:bottom w:val="single" w:color="000000" w:sz="12"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m</w:t>
                  </w:r>
                </w:p>
              </w:tc>
              <w:tc>
                <w:tcPr>
                  <w:tcW w:w="826" w:type="dxa"/>
                  <w:tcBorders>
                    <w:top w:val="single" w:color="000000" w:sz="4" w:space="0"/>
                    <w:left w:val="single" w:color="000000" w:sz="4" w:space="0"/>
                    <w:bottom w:val="single" w:color="000000" w:sz="12" w:space="0"/>
                    <w:right w:val="single" w:color="000000" w:sz="4" w:space="0"/>
                  </w:tcBorders>
                  <w:vAlign w:val="center"/>
                </w:tcPr>
                <w:p>
                  <w:pPr>
                    <w:spacing w:line="240" w:lineRule="atLeast"/>
                    <w:jc w:val="center"/>
                    <w:rPr>
                      <w:rFonts w:ascii="Times New Roman" w:hAnsi="Times New Roman"/>
                    </w:rPr>
                  </w:pPr>
                  <w:r>
                    <w:rPr>
                      <w:rFonts w:ascii="Times New Roman" w:hAnsi="Times New Roman"/>
                    </w:rPr>
                    <w:t>144</w:t>
                  </w:r>
                </w:p>
              </w:tc>
              <w:tc>
                <w:tcPr>
                  <w:tcW w:w="1239" w:type="dxa"/>
                  <w:tcBorders>
                    <w:top w:val="single" w:color="000000" w:sz="4" w:space="0"/>
                    <w:left w:val="single" w:color="000000" w:sz="4" w:space="0"/>
                    <w:bottom w:val="single" w:color="000000" w:sz="12" w:space="0"/>
                    <w:right w:val="single" w:color="000000" w:sz="4" w:space="0"/>
                  </w:tcBorders>
                  <w:vAlign w:val="center"/>
                </w:tcPr>
                <w:p>
                  <w:pPr>
                    <w:spacing w:line="240" w:lineRule="atLeast"/>
                    <w:jc w:val="center"/>
                    <w:rPr>
                      <w:rFonts w:ascii="Times New Roman" w:hAnsi="Times New Roman"/>
                    </w:rPr>
                  </w:pPr>
                  <w:r>
                    <w:rPr>
                      <w:rFonts w:hint="eastAsia" w:ascii="Times New Roman" w:hAnsi="Times New Roman"/>
                    </w:rPr>
                    <w:t>钢</w:t>
                  </w:r>
                </w:p>
              </w:tc>
              <w:tc>
                <w:tcPr>
                  <w:tcW w:w="1383" w:type="dxa"/>
                  <w:tcBorders>
                    <w:top w:val="single" w:color="000000" w:sz="4" w:space="0"/>
                    <w:left w:val="single" w:color="000000" w:sz="4" w:space="0"/>
                    <w:bottom w:val="single" w:color="000000" w:sz="12" w:space="0"/>
                    <w:right w:val="single" w:color="000000" w:sz="12" w:space="0"/>
                  </w:tcBorders>
                  <w:vAlign w:val="center"/>
                </w:tcPr>
                <w:p>
                  <w:pPr>
                    <w:spacing w:line="240" w:lineRule="atLeast"/>
                    <w:jc w:val="center"/>
                    <w:rPr>
                      <w:rFonts w:ascii="Times New Roman" w:hAnsi="Times New Roman"/>
                    </w:rPr>
                  </w:pPr>
                  <w:r>
                    <w:rPr>
                      <w:rFonts w:hint="eastAsia" w:ascii="Times New Roman" w:hAnsi="Times New Roman"/>
                    </w:rPr>
                    <w:t>新增</w:t>
                  </w:r>
                </w:p>
              </w:tc>
            </w:tr>
          </w:tbl>
          <w:p>
            <w:pPr>
              <w:pStyle w:val="2"/>
              <w:spacing w:line="360" w:lineRule="auto"/>
              <w:ind w:firstLine="480"/>
              <w:rPr>
                <w:b/>
                <w:bCs/>
                <w:szCs w:val="28"/>
              </w:rPr>
            </w:pPr>
            <w:r>
              <w:rPr>
                <w:b/>
                <w:bCs/>
                <w:szCs w:val="28"/>
              </w:rPr>
              <w:t>3</w:t>
            </w:r>
            <w:r>
              <w:rPr>
                <w:rFonts w:hint="eastAsia"/>
                <w:b/>
                <w:bCs/>
                <w:szCs w:val="28"/>
              </w:rPr>
              <w:t>、主要设备</w:t>
            </w:r>
          </w:p>
          <w:p>
            <w:pPr>
              <w:pStyle w:val="2"/>
              <w:spacing w:line="360" w:lineRule="auto"/>
              <w:ind w:firstLine="480" w:firstLineChars="200"/>
              <w:rPr>
                <w:szCs w:val="28"/>
              </w:rPr>
            </w:pPr>
            <w:r>
              <w:rPr>
                <w:rFonts w:hint="eastAsia"/>
                <w:szCs w:val="28"/>
              </w:rPr>
              <w:t>本项目二期工程主要新增设备清单详见表</w:t>
            </w:r>
            <w:r>
              <w:rPr>
                <w:szCs w:val="28"/>
              </w:rPr>
              <w:t>1-8</w:t>
            </w:r>
            <w:r>
              <w:rPr>
                <w:rFonts w:hint="eastAsia"/>
                <w:szCs w:val="28"/>
              </w:rPr>
              <w:t>，现有工程更换设备清单详见表</w:t>
            </w:r>
            <w:r>
              <w:rPr>
                <w:szCs w:val="28"/>
              </w:rPr>
              <w:t>1-9</w:t>
            </w:r>
            <w:r>
              <w:rPr>
                <w:rFonts w:hint="eastAsia"/>
                <w:szCs w:val="28"/>
              </w:rPr>
              <w:t>。</w:t>
            </w:r>
          </w:p>
          <w:p>
            <w:pPr>
              <w:pStyle w:val="2"/>
              <w:spacing w:line="360" w:lineRule="auto"/>
              <w:ind w:firstLine="482" w:firstLineChars="200"/>
              <w:jc w:val="center"/>
              <w:rPr>
                <w:b/>
                <w:bCs/>
                <w:szCs w:val="28"/>
              </w:rPr>
            </w:pPr>
            <w:r>
              <w:rPr>
                <w:rFonts w:hint="eastAsia"/>
                <w:b/>
                <w:bCs/>
                <w:szCs w:val="28"/>
              </w:rPr>
              <w:t>表</w:t>
            </w:r>
            <w:r>
              <w:rPr>
                <w:b/>
                <w:bCs/>
                <w:szCs w:val="28"/>
              </w:rPr>
              <w:t>1-8</w:t>
            </w:r>
            <w:r>
              <w:rPr>
                <w:rFonts w:hint="eastAsia"/>
                <w:b/>
                <w:bCs/>
                <w:szCs w:val="28"/>
              </w:rPr>
              <w:t>二期工程主要新增设备一览表</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5"/>
              <w:gridCol w:w="2081"/>
              <w:gridCol w:w="3982"/>
              <w:gridCol w:w="639"/>
              <w:gridCol w:w="636"/>
              <w:gridCol w:w="10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705"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序号</w:t>
                  </w:r>
                </w:p>
              </w:tc>
              <w:tc>
                <w:tcPr>
                  <w:tcW w:w="2081"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设备名称</w:t>
                  </w:r>
                </w:p>
              </w:tc>
              <w:tc>
                <w:tcPr>
                  <w:tcW w:w="3982"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规格参数</w:t>
                  </w:r>
                </w:p>
              </w:tc>
              <w:tc>
                <w:tcPr>
                  <w:tcW w:w="639"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单位</w:t>
                  </w:r>
                </w:p>
              </w:tc>
              <w:tc>
                <w:tcPr>
                  <w:tcW w:w="636"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数量</w:t>
                  </w:r>
                </w:p>
              </w:tc>
              <w:tc>
                <w:tcPr>
                  <w:tcW w:w="1055" w:type="dxa"/>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b/>
                      <w:bCs/>
                      <w:szCs w:val="21"/>
                    </w:rPr>
                  </w:pPr>
                  <w:r>
                    <w:rPr>
                      <w:rFonts w:hint="eastAsia" w:ascii="Times New Roman" w:hAnsi="Times New Roman"/>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粗格栅间及进水泵房</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利用现有构筑物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进水提升泵</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流量</w:t>
                  </w:r>
                  <w:r>
                    <w:rPr>
                      <w:rFonts w:ascii="Times New Roman" w:hAnsi="Times New Roman"/>
                      <w:szCs w:val="21"/>
                    </w:rPr>
                    <w:t>Q=320m</w:t>
                  </w:r>
                  <w:r>
                    <w:rPr>
                      <w:rFonts w:ascii="Times New Roman" w:hAnsi="Times New Roman"/>
                      <w:szCs w:val="21"/>
                      <w:vertAlign w:val="superscript"/>
                    </w:rPr>
                    <w:t>3</w:t>
                  </w:r>
                  <w:r>
                    <w:rPr>
                      <w:rFonts w:ascii="Times New Roman" w:hAnsi="Times New Roman"/>
                      <w:szCs w:val="21"/>
                    </w:rPr>
                    <w:t>/h</w:t>
                  </w:r>
                  <w:r>
                    <w:rPr>
                      <w:rFonts w:hint="eastAsia" w:ascii="Times New Roman" w:hAnsi="Times New Roman"/>
                      <w:szCs w:val="21"/>
                    </w:rPr>
                    <w:t>，扬程</w:t>
                  </w:r>
                  <w:r>
                    <w:rPr>
                      <w:rFonts w:ascii="Times New Roman" w:hAnsi="Times New Roman"/>
                      <w:szCs w:val="21"/>
                    </w:rPr>
                    <w:t>H=13.0m</w:t>
                  </w:r>
                  <w:r>
                    <w:rPr>
                      <w:rFonts w:hint="eastAsia" w:ascii="Times New Roman" w:hAnsi="Times New Roman"/>
                      <w:szCs w:val="21"/>
                    </w:rPr>
                    <w:t>，电机功率</w:t>
                  </w:r>
                  <w:r>
                    <w:rPr>
                      <w:rFonts w:ascii="Times New Roman" w:hAnsi="Times New Roman"/>
                      <w:szCs w:val="21"/>
                    </w:rPr>
                    <w:t>P</w:t>
                  </w:r>
                  <w:r>
                    <w:rPr>
                      <w:rFonts w:hint="eastAsia" w:ascii="Times New Roman" w:hAnsi="Times New Roman"/>
                      <w:szCs w:val="21"/>
                    </w:rPr>
                    <w:t>＝</w:t>
                  </w:r>
                  <w:r>
                    <w:rPr>
                      <w:rFonts w:ascii="Times New Roman" w:hAnsi="Times New Roman"/>
                      <w:szCs w:val="21"/>
                    </w:rPr>
                    <w:t>15.0kw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3</w:t>
                  </w:r>
                  <w:r>
                    <w:rPr>
                      <w:rFonts w:hint="eastAsia" w:ascii="Times New Roman" w:hAnsi="Times New Roman"/>
                      <w:szCs w:val="21"/>
                    </w:rPr>
                    <w:t>用</w:t>
                  </w:r>
                  <w:r>
                    <w:rPr>
                      <w:rFonts w:ascii="Times New Roman" w:hAnsi="Times New Roman"/>
                      <w:szCs w:val="21"/>
                    </w:rPr>
                    <w:t>1</w:t>
                  </w:r>
                  <w:r>
                    <w:rPr>
                      <w:rFonts w:hint="eastAsia" w:ascii="Times New Roman" w:hAnsi="Times New Roman"/>
                      <w:szCs w:val="21"/>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手电动浆液阀</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DN300</w:t>
                  </w:r>
                  <w:r>
                    <w:rPr>
                      <w:rFonts w:hint="eastAsia" w:ascii="Times New Roman" w:hAnsi="Times New Roman"/>
                      <w:szCs w:val="21"/>
                    </w:rPr>
                    <w:t>，</w:t>
                  </w:r>
                  <w:r>
                    <w:rPr>
                      <w:rFonts w:ascii="Times New Roman" w:hAnsi="Times New Roman"/>
                      <w:szCs w:val="21"/>
                    </w:rPr>
                    <w:t>P</w:t>
                  </w:r>
                  <w:r>
                    <w:rPr>
                      <w:rFonts w:hint="eastAsia" w:ascii="Times New Roman" w:hAnsi="Times New Roman"/>
                      <w:szCs w:val="21"/>
                    </w:rPr>
                    <w:t>＝</w:t>
                  </w:r>
                  <w:r>
                    <w:rPr>
                      <w:rFonts w:ascii="Times New Roman" w:hAnsi="Times New Roman"/>
                      <w:szCs w:val="21"/>
                    </w:rPr>
                    <w:t>0.22kw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3</w:t>
                  </w:r>
                  <w:r>
                    <w:rPr>
                      <w:rFonts w:hint="eastAsia" w:ascii="Times New Roman" w:hAnsi="Times New Roman"/>
                      <w:szCs w:val="21"/>
                    </w:rPr>
                    <w:t>用</w:t>
                  </w:r>
                  <w:r>
                    <w:rPr>
                      <w:rFonts w:ascii="Times New Roman" w:hAnsi="Times New Roman"/>
                      <w:szCs w:val="21"/>
                    </w:rPr>
                    <w:t>1</w:t>
                  </w:r>
                  <w:r>
                    <w:rPr>
                      <w:rFonts w:hint="eastAsia" w:ascii="Times New Roman" w:hAnsi="Times New Roman"/>
                      <w:szCs w:val="21"/>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1.3</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止回阀</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DN300</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细格栅及曝气沉砂池</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L×W×H</w:t>
                  </w:r>
                  <w:r>
                    <w:rPr>
                      <w:rFonts w:hint="eastAsia" w:ascii="Times New Roman" w:hAnsi="Times New Roman"/>
                      <w:b/>
                      <w:szCs w:val="21"/>
                    </w:rPr>
                    <w:t>＝</w:t>
                  </w:r>
                  <w:r>
                    <w:rPr>
                      <w:rFonts w:ascii="Times New Roman" w:hAnsi="Times New Roman"/>
                      <w:b/>
                      <w:szCs w:val="21"/>
                    </w:rPr>
                    <w:t>20.0×13.5×5.0m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座</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回转式格栅除污机</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渠道宽度</w:t>
                  </w:r>
                  <w:r>
                    <w:rPr>
                      <w:rFonts w:ascii="Times New Roman" w:hAnsi="Times New Roman"/>
                      <w:szCs w:val="21"/>
                    </w:rPr>
                    <w:t>W</w:t>
                  </w:r>
                  <w:r>
                    <w:rPr>
                      <w:rFonts w:hint="eastAsia" w:ascii="Times New Roman" w:hAnsi="Times New Roman"/>
                      <w:szCs w:val="21"/>
                    </w:rPr>
                    <w:t>＝</w:t>
                  </w:r>
                  <w:r>
                    <w:rPr>
                      <w:rFonts w:ascii="Times New Roman" w:hAnsi="Times New Roman"/>
                      <w:szCs w:val="21"/>
                    </w:rPr>
                    <w:t>0.7m</w:t>
                  </w:r>
                  <w:r>
                    <w:rPr>
                      <w:rFonts w:hint="eastAsia" w:ascii="Times New Roman" w:hAnsi="Times New Roman"/>
                      <w:szCs w:val="21"/>
                    </w:rPr>
                    <w:t>，渠道深度</w:t>
                  </w:r>
                  <w:r>
                    <w:rPr>
                      <w:rFonts w:ascii="Times New Roman" w:hAnsi="Times New Roman"/>
                      <w:szCs w:val="21"/>
                    </w:rPr>
                    <w:t>H</w:t>
                  </w:r>
                  <w:r>
                    <w:rPr>
                      <w:rFonts w:hint="eastAsia" w:ascii="Times New Roman" w:hAnsi="Times New Roman"/>
                      <w:szCs w:val="21"/>
                    </w:rPr>
                    <w:t>＝</w:t>
                  </w:r>
                  <w:r>
                    <w:rPr>
                      <w:rFonts w:ascii="Times New Roman" w:hAnsi="Times New Roman"/>
                      <w:szCs w:val="21"/>
                    </w:rPr>
                    <w:t>1.5m</w:t>
                  </w:r>
                  <w:r>
                    <w:rPr>
                      <w:rFonts w:hint="eastAsia" w:ascii="Times New Roman" w:hAnsi="Times New Roman"/>
                      <w:szCs w:val="21"/>
                    </w:rPr>
                    <w:t>，安装角度</w:t>
                  </w:r>
                  <w:r>
                    <w:rPr>
                      <w:rFonts w:ascii="Times New Roman" w:hAnsi="Times New Roman"/>
                      <w:szCs w:val="21"/>
                    </w:rPr>
                    <w:t>75°</w:t>
                  </w:r>
                  <w:r>
                    <w:rPr>
                      <w:rFonts w:hint="eastAsia" w:ascii="Times New Roman" w:hAnsi="Times New Roman"/>
                      <w:szCs w:val="21"/>
                    </w:rPr>
                    <w:t>，电机功率</w:t>
                  </w:r>
                  <w:r>
                    <w:rPr>
                      <w:rFonts w:ascii="Times New Roman" w:hAnsi="Times New Roman"/>
                      <w:szCs w:val="21"/>
                    </w:rPr>
                    <w:t>P</w:t>
                  </w:r>
                  <w:r>
                    <w:rPr>
                      <w:rFonts w:hint="eastAsia" w:ascii="Times New Roman" w:hAnsi="Times New Roman"/>
                      <w:szCs w:val="21"/>
                    </w:rPr>
                    <w:t>＝</w:t>
                  </w:r>
                  <w:r>
                    <w:rPr>
                      <w:rFonts w:ascii="Times New Roman" w:hAnsi="Times New Roman"/>
                      <w:szCs w:val="21"/>
                    </w:rPr>
                    <w:t>1.25kw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手电动铸铁闸门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W×H</w:t>
                  </w:r>
                  <w:r>
                    <w:rPr>
                      <w:rFonts w:hint="eastAsia" w:ascii="Times New Roman" w:hAnsi="Times New Roman"/>
                      <w:szCs w:val="21"/>
                    </w:rPr>
                    <w:t>＝</w:t>
                  </w:r>
                  <w:r>
                    <w:rPr>
                      <w:rFonts w:ascii="Times New Roman" w:hAnsi="Times New Roman"/>
                      <w:szCs w:val="21"/>
                    </w:rPr>
                    <w:t>0.5×0.5m</w:t>
                  </w:r>
                  <w:r>
                    <w:rPr>
                      <w:rFonts w:hint="eastAsia" w:ascii="Times New Roman" w:hAnsi="Times New Roman"/>
                      <w:szCs w:val="21"/>
                    </w:rPr>
                    <w:t>，电机功率</w:t>
                  </w:r>
                  <w:r>
                    <w:rPr>
                      <w:rFonts w:ascii="Times New Roman" w:hAnsi="Times New Roman"/>
                      <w:szCs w:val="21"/>
                    </w:rPr>
                    <w:t>P</w:t>
                  </w:r>
                  <w:r>
                    <w:rPr>
                      <w:rFonts w:hint="eastAsia" w:ascii="Times New Roman" w:hAnsi="Times New Roman"/>
                      <w:szCs w:val="21"/>
                    </w:rPr>
                    <w:t>＝</w:t>
                  </w:r>
                  <w:r>
                    <w:rPr>
                      <w:rFonts w:ascii="Times New Roman" w:hAnsi="Times New Roman"/>
                      <w:szCs w:val="21"/>
                    </w:rPr>
                    <w:t>1.25kw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2.3</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螺旋输送机</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螺旋直径</w:t>
                  </w:r>
                  <w:r>
                    <w:rPr>
                      <w:rFonts w:ascii="Times New Roman" w:hAnsi="Times New Roman"/>
                      <w:szCs w:val="21"/>
                    </w:rPr>
                    <w:t>D320</w:t>
                  </w:r>
                  <w:r>
                    <w:rPr>
                      <w:rFonts w:hint="eastAsia" w:ascii="Times New Roman" w:hAnsi="Times New Roman"/>
                      <w:szCs w:val="21"/>
                    </w:rPr>
                    <w:t>，长</w:t>
                  </w:r>
                  <w:r>
                    <w:rPr>
                      <w:rFonts w:ascii="Times New Roman" w:hAnsi="Times New Roman"/>
                      <w:szCs w:val="21"/>
                    </w:rPr>
                    <w:t>L</w:t>
                  </w:r>
                  <w:r>
                    <w:rPr>
                      <w:rFonts w:hint="eastAsia" w:ascii="Times New Roman" w:hAnsi="Times New Roman"/>
                      <w:szCs w:val="21"/>
                    </w:rPr>
                    <w:t>＝</w:t>
                  </w:r>
                  <w:r>
                    <w:rPr>
                      <w:rFonts w:ascii="Times New Roman" w:hAnsi="Times New Roman"/>
                      <w:szCs w:val="21"/>
                    </w:rPr>
                    <w:t>4.5m</w:t>
                  </w:r>
                  <w:r>
                    <w:rPr>
                      <w:rFonts w:hint="eastAsia" w:ascii="Times New Roman" w:hAnsi="Times New Roman"/>
                      <w:szCs w:val="21"/>
                    </w:rPr>
                    <w:t>，电机功率</w:t>
                  </w:r>
                  <w:r>
                    <w:rPr>
                      <w:rFonts w:ascii="Times New Roman" w:hAnsi="Times New Roman"/>
                      <w:szCs w:val="21"/>
                    </w:rPr>
                    <w:t>P</w:t>
                  </w:r>
                  <w:r>
                    <w:rPr>
                      <w:rFonts w:hint="eastAsia" w:ascii="Times New Roman" w:hAnsi="Times New Roman"/>
                      <w:szCs w:val="21"/>
                    </w:rPr>
                    <w:t>＝</w:t>
                  </w:r>
                  <w:r>
                    <w:rPr>
                      <w:rFonts w:ascii="Times New Roman" w:hAnsi="Times New Roman"/>
                      <w:szCs w:val="21"/>
                    </w:rPr>
                    <w:t>1.25kw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2.4</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气提系统</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Q=9.8-15L/sP=1.1Kw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2.5</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曝气沉砂池搅拌浆</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w:t>
                  </w:r>
                  <w:r>
                    <w:rPr>
                      <w:rFonts w:hint="eastAsia" w:ascii="Times New Roman" w:hAnsi="Times New Roman"/>
                      <w:szCs w:val="21"/>
                    </w:rPr>
                    <w:t>＝</w:t>
                  </w:r>
                  <w:r>
                    <w:rPr>
                      <w:rFonts w:ascii="Times New Roman" w:hAnsi="Times New Roman"/>
                      <w:szCs w:val="21"/>
                    </w:rPr>
                    <w:t>150l/s</w:t>
                  </w:r>
                  <w:r>
                    <w:rPr>
                      <w:rFonts w:hint="eastAsia" w:ascii="Times New Roman" w:hAnsi="Times New Roman"/>
                      <w:szCs w:val="21"/>
                    </w:rPr>
                    <w:t>，电机功率</w:t>
                  </w:r>
                  <w:r>
                    <w:rPr>
                      <w:rFonts w:ascii="Times New Roman" w:hAnsi="Times New Roman"/>
                      <w:szCs w:val="21"/>
                    </w:rPr>
                    <w:t>P</w:t>
                  </w:r>
                  <w:r>
                    <w:rPr>
                      <w:rFonts w:hint="eastAsia" w:ascii="Times New Roman" w:hAnsi="Times New Roman"/>
                      <w:szCs w:val="21"/>
                    </w:rPr>
                    <w:t>＝</w:t>
                  </w:r>
                  <w:r>
                    <w:rPr>
                      <w:rFonts w:ascii="Times New Roman" w:hAnsi="Times New Roman"/>
                      <w:szCs w:val="21"/>
                    </w:rPr>
                    <w:t>0.55kw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2.6</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砂水分离器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Q=5-15L/s</w:t>
                  </w:r>
                  <w:r>
                    <w:rPr>
                      <w:rFonts w:hint="eastAsia" w:ascii="Times New Roman" w:hAnsi="Times New Roman"/>
                      <w:szCs w:val="21"/>
                    </w:rPr>
                    <w:t>，</w:t>
                  </w:r>
                  <w:r>
                    <w:rPr>
                      <w:rFonts w:ascii="Times New Roman" w:hAnsi="Times New Roman"/>
                      <w:szCs w:val="21"/>
                    </w:rPr>
                    <w:t>P=0.55Kw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2.7</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叠梁闸</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W×H</w:t>
                  </w:r>
                  <w:r>
                    <w:rPr>
                      <w:rFonts w:hint="eastAsia" w:ascii="Times New Roman" w:hAnsi="Times New Roman"/>
                      <w:szCs w:val="21"/>
                    </w:rPr>
                    <w:t>＝</w:t>
                  </w:r>
                  <w:r>
                    <w:rPr>
                      <w:rFonts w:ascii="Times New Roman" w:hAnsi="Times New Roman"/>
                      <w:szCs w:val="21"/>
                    </w:rPr>
                    <w:t>800×1200mm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2.8</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叠梁闸</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W×H</w:t>
                  </w:r>
                  <w:r>
                    <w:rPr>
                      <w:rFonts w:hint="eastAsia" w:ascii="Times New Roman" w:hAnsi="Times New Roman"/>
                      <w:szCs w:val="21"/>
                    </w:rPr>
                    <w:t>＝</w:t>
                  </w:r>
                  <w:r>
                    <w:rPr>
                      <w:rFonts w:ascii="Times New Roman" w:hAnsi="Times New Roman"/>
                      <w:szCs w:val="21"/>
                    </w:rPr>
                    <w:t>1500×1200mm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bookmarkStart w:id="11" w:name="_Hlk9949300"/>
                  <w:r>
                    <w:rPr>
                      <w:rFonts w:ascii="Times New Roman" w:hAnsi="Times New Roman"/>
                      <w:b/>
                      <w:szCs w:val="21"/>
                    </w:rPr>
                    <w:t>3</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改良型合建式</w:t>
                  </w:r>
                  <w:r>
                    <w:rPr>
                      <w:rFonts w:ascii="Times New Roman" w:hAnsi="Times New Roman"/>
                      <w:b/>
                      <w:szCs w:val="21"/>
                    </w:rPr>
                    <w:t>AAO</w:t>
                  </w:r>
                </w:p>
                <w:p>
                  <w:pPr>
                    <w:jc w:val="center"/>
                    <w:rPr>
                      <w:rFonts w:ascii="Times New Roman" w:hAnsi="Times New Roman"/>
                      <w:b/>
                      <w:szCs w:val="21"/>
                    </w:rPr>
                  </w:pPr>
                  <w:r>
                    <w:rPr>
                      <w:rFonts w:hint="eastAsia" w:ascii="Times New Roman" w:hAnsi="Times New Roman"/>
                      <w:b/>
                      <w:szCs w:val="21"/>
                    </w:rPr>
                    <w:t>（</w:t>
                  </w:r>
                  <w:r>
                    <w:rPr>
                      <w:rFonts w:ascii="Times New Roman" w:hAnsi="Times New Roman"/>
                      <w:b/>
                      <w:szCs w:val="21"/>
                    </w:rPr>
                    <w:t>BioDopp</w:t>
                  </w:r>
                  <w:r>
                    <w:rPr>
                      <w:rFonts w:hint="eastAsia" w:ascii="Times New Roman" w:hAnsi="Times New Roman"/>
                      <w:b/>
                      <w:szCs w:val="21"/>
                    </w:rPr>
                    <w:t>）</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L×W×H</w:t>
                  </w:r>
                  <w:r>
                    <w:rPr>
                      <w:rFonts w:hint="eastAsia" w:ascii="Times New Roman" w:hAnsi="Times New Roman"/>
                      <w:b/>
                      <w:szCs w:val="21"/>
                    </w:rPr>
                    <w:t>＝</w:t>
                  </w:r>
                  <w:r>
                    <w:rPr>
                      <w:rFonts w:ascii="Times New Roman" w:hAnsi="Times New Roman"/>
                      <w:b/>
                      <w:szCs w:val="21"/>
                    </w:rPr>
                    <w:t>51.4×38.7×6.5m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座</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曝气管</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直径</w:t>
                  </w:r>
                  <w:r>
                    <w:rPr>
                      <w:rFonts w:ascii="Times New Roman" w:hAnsi="Times New Roman"/>
                      <w:szCs w:val="21"/>
                    </w:rPr>
                    <w:t>65mm</w:t>
                  </w:r>
                  <w:r>
                    <w:rPr>
                      <w:rFonts w:hint="eastAsia" w:ascii="Times New Roman" w:hAnsi="Times New Roman"/>
                      <w:szCs w:val="21"/>
                    </w:rPr>
                    <w:t>，通气量</w:t>
                  </w:r>
                  <w:r>
                    <w:rPr>
                      <w:rFonts w:ascii="Times New Roman" w:hAnsi="Times New Roman"/>
                      <w:szCs w:val="21"/>
                    </w:rPr>
                    <w:t>0.83m</w:t>
                  </w:r>
                  <w:r>
                    <w:rPr>
                      <w:rFonts w:ascii="Times New Roman" w:hAnsi="Times New Roman"/>
                      <w:szCs w:val="21"/>
                      <w:vertAlign w:val="superscript"/>
                    </w:rPr>
                    <w:t>3</w:t>
                  </w:r>
                  <w:r>
                    <w:rPr>
                      <w:rFonts w:ascii="Times New Roman" w:hAnsi="Times New Roman"/>
                      <w:szCs w:val="21"/>
                    </w:rPr>
                    <w:t>/m·h</w:t>
                  </w:r>
                  <w:r>
                    <w:rPr>
                      <w:rFonts w:hint="eastAsia" w:ascii="Times New Roman" w:hAnsi="Times New Roman"/>
                      <w:szCs w:val="21"/>
                    </w:rPr>
                    <w:t>，氧利用率</w:t>
                  </w:r>
                  <w:r>
                    <w:rPr>
                      <w:rFonts w:ascii="Times New Roman" w:hAnsi="Times New Roman"/>
                      <w:szCs w:val="21"/>
                    </w:rPr>
                    <w:t>35%</w:t>
                  </w:r>
                  <w:r>
                    <w:rPr>
                      <w:rFonts w:hint="eastAsia" w:ascii="Times New Roman" w:hAnsi="Times New Roman"/>
                      <w:szCs w:val="21"/>
                    </w:rPr>
                    <w:t>，壁厚</w:t>
                  </w:r>
                  <w:r>
                    <w:rPr>
                      <w:rFonts w:ascii="Times New Roman" w:hAnsi="Times New Roman"/>
                      <w:szCs w:val="21"/>
                    </w:rPr>
                    <w:t>0.4mm</w:t>
                  </w:r>
                  <w:r>
                    <w:rPr>
                      <w:rFonts w:hint="eastAsia" w:ascii="Times New Roman" w:hAnsi="Times New Roman"/>
                      <w:szCs w:val="21"/>
                    </w:rPr>
                    <w:t>，压力损失</w:t>
                  </w:r>
                  <w:r>
                    <w:rPr>
                      <w:rFonts w:ascii="Times New Roman" w:hAnsi="Times New Roman"/>
                      <w:szCs w:val="21"/>
                    </w:rPr>
                    <w:t>≤1800Pa</w:t>
                  </w:r>
                  <w:r>
                    <w:rPr>
                      <w:rFonts w:hint="eastAsia" w:ascii="Times New Roman" w:hAnsi="Times New Roman"/>
                      <w:szCs w:val="21"/>
                    </w:rPr>
                    <w:t>，工作水深</w:t>
                  </w:r>
                  <w:r>
                    <w:rPr>
                      <w:rFonts w:ascii="Times New Roman" w:hAnsi="Times New Roman"/>
                      <w:szCs w:val="21"/>
                    </w:rPr>
                    <w:t>6.0m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m</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2570</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德式不锈钢管箍</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宽度</w:t>
                  </w:r>
                  <w:r>
                    <w:rPr>
                      <w:rFonts w:ascii="Times New Roman" w:hAnsi="Times New Roman"/>
                      <w:szCs w:val="21"/>
                    </w:rPr>
                    <w:t>15mm</w:t>
                  </w:r>
                  <w:r>
                    <w:rPr>
                      <w:rFonts w:hint="eastAsia" w:ascii="Times New Roman" w:hAnsi="Times New Roman"/>
                      <w:szCs w:val="21"/>
                    </w:rPr>
                    <w:t>，束紧直径</w:t>
                  </w:r>
                  <w:r>
                    <w:rPr>
                      <w:rFonts w:ascii="Times New Roman" w:hAnsi="Times New Roman"/>
                      <w:szCs w:val="21"/>
                    </w:rPr>
                    <w:t>40~64mm</w:t>
                  </w:r>
                  <w:r>
                    <w:rPr>
                      <w:rFonts w:hint="eastAsia" w:ascii="Times New Roman" w:hAnsi="Times New Roman"/>
                      <w:szCs w:val="21"/>
                    </w:rPr>
                    <w:t>，束紧强度不小于</w:t>
                  </w:r>
                  <w:r>
                    <w:rPr>
                      <w:rFonts w:ascii="Times New Roman" w:hAnsi="Times New Roman"/>
                      <w:szCs w:val="21"/>
                    </w:rPr>
                    <w:t>50kg</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个</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144</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3.3</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空气提推器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工作水深</w:t>
                  </w:r>
                  <w:r>
                    <w:rPr>
                      <w:rFonts w:ascii="Times New Roman" w:hAnsi="Times New Roman"/>
                      <w:szCs w:val="21"/>
                    </w:rPr>
                    <w:t>4.8m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3.4</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稳恒装置</w:t>
                  </w:r>
                  <w:r>
                    <w:rPr>
                      <w:rFonts w:ascii="Times New Roman" w:hAnsi="Times New Roman"/>
                      <w:szCs w:val="21"/>
                    </w:rPr>
                    <w:t>b</w:t>
                  </w:r>
                  <w:r>
                    <w:rPr>
                      <w:rFonts w:hint="eastAsia" w:ascii="Times New Roman" w:hAnsi="Times New Roman"/>
                      <w:szCs w:val="21"/>
                    </w:rPr>
                    <w:t>型</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BH-</w:t>
                  </w:r>
                  <w:r>
                    <w:rPr>
                      <w:rFonts w:hint="eastAsia" w:ascii="MS Mincho" w:hAnsi="MS Mincho" w:eastAsia="MS Mincho" w:cs="MS Mincho"/>
                      <w:szCs w:val="21"/>
                    </w:rPr>
                    <w:t>∅</w:t>
                  </w:r>
                  <w:r>
                    <w:rPr>
                      <w:rFonts w:ascii="Times New Roman" w:hAnsi="Times New Roman"/>
                      <w:szCs w:val="21"/>
                    </w:rPr>
                    <w:t>50×1665-10</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组</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292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3.5</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稳恒装置</w:t>
                  </w:r>
                  <w:r>
                    <w:rPr>
                      <w:rFonts w:ascii="Times New Roman" w:hAnsi="Times New Roman"/>
                      <w:szCs w:val="21"/>
                    </w:rPr>
                    <w:t>c</w:t>
                  </w:r>
                  <w:r>
                    <w:rPr>
                      <w:rFonts w:hint="eastAsia" w:ascii="Times New Roman" w:hAnsi="Times New Roman"/>
                      <w:szCs w:val="21"/>
                    </w:rPr>
                    <w:t>型</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BH-</w:t>
                  </w:r>
                  <w:r>
                    <w:rPr>
                      <w:rFonts w:hint="eastAsia" w:ascii="MS Mincho" w:hAnsi="MS Mincho" w:eastAsia="MS Mincho" w:cs="MS Mincho"/>
                      <w:szCs w:val="21"/>
                    </w:rPr>
                    <w:t>∅</w:t>
                  </w:r>
                  <w:r>
                    <w:rPr>
                      <w:rFonts w:ascii="Times New Roman" w:hAnsi="Times New Roman"/>
                      <w:szCs w:val="21"/>
                    </w:rPr>
                    <w:t>50×1355-8</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组</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292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3.6</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稳恒支架</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BR-</w:t>
                  </w:r>
                  <w:r>
                    <w:rPr>
                      <w:rFonts w:hint="eastAsia" w:ascii="宋体" w:hAnsi="宋体" w:cs="宋体"/>
                      <w:szCs w:val="21"/>
                    </w:rPr>
                    <w:t>∠</w:t>
                  </w:r>
                  <w:r>
                    <w:rPr>
                      <w:rFonts w:ascii="Times New Roman" w:hAnsi="Times New Roman"/>
                      <w:szCs w:val="21"/>
                    </w:rPr>
                    <w:t>200</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个</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1168</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3.7</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压稳滚轴</w:t>
                  </w:r>
                  <w:r>
                    <w:rPr>
                      <w:rFonts w:ascii="Times New Roman" w:hAnsi="Times New Roman"/>
                      <w:kern w:val="0"/>
                      <w:szCs w:val="21"/>
                    </w:rPr>
                    <w:t>b</w:t>
                  </w:r>
                  <w:r>
                    <w:rPr>
                      <w:rFonts w:hint="eastAsia" w:ascii="Times New Roman" w:hAnsi="Times New Roman"/>
                      <w:kern w:val="0"/>
                      <w:szCs w:val="21"/>
                    </w:rPr>
                    <w:t>型</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BR-</w:t>
                  </w:r>
                  <w:r>
                    <w:rPr>
                      <w:rFonts w:hint="eastAsia" w:ascii="MS Mincho" w:hAnsi="MS Mincho" w:eastAsia="MS Mincho" w:cs="MS Mincho"/>
                      <w:szCs w:val="21"/>
                    </w:rPr>
                    <w:t>∅</w:t>
                  </w:r>
                  <w:r>
                    <w:rPr>
                      <w:rFonts w:ascii="Times New Roman" w:hAnsi="Times New Roman"/>
                      <w:szCs w:val="21"/>
                    </w:rPr>
                    <w:t>50×1550-10</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个</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8</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3.8</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压稳滚轴</w:t>
                  </w:r>
                  <w:r>
                    <w:rPr>
                      <w:rFonts w:ascii="Times New Roman" w:hAnsi="Times New Roman"/>
                      <w:kern w:val="0"/>
                      <w:szCs w:val="21"/>
                    </w:rPr>
                    <w:t>c</w:t>
                  </w:r>
                  <w:r>
                    <w:rPr>
                      <w:rFonts w:hint="eastAsia" w:ascii="Times New Roman" w:hAnsi="Times New Roman"/>
                      <w:kern w:val="0"/>
                      <w:szCs w:val="21"/>
                    </w:rPr>
                    <w:t>型</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BR-</w:t>
                  </w:r>
                  <w:r>
                    <w:rPr>
                      <w:rFonts w:hint="eastAsia" w:ascii="MS Mincho" w:hAnsi="MS Mincho" w:eastAsia="MS Mincho" w:cs="MS Mincho"/>
                      <w:szCs w:val="21"/>
                    </w:rPr>
                    <w:t>∅</w:t>
                  </w:r>
                  <w:r>
                    <w:rPr>
                      <w:rFonts w:ascii="Times New Roman" w:hAnsi="Times New Roman"/>
                      <w:szCs w:val="21"/>
                    </w:rPr>
                    <w:t>50×1240-8</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个</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8</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3.9</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整流板含支架</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宽度</w:t>
                  </w:r>
                  <w:r>
                    <w:rPr>
                      <w:rFonts w:ascii="Times New Roman" w:hAnsi="Times New Roman"/>
                      <w:kern w:val="0"/>
                      <w:szCs w:val="21"/>
                    </w:rPr>
                    <w:t>300mm</w:t>
                  </w:r>
                  <w:r>
                    <w:rPr>
                      <w:rFonts w:hint="eastAsia" w:ascii="Times New Roman" w:hAnsi="Times New Roman"/>
                      <w:kern w:val="0"/>
                      <w:szCs w:val="21"/>
                    </w:rPr>
                    <w:t>，厚度</w:t>
                  </w:r>
                  <w:r>
                    <w:rPr>
                      <w:rFonts w:ascii="Times New Roman" w:hAnsi="Times New Roman"/>
                      <w:kern w:val="0"/>
                      <w:szCs w:val="21"/>
                    </w:rPr>
                    <w:t>3mm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m</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73</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3.10</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挡水板</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宽度</w:t>
                  </w:r>
                  <w:r>
                    <w:rPr>
                      <w:rFonts w:ascii="Times New Roman" w:hAnsi="Times New Roman"/>
                      <w:kern w:val="0"/>
                      <w:szCs w:val="21"/>
                    </w:rPr>
                    <w:t>1500mm</w:t>
                  </w:r>
                  <w:r>
                    <w:rPr>
                      <w:rFonts w:hint="eastAsia" w:ascii="Times New Roman" w:hAnsi="Times New Roman"/>
                      <w:kern w:val="0"/>
                      <w:szCs w:val="21"/>
                    </w:rPr>
                    <w:t>，厚度</w:t>
                  </w:r>
                  <w:r>
                    <w:rPr>
                      <w:rFonts w:ascii="Times New Roman" w:hAnsi="Times New Roman"/>
                      <w:kern w:val="0"/>
                      <w:szCs w:val="21"/>
                    </w:rPr>
                    <w:t>3mm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m</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73</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出水三角堰板</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宽度</w:t>
                  </w:r>
                  <w:r>
                    <w:rPr>
                      <w:rFonts w:ascii="Times New Roman" w:hAnsi="Times New Roman"/>
                      <w:szCs w:val="21"/>
                    </w:rPr>
                    <w:t>250mm</w:t>
                  </w:r>
                  <w:r>
                    <w:rPr>
                      <w:rFonts w:hint="eastAsia" w:ascii="Times New Roman" w:hAnsi="Times New Roman"/>
                      <w:szCs w:val="21"/>
                    </w:rPr>
                    <w:t>，厚度</w:t>
                  </w:r>
                  <w:r>
                    <w:rPr>
                      <w:rFonts w:ascii="Times New Roman" w:hAnsi="Times New Roman"/>
                      <w:szCs w:val="21"/>
                    </w:rPr>
                    <w:t>3mm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m</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73</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空气分布管及导轨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Y1/2-φ50</w:t>
                  </w:r>
                  <w:r>
                    <w:rPr>
                      <w:rFonts w:hint="eastAsia" w:ascii="Times New Roman" w:hAnsi="Times New Roman"/>
                      <w:szCs w:val="21"/>
                    </w:rPr>
                    <w:t>，导轨长度</w:t>
                  </w:r>
                  <w:r>
                    <w:rPr>
                      <w:rFonts w:ascii="Times New Roman" w:hAnsi="Times New Roman"/>
                      <w:szCs w:val="21"/>
                    </w:rPr>
                    <w:t>6500mm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36</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3.13</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张紧绳</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φ6-200</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m</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576</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3.14</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吸刮泥机</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跨度</w:t>
                  </w:r>
                  <w:r>
                    <w:rPr>
                      <w:rFonts w:ascii="Times New Roman" w:hAnsi="Times New Roman"/>
                      <w:szCs w:val="21"/>
                    </w:rPr>
                    <w:t>9m</w:t>
                  </w:r>
                  <w:r>
                    <w:rPr>
                      <w:rFonts w:hint="eastAsia" w:ascii="Times New Roman" w:hAnsi="Times New Roman"/>
                      <w:szCs w:val="21"/>
                    </w:rPr>
                    <w:t>，轨距</w:t>
                  </w:r>
                  <w:r>
                    <w:rPr>
                      <w:rFonts w:ascii="Times New Roman" w:hAnsi="Times New Roman"/>
                      <w:szCs w:val="21"/>
                    </w:rPr>
                    <w:t>9.3m</w:t>
                  </w:r>
                  <w:r>
                    <w:rPr>
                      <w:rFonts w:hint="eastAsia" w:ascii="Times New Roman" w:hAnsi="Times New Roman"/>
                      <w:szCs w:val="21"/>
                    </w:rPr>
                    <w:t>，行走功率</w:t>
                  </w:r>
                  <w:r>
                    <w:rPr>
                      <w:rFonts w:ascii="Times New Roman" w:hAnsi="Times New Roman"/>
                      <w:szCs w:val="21"/>
                    </w:rPr>
                    <w:t>2×0.55kW</w:t>
                  </w:r>
                  <w:r>
                    <w:rPr>
                      <w:rFonts w:hint="eastAsia" w:ascii="Times New Roman" w:hAnsi="Times New Roman"/>
                      <w:szCs w:val="21"/>
                    </w:rPr>
                    <w:t>，排泥泵流量</w:t>
                  </w:r>
                  <w:r>
                    <w:rPr>
                      <w:rFonts w:ascii="Times New Roman" w:hAnsi="Times New Roman"/>
                      <w:szCs w:val="21"/>
                    </w:rPr>
                    <w:t>2×120m</w:t>
                  </w:r>
                  <w:r>
                    <w:rPr>
                      <w:rFonts w:ascii="Times New Roman" w:hAnsi="Times New Roman"/>
                      <w:szCs w:val="21"/>
                      <w:vertAlign w:val="superscript"/>
                    </w:rPr>
                    <w:t>3</w:t>
                  </w:r>
                  <w:r>
                    <w:rPr>
                      <w:rFonts w:ascii="Times New Roman" w:hAnsi="Times New Roman"/>
                      <w:szCs w:val="21"/>
                    </w:rPr>
                    <w:t>/h</w:t>
                  </w:r>
                  <w:r>
                    <w:rPr>
                      <w:rFonts w:hint="eastAsia" w:ascii="Times New Roman" w:hAnsi="Times New Roman"/>
                      <w:szCs w:val="21"/>
                    </w:rPr>
                    <w:t>，排泥泵扬程</w:t>
                  </w:r>
                  <w:r>
                    <w:rPr>
                      <w:rFonts w:ascii="Times New Roman" w:hAnsi="Times New Roman"/>
                      <w:szCs w:val="21"/>
                    </w:rPr>
                    <w:t>4m</w:t>
                  </w:r>
                  <w:r>
                    <w:rPr>
                      <w:rFonts w:hint="eastAsia" w:ascii="Times New Roman" w:hAnsi="Times New Roman"/>
                      <w:szCs w:val="21"/>
                    </w:rPr>
                    <w:t>，排泥功率</w:t>
                  </w:r>
                  <w:r>
                    <w:rPr>
                      <w:rFonts w:ascii="Times New Roman" w:hAnsi="Times New Roman"/>
                      <w:szCs w:val="21"/>
                    </w:rPr>
                    <w:t>2×4.0kW</w:t>
                  </w:r>
                  <w:r>
                    <w:rPr>
                      <w:rFonts w:hint="eastAsia" w:ascii="Times New Roman" w:hAnsi="Times New Roman"/>
                      <w:szCs w:val="21"/>
                    </w:rPr>
                    <w:t>，可变频</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3.15</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潜水搅拌器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叶轮直径</w:t>
                  </w:r>
                  <w:r>
                    <w:rPr>
                      <w:rFonts w:ascii="Times New Roman" w:hAnsi="Times New Roman"/>
                      <w:szCs w:val="21"/>
                    </w:rPr>
                    <w:t>400mm</w:t>
                  </w:r>
                  <w:r>
                    <w:rPr>
                      <w:rFonts w:hint="eastAsia" w:ascii="Times New Roman" w:hAnsi="Times New Roman"/>
                      <w:szCs w:val="21"/>
                    </w:rPr>
                    <w:t>，转速</w:t>
                  </w:r>
                  <w:r>
                    <w:rPr>
                      <w:rFonts w:ascii="Times New Roman" w:hAnsi="Times New Roman"/>
                      <w:szCs w:val="21"/>
                    </w:rPr>
                    <w:t>980rpm</w:t>
                  </w:r>
                  <w:r>
                    <w:rPr>
                      <w:rFonts w:hint="eastAsia" w:ascii="Times New Roman" w:hAnsi="Times New Roman"/>
                      <w:szCs w:val="21"/>
                    </w:rPr>
                    <w:t>，功率</w:t>
                  </w:r>
                  <w:r>
                    <w:rPr>
                      <w:rFonts w:ascii="Times New Roman" w:hAnsi="Times New Roman"/>
                      <w:szCs w:val="21"/>
                    </w:rPr>
                    <w:t>4.0kW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bookmarkStart w:id="12" w:name="_Hlk9950591"/>
                  <w:r>
                    <w:rPr>
                      <w:rFonts w:ascii="Times New Roman" w:hAnsi="Times New Roman"/>
                      <w:szCs w:val="21"/>
                    </w:rPr>
                    <w:t>3.16</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潜水搅拌器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叶轮直径</w:t>
                  </w:r>
                  <w:r>
                    <w:rPr>
                      <w:rFonts w:ascii="Times New Roman" w:hAnsi="Times New Roman"/>
                      <w:szCs w:val="21"/>
                    </w:rPr>
                    <w:t>400mm</w:t>
                  </w:r>
                  <w:r>
                    <w:rPr>
                      <w:rFonts w:hint="eastAsia" w:ascii="Times New Roman" w:hAnsi="Times New Roman"/>
                      <w:szCs w:val="21"/>
                    </w:rPr>
                    <w:t>，转速</w:t>
                  </w:r>
                  <w:r>
                    <w:rPr>
                      <w:rFonts w:ascii="Times New Roman" w:hAnsi="Times New Roman"/>
                      <w:szCs w:val="21"/>
                    </w:rPr>
                    <w:t>740rpm</w:t>
                  </w:r>
                  <w:r>
                    <w:rPr>
                      <w:rFonts w:hint="eastAsia" w:ascii="Times New Roman" w:hAnsi="Times New Roman"/>
                      <w:szCs w:val="21"/>
                    </w:rPr>
                    <w:t>，功率</w:t>
                  </w:r>
                  <w:r>
                    <w:rPr>
                      <w:rFonts w:ascii="Times New Roman" w:hAnsi="Times New Roman"/>
                      <w:szCs w:val="21"/>
                    </w:rPr>
                    <w:t>3.0kW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3.17</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剩余污泥泵</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流量</w:t>
                  </w:r>
                  <w:r>
                    <w:rPr>
                      <w:rFonts w:ascii="Times New Roman" w:hAnsi="Times New Roman"/>
                      <w:szCs w:val="21"/>
                    </w:rPr>
                    <w:t>30m</w:t>
                  </w:r>
                  <w:r>
                    <w:rPr>
                      <w:rFonts w:ascii="Times New Roman" w:hAnsi="Times New Roman"/>
                      <w:szCs w:val="21"/>
                      <w:vertAlign w:val="superscript"/>
                    </w:rPr>
                    <w:t>3</w:t>
                  </w:r>
                  <w:r>
                    <w:rPr>
                      <w:rFonts w:ascii="Times New Roman" w:hAnsi="Times New Roman"/>
                      <w:szCs w:val="21"/>
                    </w:rPr>
                    <w:t>/h</w:t>
                  </w:r>
                  <w:r>
                    <w:rPr>
                      <w:rFonts w:hint="eastAsia" w:ascii="Times New Roman" w:hAnsi="Times New Roman"/>
                      <w:szCs w:val="21"/>
                    </w:rPr>
                    <w:t>，扬程</w:t>
                  </w:r>
                  <w:r>
                    <w:rPr>
                      <w:rFonts w:ascii="Times New Roman" w:hAnsi="Times New Roman"/>
                      <w:szCs w:val="21"/>
                    </w:rPr>
                    <w:t>10m</w:t>
                  </w:r>
                  <w:r>
                    <w:rPr>
                      <w:rFonts w:hint="eastAsia" w:ascii="Times New Roman" w:hAnsi="Times New Roman"/>
                      <w:szCs w:val="21"/>
                    </w:rPr>
                    <w:t>，功率</w:t>
                  </w:r>
                  <w:r>
                    <w:rPr>
                      <w:rFonts w:ascii="Times New Roman" w:hAnsi="Times New Roman"/>
                      <w:szCs w:val="21"/>
                    </w:rPr>
                    <w:t>2.2kW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318</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SAS</w:t>
                  </w:r>
                  <w:r>
                    <w:rPr>
                      <w:rFonts w:hint="eastAsia" w:ascii="Times New Roman" w:hAnsi="Times New Roman"/>
                      <w:szCs w:val="21"/>
                    </w:rPr>
                    <w:t>控制系统</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智能抗冲击系统，变频器</w:t>
                  </w:r>
                  <w:r>
                    <w:rPr>
                      <w:rFonts w:ascii="Times New Roman" w:hAnsi="Times New Roman"/>
                      <w:szCs w:val="21"/>
                    </w:rPr>
                    <w:t>3</w:t>
                  </w:r>
                  <w:r>
                    <w:rPr>
                      <w:rFonts w:hint="eastAsia" w:ascii="Times New Roman" w:hAnsi="Times New Roman"/>
                      <w:szCs w:val="21"/>
                    </w:rPr>
                    <w:t>台，功率同风机</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3.19</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可调堰门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宽度</w:t>
                  </w:r>
                  <w:r>
                    <w:rPr>
                      <w:rFonts w:ascii="Times New Roman" w:hAnsi="Times New Roman"/>
                      <w:szCs w:val="21"/>
                    </w:rPr>
                    <w:t>300mm</w:t>
                  </w:r>
                  <w:r>
                    <w:rPr>
                      <w:rFonts w:hint="eastAsia" w:ascii="Times New Roman" w:hAnsi="Times New Roman"/>
                      <w:szCs w:val="21"/>
                    </w:rPr>
                    <w:t>，高度</w:t>
                  </w:r>
                  <w:r>
                    <w:rPr>
                      <w:rFonts w:ascii="Times New Roman" w:hAnsi="Times New Roman"/>
                      <w:szCs w:val="21"/>
                    </w:rPr>
                    <w:t>1000mm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3.20</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涡街流量计</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量程</w:t>
                  </w:r>
                  <w:r>
                    <w:rPr>
                      <w:rFonts w:ascii="Times New Roman" w:hAnsi="Times New Roman"/>
                      <w:szCs w:val="21"/>
                    </w:rPr>
                    <w:t>15~150m</w:t>
                  </w:r>
                  <w:r>
                    <w:rPr>
                      <w:rFonts w:ascii="Times New Roman" w:hAnsi="Times New Roman"/>
                      <w:szCs w:val="21"/>
                      <w:vertAlign w:val="superscript"/>
                    </w:rPr>
                    <w:t>3</w:t>
                  </w:r>
                  <w:r>
                    <w:rPr>
                      <w:rFonts w:ascii="Times New Roman" w:hAnsi="Times New Roman"/>
                      <w:szCs w:val="21"/>
                    </w:rPr>
                    <w:t>/h</w:t>
                  </w:r>
                  <w:r>
                    <w:rPr>
                      <w:rFonts w:hint="eastAsia" w:ascii="Times New Roman" w:hAnsi="Times New Roman"/>
                      <w:szCs w:val="21"/>
                    </w:rPr>
                    <w:t>，精度</w:t>
                  </w:r>
                  <w:r>
                    <w:rPr>
                      <w:rFonts w:ascii="Times New Roman" w:hAnsi="Times New Roman"/>
                      <w:szCs w:val="21"/>
                    </w:rPr>
                    <w:t>1.5</w:t>
                  </w:r>
                  <w:r>
                    <w:rPr>
                      <w:rFonts w:hint="eastAsia" w:ascii="Times New Roman" w:hAnsi="Times New Roman"/>
                      <w:szCs w:val="21"/>
                    </w:rPr>
                    <w:t>级，输出</w:t>
                  </w:r>
                  <w:r>
                    <w:rPr>
                      <w:rFonts w:ascii="Times New Roman" w:hAnsi="Times New Roman"/>
                      <w:szCs w:val="21"/>
                    </w:rPr>
                    <w:t>4~20mA</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4</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活性砂滤池</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L×W×H</w:t>
                  </w:r>
                  <w:r>
                    <w:rPr>
                      <w:rFonts w:hint="eastAsia" w:ascii="Times New Roman" w:hAnsi="Times New Roman"/>
                      <w:b/>
                      <w:szCs w:val="21"/>
                    </w:rPr>
                    <w:t>＝</w:t>
                  </w:r>
                  <w:r>
                    <w:rPr>
                      <w:rFonts w:ascii="Times New Roman" w:hAnsi="Times New Roman"/>
                      <w:b/>
                      <w:szCs w:val="21"/>
                    </w:rPr>
                    <w:t>12.59×10.2×6.5m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座</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活性砂过滤器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过滤面积</w:t>
                  </w:r>
                  <w:r>
                    <w:rPr>
                      <w:rFonts w:ascii="Times New Roman" w:hAnsi="Times New Roman"/>
                      <w:kern w:val="0"/>
                      <w:szCs w:val="21"/>
                    </w:rPr>
                    <w:t>=6m,</w:t>
                  </w:r>
                  <w:r>
                    <w:rPr>
                      <w:rFonts w:hint="eastAsia" w:ascii="Times New Roman" w:hAnsi="Times New Roman"/>
                      <w:kern w:val="0"/>
                      <w:szCs w:val="21"/>
                    </w:rPr>
                    <w:t>滤床高度</w:t>
                  </w:r>
                  <w:r>
                    <w:rPr>
                      <w:rFonts w:ascii="Times New Roman" w:hAnsi="Times New Roman"/>
                      <w:kern w:val="0"/>
                      <w:szCs w:val="21"/>
                    </w:rPr>
                    <w:t xml:space="preserve">=2.0m </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kern w:val="0"/>
                      <w:szCs w:val="21"/>
                    </w:rPr>
                    <w:t>16</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压缩空气管</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kern w:val="0"/>
                      <w:szCs w:val="21"/>
                    </w:rPr>
                    <w:t xml:space="preserve">Φ12 </w:t>
                  </w:r>
                </w:p>
              </w:tc>
              <w:tc>
                <w:tcPr>
                  <w:tcW w:w="639"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kern w:val="0"/>
                      <w:szCs w:val="21"/>
                    </w:rPr>
                    <w:t>批</w:t>
                  </w:r>
                </w:p>
              </w:tc>
              <w:tc>
                <w:tcPr>
                  <w:tcW w:w="636"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kern w:val="0"/>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4.3</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空气控制柜</w:t>
                  </w:r>
                </w:p>
              </w:tc>
              <w:tc>
                <w:tcPr>
                  <w:tcW w:w="3982"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w:t>
                  </w:r>
                </w:p>
              </w:tc>
              <w:tc>
                <w:tcPr>
                  <w:tcW w:w="639"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kern w:val="0"/>
                      <w:szCs w:val="21"/>
                    </w:rPr>
                    <w:t>台</w:t>
                  </w:r>
                </w:p>
              </w:tc>
              <w:tc>
                <w:tcPr>
                  <w:tcW w:w="636"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kern w:val="0"/>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4.4</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空气压缩机</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kern w:val="0"/>
                      <w:szCs w:val="21"/>
                    </w:rPr>
                    <w:t xml:space="preserve">Q=3.1m/min,P=0.7MPa,N=18.5KW </w:t>
                  </w:r>
                </w:p>
              </w:tc>
              <w:tc>
                <w:tcPr>
                  <w:tcW w:w="639"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kern w:val="0"/>
                      <w:szCs w:val="21"/>
                    </w:rPr>
                    <w:t>台</w:t>
                  </w:r>
                </w:p>
              </w:tc>
              <w:tc>
                <w:tcPr>
                  <w:tcW w:w="636"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kern w:val="0"/>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kern w:val="0"/>
                      <w:szCs w:val="21"/>
                    </w:rPr>
                    <w:t>1</w:t>
                  </w:r>
                  <w:r>
                    <w:rPr>
                      <w:rFonts w:hint="eastAsia" w:ascii="Times New Roman" w:hAnsi="Times New Roman"/>
                      <w:kern w:val="0"/>
                      <w:szCs w:val="21"/>
                    </w:rPr>
                    <w:t>用</w:t>
                  </w:r>
                  <w:r>
                    <w:rPr>
                      <w:rFonts w:ascii="Times New Roman" w:hAnsi="Times New Roman"/>
                      <w:kern w:val="0"/>
                      <w:szCs w:val="21"/>
                    </w:rPr>
                    <w:t>1</w:t>
                  </w:r>
                  <w:r>
                    <w:rPr>
                      <w:rFonts w:hint="eastAsia" w:ascii="Times New Roman" w:hAnsi="Times New Roman"/>
                      <w:kern w:val="0"/>
                      <w:szCs w:val="21"/>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4.5</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kern w:val="0"/>
                      <w:szCs w:val="21"/>
                    </w:rPr>
                    <w:t>储气罐</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kern w:val="0"/>
                      <w:szCs w:val="21"/>
                    </w:rPr>
                    <w:t xml:space="preserve">Q=3.1m/min,P=0.7MPa,N=18.5KW </w:t>
                  </w:r>
                </w:p>
              </w:tc>
              <w:tc>
                <w:tcPr>
                  <w:tcW w:w="639"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kern w:val="0"/>
                      <w:szCs w:val="21"/>
                    </w:rPr>
                    <w:t>台</w:t>
                  </w:r>
                </w:p>
              </w:tc>
              <w:tc>
                <w:tcPr>
                  <w:tcW w:w="636"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kern w:val="0"/>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5</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接触消毒池</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L×W×H</w:t>
                  </w:r>
                  <w:r>
                    <w:rPr>
                      <w:rFonts w:hint="eastAsia" w:ascii="Times New Roman" w:hAnsi="Times New Roman"/>
                      <w:b/>
                      <w:szCs w:val="21"/>
                    </w:rPr>
                    <w:t>＝</w:t>
                  </w:r>
                  <w:r>
                    <w:rPr>
                      <w:rFonts w:ascii="Times New Roman" w:hAnsi="Times New Roman"/>
                      <w:b/>
                      <w:szCs w:val="21"/>
                    </w:rPr>
                    <w:t>15.0×12.0×4.0m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座</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手电动闸阀</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DN300</w:t>
                  </w:r>
                  <w:r>
                    <w:rPr>
                      <w:rFonts w:hint="eastAsia" w:ascii="Times New Roman" w:hAnsi="Times New Roman"/>
                      <w:szCs w:val="21"/>
                    </w:rPr>
                    <w:t>，</w:t>
                  </w:r>
                  <w:r>
                    <w:rPr>
                      <w:rFonts w:ascii="Times New Roman" w:hAnsi="Times New Roman"/>
                      <w:szCs w:val="21"/>
                    </w:rPr>
                    <w:t>PN=1.0Mpa</w:t>
                  </w:r>
                  <w:r>
                    <w:rPr>
                      <w:rFonts w:hint="eastAsia" w:ascii="Times New Roman" w:hAnsi="Times New Roman"/>
                      <w:szCs w:val="21"/>
                    </w:rPr>
                    <w:t>，</w:t>
                  </w:r>
                  <w:r>
                    <w:rPr>
                      <w:rFonts w:ascii="Times New Roman" w:hAnsi="Times New Roman"/>
                      <w:szCs w:val="21"/>
                    </w:rPr>
                    <w:t>P=0.37kw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6</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PAC</w:t>
                  </w:r>
                  <w:r>
                    <w:rPr>
                      <w:rFonts w:hint="eastAsia" w:ascii="Times New Roman" w:hAnsi="Times New Roman"/>
                      <w:b/>
                      <w:szCs w:val="21"/>
                    </w:rPr>
                    <w:t>及碳源投加系统</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L×W</w:t>
                  </w:r>
                  <w:r>
                    <w:rPr>
                      <w:rFonts w:hint="eastAsia" w:ascii="Times New Roman" w:hAnsi="Times New Roman"/>
                      <w:b/>
                      <w:szCs w:val="21"/>
                    </w:rPr>
                    <w:t>＝</w:t>
                  </w:r>
                  <w:r>
                    <w:rPr>
                      <w:rFonts w:ascii="Times New Roman" w:hAnsi="Times New Roman"/>
                      <w:b/>
                      <w:szCs w:val="21"/>
                    </w:rPr>
                    <w:t>12.0×6.0m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座</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PAC</w:t>
                  </w:r>
                  <w:r>
                    <w:rPr>
                      <w:rFonts w:hint="eastAsia" w:ascii="Times New Roman" w:hAnsi="Times New Roman"/>
                      <w:szCs w:val="21"/>
                    </w:rPr>
                    <w:t>投加泵</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Q=2L/h</w:t>
                  </w:r>
                  <w:r>
                    <w:rPr>
                      <w:rFonts w:hint="eastAsia" w:ascii="Times New Roman" w:hAnsi="Times New Roman"/>
                      <w:szCs w:val="21"/>
                    </w:rPr>
                    <w:t>，</w:t>
                  </w:r>
                  <w:r>
                    <w:rPr>
                      <w:rFonts w:ascii="Times New Roman" w:hAnsi="Times New Roman"/>
                      <w:szCs w:val="21"/>
                    </w:rPr>
                    <w:t>H=30m</w:t>
                  </w:r>
                  <w:r>
                    <w:rPr>
                      <w:rFonts w:hint="eastAsia" w:ascii="Times New Roman" w:hAnsi="Times New Roman"/>
                      <w:szCs w:val="21"/>
                    </w:rPr>
                    <w:t>，电机功率</w:t>
                  </w:r>
                  <w:r>
                    <w:rPr>
                      <w:rFonts w:ascii="Times New Roman" w:hAnsi="Times New Roman"/>
                      <w:szCs w:val="21"/>
                    </w:rPr>
                    <w:t>0.37KW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rPr>
                    <w:t>用</w:t>
                  </w:r>
                  <w:r>
                    <w:rPr>
                      <w:rFonts w:ascii="Times New Roman" w:hAnsi="Times New Roman"/>
                      <w:szCs w:val="21"/>
                    </w:rPr>
                    <w:t>1</w:t>
                  </w:r>
                  <w:r>
                    <w:rPr>
                      <w:rFonts w:hint="eastAsia" w:ascii="Times New Roman" w:hAnsi="Times New Roman"/>
                      <w:szCs w:val="21"/>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次氯酸钠投加泵</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Q=4L/h</w:t>
                  </w:r>
                  <w:r>
                    <w:rPr>
                      <w:rFonts w:hint="eastAsia" w:ascii="Times New Roman" w:hAnsi="Times New Roman"/>
                      <w:szCs w:val="21"/>
                    </w:rPr>
                    <w:t>，</w:t>
                  </w:r>
                  <w:r>
                    <w:rPr>
                      <w:rFonts w:ascii="Times New Roman" w:hAnsi="Times New Roman"/>
                      <w:szCs w:val="21"/>
                    </w:rPr>
                    <w:t>H=30m</w:t>
                  </w:r>
                  <w:r>
                    <w:rPr>
                      <w:rFonts w:hint="eastAsia" w:ascii="Times New Roman" w:hAnsi="Times New Roman"/>
                      <w:szCs w:val="21"/>
                    </w:rPr>
                    <w:t>，电机功率</w:t>
                  </w:r>
                  <w:r>
                    <w:rPr>
                      <w:rFonts w:ascii="Times New Roman" w:hAnsi="Times New Roman"/>
                      <w:szCs w:val="21"/>
                    </w:rPr>
                    <w:t>0.37KW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rPr>
                    <w:t>用</w:t>
                  </w:r>
                  <w:r>
                    <w:rPr>
                      <w:rFonts w:ascii="Times New Roman" w:hAnsi="Times New Roman"/>
                      <w:szCs w:val="21"/>
                    </w:rPr>
                    <w:t>1</w:t>
                  </w:r>
                  <w:r>
                    <w:rPr>
                      <w:rFonts w:hint="eastAsia" w:ascii="Times New Roman" w:hAnsi="Times New Roman"/>
                      <w:szCs w:val="21"/>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6.3</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PAC</w:t>
                  </w:r>
                  <w:r>
                    <w:rPr>
                      <w:rFonts w:hint="eastAsia" w:ascii="Times New Roman" w:hAnsi="Times New Roman"/>
                      <w:szCs w:val="21"/>
                    </w:rPr>
                    <w:t>储罐</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V</w:t>
                  </w:r>
                  <w:r>
                    <w:rPr>
                      <w:rFonts w:hint="eastAsia" w:ascii="Times New Roman" w:hAnsi="Times New Roman"/>
                      <w:szCs w:val="21"/>
                    </w:rPr>
                    <w:t>＝</w:t>
                  </w:r>
                  <w:r>
                    <w:rPr>
                      <w:rFonts w:ascii="Times New Roman" w:hAnsi="Times New Roman"/>
                      <w:szCs w:val="21"/>
                    </w:rPr>
                    <w:t>0.5m</w:t>
                  </w:r>
                  <w:r>
                    <w:rPr>
                      <w:rFonts w:ascii="Times New Roman" w:hAnsi="Times New Roman"/>
                      <w:szCs w:val="21"/>
                      <w:vertAlign w:val="superscript"/>
                    </w:rPr>
                    <w:t>3</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个</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6.4</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次氯酸钠储罐</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V</w:t>
                  </w:r>
                  <w:r>
                    <w:rPr>
                      <w:rFonts w:hint="eastAsia" w:ascii="Times New Roman" w:hAnsi="Times New Roman"/>
                      <w:szCs w:val="21"/>
                    </w:rPr>
                    <w:t>＝</w:t>
                  </w:r>
                  <w:r>
                    <w:rPr>
                      <w:rFonts w:ascii="Times New Roman" w:hAnsi="Times New Roman"/>
                      <w:szCs w:val="21"/>
                    </w:rPr>
                    <w:t>0.5m</w:t>
                  </w:r>
                  <w:r>
                    <w:rPr>
                      <w:rFonts w:ascii="Times New Roman" w:hAnsi="Times New Roman"/>
                      <w:szCs w:val="21"/>
                      <w:vertAlign w:val="superscript"/>
                    </w:rPr>
                    <w:t>3</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个</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7</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贮泥池</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L×W×H</w:t>
                  </w:r>
                  <w:r>
                    <w:rPr>
                      <w:rFonts w:hint="eastAsia" w:ascii="Times New Roman" w:hAnsi="Times New Roman"/>
                      <w:b/>
                      <w:szCs w:val="21"/>
                    </w:rPr>
                    <w:t>＝</w:t>
                  </w:r>
                  <w:r>
                    <w:rPr>
                      <w:rFonts w:ascii="Times New Roman" w:hAnsi="Times New Roman"/>
                      <w:b/>
                      <w:szCs w:val="21"/>
                    </w:rPr>
                    <w:t>7.0×7.0×6.0m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座</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7.1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潜水搅拌器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叶轮直径</w:t>
                  </w:r>
                  <w:r>
                    <w:rPr>
                      <w:rFonts w:ascii="Times New Roman" w:hAnsi="Times New Roman"/>
                      <w:szCs w:val="21"/>
                    </w:rPr>
                    <w:t>D≥550mm</w:t>
                  </w:r>
                  <w:r>
                    <w:rPr>
                      <w:rFonts w:hint="eastAsia" w:ascii="Times New Roman" w:hAnsi="Times New Roman"/>
                      <w:szCs w:val="21"/>
                    </w:rPr>
                    <w:t>，电机功率</w:t>
                  </w:r>
                  <w:r>
                    <w:rPr>
                      <w:rFonts w:ascii="Times New Roman" w:hAnsi="Times New Roman"/>
                      <w:szCs w:val="21"/>
                    </w:rPr>
                    <w:t>P=10.0kw</w:t>
                  </w:r>
                  <w:r>
                    <w:rPr>
                      <w:rFonts w:hint="eastAsia" w:ascii="Times New Roman" w:hAnsi="Times New Roman"/>
                      <w:szCs w:val="21"/>
                    </w:rPr>
                    <w:t>，中速搅拌</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8</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中水清水池</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L×W×H</w:t>
                  </w:r>
                  <w:r>
                    <w:rPr>
                      <w:rFonts w:hint="eastAsia" w:ascii="Times New Roman" w:hAnsi="Times New Roman"/>
                      <w:b/>
                      <w:szCs w:val="21"/>
                    </w:rPr>
                    <w:t>＝</w:t>
                  </w:r>
                  <w:r>
                    <w:rPr>
                      <w:rFonts w:ascii="Times New Roman" w:hAnsi="Times New Roman"/>
                      <w:b/>
                      <w:szCs w:val="21"/>
                    </w:rPr>
                    <w:t>12.5×8.0×3.7m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座</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8.1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罩型通气管</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8.2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手电蝶阀</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DN150</w:t>
                  </w:r>
                  <w:r>
                    <w:rPr>
                      <w:rFonts w:hint="eastAsia" w:ascii="Times New Roman" w:hAnsi="Times New Roman"/>
                      <w:szCs w:val="21"/>
                    </w:rPr>
                    <w:t>，</w:t>
                  </w:r>
                  <w:r>
                    <w:rPr>
                      <w:rFonts w:ascii="Times New Roman" w:hAnsi="Times New Roman"/>
                      <w:szCs w:val="21"/>
                    </w:rPr>
                    <w:t>P=0.2kw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9</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中水泵房</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L×W×H</w:t>
                  </w:r>
                  <w:r>
                    <w:rPr>
                      <w:rFonts w:hint="eastAsia" w:ascii="Times New Roman" w:hAnsi="Times New Roman"/>
                      <w:b/>
                      <w:szCs w:val="21"/>
                    </w:rPr>
                    <w:t>＝</w:t>
                  </w:r>
                  <w:r>
                    <w:rPr>
                      <w:rFonts w:ascii="Times New Roman" w:hAnsi="Times New Roman"/>
                      <w:b/>
                      <w:szCs w:val="21"/>
                    </w:rPr>
                    <w:t>12.5×4.0×6.5m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座</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9.1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单级单吸离心泵</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Q=62.5m</w:t>
                  </w:r>
                  <w:r>
                    <w:rPr>
                      <w:rFonts w:ascii="Times New Roman" w:hAnsi="Times New Roman"/>
                      <w:szCs w:val="21"/>
                      <w:vertAlign w:val="superscript"/>
                    </w:rPr>
                    <w:t>3</w:t>
                  </w:r>
                  <w:r>
                    <w:rPr>
                      <w:rFonts w:ascii="Times New Roman" w:hAnsi="Times New Roman"/>
                      <w:szCs w:val="21"/>
                    </w:rPr>
                    <w:t>/h</w:t>
                  </w:r>
                  <w:r>
                    <w:rPr>
                      <w:rFonts w:hint="eastAsia" w:ascii="Times New Roman" w:hAnsi="Times New Roman"/>
                      <w:szCs w:val="21"/>
                    </w:rPr>
                    <w:t>，</w:t>
                  </w:r>
                  <w:r>
                    <w:rPr>
                      <w:rFonts w:ascii="Times New Roman" w:hAnsi="Times New Roman"/>
                      <w:szCs w:val="21"/>
                    </w:rPr>
                    <w:t>H=15m</w:t>
                  </w:r>
                  <w:r>
                    <w:rPr>
                      <w:rFonts w:hint="eastAsia" w:ascii="Times New Roman" w:hAnsi="Times New Roman"/>
                      <w:szCs w:val="21"/>
                    </w:rPr>
                    <w:t>，</w:t>
                  </w:r>
                  <w:r>
                    <w:rPr>
                      <w:rFonts w:ascii="Times New Roman" w:hAnsi="Times New Roman"/>
                      <w:szCs w:val="21"/>
                    </w:rPr>
                    <w:t>N=</w:t>
                  </w:r>
                  <w:r>
                    <w:rPr>
                      <w:rFonts w:hint="eastAsia" w:ascii="Times New Roman" w:hAnsi="Times New Roman"/>
                      <w:szCs w:val="21"/>
                    </w:rPr>
                    <w:t>，</w:t>
                  </w:r>
                  <w:r>
                    <w:rPr>
                      <w:rFonts w:ascii="Times New Roman" w:hAnsi="Times New Roman"/>
                      <w:szCs w:val="21"/>
                    </w:rPr>
                    <w:t>4Kw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2</w:t>
                  </w:r>
                  <w:r>
                    <w:rPr>
                      <w:rFonts w:hint="eastAsia" w:ascii="Times New Roman" w:hAnsi="Times New Roman"/>
                      <w:szCs w:val="21"/>
                    </w:rPr>
                    <w:t>用</w:t>
                  </w:r>
                  <w:r>
                    <w:rPr>
                      <w:rFonts w:ascii="Times New Roman" w:hAnsi="Times New Roman"/>
                      <w:szCs w:val="21"/>
                    </w:rPr>
                    <w:t>1</w:t>
                  </w:r>
                  <w:r>
                    <w:rPr>
                      <w:rFonts w:hint="eastAsia" w:ascii="Times New Roman" w:hAnsi="Times New Roman"/>
                      <w:szCs w:val="21"/>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9.2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轴流风机</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Q=2100m</w:t>
                  </w:r>
                  <w:r>
                    <w:rPr>
                      <w:rFonts w:ascii="Times New Roman" w:hAnsi="Times New Roman"/>
                      <w:szCs w:val="21"/>
                      <w:vertAlign w:val="superscript"/>
                    </w:rPr>
                    <w:t>3</w:t>
                  </w:r>
                  <w:r>
                    <w:rPr>
                      <w:rFonts w:ascii="Times New Roman" w:hAnsi="Times New Roman"/>
                      <w:szCs w:val="21"/>
                    </w:rPr>
                    <w:t>/h</w:t>
                  </w:r>
                  <w:r>
                    <w:rPr>
                      <w:rFonts w:hint="eastAsia" w:ascii="Times New Roman" w:hAnsi="Times New Roman"/>
                      <w:szCs w:val="21"/>
                    </w:rPr>
                    <w:t>，</w:t>
                  </w:r>
                  <w:r>
                    <w:rPr>
                      <w:rFonts w:ascii="Times New Roman" w:hAnsi="Times New Roman"/>
                      <w:szCs w:val="21"/>
                    </w:rPr>
                    <w:t>N=0.12kW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9.3</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Lx</w:t>
                  </w:r>
                  <w:r>
                    <w:rPr>
                      <w:rFonts w:hint="eastAsia" w:ascii="Times New Roman" w:hAnsi="Times New Roman"/>
                      <w:szCs w:val="21"/>
                    </w:rPr>
                    <w:t>型电动单梁悬挂式起重机</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W=1tH=10mN=1.5Kw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9.4</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手电蝶阀</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DN150</w:t>
                  </w:r>
                  <w:r>
                    <w:rPr>
                      <w:rFonts w:hint="eastAsia" w:ascii="Times New Roman" w:hAnsi="Times New Roman"/>
                      <w:szCs w:val="21"/>
                    </w:rPr>
                    <w:t>，</w:t>
                  </w:r>
                  <w:r>
                    <w:rPr>
                      <w:rFonts w:ascii="Times New Roman" w:hAnsi="Times New Roman"/>
                      <w:szCs w:val="21"/>
                    </w:rPr>
                    <w:t>P=0.2kw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10</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中水预留阀门井</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L×W×H</w:t>
                  </w:r>
                  <w:r>
                    <w:rPr>
                      <w:rFonts w:hint="eastAsia" w:ascii="Times New Roman" w:hAnsi="Times New Roman"/>
                      <w:b/>
                      <w:szCs w:val="21"/>
                    </w:rPr>
                    <w:t>＝</w:t>
                  </w:r>
                  <w:r>
                    <w:rPr>
                      <w:rFonts w:ascii="Times New Roman" w:hAnsi="Times New Roman"/>
                      <w:b/>
                      <w:szCs w:val="21"/>
                    </w:rPr>
                    <w:t>3.0×3.0×1.8m</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座</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10.1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手动蝶阀</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DN150</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除臭系统</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处理气量：</w:t>
                  </w:r>
                  <w:r>
                    <w:rPr>
                      <w:rFonts w:ascii="Times New Roman" w:hAnsi="Times New Roman"/>
                      <w:b/>
                      <w:szCs w:val="21"/>
                    </w:rPr>
                    <w:t>60000m</w:t>
                  </w:r>
                  <w:r>
                    <w:rPr>
                      <w:rFonts w:ascii="Times New Roman" w:hAnsi="Times New Roman"/>
                      <w:b/>
                      <w:szCs w:val="21"/>
                      <w:vertAlign w:val="superscript"/>
                    </w:rPr>
                    <w:t>3</w:t>
                  </w:r>
                  <w:r>
                    <w:rPr>
                      <w:rFonts w:ascii="Times New Roman" w:hAnsi="Times New Roman"/>
                      <w:b/>
                      <w:szCs w:val="21"/>
                    </w:rPr>
                    <w:t>/h</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hint="eastAsia" w:ascii="Times New Roman" w:hAnsi="Times New Roman"/>
                      <w:b/>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b/>
                      <w:szCs w:val="21"/>
                    </w:rPr>
                  </w:pPr>
                  <w:r>
                    <w:rPr>
                      <w:rFonts w:ascii="Times New Roman" w:hAnsi="Times New Roman"/>
                      <w:b/>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b/>
                      <w:szCs w:val="21"/>
                    </w:rPr>
                  </w:pPr>
                  <w:r>
                    <w:rPr>
                      <w:rFonts w:hint="eastAsia" w:ascii="Times New Roman" w:hAnsi="Times New Roman"/>
                      <w:b/>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11.1</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生物滤池</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20.9m×10m×3.3m</w:t>
                  </w:r>
                  <w:r>
                    <w:rPr>
                      <w:rFonts w:hint="eastAsia" w:ascii="Times New Roman" w:hAnsi="Times New Roman"/>
                      <w:szCs w:val="21"/>
                    </w:rPr>
                    <w:t>，停留时间</w:t>
                  </w:r>
                  <w:r>
                    <w:rPr>
                      <w:rFonts w:ascii="Times New Roman" w:hAnsi="Times New Roman"/>
                      <w:szCs w:val="21"/>
                    </w:rPr>
                    <w:t>20s</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11.2</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离心风机</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Q=60000m</w:t>
                  </w:r>
                  <w:r>
                    <w:rPr>
                      <w:rFonts w:ascii="Times New Roman" w:hAnsi="Times New Roman"/>
                      <w:szCs w:val="21"/>
                      <w:vertAlign w:val="superscript"/>
                    </w:rPr>
                    <w:t>3</w:t>
                  </w:r>
                  <w:r>
                    <w:rPr>
                      <w:rFonts w:ascii="Times New Roman" w:hAnsi="Times New Roman"/>
                      <w:szCs w:val="21"/>
                    </w:rPr>
                    <w:t>/h</w:t>
                  </w:r>
                  <w:r>
                    <w:rPr>
                      <w:rFonts w:hint="eastAsia" w:ascii="Times New Roman" w:hAnsi="Times New Roman"/>
                      <w:szCs w:val="21"/>
                    </w:rPr>
                    <w:t>，全压</w:t>
                  </w:r>
                  <w:r>
                    <w:rPr>
                      <w:rFonts w:ascii="Times New Roman" w:hAnsi="Times New Roman"/>
                      <w:szCs w:val="21"/>
                    </w:rPr>
                    <w:t>=2500Pa</w:t>
                  </w:r>
                  <w:r>
                    <w:rPr>
                      <w:rFonts w:hint="eastAsia" w:ascii="Times New Roman" w:hAnsi="Times New Roman"/>
                      <w:szCs w:val="21"/>
                    </w:rPr>
                    <w:t>，</w:t>
                  </w:r>
                  <w:r>
                    <w:rPr>
                      <w:rFonts w:ascii="Times New Roman" w:hAnsi="Times New Roman"/>
                      <w:szCs w:val="21"/>
                    </w:rPr>
                    <w:t>N=7.5kW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11.3</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循环水泵</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Q=48m</w:t>
                  </w:r>
                  <w:r>
                    <w:rPr>
                      <w:rFonts w:ascii="Times New Roman" w:hAnsi="Times New Roman"/>
                      <w:szCs w:val="21"/>
                      <w:vertAlign w:val="superscript"/>
                    </w:rPr>
                    <w:t>3</w:t>
                  </w:r>
                  <w:r>
                    <w:rPr>
                      <w:rFonts w:ascii="Times New Roman" w:hAnsi="Times New Roman"/>
                      <w:szCs w:val="21"/>
                    </w:rPr>
                    <w:t>/h</w:t>
                  </w:r>
                  <w:r>
                    <w:rPr>
                      <w:rFonts w:hint="eastAsia" w:ascii="Times New Roman" w:hAnsi="Times New Roman"/>
                      <w:szCs w:val="21"/>
                    </w:rPr>
                    <w:t>，</w:t>
                  </w:r>
                  <w:r>
                    <w:rPr>
                      <w:rFonts w:ascii="Times New Roman" w:hAnsi="Times New Roman"/>
                      <w:szCs w:val="21"/>
                    </w:rPr>
                    <w:t>H=15m</w:t>
                  </w:r>
                  <w:r>
                    <w:rPr>
                      <w:rFonts w:hint="eastAsia" w:ascii="Times New Roman" w:hAnsi="Times New Roman"/>
                      <w:szCs w:val="21"/>
                    </w:rPr>
                    <w:t>，</w:t>
                  </w:r>
                  <w:r>
                    <w:rPr>
                      <w:rFonts w:ascii="Times New Roman" w:hAnsi="Times New Roman"/>
                      <w:szCs w:val="21"/>
                    </w:rPr>
                    <w:t>N=7.5kW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11.4</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喷淋水泵</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Q=48m</w:t>
                  </w:r>
                  <w:r>
                    <w:rPr>
                      <w:rFonts w:ascii="Times New Roman" w:hAnsi="Times New Roman"/>
                      <w:szCs w:val="21"/>
                      <w:vertAlign w:val="superscript"/>
                    </w:rPr>
                    <w:t>3</w:t>
                  </w:r>
                  <w:r>
                    <w:rPr>
                      <w:rFonts w:ascii="Times New Roman" w:hAnsi="Times New Roman"/>
                      <w:szCs w:val="21"/>
                    </w:rPr>
                    <w:t>/h</w:t>
                  </w:r>
                  <w:r>
                    <w:rPr>
                      <w:rFonts w:hint="eastAsia" w:ascii="Times New Roman" w:hAnsi="Times New Roman"/>
                      <w:szCs w:val="21"/>
                    </w:rPr>
                    <w:t>，</w:t>
                  </w:r>
                  <w:r>
                    <w:rPr>
                      <w:rFonts w:ascii="Times New Roman" w:hAnsi="Times New Roman"/>
                      <w:szCs w:val="21"/>
                    </w:rPr>
                    <w:t>H=15m</w:t>
                  </w:r>
                  <w:r>
                    <w:rPr>
                      <w:rFonts w:hint="eastAsia" w:ascii="Times New Roman" w:hAnsi="Times New Roman"/>
                      <w:szCs w:val="21"/>
                    </w:rPr>
                    <w:t>，</w:t>
                  </w:r>
                  <w:r>
                    <w:rPr>
                      <w:rFonts w:ascii="Times New Roman" w:hAnsi="Times New Roman"/>
                      <w:szCs w:val="21"/>
                    </w:rPr>
                    <w:t>N=7.5kW</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11.5</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电气仪表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11.6</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液位计</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E+H</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台</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11.7</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水压压力表</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0</w:t>
                  </w:r>
                  <w:r>
                    <w:rPr>
                      <w:rFonts w:hint="eastAsia" w:ascii="Times New Roman" w:hAnsi="Times New Roman"/>
                      <w:szCs w:val="21"/>
                    </w:rPr>
                    <w:t>～</w:t>
                  </w:r>
                  <w:r>
                    <w:rPr>
                      <w:rFonts w:ascii="Times New Roman" w:hAnsi="Times New Roman"/>
                      <w:szCs w:val="21"/>
                    </w:rPr>
                    <w:t>1.0Mpa</w:t>
                  </w:r>
                  <w:r>
                    <w:rPr>
                      <w:rFonts w:hint="eastAsia" w:ascii="Times New Roman" w:hAnsi="Times New Roman"/>
                      <w:szCs w:val="21"/>
                    </w:rPr>
                    <w:t>，</w:t>
                  </w:r>
                  <w:r>
                    <w:rPr>
                      <w:rFonts w:ascii="Times New Roman" w:hAnsi="Times New Roman"/>
                      <w:szCs w:val="21"/>
                    </w:rPr>
                    <w:t>304</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只</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11.8</w:t>
                  </w:r>
                </w:p>
              </w:tc>
              <w:tc>
                <w:tcPr>
                  <w:tcW w:w="208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电动阀</w:t>
                  </w:r>
                </w:p>
              </w:tc>
              <w:tc>
                <w:tcPr>
                  <w:tcW w:w="398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DN100</w:t>
                  </w:r>
                </w:p>
              </w:tc>
              <w:tc>
                <w:tcPr>
                  <w:tcW w:w="63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个</w:t>
                  </w:r>
                </w:p>
              </w:tc>
              <w:tc>
                <w:tcPr>
                  <w:tcW w:w="63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w:t>
                  </w:r>
                </w:p>
              </w:tc>
              <w:tc>
                <w:tcPr>
                  <w:tcW w:w="1055"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5" w:type="dxa"/>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Times New Roman"/>
                      <w:szCs w:val="21"/>
                    </w:rPr>
                  </w:pPr>
                  <w:r>
                    <w:rPr>
                      <w:rFonts w:ascii="Times New Roman" w:hAnsi="Times New Roman"/>
                      <w:szCs w:val="21"/>
                    </w:rPr>
                    <w:t>11.9</w:t>
                  </w:r>
                </w:p>
              </w:tc>
              <w:tc>
                <w:tcPr>
                  <w:tcW w:w="2081"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电控柜</w:t>
                  </w:r>
                </w:p>
              </w:tc>
              <w:tc>
                <w:tcPr>
                  <w:tcW w:w="3982"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r>
                    <w:rPr>
                      <w:rFonts w:ascii="Times New Roman" w:hAnsi="Times New Roman"/>
                      <w:szCs w:val="21"/>
                    </w:rPr>
                    <w:t>IP65</w:t>
                  </w:r>
                  <w:r>
                    <w:rPr>
                      <w:rFonts w:hint="eastAsia" w:ascii="Times New Roman" w:hAnsi="Times New Roman"/>
                      <w:szCs w:val="21"/>
                    </w:rPr>
                    <w:t>，户外型</w:t>
                  </w:r>
                </w:p>
              </w:tc>
              <w:tc>
                <w:tcPr>
                  <w:tcW w:w="639"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套</w:t>
                  </w:r>
                </w:p>
              </w:tc>
              <w:tc>
                <w:tcPr>
                  <w:tcW w:w="636"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r>
                    <w:rPr>
                      <w:rFonts w:ascii="Times New Roman" w:hAnsi="Times New Roman"/>
                      <w:szCs w:val="21"/>
                    </w:rPr>
                    <w:t>1</w:t>
                  </w:r>
                </w:p>
              </w:tc>
              <w:tc>
                <w:tcPr>
                  <w:tcW w:w="1055"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szCs w:val="21"/>
                    </w:rPr>
                  </w:pPr>
                </w:p>
              </w:tc>
            </w:tr>
            <w:bookmarkEnd w:id="11"/>
            <w:bookmarkEnd w:id="12"/>
          </w:tbl>
          <w:p>
            <w:pPr>
              <w:pStyle w:val="2"/>
              <w:spacing w:line="360" w:lineRule="auto"/>
              <w:ind w:firstLine="482" w:firstLineChars="200"/>
              <w:jc w:val="center"/>
              <w:rPr>
                <w:b/>
                <w:bCs/>
                <w:szCs w:val="28"/>
              </w:rPr>
            </w:pPr>
            <w:r>
              <w:rPr>
                <w:rFonts w:hint="eastAsia"/>
                <w:b/>
                <w:bCs/>
                <w:szCs w:val="28"/>
              </w:rPr>
              <w:t>表</w:t>
            </w:r>
            <w:r>
              <w:rPr>
                <w:b/>
                <w:bCs/>
                <w:szCs w:val="28"/>
              </w:rPr>
              <w:t>1-9</w:t>
            </w:r>
            <w:r>
              <w:rPr>
                <w:rFonts w:hint="eastAsia"/>
                <w:b/>
                <w:bCs/>
                <w:szCs w:val="28"/>
              </w:rPr>
              <w:t>现有工程需更换设备一览表</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5"/>
              <w:gridCol w:w="2220"/>
              <w:gridCol w:w="3184"/>
              <w:gridCol w:w="821"/>
              <w:gridCol w:w="830"/>
              <w:gridCol w:w="13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725" w:type="dxa"/>
                  <w:tcBorders>
                    <w:top w:val="single" w:color="auto" w:sz="12" w:space="0"/>
                    <w:left w:val="single" w:color="auto" w:sz="12" w:space="0"/>
                    <w:bottom w:val="double" w:color="auto" w:sz="4" w:space="0"/>
                    <w:right w:val="single" w:color="auto" w:sz="6" w:space="0"/>
                  </w:tcBorders>
                  <w:vAlign w:val="center"/>
                </w:tcPr>
                <w:p>
                  <w:pPr>
                    <w:spacing w:line="240" w:lineRule="atLeast"/>
                    <w:jc w:val="center"/>
                    <w:rPr>
                      <w:rFonts w:ascii="Times New Roman" w:hAnsi="Times New Roman"/>
                      <w:b/>
                      <w:bCs/>
                      <w:szCs w:val="21"/>
                    </w:rPr>
                  </w:pPr>
                  <w:r>
                    <w:rPr>
                      <w:rFonts w:hint="eastAsia" w:ascii="Times New Roman" w:hAnsi="宋体"/>
                      <w:b/>
                      <w:bCs/>
                      <w:szCs w:val="21"/>
                    </w:rPr>
                    <w:t>序号</w:t>
                  </w:r>
                </w:p>
              </w:tc>
              <w:tc>
                <w:tcPr>
                  <w:tcW w:w="2220"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bCs/>
                      <w:szCs w:val="21"/>
                    </w:rPr>
                  </w:pPr>
                  <w:r>
                    <w:rPr>
                      <w:rFonts w:hint="eastAsia" w:ascii="Times New Roman" w:hAnsi="宋体"/>
                      <w:b/>
                      <w:bCs/>
                      <w:szCs w:val="21"/>
                    </w:rPr>
                    <w:t>设备名</w:t>
                  </w:r>
                </w:p>
              </w:tc>
              <w:tc>
                <w:tcPr>
                  <w:tcW w:w="3184"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bCs/>
                      <w:szCs w:val="21"/>
                    </w:rPr>
                  </w:pPr>
                  <w:r>
                    <w:rPr>
                      <w:rFonts w:hint="eastAsia" w:ascii="Times New Roman" w:hAnsi="宋体"/>
                      <w:b/>
                      <w:bCs/>
                      <w:szCs w:val="21"/>
                    </w:rPr>
                    <w:t>规格参数</w:t>
                  </w:r>
                </w:p>
              </w:tc>
              <w:tc>
                <w:tcPr>
                  <w:tcW w:w="821"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bCs/>
                      <w:szCs w:val="21"/>
                    </w:rPr>
                  </w:pPr>
                  <w:r>
                    <w:rPr>
                      <w:rFonts w:hint="eastAsia" w:ascii="Times New Roman" w:hAnsi="宋体"/>
                      <w:b/>
                      <w:bCs/>
                      <w:szCs w:val="21"/>
                    </w:rPr>
                    <w:t>单位</w:t>
                  </w:r>
                </w:p>
              </w:tc>
              <w:tc>
                <w:tcPr>
                  <w:tcW w:w="830"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bCs/>
                      <w:szCs w:val="21"/>
                    </w:rPr>
                  </w:pPr>
                  <w:r>
                    <w:rPr>
                      <w:rFonts w:hint="eastAsia" w:ascii="Times New Roman" w:hAnsi="宋体"/>
                      <w:b/>
                      <w:bCs/>
                      <w:szCs w:val="21"/>
                    </w:rPr>
                    <w:t>数量</w:t>
                  </w:r>
                </w:p>
              </w:tc>
              <w:tc>
                <w:tcPr>
                  <w:tcW w:w="1318" w:type="dxa"/>
                  <w:tcBorders>
                    <w:top w:val="single" w:color="auto" w:sz="12" w:space="0"/>
                    <w:left w:val="single" w:color="auto" w:sz="6" w:space="0"/>
                    <w:bottom w:val="double" w:color="auto" w:sz="4" w:space="0"/>
                    <w:right w:val="single" w:color="auto" w:sz="12" w:space="0"/>
                  </w:tcBorders>
                  <w:vAlign w:val="center"/>
                </w:tcPr>
                <w:p>
                  <w:pPr>
                    <w:spacing w:line="240" w:lineRule="atLeast"/>
                    <w:jc w:val="center"/>
                    <w:rPr>
                      <w:rFonts w:ascii="Times New Roman" w:hAnsi="Times New Roman"/>
                      <w:b/>
                      <w:bCs/>
                      <w:szCs w:val="21"/>
                    </w:rPr>
                  </w:pPr>
                  <w:r>
                    <w:rPr>
                      <w:rFonts w:hint="eastAsia" w:ascii="Times New Roman" w:hAnsi="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潜水排污泵</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Q=350m</w:t>
                  </w:r>
                  <w:r>
                    <w:rPr>
                      <w:rFonts w:ascii="Times New Roman" w:hAnsi="Times New Roman"/>
                      <w:szCs w:val="21"/>
                      <w:vertAlign w:val="superscript"/>
                    </w:rPr>
                    <w:t>3</w:t>
                  </w:r>
                  <w:r>
                    <w:rPr>
                      <w:rFonts w:ascii="Times New Roman" w:hAnsi="Times New Roman"/>
                      <w:szCs w:val="21"/>
                    </w:rPr>
                    <w:t>/h</w:t>
                  </w:r>
                  <w:r>
                    <w:rPr>
                      <w:rFonts w:hint="eastAsia" w:ascii="Times New Roman" w:hAnsi="宋体"/>
                      <w:szCs w:val="21"/>
                    </w:rPr>
                    <w:t>，</w:t>
                  </w:r>
                  <w:r>
                    <w:rPr>
                      <w:rFonts w:ascii="Times New Roman" w:hAnsi="Times New Roman"/>
                      <w:szCs w:val="21"/>
                    </w:rPr>
                    <w:t>H=25m</w:t>
                  </w:r>
                  <w:r>
                    <w:rPr>
                      <w:rFonts w:hint="eastAsia" w:ascii="Times New Roman" w:hAnsi="宋体"/>
                      <w:szCs w:val="21"/>
                    </w:rPr>
                    <w:t>，</w:t>
                  </w:r>
                  <w:r>
                    <w:rPr>
                      <w:rFonts w:ascii="Times New Roman" w:hAnsi="Times New Roman"/>
                      <w:szCs w:val="21"/>
                    </w:rPr>
                    <w:t>N=37Kw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气提系统</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Q=9.8-15L/s</w:t>
                  </w:r>
                  <w:r>
                    <w:rPr>
                      <w:rFonts w:hint="eastAsia" w:ascii="Times New Roman" w:hAnsi="宋体"/>
                      <w:szCs w:val="21"/>
                    </w:rPr>
                    <w:t>，</w:t>
                  </w:r>
                  <w:r>
                    <w:rPr>
                      <w:rFonts w:ascii="Times New Roman" w:hAnsi="Times New Roman"/>
                      <w:szCs w:val="21"/>
                    </w:rPr>
                    <w:t>P=1.1Kw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旋流沉砂池搅拌浆</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w:t>
                  </w:r>
                  <w:r>
                    <w:rPr>
                      <w:rFonts w:hint="eastAsia" w:ascii="Times New Roman" w:hAnsi="宋体"/>
                      <w:szCs w:val="21"/>
                    </w:rPr>
                    <w:t>＝</w:t>
                  </w:r>
                  <w:r>
                    <w:rPr>
                      <w:rFonts w:ascii="Times New Roman" w:hAnsi="Times New Roman"/>
                      <w:szCs w:val="21"/>
                    </w:rPr>
                    <w:t>150l/s</w:t>
                  </w:r>
                  <w:r>
                    <w:rPr>
                      <w:rFonts w:hint="eastAsia" w:ascii="Times New Roman" w:hAnsi="宋体"/>
                      <w:szCs w:val="21"/>
                    </w:rPr>
                    <w:t>，电机功率</w:t>
                  </w:r>
                  <w:r>
                    <w:rPr>
                      <w:rFonts w:ascii="Times New Roman" w:hAnsi="Times New Roman"/>
                      <w:szCs w:val="21"/>
                    </w:rPr>
                    <w:t>P</w:t>
                  </w:r>
                  <w:r>
                    <w:rPr>
                      <w:rFonts w:hint="eastAsia" w:ascii="Times New Roman" w:hAnsi="宋体"/>
                      <w:szCs w:val="21"/>
                    </w:rPr>
                    <w:t>＝</w:t>
                  </w:r>
                  <w:r>
                    <w:rPr>
                      <w:rFonts w:ascii="Times New Roman" w:hAnsi="Times New Roman"/>
                      <w:szCs w:val="21"/>
                    </w:rPr>
                    <w:t>0.55kw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砂水分离器</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Q=5-15L/s</w:t>
                  </w:r>
                  <w:r>
                    <w:rPr>
                      <w:rFonts w:hint="eastAsia" w:ascii="Times New Roman" w:hAnsi="宋体"/>
                      <w:szCs w:val="21"/>
                    </w:rPr>
                    <w:t>，</w:t>
                  </w:r>
                  <w:r>
                    <w:rPr>
                      <w:rFonts w:ascii="Times New Roman" w:hAnsi="Times New Roman"/>
                      <w:szCs w:val="21"/>
                    </w:rPr>
                    <w:t>P=0.55Kw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套</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5</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板框脱水机</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过滤面积</w:t>
                  </w:r>
                  <w:r>
                    <w:rPr>
                      <w:rFonts w:ascii="Times New Roman" w:hAnsi="Times New Roman"/>
                      <w:szCs w:val="21"/>
                    </w:rPr>
                    <w:t>280m</w:t>
                  </w:r>
                  <w:r>
                    <w:rPr>
                      <w:rFonts w:ascii="Times New Roman" w:hAnsi="Times New Roman"/>
                      <w:szCs w:val="21"/>
                      <w:vertAlign w:val="superscript"/>
                    </w:rPr>
                    <w:t>2</w:t>
                  </w:r>
                  <w:r>
                    <w:rPr>
                      <w:rFonts w:hint="eastAsia" w:ascii="Times New Roman" w:hAnsi="宋体"/>
                      <w:szCs w:val="21"/>
                    </w:rPr>
                    <w:t>，电机功率</w:t>
                  </w:r>
                  <w:r>
                    <w:rPr>
                      <w:rFonts w:ascii="Times New Roman" w:hAnsi="Times New Roman"/>
                      <w:szCs w:val="21"/>
                    </w:rPr>
                    <w:t>P</w:t>
                  </w:r>
                  <w:r>
                    <w:rPr>
                      <w:rFonts w:hint="eastAsia" w:ascii="Times New Roman" w:hAnsi="宋体"/>
                      <w:szCs w:val="21"/>
                    </w:rPr>
                    <w:t>＝</w:t>
                  </w:r>
                  <w:r>
                    <w:rPr>
                      <w:rFonts w:ascii="Times New Roman" w:hAnsi="Times New Roman"/>
                      <w:szCs w:val="21"/>
                    </w:rPr>
                    <w:t>16.9kw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6</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无轴螺旋输送机（水平）</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P=2.2kw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7</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无轴螺旋输送机（倾斜）</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P=2.2kw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8</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加药计量泵</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P=0.75kw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2</w:t>
                  </w:r>
                  <w:r>
                    <w:rPr>
                      <w:rFonts w:hint="eastAsia" w:ascii="Times New Roman" w:hAnsi="宋体"/>
                      <w:szCs w:val="21"/>
                    </w:rPr>
                    <w:t>用</w:t>
                  </w:r>
                  <w:r>
                    <w:rPr>
                      <w:rFonts w:ascii="Times New Roman" w:hAnsi="Times New Roman"/>
                      <w:szCs w:val="21"/>
                    </w:rPr>
                    <w:t>1</w:t>
                  </w:r>
                  <w:r>
                    <w:rPr>
                      <w:rFonts w:hint="eastAsia" w:ascii="Times New Roman" w:hAnsi="宋体"/>
                      <w:szCs w:val="21"/>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9</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冲洗泵</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P=5.5kw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1</w:t>
                  </w:r>
                  <w:r>
                    <w:rPr>
                      <w:rFonts w:hint="eastAsia" w:ascii="Times New Roman" w:hAnsi="宋体"/>
                      <w:szCs w:val="21"/>
                    </w:rPr>
                    <w:t>用</w:t>
                  </w:r>
                  <w:r>
                    <w:rPr>
                      <w:rFonts w:ascii="Times New Roman" w:hAnsi="Times New Roman"/>
                      <w:szCs w:val="21"/>
                    </w:rPr>
                    <w:t>1</w:t>
                  </w:r>
                  <w:r>
                    <w:rPr>
                      <w:rFonts w:hint="eastAsia" w:ascii="Times New Roman" w:hAnsi="宋体"/>
                      <w:szCs w:val="21"/>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10</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轴流风机</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P=0.12kw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11</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立式搅拌器</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P=0.55kw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1</w:t>
                  </w:r>
                  <w:r>
                    <w:rPr>
                      <w:rFonts w:hint="eastAsia" w:ascii="Times New Roman" w:hAnsi="宋体"/>
                      <w:szCs w:val="21"/>
                    </w:rPr>
                    <w:t>用</w:t>
                  </w:r>
                  <w:r>
                    <w:rPr>
                      <w:rFonts w:ascii="Times New Roman" w:hAnsi="Times New Roman"/>
                      <w:szCs w:val="21"/>
                    </w:rPr>
                    <w:t>1</w:t>
                  </w:r>
                  <w:r>
                    <w:rPr>
                      <w:rFonts w:hint="eastAsia" w:ascii="Times New Roman" w:hAnsi="宋体"/>
                      <w:szCs w:val="21"/>
                    </w:rPr>
                    <w:t>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12</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电动单梁起重机</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2T</w:t>
                  </w:r>
                  <w:r>
                    <w:rPr>
                      <w:rFonts w:hint="eastAsia" w:ascii="Times New Roman" w:hAnsi="宋体"/>
                      <w:szCs w:val="21"/>
                    </w:rPr>
                    <w:t>，</w:t>
                  </w:r>
                  <w:r>
                    <w:rPr>
                      <w:rFonts w:ascii="Times New Roman" w:hAnsi="Times New Roman"/>
                      <w:szCs w:val="21"/>
                    </w:rPr>
                    <w:t>P=1.5kw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13</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低压进料泵</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流量</w:t>
                  </w:r>
                  <w:r>
                    <w:rPr>
                      <w:rFonts w:ascii="Times New Roman" w:hAnsi="Times New Roman"/>
                      <w:szCs w:val="21"/>
                    </w:rPr>
                    <w:t>Q</w:t>
                  </w:r>
                  <w:r>
                    <w:rPr>
                      <w:rFonts w:hint="eastAsia" w:ascii="Times New Roman" w:hAnsi="宋体"/>
                      <w:szCs w:val="21"/>
                    </w:rPr>
                    <w:t>＝</w:t>
                  </w:r>
                  <w:r>
                    <w:rPr>
                      <w:rFonts w:ascii="Times New Roman" w:hAnsi="Times New Roman"/>
                      <w:szCs w:val="21"/>
                    </w:rPr>
                    <w:t>20</w:t>
                  </w:r>
                  <w:r>
                    <w:rPr>
                      <w:rFonts w:hint="eastAsia" w:ascii="Times New Roman" w:hAnsi="宋体"/>
                      <w:szCs w:val="21"/>
                    </w:rPr>
                    <w:t>～</w:t>
                  </w:r>
                  <w:r>
                    <w:rPr>
                      <w:rFonts w:ascii="Times New Roman" w:hAnsi="Times New Roman"/>
                      <w:szCs w:val="21"/>
                    </w:rPr>
                    <w:t>60m</w:t>
                  </w:r>
                  <w:r>
                    <w:rPr>
                      <w:rFonts w:ascii="Times New Roman" w:hAnsi="Times New Roman"/>
                      <w:szCs w:val="21"/>
                      <w:vertAlign w:val="superscript"/>
                    </w:rPr>
                    <w:t>3</w:t>
                  </w:r>
                  <w:r>
                    <w:rPr>
                      <w:rFonts w:ascii="Times New Roman" w:hAnsi="Times New Roman"/>
                      <w:szCs w:val="21"/>
                    </w:rPr>
                    <w:t>/h</w:t>
                  </w:r>
                  <w:r>
                    <w:rPr>
                      <w:rFonts w:hint="eastAsia" w:ascii="Times New Roman" w:hAnsi="宋体"/>
                      <w:szCs w:val="21"/>
                    </w:rPr>
                    <w:t>，进料压力</w:t>
                  </w:r>
                  <w:r>
                    <w:rPr>
                      <w:rFonts w:ascii="Times New Roman" w:hAnsi="Times New Roman"/>
                      <w:szCs w:val="21"/>
                    </w:rPr>
                    <w:t>P</w:t>
                  </w:r>
                  <w:r>
                    <w:rPr>
                      <w:rFonts w:hint="eastAsia" w:ascii="Times New Roman" w:hAnsi="宋体"/>
                      <w:szCs w:val="21"/>
                    </w:rPr>
                    <w:t>＝</w:t>
                  </w:r>
                  <w:r>
                    <w:rPr>
                      <w:rFonts w:ascii="Times New Roman" w:hAnsi="Times New Roman"/>
                      <w:szCs w:val="21"/>
                    </w:rPr>
                    <w:t>0.8Mpa</w:t>
                  </w:r>
                  <w:r>
                    <w:rPr>
                      <w:rFonts w:hint="eastAsia" w:ascii="Times New Roman" w:hAnsi="宋体"/>
                      <w:szCs w:val="21"/>
                    </w:rPr>
                    <w:t>，电机功率</w:t>
                  </w:r>
                  <w:r>
                    <w:rPr>
                      <w:rFonts w:ascii="Times New Roman" w:hAnsi="Times New Roman"/>
                      <w:szCs w:val="21"/>
                    </w:rPr>
                    <w:t>P=5.5kw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14</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高压进料泵</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流量</w:t>
                  </w:r>
                  <w:r>
                    <w:rPr>
                      <w:rFonts w:ascii="Times New Roman" w:hAnsi="Times New Roman"/>
                      <w:szCs w:val="21"/>
                    </w:rPr>
                    <w:t>Q</w:t>
                  </w:r>
                  <w:r>
                    <w:rPr>
                      <w:rFonts w:hint="eastAsia" w:ascii="Times New Roman" w:hAnsi="宋体"/>
                      <w:szCs w:val="21"/>
                    </w:rPr>
                    <w:t>＝</w:t>
                  </w:r>
                  <w:r>
                    <w:rPr>
                      <w:rFonts w:ascii="Times New Roman" w:hAnsi="Times New Roman"/>
                      <w:szCs w:val="21"/>
                    </w:rPr>
                    <w:t>20m</w:t>
                  </w:r>
                  <w:r>
                    <w:rPr>
                      <w:rFonts w:ascii="Times New Roman" w:hAnsi="Times New Roman"/>
                      <w:szCs w:val="21"/>
                      <w:vertAlign w:val="superscript"/>
                    </w:rPr>
                    <w:t>3</w:t>
                  </w:r>
                  <w:r>
                    <w:rPr>
                      <w:rFonts w:ascii="Times New Roman" w:hAnsi="Times New Roman"/>
                      <w:szCs w:val="21"/>
                    </w:rPr>
                    <w:t>/h</w:t>
                  </w:r>
                  <w:r>
                    <w:rPr>
                      <w:rFonts w:hint="eastAsia" w:ascii="Times New Roman" w:hAnsi="宋体"/>
                      <w:szCs w:val="21"/>
                    </w:rPr>
                    <w:t>，进料压力</w:t>
                  </w:r>
                  <w:r>
                    <w:rPr>
                      <w:rFonts w:ascii="Times New Roman" w:hAnsi="Times New Roman"/>
                      <w:szCs w:val="21"/>
                    </w:rPr>
                    <w:t>P</w:t>
                  </w:r>
                  <w:r>
                    <w:rPr>
                      <w:rFonts w:hint="eastAsia" w:ascii="Times New Roman" w:hAnsi="宋体"/>
                      <w:szCs w:val="21"/>
                    </w:rPr>
                    <w:t>＝</w:t>
                  </w:r>
                  <w:r>
                    <w:rPr>
                      <w:rFonts w:ascii="Times New Roman" w:hAnsi="Times New Roman"/>
                      <w:szCs w:val="21"/>
                    </w:rPr>
                    <w:t>0.8</w:t>
                  </w:r>
                  <w:r>
                    <w:rPr>
                      <w:rFonts w:hint="eastAsia" w:ascii="Times New Roman" w:hAnsi="宋体"/>
                      <w:szCs w:val="21"/>
                    </w:rPr>
                    <w:t>～</w:t>
                  </w:r>
                  <w:r>
                    <w:rPr>
                      <w:rFonts w:ascii="Times New Roman" w:hAnsi="Times New Roman"/>
                      <w:szCs w:val="21"/>
                    </w:rPr>
                    <w:t>1.2Mpa</w:t>
                  </w:r>
                  <w:r>
                    <w:rPr>
                      <w:rFonts w:hint="eastAsia" w:ascii="Times New Roman" w:hAnsi="宋体"/>
                      <w:szCs w:val="21"/>
                    </w:rPr>
                    <w:t>，电机功率</w:t>
                  </w:r>
                  <w:r>
                    <w:rPr>
                      <w:rFonts w:ascii="Times New Roman" w:hAnsi="Times New Roman"/>
                      <w:szCs w:val="21"/>
                    </w:rPr>
                    <w:t>P=7.5kw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15</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巴歇尔计量槽</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喉道宽</w:t>
                  </w:r>
                  <w:r>
                    <w:rPr>
                      <w:rFonts w:ascii="Times New Roman" w:hAnsi="Times New Roman"/>
                      <w:szCs w:val="21"/>
                    </w:rPr>
                    <w:t>b=450</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套</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16</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拍门</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DN500</w:t>
                  </w:r>
                  <w:r>
                    <w:rPr>
                      <w:rFonts w:hint="eastAsia" w:ascii="Times New Roman" w:hAnsi="宋体"/>
                      <w:szCs w:val="21"/>
                    </w:rPr>
                    <w:t>，</w:t>
                  </w:r>
                  <w:r>
                    <w:rPr>
                      <w:rFonts w:ascii="Times New Roman" w:hAnsi="Times New Roman"/>
                      <w:szCs w:val="21"/>
                    </w:rPr>
                    <w:t>1.0MPa</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个</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17</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超声波探头</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套</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18</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空气悬浮鼓风机</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单台风量</w:t>
                  </w:r>
                  <w:r>
                    <w:rPr>
                      <w:rFonts w:ascii="Times New Roman" w:hAnsi="Times New Roman"/>
                      <w:szCs w:val="21"/>
                    </w:rPr>
                    <w:t>Q</w:t>
                  </w:r>
                  <w:r>
                    <w:rPr>
                      <w:rFonts w:hint="eastAsia" w:ascii="Times New Roman" w:hAnsi="宋体"/>
                      <w:szCs w:val="21"/>
                    </w:rPr>
                    <w:t>＝</w:t>
                  </w:r>
                  <w:r>
                    <w:rPr>
                      <w:rFonts w:ascii="Times New Roman" w:hAnsi="Times New Roman"/>
                      <w:szCs w:val="21"/>
                    </w:rPr>
                    <w:t>40m</w:t>
                  </w:r>
                  <w:r>
                    <w:rPr>
                      <w:rFonts w:ascii="Times New Roman" w:hAnsi="Times New Roman"/>
                      <w:szCs w:val="21"/>
                      <w:vertAlign w:val="superscript"/>
                    </w:rPr>
                    <w:t>3</w:t>
                  </w:r>
                  <w:r>
                    <w:rPr>
                      <w:rFonts w:ascii="Times New Roman" w:hAnsi="Times New Roman"/>
                      <w:szCs w:val="21"/>
                    </w:rPr>
                    <w:t>/min</w:t>
                  </w:r>
                  <w:r>
                    <w:rPr>
                      <w:rFonts w:hint="eastAsia" w:ascii="Times New Roman" w:hAnsi="宋体"/>
                      <w:szCs w:val="21"/>
                    </w:rPr>
                    <w:t>，风压</w:t>
                  </w:r>
                  <w:r>
                    <w:rPr>
                      <w:rFonts w:ascii="Times New Roman" w:hAnsi="Times New Roman"/>
                      <w:szCs w:val="21"/>
                    </w:rPr>
                    <w:t>8.0m</w:t>
                  </w:r>
                  <w:r>
                    <w:rPr>
                      <w:rFonts w:hint="eastAsia" w:ascii="Times New Roman" w:hAnsi="宋体"/>
                      <w:szCs w:val="21"/>
                    </w:rPr>
                    <w:t>，电机功率</w:t>
                  </w:r>
                  <w:r>
                    <w:rPr>
                      <w:rFonts w:ascii="Times New Roman" w:hAnsi="Times New Roman"/>
                      <w:szCs w:val="21"/>
                    </w:rPr>
                    <w:t>P</w:t>
                  </w:r>
                  <w:r>
                    <w:rPr>
                      <w:rFonts w:hint="eastAsia" w:ascii="Times New Roman" w:hAnsi="宋体"/>
                      <w:szCs w:val="21"/>
                    </w:rPr>
                    <w:t>＝</w:t>
                  </w:r>
                  <w:r>
                    <w:rPr>
                      <w:rFonts w:ascii="Times New Roman" w:hAnsi="Times New Roman"/>
                      <w:szCs w:val="21"/>
                    </w:rPr>
                    <w:t>70kw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19</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电动蝶阀</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DN300</w:t>
                  </w:r>
                  <w:r>
                    <w:rPr>
                      <w:rFonts w:hint="eastAsia" w:ascii="Times New Roman" w:hAnsi="宋体"/>
                      <w:szCs w:val="21"/>
                    </w:rPr>
                    <w:t>，</w:t>
                  </w:r>
                  <w:r>
                    <w:rPr>
                      <w:rFonts w:ascii="Times New Roman" w:hAnsi="Times New Roman"/>
                      <w:szCs w:val="21"/>
                    </w:rPr>
                    <w:t>PN</w:t>
                  </w:r>
                  <w:r>
                    <w:rPr>
                      <w:rFonts w:hint="eastAsia" w:ascii="Times New Roman" w:hAnsi="宋体"/>
                      <w:szCs w:val="21"/>
                    </w:rPr>
                    <w:t>＝</w:t>
                  </w:r>
                  <w:r>
                    <w:rPr>
                      <w:rFonts w:ascii="Times New Roman" w:hAnsi="Times New Roman"/>
                      <w:szCs w:val="21"/>
                    </w:rPr>
                    <w:t>0.6Mpa</w:t>
                  </w:r>
                  <w:r>
                    <w:rPr>
                      <w:rFonts w:hint="eastAsia" w:ascii="Times New Roman" w:hAnsi="宋体"/>
                      <w:szCs w:val="21"/>
                    </w:rPr>
                    <w:t>，电机功率</w:t>
                  </w:r>
                  <w:r>
                    <w:rPr>
                      <w:rFonts w:ascii="Times New Roman" w:hAnsi="Times New Roman"/>
                      <w:szCs w:val="21"/>
                    </w:rPr>
                    <w:t>P</w:t>
                  </w:r>
                  <w:r>
                    <w:rPr>
                      <w:rFonts w:hint="eastAsia" w:ascii="Times New Roman" w:hAnsi="宋体"/>
                      <w:szCs w:val="21"/>
                    </w:rPr>
                    <w:t>＝</w:t>
                  </w:r>
                  <w:r>
                    <w:rPr>
                      <w:rFonts w:ascii="Times New Roman" w:hAnsi="Times New Roman"/>
                      <w:szCs w:val="21"/>
                    </w:rPr>
                    <w:t>0.37kw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20</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电动蝶阀</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DN350</w:t>
                  </w:r>
                  <w:r>
                    <w:rPr>
                      <w:rFonts w:hint="eastAsia" w:ascii="Times New Roman" w:hAnsi="宋体"/>
                      <w:szCs w:val="21"/>
                    </w:rPr>
                    <w:t>，</w:t>
                  </w:r>
                  <w:r>
                    <w:rPr>
                      <w:rFonts w:ascii="Times New Roman" w:hAnsi="Times New Roman"/>
                      <w:szCs w:val="21"/>
                    </w:rPr>
                    <w:t>PN</w:t>
                  </w:r>
                  <w:r>
                    <w:rPr>
                      <w:rFonts w:hint="eastAsia" w:ascii="Times New Roman" w:hAnsi="宋体"/>
                      <w:szCs w:val="21"/>
                    </w:rPr>
                    <w:t>＝</w:t>
                  </w:r>
                  <w:r>
                    <w:rPr>
                      <w:rFonts w:ascii="Times New Roman" w:hAnsi="Times New Roman"/>
                      <w:szCs w:val="21"/>
                    </w:rPr>
                    <w:t>0.6Mpa</w:t>
                  </w:r>
                  <w:r>
                    <w:rPr>
                      <w:rFonts w:hint="eastAsia" w:ascii="Times New Roman" w:hAnsi="宋体"/>
                      <w:szCs w:val="21"/>
                    </w:rPr>
                    <w:t>，电机功率</w:t>
                  </w:r>
                  <w:r>
                    <w:rPr>
                      <w:rFonts w:ascii="Times New Roman" w:hAnsi="Times New Roman"/>
                      <w:szCs w:val="21"/>
                    </w:rPr>
                    <w:t>P</w:t>
                  </w:r>
                  <w:r>
                    <w:rPr>
                      <w:rFonts w:hint="eastAsia" w:ascii="Times New Roman" w:hAnsi="宋体"/>
                      <w:szCs w:val="21"/>
                    </w:rPr>
                    <w:t>＝</w:t>
                  </w:r>
                  <w:r>
                    <w:rPr>
                      <w:rFonts w:ascii="Times New Roman" w:hAnsi="Times New Roman"/>
                      <w:szCs w:val="21"/>
                    </w:rPr>
                    <w:t>0.37kw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21</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FT35</w:t>
                  </w:r>
                  <w:r>
                    <w:rPr>
                      <w:rFonts w:hint="eastAsia" w:ascii="Times New Roman" w:hAnsi="宋体"/>
                      <w:szCs w:val="21"/>
                    </w:rPr>
                    <w:t>轴流风机</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Q=1649m3/h</w:t>
                  </w:r>
                  <w:r>
                    <w:rPr>
                      <w:rFonts w:hint="eastAsia" w:ascii="Times New Roman" w:hAnsi="宋体"/>
                      <w:szCs w:val="21"/>
                    </w:rPr>
                    <w:t>，</w:t>
                  </w:r>
                  <w:r>
                    <w:rPr>
                      <w:rFonts w:ascii="Times New Roman" w:hAnsi="Times New Roman"/>
                      <w:szCs w:val="21"/>
                    </w:rPr>
                    <w:t>N=0.12KW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22</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隔膜式计量泵</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Q=200L/h</w:t>
                  </w:r>
                  <w:r>
                    <w:rPr>
                      <w:rFonts w:hint="eastAsia" w:ascii="Times New Roman" w:hAnsi="宋体"/>
                      <w:szCs w:val="21"/>
                    </w:rPr>
                    <w:t>，</w:t>
                  </w:r>
                  <w:r>
                    <w:rPr>
                      <w:rFonts w:ascii="Times New Roman" w:hAnsi="Times New Roman"/>
                      <w:szCs w:val="21"/>
                    </w:rPr>
                    <w:t>0.3Mpa</w:t>
                  </w:r>
                  <w:r>
                    <w:rPr>
                      <w:rFonts w:hint="eastAsia" w:ascii="Times New Roman" w:hAnsi="宋体"/>
                      <w:szCs w:val="21"/>
                    </w:rPr>
                    <w:t>，</w:t>
                  </w:r>
                  <w:r>
                    <w:rPr>
                      <w:rFonts w:ascii="Times New Roman" w:hAnsi="Times New Roman"/>
                      <w:szCs w:val="21"/>
                    </w:rPr>
                    <w:t>N=0.55kW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23</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搅拌机</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转速</w:t>
                  </w:r>
                  <w:r>
                    <w:rPr>
                      <w:rFonts w:ascii="Times New Roman" w:hAnsi="Times New Roman"/>
                      <w:szCs w:val="21"/>
                    </w:rPr>
                    <w:t>99rpmP=0.75KW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24</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计量泵</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Q=0-140L/h</w:t>
                  </w:r>
                  <w:r>
                    <w:rPr>
                      <w:rFonts w:hint="eastAsia" w:ascii="Times New Roman" w:hAnsi="宋体"/>
                      <w:szCs w:val="21"/>
                    </w:rPr>
                    <w:t>，</w:t>
                  </w:r>
                  <w:r>
                    <w:rPr>
                      <w:rFonts w:ascii="Times New Roman" w:hAnsi="Times New Roman"/>
                      <w:szCs w:val="21"/>
                    </w:rPr>
                    <w:t>P=0.75KW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25</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次氯酸钠储罐</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φ1320H=1.6m</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26</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除臭系统</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处理气量：</w:t>
                  </w:r>
                  <w:r>
                    <w:rPr>
                      <w:rFonts w:ascii="Times New Roman" w:hAnsi="Times New Roman"/>
                      <w:szCs w:val="21"/>
                    </w:rPr>
                    <w:t>6000m</w:t>
                  </w:r>
                  <w:r>
                    <w:rPr>
                      <w:rFonts w:ascii="Times New Roman" w:hAnsi="Times New Roman"/>
                      <w:szCs w:val="21"/>
                      <w:vertAlign w:val="superscript"/>
                    </w:rPr>
                    <w:t>3</w:t>
                  </w:r>
                  <w:r>
                    <w:rPr>
                      <w:rFonts w:ascii="Times New Roman" w:hAnsi="Times New Roman"/>
                      <w:szCs w:val="21"/>
                    </w:rPr>
                    <w:t>/h</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套</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27</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生物滤池</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7.1m×3.12m×3.3m</w:t>
                  </w:r>
                  <w:r>
                    <w:rPr>
                      <w:rFonts w:hint="eastAsia" w:ascii="Times New Roman" w:hAnsi="宋体"/>
                      <w:szCs w:val="21"/>
                    </w:rPr>
                    <w:t>，停留时间</w:t>
                  </w:r>
                  <w:r>
                    <w:rPr>
                      <w:rFonts w:ascii="Times New Roman" w:hAnsi="Times New Roman"/>
                      <w:szCs w:val="21"/>
                    </w:rPr>
                    <w:t>20s</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套</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28</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离心风机</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Q=6000m</w:t>
                  </w:r>
                  <w:r>
                    <w:rPr>
                      <w:rFonts w:ascii="Times New Roman" w:hAnsi="Times New Roman"/>
                      <w:szCs w:val="21"/>
                      <w:vertAlign w:val="superscript"/>
                    </w:rPr>
                    <w:t>3</w:t>
                  </w:r>
                  <w:r>
                    <w:rPr>
                      <w:rFonts w:ascii="Times New Roman" w:hAnsi="Times New Roman"/>
                      <w:szCs w:val="21"/>
                    </w:rPr>
                    <w:t>/h</w:t>
                  </w:r>
                  <w:r>
                    <w:rPr>
                      <w:rFonts w:hint="eastAsia" w:ascii="Times New Roman" w:hAnsi="宋体"/>
                      <w:szCs w:val="21"/>
                    </w:rPr>
                    <w:t>，全压</w:t>
                  </w:r>
                  <w:r>
                    <w:rPr>
                      <w:rFonts w:ascii="Times New Roman" w:hAnsi="Times New Roman"/>
                      <w:szCs w:val="21"/>
                    </w:rPr>
                    <w:t>=2500Pa</w:t>
                  </w:r>
                  <w:r>
                    <w:rPr>
                      <w:rFonts w:hint="eastAsia" w:ascii="Times New Roman" w:hAnsi="宋体"/>
                      <w:szCs w:val="21"/>
                    </w:rPr>
                    <w:t>，</w:t>
                  </w:r>
                  <w:r>
                    <w:rPr>
                      <w:rFonts w:ascii="Times New Roman" w:hAnsi="Times New Roman"/>
                      <w:szCs w:val="21"/>
                    </w:rPr>
                    <w:t>N=7.5kW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29</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循环水泵</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Q=15m</w:t>
                  </w:r>
                  <w:r>
                    <w:rPr>
                      <w:rFonts w:ascii="Times New Roman" w:hAnsi="Times New Roman"/>
                      <w:szCs w:val="21"/>
                      <w:vertAlign w:val="superscript"/>
                    </w:rPr>
                    <w:t>3</w:t>
                  </w:r>
                  <w:r>
                    <w:rPr>
                      <w:rFonts w:ascii="Times New Roman" w:hAnsi="Times New Roman"/>
                      <w:szCs w:val="21"/>
                    </w:rPr>
                    <w:t>/h</w:t>
                  </w:r>
                  <w:r>
                    <w:rPr>
                      <w:rFonts w:hint="eastAsia" w:ascii="Times New Roman" w:hAnsi="宋体"/>
                      <w:szCs w:val="21"/>
                    </w:rPr>
                    <w:t>，</w:t>
                  </w:r>
                  <w:r>
                    <w:rPr>
                      <w:rFonts w:ascii="Times New Roman" w:hAnsi="Times New Roman"/>
                      <w:szCs w:val="21"/>
                    </w:rPr>
                    <w:t>H=15m</w:t>
                  </w:r>
                  <w:r>
                    <w:rPr>
                      <w:rFonts w:hint="eastAsia" w:ascii="Times New Roman" w:hAnsi="宋体"/>
                      <w:szCs w:val="21"/>
                    </w:rPr>
                    <w:t>，</w:t>
                  </w:r>
                  <w:r>
                    <w:rPr>
                      <w:rFonts w:ascii="Times New Roman" w:hAnsi="Times New Roman"/>
                      <w:szCs w:val="21"/>
                    </w:rPr>
                    <w:t>N=2.2kW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30</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喷淋水泵</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Q=15m</w:t>
                  </w:r>
                  <w:r>
                    <w:rPr>
                      <w:rFonts w:ascii="Times New Roman" w:hAnsi="Times New Roman"/>
                      <w:szCs w:val="21"/>
                      <w:vertAlign w:val="superscript"/>
                    </w:rPr>
                    <w:t>3</w:t>
                  </w:r>
                  <w:r>
                    <w:rPr>
                      <w:rFonts w:ascii="Times New Roman" w:hAnsi="Times New Roman"/>
                      <w:szCs w:val="21"/>
                    </w:rPr>
                    <w:t>/h</w:t>
                  </w:r>
                  <w:r>
                    <w:rPr>
                      <w:rFonts w:hint="eastAsia" w:ascii="Times New Roman" w:hAnsi="宋体"/>
                      <w:szCs w:val="21"/>
                    </w:rPr>
                    <w:t>，</w:t>
                  </w:r>
                  <w:r>
                    <w:rPr>
                      <w:rFonts w:ascii="Times New Roman" w:hAnsi="Times New Roman"/>
                      <w:szCs w:val="21"/>
                    </w:rPr>
                    <w:t>H=15m</w:t>
                  </w:r>
                  <w:r>
                    <w:rPr>
                      <w:rFonts w:hint="eastAsia" w:ascii="Times New Roman" w:hAnsi="宋体"/>
                      <w:szCs w:val="21"/>
                    </w:rPr>
                    <w:t>，</w:t>
                  </w:r>
                  <w:r>
                    <w:rPr>
                      <w:rFonts w:ascii="Times New Roman" w:hAnsi="Times New Roman"/>
                      <w:szCs w:val="21"/>
                    </w:rPr>
                    <w:t>N=2.2kW</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31</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电气仪表</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32</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液位计</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E+H</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台</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33</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水压压力表</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0</w:t>
                  </w:r>
                  <w:r>
                    <w:rPr>
                      <w:rFonts w:hint="eastAsia" w:ascii="Times New Roman" w:hAnsi="宋体"/>
                      <w:szCs w:val="21"/>
                    </w:rPr>
                    <w:t>～</w:t>
                  </w:r>
                  <w:r>
                    <w:rPr>
                      <w:rFonts w:ascii="Times New Roman" w:hAnsi="Times New Roman"/>
                      <w:szCs w:val="21"/>
                    </w:rPr>
                    <w:t>1.0Mpa</w:t>
                  </w:r>
                  <w:r>
                    <w:rPr>
                      <w:rFonts w:hint="eastAsia" w:ascii="Times New Roman" w:hAnsi="宋体"/>
                      <w:szCs w:val="21"/>
                    </w:rPr>
                    <w:t>，</w:t>
                  </w:r>
                  <w:r>
                    <w:rPr>
                      <w:rFonts w:ascii="Times New Roman" w:hAnsi="Times New Roman"/>
                      <w:szCs w:val="21"/>
                    </w:rPr>
                    <w:t>304</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只</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34</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电动阀</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DN100</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个</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35</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电控柜</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IP65</w:t>
                  </w:r>
                  <w:r>
                    <w:rPr>
                      <w:rFonts w:hint="eastAsia" w:ascii="Times New Roman" w:hAnsi="宋体"/>
                      <w:szCs w:val="21"/>
                    </w:rPr>
                    <w:t>，户外型</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套</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36</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电气仪表安装材料</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批</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37</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厂区风管</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DN100</w:t>
                  </w:r>
                  <w:r>
                    <w:rPr>
                      <w:rFonts w:hint="eastAsia" w:ascii="Times New Roman" w:hAnsi="宋体"/>
                      <w:szCs w:val="21"/>
                    </w:rPr>
                    <w:t>、</w:t>
                  </w:r>
                  <w:r>
                    <w:rPr>
                      <w:rFonts w:ascii="Times New Roman" w:hAnsi="Times New Roman"/>
                      <w:szCs w:val="21"/>
                    </w:rPr>
                    <w:t>DN150</w:t>
                  </w:r>
                  <w:r>
                    <w:rPr>
                      <w:rFonts w:hint="eastAsia" w:ascii="Times New Roman" w:hAnsi="宋体"/>
                      <w:szCs w:val="21"/>
                    </w:rPr>
                    <w:t>、</w:t>
                  </w:r>
                  <w:r>
                    <w:rPr>
                      <w:rFonts w:ascii="Times New Roman" w:hAnsi="Times New Roman"/>
                      <w:szCs w:val="21"/>
                    </w:rPr>
                    <w:t>DN200</w:t>
                  </w:r>
                  <w:r>
                    <w:rPr>
                      <w:rFonts w:hint="eastAsia" w:ascii="Times New Roman" w:hAnsi="宋体"/>
                      <w:szCs w:val="21"/>
                    </w:rPr>
                    <w:t>、</w:t>
                  </w:r>
                  <w:r>
                    <w:rPr>
                      <w:rFonts w:ascii="Times New Roman" w:hAnsi="Times New Roman"/>
                      <w:szCs w:val="21"/>
                    </w:rPr>
                    <w:t>DN250</w:t>
                  </w:r>
                  <w:r>
                    <w:rPr>
                      <w:rFonts w:hint="eastAsia" w:ascii="Times New Roman" w:hAnsi="宋体"/>
                      <w:szCs w:val="21"/>
                    </w:rPr>
                    <w:t>、</w:t>
                  </w:r>
                  <w:r>
                    <w:rPr>
                      <w:rFonts w:ascii="Times New Roman" w:hAnsi="Times New Roman"/>
                      <w:szCs w:val="21"/>
                    </w:rPr>
                    <w:t>DN300</w:t>
                  </w:r>
                  <w:r>
                    <w:rPr>
                      <w:rFonts w:hint="eastAsia" w:ascii="Times New Roman" w:hAnsi="宋体"/>
                      <w:szCs w:val="21"/>
                    </w:rPr>
                    <w:t>、</w:t>
                  </w:r>
                  <w:r>
                    <w:rPr>
                      <w:rFonts w:ascii="Times New Roman" w:hAnsi="Times New Roman"/>
                      <w:szCs w:val="21"/>
                    </w:rPr>
                    <w:t>DN350</w:t>
                  </w:r>
                  <w:r>
                    <w:rPr>
                      <w:rFonts w:hint="eastAsia" w:ascii="Times New Roman" w:hAnsi="宋体"/>
                      <w:szCs w:val="21"/>
                    </w:rPr>
                    <w:t>、</w:t>
                  </w:r>
                  <w:r>
                    <w:rPr>
                      <w:rFonts w:ascii="Times New Roman" w:hAnsi="Times New Roman"/>
                      <w:szCs w:val="21"/>
                    </w:rPr>
                    <w:t>DN450</w:t>
                  </w:r>
                  <w:r>
                    <w:rPr>
                      <w:rFonts w:hint="eastAsia" w:ascii="Times New Roman" w:hAnsi="宋体"/>
                      <w:szCs w:val="21"/>
                    </w:rPr>
                    <w:t>、</w:t>
                  </w:r>
                  <w:r>
                    <w:rPr>
                      <w:rFonts w:ascii="Times New Roman" w:hAnsi="Times New Roman"/>
                      <w:szCs w:val="21"/>
                    </w:rPr>
                    <w:t>DN500</w:t>
                  </w:r>
                  <w:r>
                    <w:rPr>
                      <w:rFonts w:hint="eastAsia" w:ascii="Times New Roman" w:hAnsi="宋体"/>
                      <w:szCs w:val="21"/>
                    </w:rPr>
                    <w:t>、</w:t>
                  </w:r>
                  <w:r>
                    <w:rPr>
                      <w:rFonts w:ascii="Times New Roman" w:hAnsi="Times New Roman"/>
                      <w:szCs w:val="21"/>
                    </w:rPr>
                    <w:t>DN600</w:t>
                  </w:r>
                  <w:r>
                    <w:rPr>
                      <w:rFonts w:hint="eastAsia" w:ascii="Times New Roman" w:hAnsi="宋体"/>
                      <w:szCs w:val="21"/>
                    </w:rPr>
                    <w:t>、</w:t>
                  </w:r>
                  <w:r>
                    <w:rPr>
                      <w:rFonts w:ascii="Times New Roman" w:hAnsi="Times New Roman"/>
                      <w:szCs w:val="21"/>
                    </w:rPr>
                    <w:t>DN700</w:t>
                  </w:r>
                  <w:r>
                    <w:rPr>
                      <w:rFonts w:hint="eastAsia" w:ascii="Times New Roman" w:hAnsi="宋体"/>
                      <w:szCs w:val="21"/>
                    </w:rPr>
                    <w:t>、</w:t>
                  </w:r>
                  <w:r>
                    <w:rPr>
                      <w:rFonts w:ascii="Times New Roman" w:hAnsi="Times New Roman"/>
                      <w:szCs w:val="21"/>
                    </w:rPr>
                    <w:t>DN900</w:t>
                  </w:r>
                  <w:r>
                    <w:rPr>
                      <w:rFonts w:hint="eastAsia" w:ascii="Times New Roman" w:hAnsi="宋体"/>
                      <w:szCs w:val="21"/>
                    </w:rPr>
                    <w:t>、</w:t>
                  </w:r>
                  <w:r>
                    <w:rPr>
                      <w:rFonts w:ascii="Times New Roman" w:hAnsi="Times New Roman"/>
                      <w:szCs w:val="21"/>
                    </w:rPr>
                    <w:t>DN1400</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m</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1142</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宋体"/>
                      <w:szCs w:val="21"/>
                    </w:rPr>
                    <w:t>支架</w:t>
                  </w:r>
                  <w:r>
                    <w:rPr>
                      <w:rFonts w:ascii="Times New Roman" w:hAnsi="Times New Roman"/>
                      <w:szCs w:val="21"/>
                    </w:rPr>
                    <w:t>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63" w:hRule="atLeast"/>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38</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弯头</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DN100</w:t>
                  </w:r>
                  <w:r>
                    <w:rPr>
                      <w:rFonts w:hint="eastAsia" w:ascii="Times New Roman" w:hAnsi="宋体"/>
                      <w:szCs w:val="21"/>
                    </w:rPr>
                    <w:t>、</w:t>
                  </w:r>
                  <w:r>
                    <w:rPr>
                      <w:rFonts w:ascii="Times New Roman" w:hAnsi="Times New Roman"/>
                      <w:szCs w:val="21"/>
                    </w:rPr>
                    <w:t>DN150</w:t>
                  </w:r>
                  <w:r>
                    <w:rPr>
                      <w:rFonts w:hint="eastAsia" w:ascii="Times New Roman" w:hAnsi="宋体"/>
                      <w:szCs w:val="21"/>
                    </w:rPr>
                    <w:t>、</w:t>
                  </w:r>
                  <w:r>
                    <w:rPr>
                      <w:rFonts w:ascii="Times New Roman" w:hAnsi="Times New Roman"/>
                      <w:szCs w:val="21"/>
                    </w:rPr>
                    <w:t>DN200</w:t>
                  </w:r>
                  <w:r>
                    <w:rPr>
                      <w:rFonts w:hint="eastAsia" w:ascii="Times New Roman" w:hAnsi="宋体"/>
                      <w:szCs w:val="21"/>
                    </w:rPr>
                    <w:t>、</w:t>
                  </w:r>
                  <w:r>
                    <w:rPr>
                      <w:rFonts w:ascii="Times New Roman" w:hAnsi="Times New Roman"/>
                      <w:szCs w:val="21"/>
                    </w:rPr>
                    <w:t>DN300</w:t>
                  </w:r>
                  <w:r>
                    <w:rPr>
                      <w:rFonts w:hint="eastAsia" w:ascii="Times New Roman" w:hAnsi="宋体"/>
                      <w:szCs w:val="21"/>
                    </w:rPr>
                    <w:t>、</w:t>
                  </w:r>
                  <w:r>
                    <w:rPr>
                      <w:rFonts w:ascii="Times New Roman" w:hAnsi="Times New Roman"/>
                      <w:szCs w:val="21"/>
                    </w:rPr>
                    <w:t>DN350</w:t>
                  </w:r>
                  <w:r>
                    <w:rPr>
                      <w:rFonts w:hint="eastAsia" w:ascii="Times New Roman" w:hAnsi="宋体"/>
                      <w:szCs w:val="21"/>
                    </w:rPr>
                    <w:t>、</w:t>
                  </w:r>
                  <w:r>
                    <w:rPr>
                      <w:rFonts w:ascii="Times New Roman" w:hAnsi="Times New Roman"/>
                      <w:szCs w:val="21"/>
                    </w:rPr>
                    <w:t>DN100</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个</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68</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宋体"/>
                      <w:szCs w:val="21"/>
                    </w:rPr>
                    <w:t>支架</w:t>
                  </w:r>
                  <w:r>
                    <w:rPr>
                      <w:rFonts w:ascii="Times New Roman" w:hAnsi="Times New Roman"/>
                      <w:szCs w:val="21"/>
                    </w:rPr>
                    <w:t>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39</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风阀</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DN100</w:t>
                  </w:r>
                  <w:r>
                    <w:rPr>
                      <w:rFonts w:hint="eastAsia" w:ascii="Times New Roman" w:hAnsi="宋体"/>
                      <w:szCs w:val="21"/>
                    </w:rPr>
                    <w:t>，</w:t>
                  </w:r>
                  <w:r>
                    <w:rPr>
                      <w:rFonts w:ascii="Times New Roman" w:hAnsi="Times New Roman"/>
                      <w:szCs w:val="21"/>
                    </w:rPr>
                    <w:t xml:space="preserve"> DN150</w:t>
                  </w:r>
                  <w:r>
                    <w:rPr>
                      <w:rFonts w:hint="eastAsia" w:ascii="Times New Roman" w:hAnsi="宋体"/>
                      <w:szCs w:val="21"/>
                    </w:rPr>
                    <w:t>、</w:t>
                  </w:r>
                  <w:r>
                    <w:rPr>
                      <w:rFonts w:ascii="Times New Roman" w:hAnsi="Times New Roman"/>
                      <w:szCs w:val="21"/>
                    </w:rPr>
                    <w:t>DN200</w:t>
                  </w:r>
                  <w:r>
                    <w:rPr>
                      <w:rFonts w:hint="eastAsia" w:ascii="Times New Roman" w:hAnsi="宋体"/>
                      <w:szCs w:val="21"/>
                    </w:rPr>
                    <w:t>、</w:t>
                  </w:r>
                  <w:r>
                    <w:rPr>
                      <w:rFonts w:ascii="Times New Roman" w:hAnsi="Times New Roman"/>
                      <w:szCs w:val="21"/>
                    </w:rPr>
                    <w:t>DN250</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个</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94</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宋体"/>
                      <w:szCs w:val="21"/>
                    </w:rPr>
                    <w:t>支架</w:t>
                  </w:r>
                  <w:r>
                    <w:rPr>
                      <w:rFonts w:ascii="Times New Roman" w:hAnsi="Times New Roman"/>
                      <w:szCs w:val="21"/>
                    </w:rPr>
                    <w:t>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40</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加罩和盖板</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41</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粗格栅</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阳光板</w:t>
                  </w:r>
                  <w:r>
                    <w:rPr>
                      <w:rFonts w:ascii="Times New Roman" w:hAnsi="Times New Roman"/>
                      <w:szCs w:val="21"/>
                    </w:rPr>
                    <w:t>+</w:t>
                  </w:r>
                  <w:r>
                    <w:rPr>
                      <w:rFonts w:hint="eastAsia" w:ascii="Times New Roman" w:hAnsi="宋体"/>
                      <w:szCs w:val="21"/>
                    </w:rPr>
                    <w:t>不锈钢骨架</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73</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42</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细格栅</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阳光板</w:t>
                  </w:r>
                  <w:r>
                    <w:rPr>
                      <w:rFonts w:ascii="Times New Roman" w:hAnsi="Times New Roman"/>
                      <w:szCs w:val="21"/>
                    </w:rPr>
                    <w:t>+</w:t>
                  </w:r>
                  <w:r>
                    <w:rPr>
                      <w:rFonts w:hint="eastAsia" w:ascii="Times New Roman" w:hAnsi="宋体"/>
                      <w:szCs w:val="21"/>
                    </w:rPr>
                    <w:t>不锈钢骨架</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96</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43</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提升泵房</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玻璃钢盖板</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26</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44</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细格栅渠</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玻璃钢盖板</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46</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45</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旋流沉砂池</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玻璃钢盖板</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235</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25"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46</w:t>
                  </w:r>
                </w:p>
              </w:tc>
              <w:tc>
                <w:tcPr>
                  <w:tcW w:w="222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原有生化池</w:t>
                  </w:r>
                </w:p>
              </w:tc>
              <w:tc>
                <w:tcPr>
                  <w:tcW w:w="318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玻璃钢整体加罩</w:t>
                  </w:r>
                </w:p>
              </w:tc>
              <w:tc>
                <w:tcPr>
                  <w:tcW w:w="8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830"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2073</w:t>
                  </w:r>
                </w:p>
              </w:tc>
              <w:tc>
                <w:tcPr>
                  <w:tcW w:w="131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jc w:val="center"/>
              </w:trPr>
              <w:tc>
                <w:tcPr>
                  <w:tcW w:w="725" w:type="dxa"/>
                  <w:tcBorders>
                    <w:top w:val="single" w:color="auto" w:sz="6" w:space="0"/>
                    <w:left w:val="single" w:color="auto" w:sz="12" w:space="0"/>
                    <w:bottom w:val="single" w:color="auto" w:sz="12"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47</w:t>
                  </w:r>
                </w:p>
              </w:tc>
              <w:tc>
                <w:tcPr>
                  <w:tcW w:w="2220"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新建生化池</w:t>
                  </w:r>
                </w:p>
              </w:tc>
              <w:tc>
                <w:tcPr>
                  <w:tcW w:w="3184"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宋体"/>
                      <w:szCs w:val="21"/>
                    </w:rPr>
                    <w:t>玻璃钢整体加罩</w:t>
                  </w:r>
                </w:p>
              </w:tc>
              <w:tc>
                <w:tcPr>
                  <w:tcW w:w="821"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2</w:t>
                  </w:r>
                </w:p>
              </w:tc>
              <w:tc>
                <w:tcPr>
                  <w:tcW w:w="830"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2057</w:t>
                  </w:r>
                </w:p>
              </w:tc>
              <w:tc>
                <w:tcPr>
                  <w:tcW w:w="1318" w:type="dxa"/>
                  <w:tcBorders>
                    <w:top w:val="single" w:color="auto" w:sz="6" w:space="0"/>
                    <w:left w:val="single" w:color="auto" w:sz="6" w:space="0"/>
                    <w:bottom w:val="single" w:color="auto" w:sz="12"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w:t>
                  </w:r>
                </w:p>
              </w:tc>
            </w:tr>
          </w:tbl>
          <w:p>
            <w:pPr>
              <w:pStyle w:val="2"/>
              <w:spacing w:line="360" w:lineRule="auto"/>
              <w:ind w:firstLine="482" w:firstLineChars="200"/>
              <w:rPr>
                <w:b/>
                <w:bCs/>
                <w:szCs w:val="28"/>
              </w:rPr>
            </w:pPr>
            <w:r>
              <w:rPr>
                <w:b/>
                <w:bCs/>
                <w:szCs w:val="28"/>
              </w:rPr>
              <w:t>4</w:t>
            </w:r>
            <w:r>
              <w:rPr>
                <w:rFonts w:hint="eastAsia"/>
                <w:b/>
                <w:bCs/>
                <w:szCs w:val="28"/>
              </w:rPr>
              <w:t>、药剂消耗</w:t>
            </w:r>
          </w:p>
          <w:p>
            <w:pPr>
              <w:pStyle w:val="2"/>
              <w:spacing w:line="360" w:lineRule="auto"/>
              <w:ind w:firstLine="480" w:firstLineChars="200"/>
            </w:pPr>
            <w:r>
              <w:rPr>
                <w:rFonts w:hint="eastAsia"/>
              </w:rPr>
              <w:t>本项目污水处理所需的相关药剂及消耗量详见表</w:t>
            </w:r>
            <w:r>
              <w:t>1-10</w:t>
            </w:r>
            <w:r>
              <w:rPr>
                <w:rFonts w:hint="eastAsia"/>
              </w:rPr>
              <w:t>。</w:t>
            </w:r>
          </w:p>
          <w:p>
            <w:pPr>
              <w:pStyle w:val="2"/>
              <w:spacing w:line="360" w:lineRule="auto"/>
              <w:jc w:val="center"/>
              <w:rPr>
                <w:b/>
                <w:bCs/>
                <w:szCs w:val="28"/>
              </w:rPr>
            </w:pPr>
            <w:r>
              <w:rPr>
                <w:rFonts w:hint="eastAsia"/>
                <w:b/>
                <w:bCs/>
                <w:szCs w:val="28"/>
              </w:rPr>
              <w:t>表</w:t>
            </w:r>
            <w:r>
              <w:rPr>
                <w:b/>
                <w:bCs/>
                <w:szCs w:val="28"/>
              </w:rPr>
              <w:t xml:space="preserve">1-10   </w:t>
            </w:r>
            <w:r>
              <w:rPr>
                <w:rFonts w:hint="eastAsia"/>
                <w:b/>
                <w:bCs/>
                <w:szCs w:val="28"/>
              </w:rPr>
              <w:t>药剂消耗统计表</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2"/>
              <w:gridCol w:w="1221"/>
              <w:gridCol w:w="1465"/>
              <w:gridCol w:w="1292"/>
              <w:gridCol w:w="1772"/>
              <w:gridCol w:w="1328"/>
              <w:gridCol w:w="13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tcBorders>
                    <w:top w:val="single" w:color="auto" w:sz="12" w:space="0"/>
                    <w:left w:val="single" w:color="auto" w:sz="12" w:space="0"/>
                    <w:bottom w:val="double" w:color="auto" w:sz="4" w:space="0"/>
                    <w:right w:val="single" w:color="auto" w:sz="6" w:space="0"/>
                  </w:tcBorders>
                  <w:vAlign w:val="center"/>
                </w:tcPr>
                <w:p>
                  <w:pPr>
                    <w:spacing w:line="240" w:lineRule="atLeast"/>
                    <w:jc w:val="center"/>
                    <w:rPr>
                      <w:rFonts w:ascii="Times New Roman" w:hAnsi="Times New Roman"/>
                      <w:b/>
                      <w:bCs/>
                    </w:rPr>
                  </w:pPr>
                  <w:r>
                    <w:rPr>
                      <w:rFonts w:hint="eastAsia" w:ascii="Times New Roman" w:hAnsi="Times New Roman"/>
                      <w:b/>
                      <w:bCs/>
                    </w:rPr>
                    <w:t>序号</w:t>
                  </w:r>
                </w:p>
              </w:tc>
              <w:tc>
                <w:tcPr>
                  <w:tcW w:w="1221"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bCs/>
                    </w:rPr>
                  </w:pPr>
                  <w:r>
                    <w:rPr>
                      <w:rFonts w:hint="eastAsia" w:ascii="Times New Roman" w:hAnsi="Times New Roman"/>
                      <w:b/>
                      <w:bCs/>
                    </w:rPr>
                    <w:t>名称</w:t>
                  </w:r>
                </w:p>
              </w:tc>
              <w:tc>
                <w:tcPr>
                  <w:tcW w:w="1465"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bCs/>
                    </w:rPr>
                  </w:pPr>
                  <w:r>
                    <w:rPr>
                      <w:rFonts w:hint="eastAsia" w:ascii="Times New Roman" w:hAnsi="Times New Roman"/>
                      <w:b/>
                      <w:bCs/>
                    </w:rPr>
                    <w:t>主要成分</w:t>
                  </w:r>
                </w:p>
              </w:tc>
              <w:tc>
                <w:tcPr>
                  <w:tcW w:w="1292"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bCs/>
                    </w:rPr>
                  </w:pPr>
                  <w:r>
                    <w:rPr>
                      <w:rFonts w:hint="eastAsia" w:ascii="Times New Roman" w:hAnsi="Times New Roman"/>
                      <w:b/>
                      <w:bCs/>
                    </w:rPr>
                    <w:t>消耗量</w:t>
                  </w:r>
                  <w:r>
                    <w:rPr>
                      <w:rFonts w:ascii="Times New Roman" w:hAnsi="Times New Roman"/>
                      <w:b/>
                      <w:bCs/>
                    </w:rPr>
                    <w:t>t/a</w:t>
                  </w:r>
                </w:p>
              </w:tc>
              <w:tc>
                <w:tcPr>
                  <w:tcW w:w="1772"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bCs/>
                    </w:rPr>
                  </w:pPr>
                  <w:r>
                    <w:rPr>
                      <w:rFonts w:hint="eastAsia" w:ascii="Times New Roman" w:hAnsi="Times New Roman"/>
                      <w:b/>
                      <w:bCs/>
                    </w:rPr>
                    <w:t>最大贮存量</w:t>
                  </w:r>
                  <w:r>
                    <w:rPr>
                      <w:rFonts w:ascii="Times New Roman" w:hAnsi="Times New Roman"/>
                      <w:b/>
                      <w:bCs/>
                    </w:rPr>
                    <w:t>t/a</w:t>
                  </w:r>
                </w:p>
              </w:tc>
              <w:tc>
                <w:tcPr>
                  <w:tcW w:w="1328"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bCs/>
                    </w:rPr>
                  </w:pPr>
                  <w:r>
                    <w:rPr>
                      <w:rFonts w:hint="eastAsia" w:ascii="Times New Roman" w:hAnsi="Times New Roman"/>
                      <w:b/>
                      <w:bCs/>
                    </w:rPr>
                    <w:t>贮存位置</w:t>
                  </w:r>
                </w:p>
              </w:tc>
              <w:tc>
                <w:tcPr>
                  <w:tcW w:w="1328" w:type="dxa"/>
                  <w:tcBorders>
                    <w:top w:val="single" w:color="auto" w:sz="12" w:space="0"/>
                    <w:left w:val="single" w:color="auto" w:sz="6" w:space="0"/>
                    <w:bottom w:val="double" w:color="auto" w:sz="4" w:space="0"/>
                    <w:right w:val="single" w:color="auto" w:sz="12" w:space="0"/>
                  </w:tcBorders>
                  <w:vAlign w:val="center"/>
                </w:tcPr>
                <w:p>
                  <w:pPr>
                    <w:spacing w:line="240" w:lineRule="atLeast"/>
                    <w:jc w:val="center"/>
                    <w:rPr>
                      <w:rFonts w:ascii="Times New Roman" w:hAnsi="Times New Roman"/>
                      <w:b/>
                      <w:bCs/>
                    </w:rPr>
                  </w:pPr>
                  <w:r>
                    <w:rPr>
                      <w:rFonts w:hint="eastAsia" w:ascii="Times New Roman" w:hAnsi="Times New Roman"/>
                      <w:b/>
                      <w:bCs/>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tcBorders>
                    <w:top w:val="double" w:color="auto" w:sz="4"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1</w:t>
                  </w:r>
                </w:p>
              </w:tc>
              <w:tc>
                <w:tcPr>
                  <w:tcW w:w="1221"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PAC</w:t>
                  </w:r>
                </w:p>
              </w:tc>
              <w:tc>
                <w:tcPr>
                  <w:tcW w:w="1465"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聚合氯化铝</w:t>
                  </w:r>
                </w:p>
              </w:tc>
              <w:tc>
                <w:tcPr>
                  <w:tcW w:w="1292"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30</w:t>
                  </w:r>
                </w:p>
              </w:tc>
              <w:tc>
                <w:tcPr>
                  <w:tcW w:w="1772"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3</w:t>
                  </w:r>
                </w:p>
              </w:tc>
              <w:tc>
                <w:tcPr>
                  <w:tcW w:w="1328"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除磷加药间</w:t>
                  </w:r>
                </w:p>
              </w:tc>
              <w:tc>
                <w:tcPr>
                  <w:tcW w:w="1328" w:type="dxa"/>
                  <w:tcBorders>
                    <w:top w:val="double" w:color="auto" w:sz="4"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hint="eastAsia" w:ascii="Times New Roman" w:hAnsi="Times New Roman"/>
                    </w:rPr>
                    <w:t>固体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2</w:t>
                  </w:r>
                </w:p>
              </w:tc>
              <w:tc>
                <w:tcPr>
                  <w:tcW w:w="12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PAM</w:t>
                  </w:r>
                </w:p>
              </w:tc>
              <w:tc>
                <w:tcPr>
                  <w:tcW w:w="1465"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聚丙烯酰胺</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4</w:t>
                  </w:r>
                </w:p>
              </w:tc>
              <w:tc>
                <w:tcPr>
                  <w:tcW w:w="1772"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3</w:t>
                  </w:r>
                </w:p>
              </w:tc>
              <w:tc>
                <w:tcPr>
                  <w:tcW w:w="13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脱泥间</w:t>
                  </w:r>
                </w:p>
              </w:tc>
              <w:tc>
                <w:tcPr>
                  <w:tcW w:w="132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hint="eastAsia" w:ascii="Times New Roman" w:hAnsi="Times New Roman"/>
                    </w:rPr>
                    <w:t>固体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3</w:t>
                  </w:r>
                </w:p>
              </w:tc>
              <w:tc>
                <w:tcPr>
                  <w:tcW w:w="1221"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漂白精</w:t>
                  </w:r>
                </w:p>
              </w:tc>
              <w:tc>
                <w:tcPr>
                  <w:tcW w:w="1465"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过碳酸钠</w:t>
                  </w:r>
                  <w:r>
                    <w:rPr>
                      <w:rFonts w:ascii="Times New Roman" w:hAnsi="Times New Roman"/>
                    </w:rPr>
                    <w:t>/</w:t>
                  </w:r>
                  <w:r>
                    <w:rPr>
                      <w:rFonts w:hint="eastAsia" w:ascii="Times New Roman" w:hAnsi="Times New Roman"/>
                    </w:rPr>
                    <w:t>次氯酸钠</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18</w:t>
                  </w:r>
                </w:p>
              </w:tc>
              <w:tc>
                <w:tcPr>
                  <w:tcW w:w="1772"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3</w:t>
                  </w:r>
                </w:p>
              </w:tc>
              <w:tc>
                <w:tcPr>
                  <w:tcW w:w="13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消毒加药间</w:t>
                  </w:r>
                </w:p>
              </w:tc>
              <w:tc>
                <w:tcPr>
                  <w:tcW w:w="1328"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hint="eastAsia" w:ascii="Times New Roman" w:hAnsi="Times New Roman"/>
                    </w:rPr>
                    <w:t>固体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92" w:type="dxa"/>
                  <w:tcBorders>
                    <w:top w:val="single" w:color="auto" w:sz="6" w:space="0"/>
                    <w:left w:val="single" w:color="auto" w:sz="12" w:space="0"/>
                    <w:bottom w:val="single" w:color="auto" w:sz="12" w:space="0"/>
                    <w:right w:val="single" w:color="auto" w:sz="6" w:space="0"/>
                  </w:tcBorders>
                  <w:vAlign w:val="center"/>
                </w:tcPr>
                <w:p>
                  <w:pPr>
                    <w:spacing w:line="240" w:lineRule="atLeast"/>
                    <w:jc w:val="center"/>
                    <w:rPr>
                      <w:rFonts w:ascii="Times New Roman" w:hAnsi="Times New Roman"/>
                    </w:rPr>
                  </w:pPr>
                  <w:r>
                    <w:rPr>
                      <w:rFonts w:ascii="Times New Roman" w:hAnsi="Times New Roman"/>
                    </w:rPr>
                    <w:t>4</w:t>
                  </w:r>
                </w:p>
              </w:tc>
              <w:tc>
                <w:tcPr>
                  <w:tcW w:w="1221"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除磷剂</w:t>
                  </w:r>
                </w:p>
              </w:tc>
              <w:tc>
                <w:tcPr>
                  <w:tcW w:w="1465"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聚合硫酸盐</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rPr>
                  </w:pPr>
                  <w:r>
                    <w:rPr>
                      <w:rFonts w:ascii="Times New Roman" w:hAnsi="Times New Roman"/>
                    </w:rPr>
                    <w:t>350</w:t>
                  </w:r>
                </w:p>
              </w:tc>
              <w:tc>
                <w:tcPr>
                  <w:tcW w:w="1772"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rPr>
                  </w:pPr>
                  <w:r>
                    <w:rPr>
                      <w:rFonts w:ascii="Times New Roman" w:hAnsi="Times New Roman"/>
                    </w:rPr>
                    <w:t>15</w:t>
                  </w:r>
                </w:p>
              </w:tc>
              <w:tc>
                <w:tcPr>
                  <w:tcW w:w="1328"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除磷加药间</w:t>
                  </w:r>
                </w:p>
              </w:tc>
              <w:tc>
                <w:tcPr>
                  <w:tcW w:w="1328" w:type="dxa"/>
                  <w:tcBorders>
                    <w:top w:val="single" w:color="auto" w:sz="6" w:space="0"/>
                    <w:left w:val="single" w:color="auto" w:sz="6" w:space="0"/>
                    <w:bottom w:val="single" w:color="auto" w:sz="12" w:space="0"/>
                    <w:right w:val="single" w:color="auto" w:sz="12" w:space="0"/>
                  </w:tcBorders>
                  <w:vAlign w:val="center"/>
                </w:tcPr>
                <w:p>
                  <w:pPr>
                    <w:spacing w:line="240" w:lineRule="atLeast"/>
                    <w:jc w:val="center"/>
                    <w:rPr>
                      <w:rFonts w:ascii="Times New Roman" w:hAnsi="Times New Roman"/>
                    </w:rPr>
                  </w:pPr>
                  <w:r>
                    <w:rPr>
                      <w:rFonts w:hint="eastAsia" w:ascii="Times New Roman" w:hAnsi="Times New Roman"/>
                    </w:rPr>
                    <w:t>液体</w:t>
                  </w:r>
                </w:p>
              </w:tc>
            </w:tr>
          </w:tbl>
          <w:p>
            <w:pPr>
              <w:pStyle w:val="2"/>
              <w:spacing w:line="360" w:lineRule="auto"/>
              <w:ind w:firstLine="482" w:firstLineChars="200"/>
              <w:rPr>
                <w:b/>
                <w:bCs/>
                <w:szCs w:val="28"/>
              </w:rPr>
            </w:pPr>
            <w:r>
              <w:rPr>
                <w:b/>
                <w:bCs/>
                <w:szCs w:val="28"/>
              </w:rPr>
              <w:t>5</w:t>
            </w:r>
            <w:r>
              <w:rPr>
                <w:rFonts w:hint="eastAsia"/>
                <w:b/>
                <w:bCs/>
                <w:szCs w:val="28"/>
              </w:rPr>
              <w:t>、服务范围</w:t>
            </w:r>
          </w:p>
          <w:p>
            <w:pPr>
              <w:pStyle w:val="2"/>
              <w:spacing w:line="360" w:lineRule="auto"/>
              <w:ind w:firstLine="480" w:firstLineChars="200"/>
            </w:pPr>
            <w:r>
              <w:rPr>
                <w:rFonts w:hint="eastAsia"/>
              </w:rPr>
              <w:t>本项目为定安县定城污水处理厂二期扩建工程，一期服务范围为定安县县城内的生活污水，包括已规划的定安县老城区、定安县塔岭新区（一期、定安县塔岭新区（二期）以及定安县仙沟片区，共约</w:t>
            </w:r>
            <w:r>
              <w:t>3110hm</w:t>
            </w:r>
            <w:r>
              <w:rPr>
                <w:vertAlign w:val="superscript"/>
              </w:rPr>
              <w:t>2</w:t>
            </w:r>
            <w:r>
              <w:rPr>
                <w:rFonts w:hint="eastAsia"/>
              </w:rPr>
              <w:t>的服务面积。本次扩建服务范围不变。</w:t>
            </w:r>
          </w:p>
          <w:p>
            <w:pPr>
              <w:pStyle w:val="2"/>
              <w:spacing w:line="360" w:lineRule="auto"/>
              <w:ind w:firstLine="482" w:firstLineChars="200"/>
              <w:rPr>
                <w:b/>
                <w:bCs/>
                <w:szCs w:val="28"/>
              </w:rPr>
            </w:pPr>
            <w:r>
              <w:rPr>
                <w:b/>
                <w:bCs/>
                <w:szCs w:val="28"/>
              </w:rPr>
              <w:t>6</w:t>
            </w:r>
            <w:r>
              <w:rPr>
                <w:rFonts w:hint="eastAsia"/>
                <w:b/>
                <w:bCs/>
                <w:szCs w:val="28"/>
              </w:rPr>
              <w:t>、污水量</w:t>
            </w:r>
          </w:p>
          <w:p>
            <w:pPr>
              <w:pStyle w:val="2"/>
              <w:spacing w:line="360" w:lineRule="auto"/>
              <w:ind w:firstLine="480" w:firstLineChars="200"/>
              <w:rPr>
                <w:szCs w:val="28"/>
              </w:rPr>
            </w:pPr>
            <w:r>
              <w:rPr>
                <w:rFonts w:hint="eastAsia"/>
                <w:szCs w:val="28"/>
              </w:rPr>
              <w:t>根据建设单位提供的《定安县定城污水处理厂二期改扩建工程可行性研究报告》（北京市市政工程设计研究总院有限公司）：</w:t>
            </w:r>
          </w:p>
          <w:p>
            <w:pPr>
              <w:pStyle w:val="2"/>
              <w:spacing w:line="360" w:lineRule="auto"/>
              <w:ind w:firstLine="480" w:firstLineChars="200"/>
              <w:rPr>
                <w:szCs w:val="28"/>
              </w:rPr>
            </w:pPr>
            <w:r>
              <w:rPr>
                <w:rFonts w:hint="eastAsia"/>
                <w:szCs w:val="28"/>
              </w:rPr>
              <w:t>“本工程设计基准年为</w:t>
            </w:r>
            <w:r>
              <w:rPr>
                <w:szCs w:val="28"/>
              </w:rPr>
              <w:t>2017</w:t>
            </w:r>
            <w:r>
              <w:rPr>
                <w:rFonts w:hint="eastAsia"/>
                <w:szCs w:val="28"/>
              </w:rPr>
              <w:t>年，设计年限为</w:t>
            </w:r>
            <w:r>
              <w:rPr>
                <w:szCs w:val="28"/>
              </w:rPr>
              <w:t>2018~2030</w:t>
            </w:r>
            <w:r>
              <w:rPr>
                <w:rFonts w:hint="eastAsia"/>
                <w:szCs w:val="28"/>
              </w:rPr>
              <w:t>年；设计期限县城城区远期预测人口数为</w:t>
            </w:r>
            <w:r>
              <w:rPr>
                <w:szCs w:val="28"/>
              </w:rPr>
              <w:t>92419</w:t>
            </w:r>
            <w:r>
              <w:rPr>
                <w:rFonts w:hint="eastAsia"/>
                <w:szCs w:val="28"/>
              </w:rPr>
              <w:t>人；县城城区设计年限</w:t>
            </w:r>
            <w:r>
              <w:rPr>
                <w:szCs w:val="28"/>
              </w:rPr>
              <w:t>2030</w:t>
            </w:r>
            <w:r>
              <w:rPr>
                <w:rFonts w:hint="eastAsia"/>
                <w:szCs w:val="28"/>
              </w:rPr>
              <w:t>年的年用水量为</w:t>
            </w:r>
            <w:r>
              <w:rPr>
                <w:szCs w:val="28"/>
              </w:rPr>
              <w:t>4.67</w:t>
            </w:r>
            <w:r>
              <w:rPr>
                <w:rFonts w:hint="eastAsia"/>
                <w:szCs w:val="28"/>
              </w:rPr>
              <w:t>万</w:t>
            </w:r>
            <w:r>
              <w:rPr>
                <w:szCs w:val="28"/>
              </w:rPr>
              <w:t>m</w:t>
            </w:r>
            <w:r>
              <w:rPr>
                <w:szCs w:val="28"/>
                <w:vertAlign w:val="superscript"/>
              </w:rPr>
              <w:t>3</w:t>
            </w:r>
            <w:r>
              <w:rPr>
                <w:szCs w:val="28"/>
              </w:rPr>
              <w:t>/d</w:t>
            </w:r>
            <w:r>
              <w:rPr>
                <w:rFonts w:hint="eastAsia"/>
                <w:szCs w:val="28"/>
              </w:rPr>
              <w:t>，据服务范围内设计年限</w:t>
            </w:r>
            <w:r>
              <w:rPr>
                <w:szCs w:val="28"/>
              </w:rPr>
              <w:t>2030</w:t>
            </w:r>
            <w:r>
              <w:rPr>
                <w:rFonts w:hint="eastAsia"/>
                <w:szCs w:val="28"/>
              </w:rPr>
              <w:t>年规划最高日用水量为</w:t>
            </w:r>
            <w:r>
              <w:rPr>
                <w:szCs w:val="28"/>
              </w:rPr>
              <w:t>4.786</w:t>
            </w:r>
            <w:r>
              <w:rPr>
                <w:rFonts w:hint="eastAsia"/>
                <w:szCs w:val="28"/>
              </w:rPr>
              <w:t>万</w:t>
            </w:r>
            <w:r>
              <w:rPr>
                <w:szCs w:val="28"/>
              </w:rPr>
              <w:t>m</w:t>
            </w:r>
            <w:r>
              <w:rPr>
                <w:szCs w:val="28"/>
                <w:vertAlign w:val="superscript"/>
              </w:rPr>
              <w:t>3</w:t>
            </w:r>
            <w:r>
              <w:rPr>
                <w:szCs w:val="28"/>
              </w:rPr>
              <w:t>/d</w:t>
            </w:r>
            <w:r>
              <w:rPr>
                <w:rFonts w:hint="eastAsia"/>
                <w:szCs w:val="28"/>
              </w:rPr>
              <w:t>，同时考虑日变化系数</w:t>
            </w:r>
            <w:r>
              <w:rPr>
                <w:szCs w:val="28"/>
              </w:rPr>
              <w:t>Kd=1.3</w:t>
            </w:r>
            <w:r>
              <w:rPr>
                <w:rFonts w:hint="eastAsia"/>
                <w:szCs w:val="28"/>
              </w:rPr>
              <w:t>、折污率</w:t>
            </w:r>
            <w:r>
              <w:rPr>
                <w:szCs w:val="28"/>
              </w:rPr>
              <w:t>80%</w:t>
            </w:r>
            <w:r>
              <w:rPr>
                <w:rFonts w:hint="eastAsia"/>
                <w:szCs w:val="28"/>
              </w:rPr>
              <w:t>、设计年限</w:t>
            </w:r>
            <w:r>
              <w:rPr>
                <w:szCs w:val="28"/>
              </w:rPr>
              <w:t>2030</w:t>
            </w:r>
            <w:r>
              <w:rPr>
                <w:rFonts w:hint="eastAsia"/>
                <w:szCs w:val="28"/>
              </w:rPr>
              <w:t>年污水收集率为</w:t>
            </w:r>
            <w:r>
              <w:rPr>
                <w:szCs w:val="28"/>
              </w:rPr>
              <w:t>90%</w:t>
            </w:r>
            <w:r>
              <w:rPr>
                <w:rFonts w:hint="eastAsia"/>
                <w:szCs w:val="28"/>
              </w:rPr>
              <w:t>、地下水渗漏率为</w:t>
            </w:r>
            <w:r>
              <w:rPr>
                <w:szCs w:val="28"/>
              </w:rPr>
              <w:t>10%</w:t>
            </w:r>
            <w:r>
              <w:rPr>
                <w:rFonts w:hint="eastAsia"/>
                <w:szCs w:val="28"/>
              </w:rPr>
              <w:t>，则设计年限</w:t>
            </w:r>
            <w:r>
              <w:rPr>
                <w:szCs w:val="28"/>
              </w:rPr>
              <w:t xml:space="preserve">2030 </w:t>
            </w:r>
            <w:r>
              <w:rPr>
                <w:rFonts w:hint="eastAsia"/>
                <w:szCs w:val="28"/>
              </w:rPr>
              <w:t>年的污水量为</w:t>
            </w:r>
            <w:r>
              <w:rPr>
                <w:szCs w:val="28"/>
              </w:rPr>
              <w:t>2.915</w:t>
            </w:r>
            <w:r>
              <w:rPr>
                <w:rFonts w:hint="eastAsia"/>
                <w:szCs w:val="28"/>
              </w:rPr>
              <w:t>万</w:t>
            </w:r>
            <w:r>
              <w:rPr>
                <w:szCs w:val="28"/>
              </w:rPr>
              <w:t>m</w:t>
            </w:r>
            <w:r>
              <w:rPr>
                <w:szCs w:val="28"/>
                <w:vertAlign w:val="superscript"/>
              </w:rPr>
              <w:t>3</w:t>
            </w:r>
            <w:r>
              <w:rPr>
                <w:szCs w:val="28"/>
              </w:rPr>
              <w:t>/d</w:t>
            </w:r>
            <w:r>
              <w:rPr>
                <w:rFonts w:hint="eastAsia"/>
                <w:szCs w:val="28"/>
              </w:rPr>
              <w:t>。</w:t>
            </w:r>
          </w:p>
          <w:p>
            <w:pPr>
              <w:pStyle w:val="2"/>
              <w:spacing w:line="360" w:lineRule="auto"/>
              <w:ind w:firstLine="480" w:firstLineChars="200"/>
              <w:rPr>
                <w:szCs w:val="28"/>
              </w:rPr>
            </w:pPr>
            <w:r>
              <w:rPr>
                <w:rFonts w:hint="eastAsia"/>
                <w:szCs w:val="28"/>
              </w:rPr>
              <w:t>因此本项目设计扩建规模为</w:t>
            </w:r>
            <w:r>
              <w:rPr>
                <w:szCs w:val="28"/>
              </w:rPr>
              <w:t>1.5</w:t>
            </w:r>
            <w:r>
              <w:rPr>
                <w:rFonts w:hint="eastAsia"/>
                <w:szCs w:val="28"/>
              </w:rPr>
              <w:t>万</w:t>
            </w:r>
            <w:r>
              <w:rPr>
                <w:szCs w:val="28"/>
              </w:rPr>
              <w:t>m</w:t>
            </w:r>
            <w:r>
              <w:rPr>
                <w:szCs w:val="28"/>
                <w:vertAlign w:val="superscript"/>
              </w:rPr>
              <w:t>3</w:t>
            </w:r>
            <w:r>
              <w:rPr>
                <w:szCs w:val="28"/>
              </w:rPr>
              <w:t>/d</w:t>
            </w:r>
            <w:r>
              <w:rPr>
                <w:rFonts w:hint="eastAsia"/>
                <w:szCs w:val="28"/>
              </w:rPr>
              <w:t>，扩建后全厂污水处理规模为</w:t>
            </w:r>
            <w:r>
              <w:rPr>
                <w:szCs w:val="28"/>
              </w:rPr>
              <w:t>3.0</w:t>
            </w:r>
            <w:r>
              <w:rPr>
                <w:rFonts w:hint="eastAsia"/>
                <w:szCs w:val="28"/>
              </w:rPr>
              <w:t>万</w:t>
            </w:r>
            <w:r>
              <w:rPr>
                <w:szCs w:val="28"/>
              </w:rPr>
              <w:t>m</w:t>
            </w:r>
            <w:r>
              <w:rPr>
                <w:szCs w:val="28"/>
                <w:vertAlign w:val="superscript"/>
              </w:rPr>
              <w:t>3</w:t>
            </w:r>
            <w:r>
              <w:rPr>
                <w:szCs w:val="28"/>
              </w:rPr>
              <w:t>/d</w:t>
            </w:r>
            <w:r>
              <w:rPr>
                <w:rFonts w:hint="eastAsia"/>
                <w:szCs w:val="28"/>
              </w:rPr>
              <w:t>。”</w:t>
            </w:r>
          </w:p>
          <w:p>
            <w:pPr>
              <w:pStyle w:val="2"/>
              <w:spacing w:line="360" w:lineRule="auto"/>
              <w:ind w:firstLine="482" w:firstLineChars="200"/>
              <w:rPr>
                <w:b/>
                <w:bCs/>
                <w:szCs w:val="28"/>
              </w:rPr>
            </w:pPr>
            <w:r>
              <w:rPr>
                <w:b/>
                <w:bCs/>
                <w:szCs w:val="28"/>
              </w:rPr>
              <w:t>7</w:t>
            </w:r>
            <w:r>
              <w:rPr>
                <w:rFonts w:hint="eastAsia"/>
                <w:b/>
                <w:bCs/>
                <w:szCs w:val="28"/>
              </w:rPr>
              <w:t>、设计进出水水质</w:t>
            </w:r>
          </w:p>
          <w:p>
            <w:pPr>
              <w:pStyle w:val="2"/>
              <w:spacing w:line="360" w:lineRule="auto"/>
              <w:ind w:firstLine="480" w:firstLineChars="200"/>
              <w:rPr>
                <w:szCs w:val="28"/>
              </w:rPr>
            </w:pPr>
            <w:r>
              <w:rPr>
                <w:rFonts w:hint="eastAsia"/>
                <w:szCs w:val="28"/>
              </w:rPr>
              <w:t>项目实施后，定城污水处理厂进水水质要求详见表</w:t>
            </w:r>
            <w:r>
              <w:rPr>
                <w:szCs w:val="28"/>
              </w:rPr>
              <w:t>1-11</w:t>
            </w:r>
            <w:r>
              <w:rPr>
                <w:rFonts w:hint="eastAsia"/>
                <w:szCs w:val="28"/>
              </w:rPr>
              <w:t>。</w:t>
            </w:r>
          </w:p>
          <w:p>
            <w:pPr>
              <w:pStyle w:val="2"/>
              <w:spacing w:line="360" w:lineRule="auto"/>
              <w:ind w:firstLine="482" w:firstLineChars="200"/>
              <w:jc w:val="center"/>
              <w:rPr>
                <w:b/>
                <w:bCs/>
                <w:szCs w:val="28"/>
              </w:rPr>
            </w:pPr>
            <w:r>
              <w:rPr>
                <w:rFonts w:hint="eastAsia"/>
                <w:b/>
                <w:bCs/>
                <w:szCs w:val="28"/>
              </w:rPr>
              <w:t>表</w:t>
            </w:r>
            <w:r>
              <w:rPr>
                <w:b/>
                <w:bCs/>
                <w:szCs w:val="28"/>
              </w:rPr>
              <w:t>1-11</w:t>
            </w:r>
            <w:r>
              <w:rPr>
                <w:rFonts w:hint="eastAsia"/>
                <w:b/>
                <w:bCs/>
                <w:szCs w:val="28"/>
              </w:rPr>
              <w:t>设计进水水质要求</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60"/>
              <w:gridCol w:w="1101"/>
              <w:gridCol w:w="1215"/>
              <w:gridCol w:w="1079"/>
              <w:gridCol w:w="1352"/>
              <w:gridCol w:w="903"/>
              <w:gridCol w:w="9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1" w:hRule="atLeast"/>
                <w:tblHeader/>
                <w:jc w:val="center"/>
              </w:trPr>
              <w:tc>
                <w:tcPr>
                  <w:tcW w:w="2460" w:type="dxa"/>
                  <w:tcBorders>
                    <w:top w:val="single" w:color="auto" w:sz="12" w:space="0"/>
                    <w:left w:val="single" w:color="auto" w:sz="12" w:space="0"/>
                    <w:bottom w:val="double" w:color="auto" w:sz="4" w:space="0"/>
                    <w:right w:val="single" w:color="auto" w:sz="6" w:space="0"/>
                  </w:tcBorders>
                  <w:vAlign w:val="center"/>
                </w:tcPr>
                <w:p>
                  <w:pPr>
                    <w:adjustRightInd w:val="0"/>
                    <w:spacing w:line="240" w:lineRule="atLeast"/>
                    <w:jc w:val="center"/>
                    <w:rPr>
                      <w:rFonts w:ascii="Times New Roman" w:hAnsi="Times New Roman"/>
                      <w:b/>
                      <w:bCs/>
                      <w:szCs w:val="21"/>
                    </w:rPr>
                  </w:pPr>
                  <w:r>
                    <w:rPr>
                      <w:rFonts w:hint="eastAsia" w:ascii="Times New Roman" w:hAnsi="Times New Roman"/>
                      <w:b/>
                      <w:bCs/>
                      <w:szCs w:val="21"/>
                    </w:rPr>
                    <w:t>项目</w:t>
                  </w:r>
                </w:p>
              </w:tc>
              <w:tc>
                <w:tcPr>
                  <w:tcW w:w="1101"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spacing w:line="240" w:lineRule="atLeast"/>
                    <w:jc w:val="center"/>
                    <w:rPr>
                      <w:rFonts w:ascii="Times New Roman" w:hAnsi="Times New Roman"/>
                      <w:b/>
                      <w:bCs/>
                      <w:szCs w:val="21"/>
                    </w:rPr>
                  </w:pPr>
                  <w:r>
                    <w:rPr>
                      <w:rFonts w:ascii="Times New Roman" w:hAnsi="Times New Roman"/>
                      <w:b/>
                      <w:bCs/>
                      <w:szCs w:val="21"/>
                    </w:rPr>
                    <w:t>COD</w:t>
                  </w:r>
                </w:p>
              </w:tc>
              <w:tc>
                <w:tcPr>
                  <w:tcW w:w="1215"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spacing w:line="240" w:lineRule="atLeast"/>
                    <w:jc w:val="center"/>
                    <w:rPr>
                      <w:rFonts w:ascii="Times New Roman" w:hAnsi="Times New Roman"/>
                      <w:b/>
                      <w:bCs/>
                      <w:szCs w:val="21"/>
                    </w:rPr>
                  </w:pPr>
                  <w:r>
                    <w:rPr>
                      <w:rFonts w:ascii="Times New Roman" w:hAnsi="Times New Roman"/>
                      <w:b/>
                      <w:bCs/>
                      <w:szCs w:val="21"/>
                    </w:rPr>
                    <w:t>BOD</w:t>
                  </w:r>
                  <w:r>
                    <w:rPr>
                      <w:rFonts w:ascii="Times New Roman" w:hAnsi="Times New Roman"/>
                      <w:b/>
                      <w:bCs/>
                      <w:szCs w:val="21"/>
                      <w:vertAlign w:val="subscript"/>
                    </w:rPr>
                    <w:t>5</w:t>
                  </w:r>
                </w:p>
              </w:tc>
              <w:tc>
                <w:tcPr>
                  <w:tcW w:w="1079"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spacing w:line="240" w:lineRule="atLeast"/>
                    <w:jc w:val="center"/>
                    <w:rPr>
                      <w:rFonts w:ascii="Times New Roman" w:hAnsi="Times New Roman"/>
                      <w:b/>
                      <w:bCs/>
                      <w:szCs w:val="21"/>
                    </w:rPr>
                  </w:pPr>
                  <w:r>
                    <w:rPr>
                      <w:rFonts w:ascii="Times New Roman" w:hAnsi="Times New Roman"/>
                      <w:b/>
                      <w:bCs/>
                      <w:szCs w:val="21"/>
                    </w:rPr>
                    <w:t>SS</w:t>
                  </w:r>
                </w:p>
              </w:tc>
              <w:tc>
                <w:tcPr>
                  <w:tcW w:w="1352"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spacing w:line="240" w:lineRule="atLeast"/>
                    <w:jc w:val="center"/>
                    <w:rPr>
                      <w:rFonts w:ascii="Times New Roman" w:hAnsi="Times New Roman"/>
                      <w:b/>
                      <w:bCs/>
                      <w:szCs w:val="21"/>
                    </w:rPr>
                  </w:pPr>
                  <w:r>
                    <w:rPr>
                      <w:rFonts w:ascii="Times New Roman" w:hAnsi="Times New Roman"/>
                      <w:b/>
                      <w:bCs/>
                      <w:szCs w:val="21"/>
                    </w:rPr>
                    <w:t>NH</w:t>
                  </w:r>
                  <w:r>
                    <w:rPr>
                      <w:rFonts w:ascii="Times New Roman" w:hAnsi="Times New Roman"/>
                      <w:b/>
                      <w:bCs/>
                      <w:szCs w:val="21"/>
                      <w:vertAlign w:val="subscript"/>
                    </w:rPr>
                    <w:t>3</w:t>
                  </w:r>
                  <w:r>
                    <w:rPr>
                      <w:rFonts w:ascii="Times New Roman" w:hAnsi="Times New Roman"/>
                      <w:b/>
                      <w:bCs/>
                      <w:szCs w:val="21"/>
                    </w:rPr>
                    <w:t>-N</w:t>
                  </w:r>
                </w:p>
              </w:tc>
              <w:tc>
                <w:tcPr>
                  <w:tcW w:w="903"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spacing w:line="240" w:lineRule="atLeast"/>
                    <w:jc w:val="center"/>
                    <w:rPr>
                      <w:rFonts w:ascii="Times New Roman" w:hAnsi="Times New Roman"/>
                      <w:b/>
                      <w:bCs/>
                      <w:szCs w:val="21"/>
                    </w:rPr>
                  </w:pPr>
                  <w:r>
                    <w:rPr>
                      <w:rFonts w:ascii="Times New Roman" w:hAnsi="Times New Roman"/>
                      <w:b/>
                      <w:bCs/>
                      <w:szCs w:val="21"/>
                    </w:rPr>
                    <w:t>TN</w:t>
                  </w:r>
                </w:p>
              </w:tc>
              <w:tc>
                <w:tcPr>
                  <w:tcW w:w="988" w:type="dxa"/>
                  <w:tcBorders>
                    <w:top w:val="single" w:color="auto" w:sz="12" w:space="0"/>
                    <w:left w:val="single" w:color="auto" w:sz="6" w:space="0"/>
                    <w:bottom w:val="double" w:color="auto" w:sz="4" w:space="0"/>
                    <w:right w:val="single" w:color="auto" w:sz="12" w:space="0"/>
                  </w:tcBorders>
                  <w:vAlign w:val="center"/>
                </w:tcPr>
                <w:p>
                  <w:pPr>
                    <w:adjustRightInd w:val="0"/>
                    <w:spacing w:line="240" w:lineRule="atLeast"/>
                    <w:jc w:val="center"/>
                    <w:rPr>
                      <w:rFonts w:ascii="Times New Roman" w:hAnsi="Times New Roman"/>
                      <w:b/>
                      <w:bCs/>
                      <w:szCs w:val="21"/>
                    </w:rPr>
                  </w:pPr>
                  <w:r>
                    <w:rPr>
                      <w:rFonts w:ascii="Times New Roman" w:hAnsi="Times New Roman"/>
                      <w:b/>
                      <w:bCs/>
                      <w:szCs w:val="21"/>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7" w:hRule="atLeast"/>
                <w:jc w:val="center"/>
              </w:trPr>
              <w:tc>
                <w:tcPr>
                  <w:tcW w:w="2460" w:type="dxa"/>
                  <w:tcBorders>
                    <w:top w:val="double" w:color="auto" w:sz="4" w:space="0"/>
                    <w:left w:val="single" w:color="auto" w:sz="12" w:space="0"/>
                    <w:bottom w:val="single" w:color="auto" w:sz="12" w:space="0"/>
                    <w:right w:val="single" w:color="auto" w:sz="6" w:space="0"/>
                  </w:tcBorders>
                  <w:vAlign w:val="center"/>
                </w:tcPr>
                <w:p>
                  <w:pPr>
                    <w:adjustRightInd w:val="0"/>
                    <w:spacing w:line="240" w:lineRule="atLeast"/>
                    <w:jc w:val="center"/>
                    <w:rPr>
                      <w:rFonts w:ascii="Times New Roman" w:hAnsi="Times New Roman"/>
                      <w:szCs w:val="21"/>
                    </w:rPr>
                  </w:pPr>
                  <w:r>
                    <w:rPr>
                      <w:rFonts w:hint="eastAsia" w:ascii="Times New Roman" w:hAnsi="Times New Roman"/>
                      <w:szCs w:val="21"/>
                    </w:rPr>
                    <w:t>设计进水水质（</w:t>
                  </w:r>
                  <w:r>
                    <w:rPr>
                      <w:rFonts w:ascii="Times New Roman" w:hAnsi="Times New Roman"/>
                      <w:szCs w:val="21"/>
                    </w:rPr>
                    <w:t>mg/L</w:t>
                  </w:r>
                  <w:r>
                    <w:rPr>
                      <w:rFonts w:hint="eastAsia" w:ascii="Times New Roman" w:hAnsi="Times New Roman"/>
                      <w:szCs w:val="21"/>
                    </w:rPr>
                    <w:t>）</w:t>
                  </w:r>
                </w:p>
              </w:tc>
              <w:tc>
                <w:tcPr>
                  <w:tcW w:w="1101" w:type="dxa"/>
                  <w:tcBorders>
                    <w:top w:val="double" w:color="auto" w:sz="4" w:space="0"/>
                    <w:left w:val="single" w:color="auto" w:sz="6" w:space="0"/>
                    <w:bottom w:val="single" w:color="auto" w:sz="12" w:space="0"/>
                    <w:right w:val="single" w:color="auto" w:sz="6" w:space="0"/>
                  </w:tcBorders>
                  <w:shd w:val="clear" w:color="000000" w:fill="auto"/>
                  <w:vAlign w:val="center"/>
                </w:tcPr>
                <w:p>
                  <w:pPr>
                    <w:adjustRightInd w:val="0"/>
                    <w:spacing w:line="240" w:lineRule="atLeast"/>
                    <w:jc w:val="center"/>
                    <w:rPr>
                      <w:rFonts w:ascii="Times New Roman" w:hAnsi="Times New Roman"/>
                      <w:szCs w:val="21"/>
                    </w:rPr>
                  </w:pPr>
                  <w:r>
                    <w:rPr>
                      <w:rFonts w:ascii="Times New Roman" w:hAnsi="Times New Roman"/>
                      <w:szCs w:val="21"/>
                    </w:rPr>
                    <w:t>≤300</w:t>
                  </w:r>
                </w:p>
              </w:tc>
              <w:tc>
                <w:tcPr>
                  <w:tcW w:w="1215" w:type="dxa"/>
                  <w:tcBorders>
                    <w:top w:val="double" w:color="auto" w:sz="4" w:space="0"/>
                    <w:left w:val="single" w:color="auto" w:sz="6" w:space="0"/>
                    <w:bottom w:val="single" w:color="auto" w:sz="12" w:space="0"/>
                    <w:right w:val="single" w:color="auto" w:sz="6" w:space="0"/>
                  </w:tcBorders>
                  <w:shd w:val="clear" w:color="000000" w:fill="auto"/>
                  <w:vAlign w:val="center"/>
                </w:tcPr>
                <w:p>
                  <w:pPr>
                    <w:adjustRightInd w:val="0"/>
                    <w:spacing w:line="240" w:lineRule="atLeast"/>
                    <w:jc w:val="center"/>
                    <w:rPr>
                      <w:rFonts w:ascii="Times New Roman" w:hAnsi="Times New Roman"/>
                      <w:szCs w:val="21"/>
                    </w:rPr>
                  </w:pPr>
                  <w:r>
                    <w:rPr>
                      <w:rFonts w:ascii="Times New Roman" w:hAnsi="Times New Roman"/>
                      <w:szCs w:val="21"/>
                    </w:rPr>
                    <w:t>≤150</w:t>
                  </w:r>
                </w:p>
              </w:tc>
              <w:tc>
                <w:tcPr>
                  <w:tcW w:w="1079" w:type="dxa"/>
                  <w:tcBorders>
                    <w:top w:val="double" w:color="auto" w:sz="4" w:space="0"/>
                    <w:left w:val="single" w:color="auto" w:sz="6" w:space="0"/>
                    <w:bottom w:val="single" w:color="auto" w:sz="12" w:space="0"/>
                    <w:right w:val="single" w:color="auto" w:sz="6" w:space="0"/>
                  </w:tcBorders>
                  <w:shd w:val="clear" w:color="000000" w:fill="auto"/>
                  <w:vAlign w:val="center"/>
                </w:tcPr>
                <w:p>
                  <w:pPr>
                    <w:adjustRightInd w:val="0"/>
                    <w:spacing w:line="240" w:lineRule="atLeast"/>
                    <w:jc w:val="center"/>
                    <w:rPr>
                      <w:rFonts w:ascii="Times New Roman" w:hAnsi="Times New Roman"/>
                      <w:szCs w:val="21"/>
                    </w:rPr>
                  </w:pPr>
                  <w:r>
                    <w:rPr>
                      <w:rFonts w:ascii="Times New Roman" w:hAnsi="Times New Roman"/>
                      <w:szCs w:val="21"/>
                    </w:rPr>
                    <w:t>≤200</w:t>
                  </w:r>
                </w:p>
              </w:tc>
              <w:tc>
                <w:tcPr>
                  <w:tcW w:w="1352" w:type="dxa"/>
                  <w:tcBorders>
                    <w:top w:val="double" w:color="auto" w:sz="4" w:space="0"/>
                    <w:left w:val="single" w:color="auto" w:sz="6" w:space="0"/>
                    <w:bottom w:val="single" w:color="auto" w:sz="12" w:space="0"/>
                    <w:right w:val="single" w:color="auto" w:sz="6" w:space="0"/>
                  </w:tcBorders>
                  <w:shd w:val="clear" w:color="000000" w:fill="auto"/>
                  <w:vAlign w:val="center"/>
                </w:tcPr>
                <w:p>
                  <w:pPr>
                    <w:adjustRightInd w:val="0"/>
                    <w:spacing w:line="240" w:lineRule="atLeast"/>
                    <w:jc w:val="center"/>
                    <w:rPr>
                      <w:rFonts w:ascii="Times New Roman" w:hAnsi="Times New Roman"/>
                      <w:szCs w:val="21"/>
                    </w:rPr>
                  </w:pPr>
                  <w:r>
                    <w:rPr>
                      <w:rFonts w:ascii="Times New Roman" w:hAnsi="Times New Roman"/>
                      <w:szCs w:val="21"/>
                    </w:rPr>
                    <w:t>≤25</w:t>
                  </w:r>
                </w:p>
              </w:tc>
              <w:tc>
                <w:tcPr>
                  <w:tcW w:w="903" w:type="dxa"/>
                  <w:tcBorders>
                    <w:top w:val="double" w:color="auto" w:sz="4" w:space="0"/>
                    <w:left w:val="single" w:color="auto" w:sz="6" w:space="0"/>
                    <w:bottom w:val="single" w:color="auto" w:sz="12" w:space="0"/>
                    <w:right w:val="single" w:color="auto" w:sz="6" w:space="0"/>
                  </w:tcBorders>
                  <w:shd w:val="clear" w:color="000000" w:fill="auto"/>
                  <w:vAlign w:val="center"/>
                </w:tcPr>
                <w:p>
                  <w:pPr>
                    <w:adjustRightInd w:val="0"/>
                    <w:spacing w:line="240" w:lineRule="atLeast"/>
                    <w:jc w:val="center"/>
                    <w:rPr>
                      <w:rFonts w:ascii="Times New Roman" w:hAnsi="Times New Roman"/>
                      <w:szCs w:val="21"/>
                    </w:rPr>
                  </w:pPr>
                  <w:r>
                    <w:rPr>
                      <w:rFonts w:ascii="Times New Roman" w:hAnsi="Times New Roman"/>
                      <w:szCs w:val="21"/>
                    </w:rPr>
                    <w:t>≤40</w:t>
                  </w:r>
                </w:p>
              </w:tc>
              <w:tc>
                <w:tcPr>
                  <w:tcW w:w="988" w:type="dxa"/>
                  <w:tcBorders>
                    <w:top w:val="double" w:color="auto" w:sz="4" w:space="0"/>
                    <w:left w:val="single" w:color="auto" w:sz="6" w:space="0"/>
                    <w:bottom w:val="single" w:color="auto" w:sz="12" w:space="0"/>
                    <w:right w:val="single" w:color="auto" w:sz="12" w:space="0"/>
                  </w:tcBorders>
                  <w:vAlign w:val="center"/>
                </w:tcPr>
                <w:p>
                  <w:pPr>
                    <w:adjustRightInd w:val="0"/>
                    <w:spacing w:line="240" w:lineRule="atLeast"/>
                    <w:jc w:val="center"/>
                    <w:rPr>
                      <w:rFonts w:ascii="Times New Roman" w:hAnsi="Times New Roman"/>
                      <w:szCs w:val="21"/>
                    </w:rPr>
                  </w:pPr>
                  <w:r>
                    <w:rPr>
                      <w:rFonts w:ascii="Times New Roman" w:hAnsi="Times New Roman"/>
                      <w:szCs w:val="21"/>
                    </w:rPr>
                    <w:t>≤4.0</w:t>
                  </w:r>
                </w:p>
              </w:tc>
            </w:tr>
          </w:tbl>
          <w:p>
            <w:pPr>
              <w:pStyle w:val="2"/>
              <w:spacing w:line="360" w:lineRule="auto"/>
              <w:ind w:firstLine="480" w:firstLineChars="200"/>
              <w:rPr>
                <w:szCs w:val="28"/>
              </w:rPr>
            </w:pPr>
            <w:r>
              <w:rPr>
                <w:rFonts w:hint="eastAsia"/>
                <w:szCs w:val="28"/>
              </w:rPr>
              <w:t>项目出水水质执行《城镇污水处理厂污染物排放标准》（</w:t>
            </w:r>
            <w:r>
              <w:rPr>
                <w:szCs w:val="28"/>
              </w:rPr>
              <w:t>GB18918-2002</w:t>
            </w:r>
            <w:r>
              <w:rPr>
                <w:rFonts w:hint="eastAsia"/>
                <w:szCs w:val="28"/>
              </w:rPr>
              <w:t>）中的一级</w:t>
            </w:r>
            <w:r>
              <w:rPr>
                <w:szCs w:val="28"/>
              </w:rPr>
              <w:t>A</w:t>
            </w:r>
            <w:r>
              <w:rPr>
                <w:rFonts w:hint="eastAsia"/>
                <w:szCs w:val="28"/>
              </w:rPr>
              <w:t>标准，主要指标详见表</w:t>
            </w:r>
            <w:r>
              <w:rPr>
                <w:szCs w:val="28"/>
              </w:rPr>
              <w:t>1-12</w:t>
            </w:r>
            <w:r>
              <w:rPr>
                <w:rFonts w:hint="eastAsia"/>
                <w:szCs w:val="28"/>
              </w:rPr>
              <w:t>。</w:t>
            </w:r>
          </w:p>
          <w:p>
            <w:pPr>
              <w:pStyle w:val="2"/>
              <w:spacing w:line="360" w:lineRule="auto"/>
              <w:ind w:firstLine="482" w:firstLineChars="200"/>
              <w:jc w:val="center"/>
              <w:rPr>
                <w:b/>
                <w:bCs/>
                <w:szCs w:val="28"/>
              </w:rPr>
            </w:pPr>
            <w:r>
              <w:rPr>
                <w:rFonts w:hint="eastAsia"/>
                <w:b/>
                <w:bCs/>
                <w:szCs w:val="28"/>
              </w:rPr>
              <w:t>表</w:t>
            </w:r>
            <w:r>
              <w:rPr>
                <w:b/>
                <w:bCs/>
                <w:szCs w:val="28"/>
              </w:rPr>
              <w:t>1-12</w:t>
            </w:r>
            <w:r>
              <w:rPr>
                <w:rFonts w:hint="eastAsia"/>
                <w:b/>
                <w:bCs/>
                <w:szCs w:val="28"/>
              </w:rPr>
              <w:t>定安县定城污水处理厂出水水质主要污染物指标</w:t>
            </w:r>
          </w:p>
          <w:tbl>
            <w:tblPr>
              <w:tblStyle w:val="37"/>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189"/>
              <w:gridCol w:w="4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3" w:hRule="atLeast"/>
                <w:jc w:val="center"/>
              </w:trPr>
              <w:tc>
                <w:tcPr>
                  <w:tcW w:w="828" w:type="dxa"/>
                  <w:tcBorders>
                    <w:top w:val="single" w:color="auto" w:sz="12" w:space="0"/>
                    <w:left w:val="single" w:color="auto" w:sz="12" w:space="0"/>
                    <w:bottom w:val="double" w:color="auto" w:sz="4" w:space="0"/>
                    <w:right w:val="single" w:color="auto" w:sz="4" w:space="0"/>
                  </w:tcBorders>
                  <w:vAlign w:val="center"/>
                </w:tcPr>
                <w:p>
                  <w:pPr>
                    <w:spacing w:line="240" w:lineRule="atLeast"/>
                    <w:jc w:val="center"/>
                    <w:rPr>
                      <w:rFonts w:ascii="Times New Roman" w:hAnsi="Times New Roman"/>
                      <w:b/>
                      <w:bCs/>
                    </w:rPr>
                  </w:pPr>
                  <w:r>
                    <w:rPr>
                      <w:rFonts w:hint="eastAsia" w:ascii="Times New Roman" w:hAnsi="Times New Roman"/>
                      <w:b/>
                      <w:bCs/>
                    </w:rPr>
                    <w:t>序号</w:t>
                  </w:r>
                </w:p>
              </w:tc>
              <w:tc>
                <w:tcPr>
                  <w:tcW w:w="4189" w:type="dxa"/>
                  <w:tcBorders>
                    <w:top w:val="single" w:color="auto" w:sz="12" w:space="0"/>
                    <w:left w:val="single" w:color="auto" w:sz="4" w:space="0"/>
                    <w:bottom w:val="double" w:color="auto" w:sz="4" w:space="0"/>
                    <w:right w:val="single" w:color="auto" w:sz="4" w:space="0"/>
                  </w:tcBorders>
                  <w:vAlign w:val="center"/>
                </w:tcPr>
                <w:p>
                  <w:pPr>
                    <w:spacing w:line="240" w:lineRule="atLeast"/>
                    <w:jc w:val="center"/>
                    <w:rPr>
                      <w:rFonts w:ascii="Times New Roman" w:hAnsi="Times New Roman"/>
                      <w:b/>
                      <w:bCs/>
                    </w:rPr>
                  </w:pPr>
                  <w:r>
                    <w:rPr>
                      <w:rFonts w:hint="eastAsia" w:ascii="Times New Roman" w:hAnsi="Times New Roman"/>
                      <w:b/>
                      <w:bCs/>
                    </w:rPr>
                    <w:t>项目</w:t>
                  </w:r>
                </w:p>
              </w:tc>
              <w:tc>
                <w:tcPr>
                  <w:tcW w:w="4081" w:type="dxa"/>
                  <w:tcBorders>
                    <w:top w:val="single" w:color="auto" w:sz="12" w:space="0"/>
                    <w:left w:val="single" w:color="auto" w:sz="4" w:space="0"/>
                    <w:bottom w:val="double" w:color="auto" w:sz="4" w:space="0"/>
                    <w:right w:val="single" w:color="auto" w:sz="12" w:space="0"/>
                  </w:tcBorders>
                  <w:vAlign w:val="center"/>
                </w:tcPr>
                <w:p>
                  <w:pPr>
                    <w:spacing w:line="240" w:lineRule="atLeast"/>
                    <w:jc w:val="center"/>
                    <w:rPr>
                      <w:rFonts w:ascii="Times New Roman" w:hAnsi="Times New Roman"/>
                      <w:b/>
                      <w:bCs/>
                    </w:rPr>
                  </w:pPr>
                  <w:r>
                    <w:rPr>
                      <w:rFonts w:hint="eastAsia" w:ascii="Times New Roman" w:hAnsi="Times New Roman"/>
                      <w:b/>
                      <w:bCs/>
                    </w:rPr>
                    <w:t>设计出水水质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97" w:hRule="atLeast"/>
                <w:jc w:val="center"/>
              </w:trPr>
              <w:tc>
                <w:tcPr>
                  <w:tcW w:w="828" w:type="dxa"/>
                  <w:tcBorders>
                    <w:top w:val="doub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1</w:t>
                  </w:r>
                </w:p>
              </w:tc>
              <w:tc>
                <w:tcPr>
                  <w:tcW w:w="4189" w:type="dxa"/>
                  <w:tcBorders>
                    <w:top w:val="doub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化学需氧量（</w:t>
                  </w:r>
                  <w:r>
                    <w:rPr>
                      <w:rFonts w:ascii="Times New Roman" w:hAnsi="Times New Roman"/>
                    </w:rPr>
                    <w:t>COD</w:t>
                  </w:r>
                  <w:r>
                    <w:rPr>
                      <w:rFonts w:hint="eastAsia" w:ascii="Times New Roman" w:hAnsi="Times New Roman"/>
                    </w:rPr>
                    <w:t>）</w:t>
                  </w:r>
                </w:p>
              </w:tc>
              <w:tc>
                <w:tcPr>
                  <w:tcW w:w="4081" w:type="dxa"/>
                  <w:tcBorders>
                    <w:top w:val="doub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2</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生化需氧量（</w:t>
                  </w:r>
                  <w:r>
                    <w:rPr>
                      <w:rFonts w:ascii="Times New Roman" w:hAnsi="Times New Roman"/>
                    </w:rPr>
                    <w:t>BOD</w:t>
                  </w:r>
                  <w:r>
                    <w:rPr>
                      <w:rFonts w:ascii="Times New Roman" w:hAnsi="Times New Roman"/>
                      <w:vertAlign w:val="subscript"/>
                    </w:rPr>
                    <w:t>5</w:t>
                  </w:r>
                  <w:r>
                    <w:rPr>
                      <w:rFonts w:hint="eastAsia" w:ascii="Times New Roman" w:hAnsi="Times New Roman"/>
                    </w:rPr>
                    <w:t>）</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3</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悬浮物（</w:t>
                  </w:r>
                  <w:r>
                    <w:rPr>
                      <w:rFonts w:ascii="Times New Roman" w:hAnsi="Times New Roman"/>
                    </w:rPr>
                    <w:t>SS</w:t>
                  </w:r>
                  <w:r>
                    <w:rPr>
                      <w:rFonts w:hint="eastAsia" w:ascii="Times New Roman" w:hAnsi="Times New Roman"/>
                    </w:rPr>
                    <w:t>）</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4</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动植物油</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5</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石油类</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6</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阴离子表面活性剂</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7</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总氮（以</w:t>
                  </w:r>
                  <w:r>
                    <w:rPr>
                      <w:rFonts w:ascii="Times New Roman" w:hAnsi="Times New Roman"/>
                    </w:rPr>
                    <w:t>N</w:t>
                  </w:r>
                  <w:r>
                    <w:rPr>
                      <w:rFonts w:hint="eastAsia" w:ascii="Times New Roman" w:hAnsi="Times New Roman"/>
                    </w:rPr>
                    <w:t>计）</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8</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氨氮（以</w:t>
                  </w:r>
                  <w:r>
                    <w:rPr>
                      <w:rFonts w:ascii="Times New Roman" w:hAnsi="Times New Roman"/>
                    </w:rPr>
                    <w:t>N</w:t>
                  </w:r>
                  <w:r>
                    <w:rPr>
                      <w:rFonts w:hint="eastAsia" w:ascii="Times New Roman" w:hAnsi="Times New Roman"/>
                    </w:rPr>
                    <w:t>计）</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9</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总磷（以</w:t>
                  </w:r>
                  <w:r>
                    <w:rPr>
                      <w:rFonts w:ascii="Times New Roman" w:hAnsi="Times New Roman"/>
                    </w:rPr>
                    <w:t>P</w:t>
                  </w:r>
                  <w:r>
                    <w:rPr>
                      <w:rFonts w:hint="eastAsia" w:ascii="Times New Roman" w:hAnsi="Times New Roman"/>
                    </w:rPr>
                    <w:t>计）</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10</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色度（稀释倍数）</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11</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pH</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12</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类大肠菌群数（个</w:t>
                  </w:r>
                  <w:r>
                    <w:rPr>
                      <w:rFonts w:ascii="Times New Roman" w:hAnsi="Times New Roman"/>
                    </w:rPr>
                    <w:t>/L</w:t>
                  </w:r>
                  <w:r>
                    <w:rPr>
                      <w:rFonts w:hint="eastAsia" w:ascii="Times New Roman" w:hAnsi="Times New Roman"/>
                    </w:rPr>
                    <w:t>）</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098" w:type="dxa"/>
                  <w:gridSpan w:val="3"/>
                  <w:tcBorders>
                    <w:top w:val="single" w:color="auto" w:sz="4" w:space="0"/>
                    <w:left w:val="single" w:color="auto" w:sz="12" w:space="0"/>
                    <w:bottom w:val="single" w:color="auto" w:sz="12" w:space="0"/>
                    <w:right w:val="single" w:color="auto" w:sz="12" w:space="0"/>
                  </w:tcBorders>
                  <w:vAlign w:val="center"/>
                </w:tcPr>
                <w:p>
                  <w:pPr>
                    <w:pStyle w:val="2"/>
                    <w:spacing w:line="360" w:lineRule="auto"/>
                    <w:rPr>
                      <w:sz w:val="21"/>
                      <w:szCs w:val="21"/>
                    </w:rPr>
                  </w:pPr>
                  <w:r>
                    <w:rPr>
                      <w:sz w:val="21"/>
                      <w:szCs w:val="21"/>
                    </w:rPr>
                    <w:t>*</w:t>
                  </w:r>
                  <w:r>
                    <w:rPr>
                      <w:rFonts w:hint="eastAsia"/>
                      <w:sz w:val="21"/>
                      <w:szCs w:val="21"/>
                    </w:rPr>
                    <w:t>括号外数值为水温＞</w:t>
                  </w:r>
                  <w:r>
                    <w:rPr>
                      <w:sz w:val="21"/>
                      <w:szCs w:val="21"/>
                    </w:rPr>
                    <w:t>12</w:t>
                  </w:r>
                  <w:r>
                    <w:rPr>
                      <w:rFonts w:hint="eastAsia" w:ascii="宋体" w:hAnsi="宋体" w:cs="宋体"/>
                      <w:sz w:val="21"/>
                      <w:szCs w:val="21"/>
                    </w:rPr>
                    <w:t>℃</w:t>
                  </w:r>
                  <w:r>
                    <w:rPr>
                      <w:rFonts w:hint="eastAsia"/>
                      <w:sz w:val="21"/>
                      <w:szCs w:val="21"/>
                    </w:rPr>
                    <w:t>时控制指标，括号内数值为水温</w:t>
                  </w:r>
                  <w:r>
                    <w:rPr>
                      <w:sz w:val="21"/>
                      <w:szCs w:val="21"/>
                    </w:rPr>
                    <w:t>≤12</w:t>
                  </w:r>
                  <w:r>
                    <w:rPr>
                      <w:rFonts w:hint="eastAsia" w:ascii="宋体" w:hAnsi="宋体" w:cs="宋体"/>
                      <w:sz w:val="21"/>
                      <w:szCs w:val="21"/>
                    </w:rPr>
                    <w:t>℃</w:t>
                  </w:r>
                  <w:r>
                    <w:rPr>
                      <w:rFonts w:hint="eastAsia"/>
                      <w:sz w:val="21"/>
                      <w:szCs w:val="21"/>
                    </w:rPr>
                    <w:t>时的控制指标</w:t>
                  </w:r>
                </w:p>
              </w:tc>
            </w:tr>
          </w:tbl>
          <w:p>
            <w:pPr>
              <w:pStyle w:val="2"/>
              <w:spacing w:line="360" w:lineRule="auto"/>
              <w:ind w:firstLine="480" w:firstLineChars="200"/>
              <w:rPr>
                <w:szCs w:val="28"/>
              </w:rPr>
            </w:pPr>
            <w:r>
              <w:rPr>
                <w:rFonts w:hint="eastAsia"/>
                <w:szCs w:val="28"/>
              </w:rPr>
              <w:t>根据已确定的工程进出水水质，污染物负荷及去除率详见下表：</w:t>
            </w:r>
          </w:p>
          <w:p>
            <w:pPr>
              <w:pStyle w:val="2"/>
              <w:spacing w:line="360" w:lineRule="auto"/>
              <w:ind w:firstLine="482" w:firstLineChars="200"/>
              <w:jc w:val="center"/>
              <w:rPr>
                <w:b/>
                <w:bCs/>
                <w:szCs w:val="28"/>
              </w:rPr>
            </w:pPr>
            <w:r>
              <w:rPr>
                <w:rFonts w:hint="eastAsia"/>
                <w:b/>
                <w:bCs/>
                <w:szCs w:val="28"/>
              </w:rPr>
              <w:t>表</w:t>
            </w:r>
            <w:r>
              <w:rPr>
                <w:b/>
                <w:bCs/>
                <w:szCs w:val="28"/>
              </w:rPr>
              <w:t xml:space="preserve">1-13   </w:t>
            </w:r>
            <w:r>
              <w:rPr>
                <w:rFonts w:hint="eastAsia"/>
                <w:b/>
                <w:bCs/>
                <w:szCs w:val="28"/>
              </w:rPr>
              <w:t>定安县定城污水处理厂二期改扩建工程主要污染物去除率</w:t>
            </w:r>
          </w:p>
          <w:tbl>
            <w:tblPr>
              <w:tblStyle w:val="37"/>
              <w:tblW w:w="90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966"/>
              <w:gridCol w:w="1126"/>
              <w:gridCol w:w="981"/>
              <w:gridCol w:w="1337"/>
              <w:gridCol w:w="1221"/>
              <w:gridCol w:w="11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tcBorders>
                    <w:top w:val="single" w:color="auto" w:sz="12" w:space="0"/>
                    <w:left w:val="single" w:color="auto" w:sz="12" w:space="0"/>
                    <w:bottom w:val="double" w:color="auto" w:sz="4" w:space="0"/>
                    <w:right w:val="single" w:color="auto" w:sz="4" w:space="0"/>
                  </w:tcBorders>
                  <w:vAlign w:val="center"/>
                </w:tcPr>
                <w:p>
                  <w:pPr>
                    <w:pStyle w:val="2"/>
                    <w:spacing w:line="240" w:lineRule="atLeast"/>
                    <w:jc w:val="center"/>
                    <w:rPr>
                      <w:sz w:val="21"/>
                      <w:szCs w:val="21"/>
                    </w:rPr>
                  </w:pPr>
                  <w:r>
                    <w:rPr>
                      <w:rFonts w:hint="eastAsia"/>
                      <w:sz w:val="21"/>
                      <w:szCs w:val="21"/>
                    </w:rPr>
                    <w:t>水质指标</w:t>
                  </w:r>
                </w:p>
              </w:tc>
              <w:tc>
                <w:tcPr>
                  <w:tcW w:w="966" w:type="dxa"/>
                  <w:tcBorders>
                    <w:top w:val="single" w:color="auto" w:sz="12" w:space="0"/>
                    <w:left w:val="single" w:color="auto" w:sz="4" w:space="0"/>
                    <w:bottom w:val="double" w:color="auto" w:sz="4" w:space="0"/>
                    <w:right w:val="single" w:color="auto" w:sz="4" w:space="0"/>
                  </w:tcBorders>
                  <w:vAlign w:val="center"/>
                </w:tcPr>
                <w:p>
                  <w:pPr>
                    <w:pStyle w:val="2"/>
                    <w:spacing w:line="240" w:lineRule="atLeast"/>
                    <w:jc w:val="center"/>
                    <w:rPr>
                      <w:sz w:val="21"/>
                      <w:szCs w:val="21"/>
                      <w:vertAlign w:val="subscript"/>
                    </w:rPr>
                  </w:pPr>
                  <w:r>
                    <w:rPr>
                      <w:sz w:val="21"/>
                      <w:szCs w:val="21"/>
                    </w:rPr>
                    <w:t>COD</w:t>
                  </w:r>
                </w:p>
              </w:tc>
              <w:tc>
                <w:tcPr>
                  <w:tcW w:w="1126" w:type="dxa"/>
                  <w:tcBorders>
                    <w:top w:val="single" w:color="auto" w:sz="12" w:space="0"/>
                    <w:left w:val="single" w:color="auto" w:sz="4" w:space="0"/>
                    <w:bottom w:val="double" w:color="auto" w:sz="4" w:space="0"/>
                    <w:right w:val="single" w:color="auto" w:sz="4" w:space="0"/>
                  </w:tcBorders>
                  <w:vAlign w:val="center"/>
                </w:tcPr>
                <w:p>
                  <w:pPr>
                    <w:pStyle w:val="2"/>
                    <w:spacing w:line="240" w:lineRule="atLeast"/>
                    <w:jc w:val="center"/>
                    <w:rPr>
                      <w:sz w:val="21"/>
                      <w:szCs w:val="21"/>
                    </w:rPr>
                  </w:pPr>
                  <w:r>
                    <w:rPr>
                      <w:sz w:val="21"/>
                      <w:szCs w:val="21"/>
                    </w:rPr>
                    <w:t>BOD</w:t>
                  </w:r>
                  <w:r>
                    <w:rPr>
                      <w:sz w:val="21"/>
                      <w:szCs w:val="21"/>
                      <w:vertAlign w:val="subscript"/>
                    </w:rPr>
                    <w:t>5</w:t>
                  </w:r>
                </w:p>
              </w:tc>
              <w:tc>
                <w:tcPr>
                  <w:tcW w:w="981" w:type="dxa"/>
                  <w:tcBorders>
                    <w:top w:val="single" w:color="auto" w:sz="12" w:space="0"/>
                    <w:left w:val="single" w:color="auto" w:sz="4" w:space="0"/>
                    <w:bottom w:val="double" w:color="auto" w:sz="4" w:space="0"/>
                    <w:right w:val="single" w:color="auto" w:sz="4" w:space="0"/>
                  </w:tcBorders>
                  <w:vAlign w:val="center"/>
                </w:tcPr>
                <w:p>
                  <w:pPr>
                    <w:pStyle w:val="2"/>
                    <w:spacing w:line="240" w:lineRule="atLeast"/>
                    <w:jc w:val="center"/>
                    <w:rPr>
                      <w:sz w:val="21"/>
                      <w:szCs w:val="21"/>
                    </w:rPr>
                  </w:pPr>
                  <w:r>
                    <w:rPr>
                      <w:sz w:val="21"/>
                      <w:szCs w:val="21"/>
                    </w:rPr>
                    <w:t>SS</w:t>
                  </w:r>
                </w:p>
              </w:tc>
              <w:tc>
                <w:tcPr>
                  <w:tcW w:w="1337" w:type="dxa"/>
                  <w:tcBorders>
                    <w:top w:val="single" w:color="auto" w:sz="12" w:space="0"/>
                    <w:left w:val="single" w:color="auto" w:sz="4" w:space="0"/>
                    <w:bottom w:val="double" w:color="auto" w:sz="4" w:space="0"/>
                    <w:right w:val="single" w:color="auto" w:sz="4" w:space="0"/>
                  </w:tcBorders>
                  <w:vAlign w:val="center"/>
                </w:tcPr>
                <w:p>
                  <w:pPr>
                    <w:pStyle w:val="2"/>
                    <w:spacing w:line="240" w:lineRule="atLeast"/>
                    <w:jc w:val="center"/>
                    <w:rPr>
                      <w:sz w:val="21"/>
                      <w:szCs w:val="21"/>
                    </w:rPr>
                  </w:pPr>
                  <w:r>
                    <w:rPr>
                      <w:sz w:val="21"/>
                      <w:szCs w:val="21"/>
                    </w:rPr>
                    <w:t>NH</w:t>
                  </w:r>
                  <w:r>
                    <w:rPr>
                      <w:sz w:val="21"/>
                      <w:szCs w:val="21"/>
                      <w:vertAlign w:val="subscript"/>
                    </w:rPr>
                    <w:t>3</w:t>
                  </w:r>
                  <w:r>
                    <w:rPr>
                      <w:sz w:val="21"/>
                      <w:szCs w:val="21"/>
                    </w:rPr>
                    <w:t>-N</w:t>
                  </w:r>
                </w:p>
              </w:tc>
              <w:tc>
                <w:tcPr>
                  <w:tcW w:w="1221" w:type="dxa"/>
                  <w:tcBorders>
                    <w:top w:val="single" w:color="auto" w:sz="12" w:space="0"/>
                    <w:left w:val="single" w:color="auto" w:sz="4" w:space="0"/>
                    <w:bottom w:val="double" w:color="auto" w:sz="4" w:space="0"/>
                    <w:right w:val="single" w:color="auto" w:sz="4" w:space="0"/>
                  </w:tcBorders>
                  <w:vAlign w:val="center"/>
                </w:tcPr>
                <w:p>
                  <w:pPr>
                    <w:pStyle w:val="2"/>
                    <w:spacing w:line="240" w:lineRule="atLeast"/>
                    <w:jc w:val="center"/>
                    <w:rPr>
                      <w:sz w:val="21"/>
                      <w:szCs w:val="21"/>
                    </w:rPr>
                  </w:pPr>
                  <w:r>
                    <w:rPr>
                      <w:sz w:val="21"/>
                      <w:szCs w:val="21"/>
                    </w:rPr>
                    <w:t>TN</w:t>
                  </w:r>
                </w:p>
              </w:tc>
              <w:tc>
                <w:tcPr>
                  <w:tcW w:w="1104" w:type="dxa"/>
                  <w:tcBorders>
                    <w:top w:val="single" w:color="auto" w:sz="12" w:space="0"/>
                    <w:left w:val="single" w:color="auto" w:sz="4" w:space="0"/>
                    <w:bottom w:val="double" w:color="auto" w:sz="4" w:space="0"/>
                    <w:right w:val="single" w:color="auto" w:sz="12" w:space="0"/>
                  </w:tcBorders>
                  <w:vAlign w:val="center"/>
                </w:tcPr>
                <w:p>
                  <w:pPr>
                    <w:pStyle w:val="2"/>
                    <w:spacing w:line="240" w:lineRule="atLeast"/>
                    <w:jc w:val="center"/>
                    <w:rPr>
                      <w:sz w:val="21"/>
                      <w:szCs w:val="21"/>
                    </w:rPr>
                  </w:pPr>
                  <w:r>
                    <w:rPr>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tcBorders>
                    <w:top w:val="doub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设计进水水质（</w:t>
                  </w:r>
                  <w:r>
                    <w:rPr>
                      <w:sz w:val="21"/>
                      <w:szCs w:val="21"/>
                    </w:rPr>
                    <w:t>mg/L</w:t>
                  </w:r>
                  <w:r>
                    <w:rPr>
                      <w:rFonts w:hint="eastAsia"/>
                      <w:sz w:val="21"/>
                      <w:szCs w:val="21"/>
                    </w:rPr>
                    <w:t>）</w:t>
                  </w:r>
                </w:p>
              </w:tc>
              <w:tc>
                <w:tcPr>
                  <w:tcW w:w="966" w:type="dxa"/>
                  <w:tcBorders>
                    <w:top w:val="doub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ascii="Times New Roman" w:hAnsi="Times New Roman"/>
                      <w:szCs w:val="21"/>
                    </w:rPr>
                  </w:pPr>
                  <w:r>
                    <w:rPr>
                      <w:rFonts w:ascii="Times New Roman" w:hAnsi="Times New Roman"/>
                      <w:szCs w:val="21"/>
                    </w:rPr>
                    <w:t>≤300</w:t>
                  </w:r>
                </w:p>
              </w:tc>
              <w:tc>
                <w:tcPr>
                  <w:tcW w:w="1126" w:type="dxa"/>
                  <w:tcBorders>
                    <w:top w:val="doub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ascii="Times New Roman" w:hAnsi="Times New Roman"/>
                      <w:szCs w:val="21"/>
                    </w:rPr>
                  </w:pPr>
                  <w:r>
                    <w:rPr>
                      <w:rFonts w:ascii="Times New Roman" w:hAnsi="Times New Roman"/>
                      <w:szCs w:val="21"/>
                    </w:rPr>
                    <w:t>≤150</w:t>
                  </w:r>
                </w:p>
              </w:tc>
              <w:tc>
                <w:tcPr>
                  <w:tcW w:w="981" w:type="dxa"/>
                  <w:tcBorders>
                    <w:top w:val="doub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ascii="Times New Roman" w:hAnsi="Times New Roman"/>
                      <w:szCs w:val="21"/>
                    </w:rPr>
                  </w:pPr>
                  <w:r>
                    <w:rPr>
                      <w:rFonts w:ascii="Times New Roman" w:hAnsi="Times New Roman"/>
                      <w:szCs w:val="21"/>
                    </w:rPr>
                    <w:t>≤200</w:t>
                  </w:r>
                </w:p>
              </w:tc>
              <w:tc>
                <w:tcPr>
                  <w:tcW w:w="1337" w:type="dxa"/>
                  <w:tcBorders>
                    <w:top w:val="doub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ascii="Times New Roman" w:hAnsi="Times New Roman"/>
                      <w:szCs w:val="21"/>
                    </w:rPr>
                  </w:pPr>
                  <w:r>
                    <w:rPr>
                      <w:rFonts w:ascii="Times New Roman" w:hAnsi="Times New Roman"/>
                      <w:szCs w:val="21"/>
                    </w:rPr>
                    <w:t>≤25</w:t>
                  </w:r>
                </w:p>
              </w:tc>
              <w:tc>
                <w:tcPr>
                  <w:tcW w:w="1221" w:type="dxa"/>
                  <w:tcBorders>
                    <w:top w:val="doub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ascii="Times New Roman" w:hAnsi="Times New Roman"/>
                      <w:szCs w:val="21"/>
                    </w:rPr>
                  </w:pPr>
                  <w:r>
                    <w:rPr>
                      <w:rFonts w:ascii="Times New Roman" w:hAnsi="Times New Roman"/>
                      <w:szCs w:val="21"/>
                    </w:rPr>
                    <w:t>≤40</w:t>
                  </w:r>
                </w:p>
              </w:tc>
              <w:tc>
                <w:tcPr>
                  <w:tcW w:w="1104" w:type="dxa"/>
                  <w:tcBorders>
                    <w:top w:val="double" w:color="auto" w:sz="4" w:space="0"/>
                    <w:left w:val="single" w:color="auto" w:sz="4" w:space="0"/>
                    <w:bottom w:val="single" w:color="auto" w:sz="4" w:space="0"/>
                    <w:right w:val="single" w:color="auto" w:sz="12" w:space="0"/>
                  </w:tcBorders>
                  <w:vAlign w:val="center"/>
                </w:tcPr>
                <w:p>
                  <w:pPr>
                    <w:adjustRightInd w:val="0"/>
                    <w:spacing w:line="240" w:lineRule="atLeast"/>
                    <w:jc w:val="center"/>
                    <w:rPr>
                      <w:rFonts w:ascii="Times New Roman" w:hAnsi="Times New Roman"/>
                      <w:szCs w:val="21"/>
                    </w:rPr>
                  </w:pPr>
                  <w:r>
                    <w:rPr>
                      <w:rFonts w:ascii="Times New Roman" w:hAnsi="Times New Roman"/>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设计出水水质（</w:t>
                  </w:r>
                  <w:r>
                    <w:rPr>
                      <w:sz w:val="21"/>
                      <w:szCs w:val="21"/>
                    </w:rPr>
                    <w:t>mg/L</w:t>
                  </w:r>
                  <w:r>
                    <w:rPr>
                      <w:rFonts w:hint="eastAsia"/>
                      <w:sz w:val="21"/>
                      <w:szCs w:val="21"/>
                    </w:rPr>
                    <w:t>）</w:t>
                  </w:r>
                </w:p>
              </w:tc>
              <w:tc>
                <w:tcPr>
                  <w:tcW w:w="96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Cs w:val="21"/>
                    </w:rPr>
                    <w:t>≤</w:t>
                  </w:r>
                  <w:r>
                    <w:rPr>
                      <w:sz w:val="21"/>
                      <w:szCs w:val="21"/>
                    </w:rPr>
                    <w:t>50</w:t>
                  </w:r>
                </w:p>
              </w:tc>
              <w:tc>
                <w:tcPr>
                  <w:tcW w:w="112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Cs w:val="21"/>
                    </w:rPr>
                    <w:t>≤</w:t>
                  </w:r>
                  <w:r>
                    <w:rPr>
                      <w:sz w:val="21"/>
                      <w:szCs w:val="21"/>
                    </w:rPr>
                    <w:t>10</w:t>
                  </w:r>
                </w:p>
              </w:tc>
              <w:tc>
                <w:tcPr>
                  <w:tcW w:w="981"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Cs w:val="21"/>
                    </w:rPr>
                    <w:t>≤</w:t>
                  </w:r>
                  <w:r>
                    <w:rPr>
                      <w:sz w:val="21"/>
                      <w:szCs w:val="21"/>
                    </w:rPr>
                    <w:t>10</w:t>
                  </w:r>
                </w:p>
              </w:tc>
              <w:tc>
                <w:tcPr>
                  <w:tcW w:w="1337"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Cs w:val="21"/>
                    </w:rPr>
                    <w:t>≤</w:t>
                  </w:r>
                  <w:r>
                    <w:rPr>
                      <w:sz w:val="21"/>
                      <w:szCs w:val="21"/>
                    </w:rPr>
                    <w:t>5</w:t>
                  </w:r>
                  <w:r>
                    <w:rPr>
                      <w:rFonts w:hint="eastAsia"/>
                      <w:sz w:val="21"/>
                      <w:szCs w:val="21"/>
                    </w:rPr>
                    <w:t>（</w:t>
                  </w:r>
                  <w:r>
                    <w:rPr>
                      <w:sz w:val="21"/>
                      <w:szCs w:val="21"/>
                    </w:rPr>
                    <w:t>8</w:t>
                  </w:r>
                  <w:r>
                    <w:rPr>
                      <w:rFonts w:hint="eastAsia"/>
                      <w:sz w:val="21"/>
                      <w:szCs w:val="21"/>
                    </w:rPr>
                    <w:t>）</w:t>
                  </w:r>
                </w:p>
              </w:tc>
              <w:tc>
                <w:tcPr>
                  <w:tcW w:w="1221"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Cs w:val="21"/>
                    </w:rPr>
                    <w:t>≤</w:t>
                  </w:r>
                  <w:r>
                    <w:rPr>
                      <w:sz w:val="21"/>
                      <w:szCs w:val="21"/>
                    </w:rPr>
                    <w:t>15</w:t>
                  </w:r>
                </w:p>
              </w:tc>
              <w:tc>
                <w:tcPr>
                  <w:tcW w:w="1104"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szCs w:val="21"/>
                    </w:rPr>
                    <w:t>≤</w:t>
                  </w:r>
                  <w:r>
                    <w:rPr>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63" w:type="dxa"/>
                  <w:tcBorders>
                    <w:top w:val="single" w:color="auto" w:sz="4" w:space="0"/>
                    <w:left w:val="single" w:color="auto" w:sz="12" w:space="0"/>
                    <w:bottom w:val="single" w:color="auto" w:sz="4" w:space="0"/>
                    <w:right w:val="single" w:color="auto" w:sz="4" w:space="0"/>
                  </w:tcBorders>
                  <w:vAlign w:val="center"/>
                </w:tcPr>
                <w:p>
                  <w:pPr>
                    <w:pStyle w:val="2"/>
                    <w:spacing w:line="240" w:lineRule="atLeast"/>
                    <w:jc w:val="center"/>
                    <w:rPr>
                      <w:sz w:val="21"/>
                      <w:szCs w:val="21"/>
                    </w:rPr>
                  </w:pPr>
                  <w:r>
                    <w:rPr>
                      <w:rFonts w:hint="eastAsia"/>
                      <w:sz w:val="21"/>
                      <w:szCs w:val="21"/>
                    </w:rPr>
                    <w:t>污染物去除效率（</w:t>
                  </w:r>
                  <w:r>
                    <w:rPr>
                      <w:sz w:val="21"/>
                      <w:szCs w:val="21"/>
                    </w:rPr>
                    <w:t>%</w:t>
                  </w:r>
                  <w:r>
                    <w:rPr>
                      <w:rFonts w:hint="eastAsia"/>
                      <w:sz w:val="21"/>
                      <w:szCs w:val="21"/>
                    </w:rPr>
                    <w:t>）</w:t>
                  </w:r>
                </w:p>
              </w:tc>
              <w:tc>
                <w:tcPr>
                  <w:tcW w:w="96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≥83.3%</w:t>
                  </w:r>
                </w:p>
              </w:tc>
              <w:tc>
                <w:tcPr>
                  <w:tcW w:w="1126"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≥93.3%</w:t>
                  </w:r>
                </w:p>
              </w:tc>
              <w:tc>
                <w:tcPr>
                  <w:tcW w:w="981"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≥95%</w:t>
                  </w:r>
                </w:p>
              </w:tc>
              <w:tc>
                <w:tcPr>
                  <w:tcW w:w="1337"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≥80%</w:t>
                  </w:r>
                </w:p>
                <w:p>
                  <w:pPr>
                    <w:pStyle w:val="2"/>
                    <w:spacing w:line="240" w:lineRule="atLeast"/>
                    <w:jc w:val="center"/>
                    <w:rPr>
                      <w:sz w:val="21"/>
                      <w:szCs w:val="21"/>
                    </w:rPr>
                  </w:pPr>
                  <w:r>
                    <w:rPr>
                      <w:rFonts w:hint="eastAsia"/>
                      <w:sz w:val="21"/>
                      <w:szCs w:val="21"/>
                    </w:rPr>
                    <w:t>（</w:t>
                  </w:r>
                  <w:r>
                    <w:rPr>
                      <w:sz w:val="21"/>
                      <w:szCs w:val="21"/>
                    </w:rPr>
                    <w:t>≥68</w:t>
                  </w:r>
                  <w:r>
                    <w:rPr>
                      <w:rFonts w:hint="eastAsia"/>
                      <w:sz w:val="21"/>
                      <w:szCs w:val="21"/>
                    </w:rPr>
                    <w:t>）</w:t>
                  </w:r>
                </w:p>
              </w:tc>
              <w:tc>
                <w:tcPr>
                  <w:tcW w:w="1221" w:type="dxa"/>
                  <w:tcBorders>
                    <w:top w:val="single" w:color="auto" w:sz="4" w:space="0"/>
                    <w:left w:val="single" w:color="auto" w:sz="4" w:space="0"/>
                    <w:bottom w:val="single" w:color="auto" w:sz="4" w:space="0"/>
                    <w:right w:val="single" w:color="auto" w:sz="4" w:space="0"/>
                  </w:tcBorders>
                  <w:vAlign w:val="center"/>
                </w:tcPr>
                <w:p>
                  <w:pPr>
                    <w:pStyle w:val="2"/>
                    <w:spacing w:line="240" w:lineRule="atLeast"/>
                    <w:jc w:val="center"/>
                    <w:rPr>
                      <w:sz w:val="21"/>
                      <w:szCs w:val="21"/>
                    </w:rPr>
                  </w:pPr>
                  <w:r>
                    <w:rPr>
                      <w:sz w:val="21"/>
                      <w:szCs w:val="21"/>
                    </w:rPr>
                    <w:t>≥62.5%</w:t>
                  </w:r>
                </w:p>
              </w:tc>
              <w:tc>
                <w:tcPr>
                  <w:tcW w:w="1104"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sz w:val="21"/>
                      <w:szCs w:val="21"/>
                    </w:rPr>
                  </w:pPr>
                  <w:r>
                    <w:rPr>
                      <w:sz w:val="21"/>
                      <w:szCs w:val="21"/>
                    </w:rPr>
                    <w:t>≥87.5%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098" w:type="dxa"/>
                  <w:gridSpan w:val="7"/>
                  <w:tcBorders>
                    <w:top w:val="single" w:color="auto" w:sz="4" w:space="0"/>
                    <w:left w:val="single" w:color="auto" w:sz="12" w:space="0"/>
                    <w:bottom w:val="single" w:color="auto" w:sz="12" w:space="0"/>
                    <w:right w:val="single" w:color="auto" w:sz="12" w:space="0"/>
                  </w:tcBorders>
                  <w:vAlign w:val="center"/>
                </w:tcPr>
                <w:p>
                  <w:pPr>
                    <w:pStyle w:val="2"/>
                    <w:spacing w:line="240" w:lineRule="atLeast"/>
                    <w:jc w:val="left"/>
                    <w:rPr>
                      <w:sz w:val="21"/>
                      <w:szCs w:val="21"/>
                    </w:rPr>
                  </w:pPr>
                  <w:r>
                    <w:rPr>
                      <w:sz w:val="21"/>
                      <w:szCs w:val="21"/>
                    </w:rPr>
                    <w:t>*</w:t>
                  </w:r>
                  <w:r>
                    <w:rPr>
                      <w:rFonts w:hint="eastAsia"/>
                      <w:sz w:val="21"/>
                      <w:szCs w:val="21"/>
                    </w:rPr>
                    <w:t>括号外数值为水温＞</w:t>
                  </w:r>
                  <w:r>
                    <w:rPr>
                      <w:sz w:val="21"/>
                      <w:szCs w:val="21"/>
                    </w:rPr>
                    <w:t>12</w:t>
                  </w:r>
                  <w:r>
                    <w:rPr>
                      <w:rFonts w:hint="eastAsia" w:ascii="宋体" w:hAnsi="宋体" w:cs="宋体"/>
                      <w:sz w:val="21"/>
                      <w:szCs w:val="21"/>
                    </w:rPr>
                    <w:t>℃</w:t>
                  </w:r>
                  <w:r>
                    <w:rPr>
                      <w:rFonts w:hint="eastAsia"/>
                      <w:sz w:val="21"/>
                      <w:szCs w:val="21"/>
                    </w:rPr>
                    <w:t>时控制指标，括号内数值为水温</w:t>
                  </w:r>
                  <w:r>
                    <w:rPr>
                      <w:sz w:val="21"/>
                      <w:szCs w:val="21"/>
                    </w:rPr>
                    <w:t>≤12</w:t>
                  </w:r>
                  <w:r>
                    <w:rPr>
                      <w:rFonts w:hint="eastAsia" w:ascii="宋体" w:hAnsi="宋体" w:cs="宋体"/>
                      <w:sz w:val="21"/>
                      <w:szCs w:val="21"/>
                    </w:rPr>
                    <w:t>℃</w:t>
                  </w:r>
                  <w:r>
                    <w:rPr>
                      <w:rFonts w:hint="eastAsia"/>
                      <w:sz w:val="21"/>
                      <w:szCs w:val="21"/>
                    </w:rPr>
                    <w:t>时的控制指标</w:t>
                  </w:r>
                </w:p>
              </w:tc>
            </w:tr>
          </w:tbl>
          <w:p>
            <w:pPr>
              <w:pStyle w:val="2"/>
              <w:spacing w:line="360" w:lineRule="auto"/>
              <w:ind w:firstLine="482" w:firstLineChars="200"/>
              <w:rPr>
                <w:b/>
                <w:bCs/>
                <w:szCs w:val="28"/>
              </w:rPr>
            </w:pPr>
            <w:r>
              <w:rPr>
                <w:b/>
                <w:bCs/>
                <w:szCs w:val="28"/>
              </w:rPr>
              <w:t>8</w:t>
            </w:r>
            <w:r>
              <w:rPr>
                <w:rFonts w:hint="eastAsia"/>
                <w:b/>
                <w:bCs/>
                <w:szCs w:val="28"/>
              </w:rPr>
              <w:t>、处理厂尾水排放</w:t>
            </w:r>
          </w:p>
          <w:p>
            <w:pPr>
              <w:pStyle w:val="2"/>
              <w:spacing w:line="360" w:lineRule="auto"/>
              <w:ind w:firstLine="480" w:firstLineChars="200"/>
              <w:rPr>
                <w:szCs w:val="28"/>
              </w:rPr>
            </w:pPr>
            <w:r>
              <w:rPr>
                <w:rFonts w:hint="eastAsia"/>
                <w:szCs w:val="28"/>
              </w:rPr>
              <w:t>本项目尾水达到《城市污水处理厂排放标准》</w:t>
            </w:r>
            <w:r>
              <w:rPr>
                <w:szCs w:val="28"/>
              </w:rPr>
              <w:t>(GB18918-2002)</w:t>
            </w:r>
            <w:r>
              <w:rPr>
                <w:rFonts w:hint="eastAsia"/>
                <w:szCs w:val="28"/>
              </w:rPr>
              <w:t>一级</w:t>
            </w:r>
            <w:r>
              <w:rPr>
                <w:szCs w:val="28"/>
              </w:rPr>
              <w:t>A</w:t>
            </w:r>
            <w:r>
              <w:rPr>
                <w:rFonts w:hint="eastAsia"/>
                <w:szCs w:val="28"/>
              </w:rPr>
              <w:t>标准后，依托一期排污口排入潭榄溪。定安县生态环境局通过《关于定安县定城污水处理厂二期改扩建工程入河排污口设置论证的批复》（定环函〔</w:t>
            </w:r>
            <w:r>
              <w:rPr>
                <w:szCs w:val="28"/>
              </w:rPr>
              <w:t>2020</w:t>
            </w:r>
            <w:r>
              <w:rPr>
                <w:rFonts w:hint="eastAsia"/>
                <w:szCs w:val="28"/>
              </w:rPr>
              <w:t>〕</w:t>
            </w:r>
            <w:r>
              <w:rPr>
                <w:szCs w:val="28"/>
              </w:rPr>
              <w:t>15</w:t>
            </w:r>
            <w:r>
              <w:rPr>
                <w:rFonts w:hint="eastAsia"/>
                <w:szCs w:val="28"/>
              </w:rPr>
              <w:t>号），同意定安县水务有限公司将</w:t>
            </w:r>
            <w:r>
              <w:rPr>
                <w:szCs w:val="28"/>
              </w:rPr>
              <w:t>3</w:t>
            </w:r>
            <w:r>
              <w:rPr>
                <w:rFonts w:hint="eastAsia"/>
                <w:szCs w:val="28"/>
              </w:rPr>
              <w:t>万</w:t>
            </w:r>
            <w:r>
              <w:rPr>
                <w:szCs w:val="28"/>
              </w:rPr>
              <w:t>m</w:t>
            </w:r>
            <w:r>
              <w:rPr>
                <w:szCs w:val="28"/>
                <w:vertAlign w:val="superscript"/>
              </w:rPr>
              <w:t>3</w:t>
            </w:r>
            <w:r>
              <w:rPr>
                <w:szCs w:val="28"/>
              </w:rPr>
              <w:t>/d</w:t>
            </w:r>
            <w:r>
              <w:rPr>
                <w:rFonts w:hint="eastAsia"/>
                <w:szCs w:val="28"/>
              </w:rPr>
              <w:t>污水处理达标后排入潭榄溪。</w:t>
            </w:r>
          </w:p>
          <w:p>
            <w:pPr>
              <w:pStyle w:val="2"/>
              <w:spacing w:line="360" w:lineRule="auto"/>
              <w:ind w:firstLine="482" w:firstLineChars="200"/>
              <w:rPr>
                <w:b/>
                <w:bCs/>
                <w:szCs w:val="28"/>
              </w:rPr>
            </w:pPr>
            <w:r>
              <w:rPr>
                <w:b/>
                <w:bCs/>
                <w:szCs w:val="28"/>
              </w:rPr>
              <w:t>9</w:t>
            </w:r>
            <w:r>
              <w:rPr>
                <w:rFonts w:hint="eastAsia"/>
                <w:b/>
                <w:bCs/>
                <w:szCs w:val="28"/>
              </w:rPr>
              <w:t>、污泥出路</w:t>
            </w:r>
          </w:p>
          <w:p>
            <w:pPr>
              <w:pStyle w:val="2"/>
              <w:spacing w:line="360" w:lineRule="auto"/>
              <w:ind w:firstLine="480" w:firstLineChars="200"/>
              <w:rPr>
                <w:szCs w:val="28"/>
              </w:rPr>
            </w:pPr>
            <w:r>
              <w:rPr>
                <w:rFonts w:hint="eastAsia"/>
                <w:szCs w:val="28"/>
              </w:rPr>
              <w:t>本项目污水处理厂所产生的剩余污泥同一期工程剩余污泥一并送至板框脱水机房进行压榨处理，处理后泥饼含水率为</w:t>
            </w:r>
            <w:r>
              <w:rPr>
                <w:szCs w:val="28"/>
              </w:rPr>
              <w:t>50</w:t>
            </w:r>
            <w:r>
              <w:rPr>
                <w:rFonts w:hint="eastAsia"/>
                <w:szCs w:val="28"/>
              </w:rPr>
              <w:t>％，经处理后运至附近垃圾填埋场填埋。</w:t>
            </w:r>
          </w:p>
          <w:p>
            <w:pPr>
              <w:pStyle w:val="2"/>
              <w:spacing w:line="360" w:lineRule="auto"/>
              <w:ind w:firstLine="482" w:firstLineChars="200"/>
            </w:pPr>
            <w:r>
              <w:rPr>
                <w:b/>
                <w:bCs/>
                <w:szCs w:val="28"/>
              </w:rPr>
              <w:t>10</w:t>
            </w:r>
            <w:r>
              <w:rPr>
                <w:rFonts w:hint="eastAsia"/>
                <w:b/>
                <w:bCs/>
                <w:szCs w:val="28"/>
              </w:rPr>
              <w:t>、</w:t>
            </w:r>
            <w:r>
              <w:rPr>
                <w:rFonts w:hint="eastAsia"/>
                <w:b/>
                <w:bCs/>
              </w:rPr>
              <w:t>投产日期及工作制度</w:t>
            </w:r>
            <w:r>
              <w:rPr>
                <w:b/>
                <w:bCs/>
              </w:rPr>
              <w:t xml:space="preserve">   </w:t>
            </w:r>
            <w:r>
              <w:t xml:space="preserve">                                                                                                                                                                                                                                                                                                                                                                                                                                                                                                             </w:t>
            </w:r>
          </w:p>
          <w:p>
            <w:pPr>
              <w:adjustRightInd w:val="0"/>
              <w:snapToGrid w:val="0"/>
              <w:spacing w:line="360" w:lineRule="auto"/>
              <w:ind w:firstLine="480" w:firstLineChars="200"/>
              <w:rPr>
                <w:rFonts w:ascii="Times New Roman" w:hAnsi="Times New Roman"/>
                <w:sz w:val="24"/>
                <w:szCs w:val="24"/>
              </w:rPr>
            </w:pPr>
            <w:r>
              <w:rPr>
                <w:rFonts w:hint="eastAsia" w:ascii="Times New Roman" w:hAnsi="宋体"/>
                <w:sz w:val="24"/>
                <w:szCs w:val="24"/>
              </w:rPr>
              <w:t>本项目不新增劳动定员，厂区内部调节。工程预计于</w:t>
            </w:r>
            <w:r>
              <w:rPr>
                <w:rFonts w:ascii="Times New Roman" w:hAnsi="Times New Roman"/>
                <w:sz w:val="24"/>
                <w:szCs w:val="24"/>
              </w:rPr>
              <w:t>2020</w:t>
            </w:r>
            <w:r>
              <w:rPr>
                <w:rFonts w:hint="eastAsia" w:ascii="Times New Roman" w:hAnsi="宋体"/>
                <w:sz w:val="24"/>
                <w:szCs w:val="24"/>
              </w:rPr>
              <w:t>年</w:t>
            </w:r>
            <w:r>
              <w:rPr>
                <w:rFonts w:ascii="Times New Roman" w:hAnsi="Times New Roman"/>
                <w:sz w:val="24"/>
                <w:szCs w:val="24"/>
              </w:rPr>
              <w:t>10</w:t>
            </w:r>
            <w:r>
              <w:rPr>
                <w:rFonts w:hint="eastAsia" w:ascii="Times New Roman" w:hAnsi="宋体"/>
                <w:sz w:val="24"/>
                <w:szCs w:val="24"/>
              </w:rPr>
              <w:t>月开工建设，计划于</w:t>
            </w:r>
            <w:r>
              <w:rPr>
                <w:rFonts w:ascii="Times New Roman" w:hAnsi="Times New Roman"/>
                <w:sz w:val="24"/>
                <w:szCs w:val="24"/>
              </w:rPr>
              <w:t>2021</w:t>
            </w:r>
            <w:r>
              <w:rPr>
                <w:rFonts w:hint="eastAsia" w:ascii="Times New Roman" w:hAnsi="宋体"/>
                <w:sz w:val="24"/>
                <w:szCs w:val="24"/>
              </w:rPr>
              <w:t>年</w:t>
            </w:r>
            <w:r>
              <w:rPr>
                <w:rFonts w:ascii="Times New Roman" w:hAnsi="Times New Roman"/>
                <w:sz w:val="24"/>
                <w:szCs w:val="24"/>
              </w:rPr>
              <w:t>10</w:t>
            </w:r>
            <w:r>
              <w:rPr>
                <w:rFonts w:hint="eastAsia" w:ascii="Times New Roman" w:hAnsi="宋体"/>
                <w:sz w:val="24"/>
                <w:szCs w:val="24"/>
              </w:rPr>
              <w:t>月竣工运营。</w:t>
            </w:r>
          </w:p>
          <w:p>
            <w:pPr>
              <w:pStyle w:val="2"/>
              <w:spacing w:line="360" w:lineRule="auto"/>
              <w:ind w:firstLine="482" w:firstLineChars="200"/>
              <w:rPr>
                <w:b/>
                <w:bCs/>
                <w:szCs w:val="28"/>
              </w:rPr>
            </w:pPr>
            <w:r>
              <w:rPr>
                <w:b/>
                <w:bCs/>
                <w:szCs w:val="28"/>
              </w:rPr>
              <w:t>11</w:t>
            </w:r>
            <w:r>
              <w:rPr>
                <w:rFonts w:hint="eastAsia"/>
                <w:b/>
                <w:bCs/>
                <w:szCs w:val="28"/>
              </w:rPr>
              <w:t>、公用工程</w:t>
            </w:r>
          </w:p>
          <w:p>
            <w:pPr>
              <w:pStyle w:val="2"/>
              <w:spacing w:line="360" w:lineRule="auto"/>
              <w:ind w:firstLine="480" w:firstLineChars="200"/>
              <w:rPr>
                <w:szCs w:val="28"/>
              </w:rPr>
            </w:pPr>
            <w:r>
              <w:rPr>
                <w:szCs w:val="28"/>
              </w:rPr>
              <w:t>1</w:t>
            </w:r>
            <w:r>
              <w:rPr>
                <w:rFonts w:hint="eastAsia"/>
                <w:szCs w:val="28"/>
              </w:rPr>
              <w:t>）厂区给排水</w:t>
            </w:r>
          </w:p>
          <w:p>
            <w:pPr>
              <w:pStyle w:val="2"/>
              <w:spacing w:line="360" w:lineRule="auto"/>
              <w:ind w:firstLine="480" w:firstLineChars="200"/>
              <w:rPr>
                <w:szCs w:val="28"/>
              </w:rPr>
            </w:pPr>
            <w:r>
              <w:rPr>
                <w:rFonts w:hint="eastAsia"/>
                <w:szCs w:val="28"/>
              </w:rPr>
              <w:t>厂区生活用水及消防用水接自城市给水管网，厂区给水管网呈环状布置，以满足消防要求。</w:t>
            </w:r>
          </w:p>
          <w:p>
            <w:pPr>
              <w:pStyle w:val="2"/>
              <w:spacing w:line="360" w:lineRule="auto"/>
              <w:ind w:firstLine="480" w:firstLineChars="200"/>
              <w:rPr>
                <w:szCs w:val="28"/>
              </w:rPr>
            </w:pPr>
            <w:r>
              <w:rPr>
                <w:rFonts w:hint="eastAsia"/>
                <w:szCs w:val="28"/>
              </w:rPr>
              <w:t>厂区排水为雨污分流制，生活及生产废水全部由污水管网收集进入粗格栅间，雨水由道路上雨水口收集，通过雨水管道排入潭榄溪。</w:t>
            </w:r>
          </w:p>
          <w:p>
            <w:pPr>
              <w:pStyle w:val="2"/>
              <w:spacing w:line="360" w:lineRule="auto"/>
              <w:ind w:firstLine="480" w:firstLineChars="200"/>
              <w:rPr>
                <w:szCs w:val="28"/>
              </w:rPr>
            </w:pPr>
            <w:r>
              <w:rPr>
                <w:szCs w:val="28"/>
              </w:rPr>
              <w:t>2</w:t>
            </w:r>
            <w:r>
              <w:rPr>
                <w:rFonts w:hint="eastAsia"/>
                <w:szCs w:val="28"/>
              </w:rPr>
              <w:t>）供电</w:t>
            </w:r>
          </w:p>
          <w:p>
            <w:pPr>
              <w:pStyle w:val="2"/>
              <w:spacing w:line="360" w:lineRule="auto"/>
              <w:ind w:firstLine="480" w:firstLineChars="200"/>
              <w:rPr>
                <w:szCs w:val="28"/>
              </w:rPr>
            </w:pPr>
            <w:r>
              <w:rPr>
                <w:rFonts w:hint="eastAsia"/>
                <w:szCs w:val="28"/>
              </w:rPr>
              <w:t>厂区内现状由一路</w:t>
            </w:r>
            <w:r>
              <w:rPr>
                <w:szCs w:val="28"/>
              </w:rPr>
              <w:t>10kV</w:t>
            </w:r>
            <w:r>
              <w:rPr>
                <w:rFonts w:hint="eastAsia"/>
                <w:szCs w:val="28"/>
              </w:rPr>
              <w:t>电源供电，本次改扩建新装一路</w:t>
            </w:r>
            <w:r>
              <w:rPr>
                <w:szCs w:val="28"/>
              </w:rPr>
              <w:t>10kV</w:t>
            </w:r>
            <w:r>
              <w:rPr>
                <w:rFonts w:hint="eastAsia"/>
                <w:szCs w:val="28"/>
              </w:rPr>
              <w:t>电源，接至现有总变电室。本次改扩建工程将拆除现有总变电室内的</w:t>
            </w:r>
            <w:r>
              <w:rPr>
                <w:szCs w:val="28"/>
              </w:rPr>
              <w:t>10kV</w:t>
            </w:r>
            <w:r>
              <w:rPr>
                <w:rFonts w:hint="eastAsia"/>
                <w:szCs w:val="28"/>
              </w:rPr>
              <w:t>开关柜并更换一套新</w:t>
            </w:r>
            <w:r>
              <w:rPr>
                <w:szCs w:val="28"/>
              </w:rPr>
              <w:t>10kV</w:t>
            </w:r>
            <w:r>
              <w:rPr>
                <w:rFonts w:hint="eastAsia"/>
                <w:szCs w:val="28"/>
              </w:rPr>
              <w:t>开关柜。</w:t>
            </w:r>
          </w:p>
          <w:p>
            <w:pPr>
              <w:pStyle w:val="2"/>
              <w:spacing w:line="360" w:lineRule="auto"/>
              <w:ind w:firstLine="482" w:firstLineChars="200"/>
              <w:rPr>
                <w:b/>
                <w:bCs/>
                <w:szCs w:val="28"/>
              </w:rPr>
            </w:pPr>
            <w:r>
              <w:rPr>
                <w:b/>
                <w:bCs/>
                <w:szCs w:val="28"/>
              </w:rPr>
              <w:t>11</w:t>
            </w:r>
            <w:r>
              <w:rPr>
                <w:rFonts w:hint="eastAsia"/>
                <w:b/>
                <w:bCs/>
                <w:szCs w:val="28"/>
              </w:rPr>
              <w:t>、总平面布置</w:t>
            </w:r>
          </w:p>
          <w:p>
            <w:pPr>
              <w:pStyle w:val="90"/>
              <w:snapToGrid w:val="0"/>
              <w:spacing w:line="360" w:lineRule="auto"/>
              <w:ind w:firstLine="480"/>
              <w:rPr>
                <w:rFonts w:ascii="Times New Roman" w:hAnsi="Times New Roman"/>
                <w:spacing w:val="0"/>
                <w:sz w:val="24"/>
                <w:szCs w:val="24"/>
              </w:rPr>
            </w:pPr>
            <w:r>
              <w:rPr>
                <w:rFonts w:hint="eastAsia" w:ascii="Times New Roman" w:hAnsi="Times New Roman"/>
                <w:spacing w:val="0"/>
                <w:sz w:val="24"/>
                <w:szCs w:val="24"/>
              </w:rPr>
              <w:t>改扩建后，污水处理厂根据功能可分为以下几个主要区域：生产管理区、污水预处理区、污水处理区、污泥处理区，各区相对独立，便于维护和管理。在各区之间有道路相隔，并设计了绿化带，种植树木花草，较好地进行隔离。</w:t>
            </w:r>
          </w:p>
          <w:p>
            <w:pPr>
              <w:pStyle w:val="90"/>
              <w:snapToGrid w:val="0"/>
              <w:spacing w:line="360" w:lineRule="auto"/>
              <w:ind w:firstLine="480"/>
              <w:rPr>
                <w:rFonts w:ascii="Times New Roman" w:hAnsi="Times New Roman"/>
                <w:spacing w:val="0"/>
                <w:sz w:val="24"/>
                <w:szCs w:val="24"/>
              </w:rPr>
            </w:pPr>
            <w:r>
              <w:rPr>
                <w:rFonts w:hint="eastAsia" w:ascii="Times New Roman" w:hAnsi="Times New Roman"/>
                <w:spacing w:val="0"/>
                <w:sz w:val="24"/>
                <w:szCs w:val="24"/>
              </w:rPr>
              <w:t>生产管理区总体布置在厂区的东南部，位于主导风向上风向。生产管理区主要包括办公楼、餐厅食堂、车库、传达室、自行车棚等。办公楼内设办公室、会议室、化验室、值班宿舍、中控室等。</w:t>
            </w:r>
          </w:p>
          <w:p>
            <w:pPr>
              <w:pStyle w:val="90"/>
              <w:snapToGrid w:val="0"/>
              <w:spacing w:line="360" w:lineRule="auto"/>
              <w:ind w:firstLine="480"/>
              <w:rPr>
                <w:rFonts w:ascii="Times New Roman" w:hAnsi="Times New Roman"/>
                <w:spacing w:val="0"/>
                <w:sz w:val="24"/>
                <w:szCs w:val="24"/>
              </w:rPr>
            </w:pPr>
            <w:r>
              <w:rPr>
                <w:rFonts w:hint="eastAsia" w:ascii="Times New Roman" w:hAnsi="Times New Roman"/>
                <w:spacing w:val="0"/>
                <w:sz w:val="24"/>
                <w:szCs w:val="24"/>
              </w:rPr>
              <w:t>总变电室被安排在厂区西侧，靠近进水泵房、鼓风机房，基本处于用电负荷中心。</w:t>
            </w:r>
          </w:p>
          <w:p>
            <w:pPr>
              <w:pStyle w:val="90"/>
              <w:snapToGrid w:val="0"/>
              <w:spacing w:line="360" w:lineRule="auto"/>
              <w:ind w:firstLine="480"/>
              <w:rPr>
                <w:rFonts w:ascii="Times New Roman" w:hAnsi="Times New Roman"/>
                <w:spacing w:val="0"/>
                <w:sz w:val="24"/>
                <w:szCs w:val="24"/>
              </w:rPr>
            </w:pPr>
            <w:r>
              <w:rPr>
                <w:rFonts w:hint="eastAsia" w:ascii="Times New Roman" w:hAnsi="Times New Roman"/>
                <w:spacing w:val="0"/>
                <w:sz w:val="24"/>
                <w:szCs w:val="24"/>
              </w:rPr>
              <w:t>污水预处理区位于厂区南侧，进水管由南侧进入厂区。厂外进水管从厂区的南部进入污水预处理区，预处理区由西向东依次排列着粗格栅间、提升泵房、细格栅间、一体化沉砂池等。来水进入粗格栅间，经过粗格栅后进入进水泵房，经泵提升后进入配水井，再经细格栅、一体化沉砂池后进入后续处理设施。</w:t>
            </w:r>
          </w:p>
          <w:p>
            <w:pPr>
              <w:pStyle w:val="90"/>
              <w:snapToGrid w:val="0"/>
              <w:spacing w:line="360" w:lineRule="auto"/>
              <w:ind w:firstLine="480"/>
              <w:rPr>
                <w:rFonts w:ascii="Times New Roman" w:hAnsi="Times New Roman"/>
                <w:spacing w:val="0"/>
                <w:sz w:val="24"/>
                <w:szCs w:val="24"/>
              </w:rPr>
            </w:pPr>
            <w:r>
              <w:rPr>
                <w:rFonts w:hint="eastAsia" w:ascii="Times New Roman" w:hAnsi="Times New Roman"/>
                <w:spacing w:val="0"/>
                <w:sz w:val="24"/>
                <w:szCs w:val="24"/>
              </w:rPr>
              <w:t>污水处理区设在厂区的中部，是厂区主要处理部分。该区内设有厌氧池、缺氧池、好氧池、沉淀池、污泥泵房等，总处</w:t>
            </w:r>
            <w:r>
              <w:rPr>
                <w:rFonts w:hint="eastAsia" w:ascii="Times New Roman" w:hAnsi="Times New Roman"/>
                <w:sz w:val="24"/>
                <w:szCs w:val="24"/>
              </w:rPr>
              <w:t>理规模为</w:t>
            </w:r>
            <w:r>
              <w:rPr>
                <w:rFonts w:ascii="Times New Roman" w:hAnsi="Times New Roman"/>
                <w:sz w:val="24"/>
                <w:szCs w:val="24"/>
              </w:rPr>
              <w:t>3.0</w:t>
            </w:r>
            <w:r>
              <w:rPr>
                <w:rFonts w:hint="eastAsia" w:ascii="Times New Roman" w:hAnsi="Times New Roman"/>
                <w:sz w:val="24"/>
                <w:szCs w:val="24"/>
              </w:rPr>
              <w:t>万</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/d</w:t>
            </w:r>
            <w:r>
              <w:rPr>
                <w:rFonts w:hint="eastAsia" w:ascii="Times New Roman" w:hAnsi="Times New Roman"/>
                <w:sz w:val="24"/>
                <w:szCs w:val="24"/>
              </w:rPr>
              <w:t>。污水预处理区的出水先进入厌氧池，再依次进入缺氧池、好氧池、沉淀池、活性砂滤池，处理后在清水池内消毒后经巴氏计量槽计量后排放。鼓风机房设置在沉淀池以西，为污水生物处理系统提</w:t>
            </w:r>
            <w:r>
              <w:rPr>
                <w:rFonts w:hint="eastAsia" w:ascii="Times New Roman" w:hAnsi="Times New Roman"/>
                <w:spacing w:val="0"/>
                <w:sz w:val="24"/>
                <w:szCs w:val="24"/>
              </w:rPr>
              <w:t>供空气。</w:t>
            </w:r>
          </w:p>
          <w:p>
            <w:pPr>
              <w:pStyle w:val="90"/>
              <w:snapToGrid w:val="0"/>
              <w:spacing w:line="360" w:lineRule="auto"/>
              <w:ind w:firstLine="480"/>
              <w:rPr>
                <w:rFonts w:ascii="Times New Roman" w:hAnsi="Times New Roman"/>
                <w:spacing w:val="0"/>
                <w:sz w:val="24"/>
                <w:szCs w:val="24"/>
              </w:rPr>
            </w:pPr>
            <w:r>
              <w:rPr>
                <w:rFonts w:hint="eastAsia" w:ascii="Times New Roman" w:hAnsi="Times New Roman"/>
                <w:spacing w:val="0"/>
                <w:sz w:val="24"/>
                <w:szCs w:val="24"/>
              </w:rPr>
              <w:t>污泥处理区设在厂区西南侧，自西向东依次为调理池、板框脱水机房、污泥储运间。</w:t>
            </w:r>
          </w:p>
          <w:p>
            <w:pPr>
              <w:pStyle w:val="90"/>
              <w:snapToGrid w:val="0"/>
              <w:spacing w:line="360" w:lineRule="auto"/>
              <w:ind w:firstLine="480"/>
              <w:rPr>
                <w:rFonts w:ascii="Times New Roman" w:hAnsi="Times New Roman"/>
                <w:spacing w:val="0"/>
                <w:sz w:val="24"/>
                <w:szCs w:val="24"/>
              </w:rPr>
            </w:pPr>
            <w:r>
              <w:rPr>
                <w:rFonts w:hint="eastAsia" w:ascii="Times New Roman" w:hAnsi="Times New Roman"/>
                <w:spacing w:val="0"/>
                <w:sz w:val="24"/>
                <w:szCs w:val="24"/>
              </w:rPr>
              <w:t>改扩建完成后，厂区总体平面布置图见附图</w:t>
            </w:r>
            <w:r>
              <w:rPr>
                <w:rFonts w:ascii="Times New Roman" w:hAnsi="Times New Roman"/>
                <w:spacing w:val="0"/>
                <w:sz w:val="24"/>
                <w:szCs w:val="24"/>
              </w:rPr>
              <w:t>2</w:t>
            </w:r>
            <w:r>
              <w:rPr>
                <w:rFonts w:hint="eastAsia" w:ascii="Times New Roman" w:hAnsi="Times New Roman"/>
                <w:spacing w:val="0"/>
                <w:sz w:val="24"/>
                <w:szCs w:val="24"/>
              </w:rPr>
              <w:t>，厂区内污水管线布置图见附图</w:t>
            </w:r>
            <w:r>
              <w:rPr>
                <w:rFonts w:ascii="Times New Roman" w:hAnsi="Times New Roman"/>
                <w:spacing w:val="0"/>
                <w:sz w:val="24"/>
                <w:szCs w:val="24"/>
              </w:rPr>
              <w:t>3</w:t>
            </w:r>
            <w:r>
              <w:rPr>
                <w:rFonts w:hint="eastAsia" w:ascii="Times New Roman" w:hAnsi="Times New Roman"/>
                <w:spacing w:val="0"/>
                <w:sz w:val="24"/>
                <w:szCs w:val="24"/>
              </w:rPr>
              <w:t>。</w:t>
            </w:r>
          </w:p>
          <w:p>
            <w:pPr>
              <w:pStyle w:val="90"/>
              <w:snapToGrid w:val="0"/>
              <w:spacing w:line="360" w:lineRule="auto"/>
              <w:ind w:firstLine="480"/>
              <w:rPr>
                <w:b/>
                <w:bCs/>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44" w:type="dxa"/>
            <w:gridSpan w:val="9"/>
          </w:tcPr>
          <w:p>
            <w:pPr>
              <w:pStyle w:val="2"/>
              <w:rPr>
                <w:b/>
              </w:rPr>
            </w:pPr>
            <w:r>
              <w:rPr>
                <w:rStyle w:val="66"/>
                <w:rFonts w:hint="eastAsia" w:eastAsia="宋体"/>
                <w:b/>
                <w:sz w:val="28"/>
                <w:szCs w:val="28"/>
              </w:rPr>
              <w:t>与本项目有关的原有污染情况及主要环境问题</w:t>
            </w:r>
          </w:p>
          <w:p>
            <w:pPr>
              <w:pStyle w:val="90"/>
              <w:snapToGrid w:val="0"/>
              <w:spacing w:line="360" w:lineRule="auto"/>
              <w:ind w:firstLine="480"/>
              <w:rPr>
                <w:rFonts w:ascii="Times New Roman" w:hAnsi="Times New Roman"/>
                <w:b/>
                <w:bCs/>
                <w:spacing w:val="0"/>
                <w:sz w:val="24"/>
                <w:szCs w:val="24"/>
              </w:rPr>
            </w:pPr>
            <w:r>
              <w:rPr>
                <w:rFonts w:hint="eastAsia" w:ascii="Times New Roman" w:hAnsi="Times New Roman"/>
                <w:b/>
                <w:bCs/>
                <w:spacing w:val="0"/>
                <w:sz w:val="24"/>
                <w:szCs w:val="24"/>
              </w:rPr>
              <w:t>一、现状污水处理工艺及产污环节</w:t>
            </w:r>
          </w:p>
          <w:p>
            <w:pPr>
              <w:pStyle w:val="114"/>
              <w:ind w:firstLine="482"/>
              <w:rPr>
                <w:b/>
              </w:rPr>
            </w:pPr>
            <w:r>
              <w:rPr>
                <w:b/>
              </w:rPr>
              <w:t>1</w:t>
            </w:r>
            <w:r>
              <w:rPr>
                <w:rFonts w:hint="eastAsia"/>
                <w:b/>
              </w:rPr>
              <w:t>、现状污水处理工艺</w:t>
            </w:r>
          </w:p>
          <w:p>
            <w:pPr>
              <w:pStyle w:val="114"/>
            </w:pPr>
            <w:r>
              <w:rPr>
                <w:rFonts w:hint="eastAsia"/>
              </w:rPr>
              <w:t>定城污水处理厂一期工程主要构筑物有粗格栅及进水泵房、细格栅及旋流沉砂池、</w:t>
            </w:r>
            <w:r>
              <w:t>A</w:t>
            </w:r>
            <w:r>
              <w:rPr>
                <w:vertAlign w:val="superscript"/>
              </w:rPr>
              <w:t>2</w:t>
            </w:r>
            <w:r>
              <w:t>/O</w:t>
            </w:r>
            <w:r>
              <w:rPr>
                <w:rFonts w:hint="eastAsia"/>
              </w:rPr>
              <w:t>生物池（厌氧池</w:t>
            </w:r>
            <w:r>
              <w:t>+</w:t>
            </w:r>
            <w:r>
              <w:rPr>
                <w:rFonts w:hint="eastAsia"/>
              </w:rPr>
              <w:t>缺氧池</w:t>
            </w:r>
            <w:r>
              <w:t>+</w:t>
            </w:r>
            <w:r>
              <w:rPr>
                <w:rFonts w:hint="eastAsia"/>
              </w:rPr>
              <w:t>好氧池）、二沉池</w:t>
            </w:r>
            <w:r>
              <w:t>+</w:t>
            </w:r>
            <w:r>
              <w:rPr>
                <w:rFonts w:hint="eastAsia"/>
              </w:rPr>
              <w:t>混凝沉砂池</w:t>
            </w:r>
            <w:r>
              <w:t>+</w:t>
            </w:r>
            <w:r>
              <w:rPr>
                <w:rFonts w:hint="eastAsia"/>
              </w:rPr>
              <w:t>终沉池、污泥回流泵池</w:t>
            </w:r>
            <w:r>
              <w:t>+</w:t>
            </w:r>
            <w:r>
              <w:rPr>
                <w:rFonts w:hint="eastAsia"/>
              </w:rPr>
              <w:t>污泥贮池及污泥泵房、消毒池、污泥脱水间等。</w:t>
            </w:r>
          </w:p>
          <w:p>
            <w:pPr>
              <w:pStyle w:val="114"/>
            </w:pPr>
            <w:r>
              <w:rPr>
                <w:rFonts w:hint="eastAsia"/>
              </w:rPr>
              <w:t>（</w:t>
            </w:r>
            <w:r>
              <w:t>1</w:t>
            </w:r>
            <w:r>
              <w:rPr>
                <w:rFonts w:hint="eastAsia"/>
              </w:rPr>
              <w:t>）进水首先经过粗格栅拦截污水中较大颗粒及漂浮物、细格栅去除污水中粒径较小颗粒，进入旋流沉砂池去除污水中粒径大于</w:t>
            </w:r>
            <w:r>
              <w:t>0.2mm</w:t>
            </w:r>
            <w:r>
              <w:rPr>
                <w:rFonts w:hint="eastAsia"/>
              </w:rPr>
              <w:t>的砂粒，保护后续水处理设备，防止管道淤塞；</w:t>
            </w:r>
          </w:p>
          <w:p>
            <w:pPr>
              <w:pStyle w:val="114"/>
            </w:pPr>
            <w:r>
              <w:rPr>
                <w:rFonts w:hint="eastAsia"/>
              </w:rPr>
              <w:t>（</w:t>
            </w:r>
            <w:r>
              <w:t>2</w:t>
            </w:r>
            <w:r>
              <w:rPr>
                <w:rFonts w:hint="eastAsia"/>
              </w:rPr>
              <w:t>）出水进入</w:t>
            </w:r>
            <w:r>
              <w:t>A</w:t>
            </w:r>
            <w:r>
              <w:rPr>
                <w:vertAlign w:val="superscript"/>
              </w:rPr>
              <w:t>2</w:t>
            </w:r>
            <w:r>
              <w:t>/O</w:t>
            </w:r>
            <w:r>
              <w:rPr>
                <w:rFonts w:hint="eastAsia"/>
              </w:rPr>
              <w:t>生物池，利用厌氧、缺氧和好氧区的不同功能，以氧化氨氮为主，进行生物脱氮除磷，同时去除</w:t>
            </w:r>
            <w:r>
              <w:t>BOD</w:t>
            </w:r>
            <w:r>
              <w:rPr>
                <w:vertAlign w:val="subscript"/>
              </w:rPr>
              <w:t>5</w:t>
            </w:r>
            <w:r>
              <w:rPr>
                <w:rFonts w:hint="eastAsia"/>
              </w:rPr>
              <w:t>，设置一座鼓风机房，建设规模为</w:t>
            </w:r>
            <w:r>
              <w:t>1.5</w:t>
            </w:r>
            <w:r>
              <w:rPr>
                <w:rFonts w:hint="eastAsia"/>
              </w:rPr>
              <w:t>万</w:t>
            </w:r>
            <w:r>
              <w:t>m</w:t>
            </w:r>
            <w:r>
              <w:rPr>
                <w:vertAlign w:val="superscript"/>
              </w:rPr>
              <w:t>3</w:t>
            </w:r>
            <w:r>
              <w:t>/d</w:t>
            </w:r>
            <w:r>
              <w:rPr>
                <w:rFonts w:hint="eastAsia"/>
              </w:rPr>
              <w:t>，为</w:t>
            </w:r>
            <w:r>
              <w:t>A</w:t>
            </w:r>
            <w:r>
              <w:rPr>
                <w:vertAlign w:val="superscript"/>
              </w:rPr>
              <w:t>2</w:t>
            </w:r>
            <w:r>
              <w:t>/O</w:t>
            </w:r>
            <w:r>
              <w:rPr>
                <w:rFonts w:hint="eastAsia"/>
              </w:rPr>
              <w:t>生物池好氧区充氧提供气源；</w:t>
            </w:r>
          </w:p>
          <w:p>
            <w:pPr>
              <w:pStyle w:val="114"/>
            </w:pPr>
            <w:r>
              <w:rPr>
                <w:rFonts w:hint="eastAsia"/>
              </w:rPr>
              <w:t>（</w:t>
            </w:r>
            <w:r>
              <w:t>3</w:t>
            </w:r>
            <w:r>
              <w:rPr>
                <w:rFonts w:hint="eastAsia"/>
              </w:rPr>
              <w:t>）生物池出水进入二沉池，进行混合液固液分离，产生的回流活性污泥部分泵回至</w:t>
            </w:r>
            <w:r>
              <w:t>A</w:t>
            </w:r>
            <w:r>
              <w:rPr>
                <w:vertAlign w:val="superscript"/>
              </w:rPr>
              <w:t>2</w:t>
            </w:r>
            <w:r>
              <w:t>/O</w:t>
            </w:r>
            <w:r>
              <w:rPr>
                <w:rFonts w:hint="eastAsia"/>
              </w:rPr>
              <w:t>生物池，剩余部分泵入污泥贮池；二沉池出水再次进入混凝沉砂池</w:t>
            </w:r>
            <w:r>
              <w:t>+</w:t>
            </w:r>
            <w:r>
              <w:rPr>
                <w:rFonts w:hint="eastAsia"/>
              </w:rPr>
              <w:t>终沉池进行沉淀，终沉池产生的污泥泵入污泥贮池；</w:t>
            </w:r>
          </w:p>
          <w:p>
            <w:pPr>
              <w:pStyle w:val="114"/>
            </w:pPr>
            <w:r>
              <w:rPr>
                <w:rFonts w:hint="eastAsia"/>
              </w:rPr>
              <w:t>（</w:t>
            </w:r>
            <w:r>
              <w:t>4</w:t>
            </w:r>
            <w:r>
              <w:rPr>
                <w:rFonts w:hint="eastAsia"/>
              </w:rPr>
              <w:t>）污泥贮池内的污泥经浓缩后泵至污泥脱水间进行脱水处理，上清液排入生化处理单元；</w:t>
            </w:r>
          </w:p>
          <w:p>
            <w:pPr>
              <w:pStyle w:val="114"/>
            </w:pPr>
            <w:r>
              <w:rPr>
                <w:rFonts w:hint="eastAsia"/>
              </w:rPr>
              <w:t>（</w:t>
            </w:r>
            <w:r>
              <w:t>5</w:t>
            </w:r>
            <w:r>
              <w:rPr>
                <w:rFonts w:hint="eastAsia"/>
              </w:rPr>
              <w:t>）污泥脱水产生的滤液泵至生化处理单元，脱水污泥含水率约</w:t>
            </w:r>
            <w:r>
              <w:t>78%</w:t>
            </w:r>
            <w:r>
              <w:rPr>
                <w:rFonts w:hint="eastAsia"/>
              </w:rPr>
              <w:t>，送到定安县生活垃圾填埋场；二沉池出水进入消毒池，采用次氯酸钠消毒，消毒后的出水排入潭榄溪。</w:t>
            </w:r>
          </w:p>
          <w:p>
            <w:pPr>
              <w:pStyle w:val="114"/>
            </w:pPr>
            <w:r>
              <w:rPr>
                <w:rFonts w:hint="eastAsia"/>
              </w:rPr>
              <w:t>现状污水处理工艺流程见图</w:t>
            </w:r>
            <w:r>
              <w:t>1</w:t>
            </w:r>
            <w:r>
              <w:rPr>
                <w:rFonts w:hint="eastAsia"/>
              </w:rPr>
              <w:t>。</w:t>
            </w:r>
          </w:p>
          <w:p>
            <w:pPr>
              <w:pStyle w:val="91"/>
              <w:adjustRightInd w:val="0"/>
              <w:snapToGrid w:val="0"/>
              <w:spacing w:line="360" w:lineRule="auto"/>
              <w:ind w:firstLine="482" w:firstLineChars="200"/>
              <w:jc w:val="left"/>
              <w:outlineLvl w:val="3"/>
              <w:rPr>
                <w:rFonts w:ascii="Times New Roman" w:hAnsi="Times New Roman"/>
                <w:spacing w:val="0"/>
                <w:sz w:val="24"/>
                <w:szCs w:val="24"/>
              </w:rPr>
            </w:pPr>
            <w:r>
              <w:rPr>
                <w:rFonts w:ascii="Times New Roman" w:hAnsi="Times New Roman"/>
                <w:spacing w:val="0"/>
                <w:sz w:val="24"/>
                <w:szCs w:val="24"/>
              </w:rPr>
              <w:t>2</w:t>
            </w:r>
            <w:r>
              <w:rPr>
                <w:rFonts w:hint="eastAsia" w:ascii="Times New Roman" w:hAnsi="Times New Roman"/>
                <w:spacing w:val="0"/>
                <w:sz w:val="24"/>
                <w:szCs w:val="24"/>
              </w:rPr>
              <w:t>、产污环节汇总</w:t>
            </w:r>
          </w:p>
          <w:p>
            <w:pPr>
              <w:pStyle w:val="91"/>
              <w:adjustRightInd w:val="0"/>
              <w:snapToGrid w:val="0"/>
              <w:spacing w:line="360" w:lineRule="auto"/>
              <w:ind w:firstLine="480" w:firstLineChars="200"/>
              <w:jc w:val="left"/>
              <w:outlineLvl w:val="3"/>
              <w:rPr>
                <w:rFonts w:ascii="Times New Roman" w:hAnsi="Times New Roman"/>
                <w:b w:val="0"/>
                <w:spacing w:val="0"/>
                <w:sz w:val="24"/>
                <w:szCs w:val="24"/>
              </w:rPr>
            </w:pPr>
            <w:r>
              <w:rPr>
                <w:rFonts w:hint="eastAsia" w:ascii="Times New Roman" w:hAnsi="Times New Roman"/>
                <w:b w:val="0"/>
                <w:spacing w:val="0"/>
                <w:sz w:val="24"/>
                <w:szCs w:val="24"/>
              </w:rPr>
              <w:t>（</w:t>
            </w:r>
            <w:r>
              <w:rPr>
                <w:rFonts w:ascii="Times New Roman" w:hAnsi="Times New Roman"/>
                <w:b w:val="0"/>
                <w:spacing w:val="0"/>
                <w:sz w:val="24"/>
                <w:szCs w:val="24"/>
              </w:rPr>
              <w:t>1</w:t>
            </w:r>
            <w:r>
              <w:rPr>
                <w:rFonts w:hint="eastAsia" w:ascii="Times New Roman" w:hAnsi="Times New Roman"/>
                <w:b w:val="0"/>
                <w:spacing w:val="0"/>
                <w:sz w:val="24"/>
                <w:szCs w:val="24"/>
              </w:rPr>
              <w:t>）废气</w:t>
            </w:r>
          </w:p>
          <w:p>
            <w:pPr>
              <w:pStyle w:val="91"/>
              <w:adjustRightInd w:val="0"/>
              <w:snapToGrid w:val="0"/>
              <w:spacing w:line="360" w:lineRule="auto"/>
              <w:ind w:firstLine="480" w:firstLineChars="200"/>
              <w:jc w:val="left"/>
              <w:outlineLvl w:val="3"/>
              <w:rPr>
                <w:rFonts w:ascii="Times New Roman" w:hAnsi="Times New Roman"/>
                <w:b w:val="0"/>
                <w:spacing w:val="0"/>
                <w:sz w:val="24"/>
                <w:szCs w:val="24"/>
              </w:rPr>
            </w:pPr>
            <w:r>
              <w:rPr>
                <w:rFonts w:hint="eastAsia" w:ascii="Times New Roman" w:hAnsi="Times New Roman"/>
                <w:b w:val="0"/>
                <w:spacing w:val="0"/>
                <w:sz w:val="24"/>
                <w:szCs w:val="24"/>
              </w:rPr>
              <w:t>一期工程的大气污染物主要为污水预处理、生化处理工段以及污泥处理工段产生的恶臭气体，主要污染因子为</w:t>
            </w:r>
            <w:r>
              <w:rPr>
                <w:rFonts w:ascii="Times New Roman" w:hAnsi="Times New Roman"/>
                <w:b w:val="0"/>
                <w:spacing w:val="0"/>
                <w:sz w:val="24"/>
                <w:szCs w:val="24"/>
              </w:rPr>
              <w:t>NH</w:t>
            </w:r>
            <w:r>
              <w:rPr>
                <w:rFonts w:ascii="Times New Roman" w:hAnsi="Times New Roman"/>
                <w:b w:val="0"/>
                <w:spacing w:val="0"/>
                <w:sz w:val="24"/>
                <w:szCs w:val="24"/>
                <w:vertAlign w:val="subscript"/>
              </w:rPr>
              <w:t>3</w:t>
            </w:r>
            <w:r>
              <w:rPr>
                <w:rFonts w:hint="eastAsia" w:ascii="Times New Roman" w:hAnsi="Times New Roman"/>
                <w:b w:val="0"/>
                <w:spacing w:val="0"/>
                <w:sz w:val="24"/>
                <w:szCs w:val="24"/>
              </w:rPr>
              <w:t>、</w:t>
            </w:r>
            <w:r>
              <w:rPr>
                <w:rFonts w:ascii="Times New Roman" w:hAnsi="Times New Roman"/>
                <w:b w:val="0"/>
                <w:spacing w:val="0"/>
                <w:sz w:val="24"/>
                <w:szCs w:val="24"/>
              </w:rPr>
              <w:t>H</w:t>
            </w:r>
            <w:r>
              <w:rPr>
                <w:rFonts w:ascii="Times New Roman" w:hAnsi="Times New Roman"/>
                <w:b w:val="0"/>
                <w:spacing w:val="0"/>
                <w:sz w:val="24"/>
                <w:szCs w:val="24"/>
                <w:vertAlign w:val="subscript"/>
              </w:rPr>
              <w:t>2</w:t>
            </w:r>
            <w:r>
              <w:rPr>
                <w:rFonts w:ascii="Times New Roman" w:hAnsi="Times New Roman"/>
                <w:b w:val="0"/>
                <w:spacing w:val="0"/>
                <w:sz w:val="24"/>
                <w:szCs w:val="24"/>
              </w:rPr>
              <w:t>S</w:t>
            </w:r>
            <w:r>
              <w:rPr>
                <w:rFonts w:hint="eastAsia" w:ascii="Times New Roman" w:hAnsi="Times New Roman"/>
                <w:b w:val="0"/>
                <w:spacing w:val="0"/>
                <w:sz w:val="24"/>
                <w:szCs w:val="24"/>
              </w:rPr>
              <w:t>。</w:t>
            </w:r>
          </w:p>
          <w:p>
            <w:pPr>
              <w:pStyle w:val="91"/>
              <w:adjustRightInd w:val="0"/>
              <w:snapToGrid w:val="0"/>
              <w:spacing w:line="360" w:lineRule="auto"/>
              <w:ind w:firstLine="480" w:firstLineChars="200"/>
              <w:jc w:val="left"/>
              <w:outlineLvl w:val="3"/>
              <w:rPr>
                <w:rFonts w:ascii="Times New Roman" w:hAnsi="Times New Roman"/>
                <w:b w:val="0"/>
                <w:spacing w:val="0"/>
                <w:sz w:val="24"/>
                <w:szCs w:val="24"/>
              </w:rPr>
            </w:pPr>
            <w:r>
              <w:rPr>
                <w:rFonts w:hint="eastAsia" w:ascii="Times New Roman" w:hAnsi="Times New Roman"/>
                <w:b w:val="0"/>
                <w:spacing w:val="0"/>
                <w:sz w:val="24"/>
                <w:szCs w:val="24"/>
              </w:rPr>
              <w:t>（</w:t>
            </w:r>
            <w:r>
              <w:rPr>
                <w:rFonts w:ascii="Times New Roman" w:hAnsi="Times New Roman"/>
                <w:b w:val="0"/>
                <w:spacing w:val="0"/>
                <w:sz w:val="24"/>
                <w:szCs w:val="24"/>
              </w:rPr>
              <w:t>2</w:t>
            </w:r>
            <w:r>
              <w:rPr>
                <w:rFonts w:hint="eastAsia" w:ascii="Times New Roman" w:hAnsi="Times New Roman"/>
                <w:b w:val="0"/>
                <w:spacing w:val="0"/>
                <w:sz w:val="24"/>
                <w:szCs w:val="24"/>
              </w:rPr>
              <w:t>）废水</w:t>
            </w:r>
          </w:p>
          <w:p>
            <w:pPr>
              <w:pStyle w:val="91"/>
              <w:adjustRightInd w:val="0"/>
              <w:snapToGrid w:val="0"/>
              <w:spacing w:line="360" w:lineRule="auto"/>
              <w:ind w:firstLine="480" w:firstLineChars="200"/>
              <w:jc w:val="left"/>
              <w:outlineLvl w:val="3"/>
              <w:rPr>
                <w:rFonts w:ascii="Times New Roman" w:hAnsi="Times New Roman"/>
                <w:b w:val="0"/>
                <w:spacing w:val="0"/>
                <w:sz w:val="24"/>
                <w:szCs w:val="24"/>
              </w:rPr>
            </w:pPr>
            <w:r>
              <w:rPr>
                <w:rFonts w:hint="eastAsia" w:ascii="Times New Roman" w:hAnsi="Times New Roman"/>
                <w:b w:val="0"/>
                <w:spacing w:val="0"/>
                <w:sz w:val="24"/>
                <w:szCs w:val="24"/>
              </w:rPr>
              <w:t>一期工程的废水为员工产生的生活污水，全部进入污水处理系统处理。水质污染不纳入一期工程设计的进、出水水质水量，不单独进行核算。</w:t>
            </w:r>
          </w:p>
          <w:p>
            <w:pPr>
              <w:pStyle w:val="91"/>
              <w:adjustRightInd w:val="0"/>
              <w:snapToGrid w:val="0"/>
              <w:spacing w:line="360" w:lineRule="auto"/>
              <w:ind w:firstLine="480" w:firstLineChars="200"/>
              <w:jc w:val="left"/>
              <w:outlineLvl w:val="3"/>
              <w:rPr>
                <w:rFonts w:ascii="Times New Roman" w:hAnsi="Times New Roman"/>
                <w:b w:val="0"/>
                <w:spacing w:val="0"/>
                <w:sz w:val="24"/>
                <w:szCs w:val="24"/>
              </w:rPr>
            </w:pPr>
            <w:r>
              <w:rPr>
                <w:rFonts w:hint="eastAsia" w:ascii="Times New Roman" w:hAnsi="Times New Roman"/>
                <w:b w:val="0"/>
                <w:spacing w:val="0"/>
                <w:sz w:val="24"/>
                <w:szCs w:val="24"/>
              </w:rPr>
              <w:t>（</w:t>
            </w:r>
            <w:r>
              <w:rPr>
                <w:rFonts w:ascii="Times New Roman" w:hAnsi="Times New Roman"/>
                <w:b w:val="0"/>
                <w:spacing w:val="0"/>
                <w:sz w:val="24"/>
                <w:szCs w:val="24"/>
              </w:rPr>
              <w:t>3</w:t>
            </w:r>
            <w:r>
              <w:rPr>
                <w:rFonts w:hint="eastAsia" w:ascii="Times New Roman" w:hAnsi="Times New Roman"/>
                <w:b w:val="0"/>
                <w:spacing w:val="0"/>
                <w:sz w:val="24"/>
                <w:szCs w:val="24"/>
              </w:rPr>
              <w:t>）噪声</w:t>
            </w:r>
          </w:p>
          <w:p>
            <w:pPr>
              <w:pStyle w:val="91"/>
              <w:adjustRightInd w:val="0"/>
              <w:snapToGrid w:val="0"/>
              <w:spacing w:line="360" w:lineRule="auto"/>
              <w:ind w:firstLine="480" w:firstLineChars="200"/>
              <w:jc w:val="left"/>
              <w:outlineLvl w:val="3"/>
              <w:rPr>
                <w:rFonts w:ascii="Times New Roman" w:hAnsi="Times New Roman"/>
                <w:b w:val="0"/>
                <w:spacing w:val="0"/>
                <w:sz w:val="24"/>
                <w:szCs w:val="24"/>
              </w:rPr>
            </w:pPr>
            <w:r>
              <w:rPr>
                <w:rFonts w:hint="eastAsia" w:ascii="Times New Roman" w:hAnsi="Times New Roman"/>
                <w:b w:val="0"/>
                <w:spacing w:val="0"/>
                <w:sz w:val="24"/>
                <w:szCs w:val="24"/>
              </w:rPr>
              <w:t>一期工程运营期主要噪声源为离心机和鼓风机及污水厂其他各机械运行产生的机械噪声。</w:t>
            </w:r>
          </w:p>
          <w:p>
            <w:pPr>
              <w:pStyle w:val="91"/>
              <w:adjustRightInd w:val="0"/>
              <w:snapToGrid w:val="0"/>
              <w:spacing w:line="360" w:lineRule="auto"/>
              <w:ind w:firstLine="480" w:firstLineChars="200"/>
              <w:jc w:val="left"/>
              <w:outlineLvl w:val="3"/>
              <w:rPr>
                <w:rFonts w:ascii="Times New Roman" w:hAnsi="Times New Roman"/>
                <w:b w:val="0"/>
                <w:spacing w:val="0"/>
                <w:sz w:val="24"/>
                <w:szCs w:val="24"/>
              </w:rPr>
            </w:pPr>
            <w:r>
              <w:rPr>
                <w:rFonts w:hint="eastAsia" w:ascii="Times New Roman" w:hAnsi="Times New Roman"/>
                <w:b w:val="0"/>
                <w:spacing w:val="0"/>
                <w:sz w:val="24"/>
                <w:szCs w:val="24"/>
              </w:rPr>
              <w:t>（</w:t>
            </w:r>
            <w:r>
              <w:rPr>
                <w:rFonts w:ascii="Times New Roman" w:hAnsi="Times New Roman"/>
                <w:b w:val="0"/>
                <w:spacing w:val="0"/>
                <w:sz w:val="24"/>
                <w:szCs w:val="24"/>
              </w:rPr>
              <w:t>4</w:t>
            </w:r>
            <w:r>
              <w:rPr>
                <w:rFonts w:hint="eastAsia" w:ascii="Times New Roman" w:hAnsi="Times New Roman"/>
                <w:b w:val="0"/>
                <w:spacing w:val="0"/>
                <w:sz w:val="24"/>
                <w:szCs w:val="24"/>
              </w:rPr>
              <w:t>）固体废物</w:t>
            </w:r>
          </w:p>
          <w:p>
            <w:pPr>
              <w:pStyle w:val="91"/>
              <w:adjustRightInd w:val="0"/>
              <w:snapToGrid w:val="0"/>
              <w:spacing w:line="360" w:lineRule="auto"/>
              <w:ind w:firstLine="480" w:firstLineChars="200"/>
              <w:jc w:val="left"/>
              <w:outlineLvl w:val="3"/>
              <w:rPr>
                <w:rFonts w:ascii="Times New Roman" w:hAnsi="Times New Roman"/>
                <w:b w:val="0"/>
                <w:spacing w:val="0"/>
                <w:sz w:val="24"/>
                <w:szCs w:val="24"/>
              </w:rPr>
            </w:pPr>
            <w:r>
              <w:rPr>
                <w:rFonts w:hint="eastAsia" w:ascii="Times New Roman" w:hAnsi="Times New Roman"/>
                <w:b w:val="0"/>
                <w:spacing w:val="0"/>
                <w:sz w:val="24"/>
                <w:szCs w:val="24"/>
              </w:rPr>
              <w:t>一期工程产生的固体废物包括废油漆桶、废机油、实验室废液、沉砂、栅渣、脱水污泥和生活垃圾。</w:t>
            </w:r>
          </w:p>
          <w:p>
            <w:pPr>
              <w:pStyle w:val="90"/>
              <w:spacing w:line="360" w:lineRule="auto"/>
              <w:ind w:firstLine="0"/>
              <w:jc w:val="center"/>
              <w:rPr>
                <w:rFonts w:ascii="Times New Roman" w:hAnsi="Times New Roman"/>
                <w:b/>
                <w:bCs/>
                <w:spacing w:val="0"/>
                <w:sz w:val="24"/>
                <w:szCs w:val="24"/>
              </w:rPr>
            </w:pPr>
            <w:r>
              <mc:AlternateContent>
                <mc:Choice Requires="wps">
                  <w:drawing>
                    <wp:anchor distT="0" distB="0" distL="114300" distR="114300" simplePos="0" relativeHeight="251663360" behindDoc="0" locked="0" layoutInCell="1" allowOverlap="1">
                      <wp:simplePos x="0" y="0"/>
                      <wp:positionH relativeFrom="column">
                        <wp:posOffset>2905125</wp:posOffset>
                      </wp:positionH>
                      <wp:positionV relativeFrom="paragraph">
                        <wp:posOffset>2338705</wp:posOffset>
                      </wp:positionV>
                      <wp:extent cx="600075" cy="0"/>
                      <wp:effectExtent l="5715" t="11430" r="13335" b="7620"/>
                      <wp:wrapNone/>
                      <wp:docPr id="42" name="Line 2"/>
                      <wp:cNvGraphicFramePr/>
                      <a:graphic xmlns:a="http://schemas.openxmlformats.org/drawingml/2006/main">
                        <a:graphicData uri="http://schemas.microsoft.com/office/word/2010/wordprocessingShape">
                          <wps:wsp>
                            <wps:cNvCnPr>
                              <a:cxnSpLocks noChangeShapeType="1"/>
                            </wps:cNvCnPr>
                            <wps:spPr bwMode="auto">
                              <a:xfrm flipH="1">
                                <a:off x="0" y="0"/>
                                <a:ext cx="600075" cy="0"/>
                              </a:xfrm>
                              <a:prstGeom prst="line">
                                <a:avLst/>
                              </a:prstGeom>
                              <a:noFill/>
                              <a:ln w="9525">
                                <a:solidFill>
                                  <a:srgbClr val="000000"/>
                                </a:solidFill>
                                <a:prstDash val="dash"/>
                                <a:round/>
                              </a:ln>
                            </wps:spPr>
                            <wps:bodyPr/>
                          </wps:wsp>
                        </a:graphicData>
                      </a:graphic>
                    </wp:anchor>
                  </w:drawing>
                </mc:Choice>
                <mc:Fallback>
                  <w:pict>
                    <v:line id="Line 2" o:spid="_x0000_s1026" o:spt="20" style="position:absolute;left:0pt;flip:x;margin-left:228.75pt;margin-top:184.15pt;height:0pt;width:47.25pt;z-index:251663360;mso-width-relative:page;mso-height-relative:page;" filled="f" stroked="t" coordsize="21600,21600" o:gfxdata="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AlLz/VAAAACwEAAA8AAAAAAAAAAQAgAAAAIgAAAGRycy9kb3ducmV2LnhtbFBL&#10;AQIUABQAAAAIAIdO4kDPlMq7wAEAAHMDAAAOAAAAAAAAAAEAIAAAACQBAABkcnMvZTJvRG9jLnht&#10;bFBLBQYAAAAABgAGAFkBAABWBQAAAAA=&#10;">
                      <v:fill on="f" focussize="0,0"/>
                      <v:stroke color="#000000" joinstyle="round" dashstyle="dash"/>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2934970</wp:posOffset>
                      </wp:positionH>
                      <wp:positionV relativeFrom="paragraph">
                        <wp:posOffset>2734945</wp:posOffset>
                      </wp:positionV>
                      <wp:extent cx="466725" cy="0"/>
                      <wp:effectExtent l="6985" t="7620" r="12065" b="11430"/>
                      <wp:wrapNone/>
                      <wp:docPr id="41" name="Line 3"/>
                      <wp:cNvGraphicFramePr/>
                      <a:graphic xmlns:a="http://schemas.openxmlformats.org/drawingml/2006/main">
                        <a:graphicData uri="http://schemas.microsoft.com/office/word/2010/wordprocessingShape">
                          <wps:wsp>
                            <wps:cNvCnPr>
                              <a:cxnSpLocks noChangeShapeType="1"/>
                            </wps:cNvCnPr>
                            <wps:spPr bwMode="auto">
                              <a:xfrm flipH="1">
                                <a:off x="0" y="0"/>
                                <a:ext cx="466725" cy="0"/>
                              </a:xfrm>
                              <a:prstGeom prst="line">
                                <a:avLst/>
                              </a:prstGeom>
                              <a:noFill/>
                              <a:ln w="9525">
                                <a:solidFill>
                                  <a:srgbClr val="000000"/>
                                </a:solidFill>
                                <a:prstDash val="dash"/>
                                <a:round/>
                              </a:ln>
                            </wps:spPr>
                            <wps:bodyPr/>
                          </wps:wsp>
                        </a:graphicData>
                      </a:graphic>
                    </wp:anchor>
                  </w:drawing>
                </mc:Choice>
                <mc:Fallback>
                  <w:pict>
                    <v:line id="Line 3" o:spid="_x0000_s1026" o:spt="20" style="position:absolute;left:0pt;flip:x;margin-left:231.1pt;margin-top:215.35pt;height:0pt;width:36.75pt;z-index:251662336;mso-width-relative:page;mso-height-relative:page;" filled="f" stroked="t" coordsize="21600,21600" o:gfxdata="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rpdUAAAALAQAADwAAAAAAAAABACAAAAAiAAAAZHJzL2Rvd25yZXYueG1sUEsB&#10;AhQAFAAAAAgAh07iQBXZhSi/AQAAcwMAAA4AAAAAAAAAAQAgAAAAJAEAAGRycy9lMm9Eb2MueG1s&#10;UEsFBgAAAAAGAAYAWQEAAFUFAAAAAA==&#10;">
                      <v:fill on="f" focussize="0,0"/>
                      <v:stroke color="#000000" joinstyle="round" dashstyle="dash"/>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2915920</wp:posOffset>
                      </wp:positionH>
                      <wp:positionV relativeFrom="paragraph">
                        <wp:posOffset>1974850</wp:posOffset>
                      </wp:positionV>
                      <wp:extent cx="0" cy="792480"/>
                      <wp:effectExtent l="6985" t="9525" r="12065" b="7620"/>
                      <wp:wrapNone/>
                      <wp:docPr id="40" name="Line 4"/>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a:solidFill>
                                  <a:srgbClr val="000000"/>
                                </a:solidFill>
                                <a:prstDash val="dash"/>
                                <a:round/>
                              </a:ln>
                            </wps:spPr>
                            <wps:bodyPr/>
                          </wps:wsp>
                        </a:graphicData>
                      </a:graphic>
                    </wp:anchor>
                  </w:drawing>
                </mc:Choice>
                <mc:Fallback>
                  <w:pict>
                    <v:line id="Line 4" o:spid="_x0000_s1026" o:spt="20" style="position:absolute;left:0pt;margin-left:229.6pt;margin-top:155.5pt;height:62.4pt;width:0pt;z-index:251664384;mso-width-relative:page;mso-height-relative:page;" filled="f" stroked="t" coordsize="21600,21600" o:gfxdata="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F31bLZAAAACwEAAA8AAAAAAAAAAQAgAAAAIgAAAGRycy9kb3ducmV2LnhtbFBLAQIU&#10;ABQAAAAIAIdO4kDl4g9buQEAAGkDAAAOAAAAAAAAAAEAIAAAACgBAABkcnMvZTJvRG9jLnhtbFBL&#10;BQYAAAAABgAGAFkBAABTBQAAAAA=&#10;">
                      <v:fill on="f" focussize="0,0"/>
                      <v:stroke color="#000000" joinstyle="round" dashstyle="dash"/>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5068570</wp:posOffset>
                      </wp:positionH>
                      <wp:positionV relativeFrom="paragraph">
                        <wp:posOffset>1382395</wp:posOffset>
                      </wp:positionV>
                      <wp:extent cx="600075" cy="297180"/>
                      <wp:effectExtent l="0" t="0" r="2540" b="0"/>
                      <wp:wrapNone/>
                      <wp:docPr id="39" name="Text Box 5"/>
                      <wp:cNvGraphicFramePr/>
                      <a:graphic xmlns:a="http://schemas.openxmlformats.org/drawingml/2006/main">
                        <a:graphicData uri="http://schemas.microsoft.com/office/word/2010/wordprocessingShape">
                          <wps:wsp>
                            <wps:cNvSpPr txBox="1">
                              <a:spLocks noChangeArrowheads="1"/>
                            </wps:cNvSpPr>
                            <wps:spPr bwMode="auto">
                              <a:xfrm>
                                <a:off x="0" y="0"/>
                                <a:ext cx="600075" cy="297180"/>
                              </a:xfrm>
                              <a:prstGeom prst="rect">
                                <a:avLst/>
                              </a:prstGeom>
                              <a:noFill/>
                              <a:ln>
                                <a:noFill/>
                              </a:ln>
                            </wps:spPr>
                            <wps:txbx>
                              <w:txbxContent>
                                <w:p>
                                  <w:r>
                                    <w:rPr>
                                      <w:rFonts w:hint="eastAsia"/>
                                      <w:szCs w:val="28"/>
                                    </w:rPr>
                                    <w:t>潭榄溪</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399.1pt;margin-top:108.85pt;height:23.4pt;width:47.25pt;z-index:251661312;mso-width-relative:page;mso-height-relative:page;" filled="f" stroked="f" coordsize="21600,21600" o:gfxdata="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YcBdTYAAAACwEAAA8AAAAAAAAAAQAgAAAAIgAAAGRycy9kb3ducmV2LnhtbFBLAQIUABQAAAAI&#10;AIdO4kAx+RzC7QEAAMYDAAAOAAAAAAAAAAEAIAAAACcBAABkcnMvZTJvRG9jLnhtbFBLBQYAAAAA&#10;BgAGAFkBAACGBQAAAAA=&#10;">
                      <v:fill on="f" focussize="0,0"/>
                      <v:stroke on="f"/>
                      <v:imagedata o:title=""/>
                      <o:lock v:ext="edit" aspectratio="f"/>
                      <v:textbox>
                        <w:txbxContent>
                          <w:p>
                            <w:r>
                              <w:rPr>
                                <w:rFonts w:hint="eastAsia"/>
                                <w:szCs w:val="28"/>
                              </w:rPr>
                              <w:t>潭榄溪</w:t>
                            </w:r>
                          </w:p>
                        </w:txbxContent>
                      </v:textbox>
                    </v:shape>
                  </w:pict>
                </mc:Fallback>
              </mc:AlternateContent>
            </w:r>
            <w:r>
              <w:drawing>
                <wp:inline distT="0" distB="0" distL="0" distR="0">
                  <wp:extent cx="5390515" cy="36785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srcRect/>
                          <a:stretch>
                            <a:fillRect/>
                          </a:stretch>
                        </pic:blipFill>
                        <pic:spPr>
                          <a:xfrm>
                            <a:off x="0" y="0"/>
                            <a:ext cx="5390515" cy="3678555"/>
                          </a:xfrm>
                          <a:prstGeom prst="rect">
                            <a:avLst/>
                          </a:prstGeom>
                          <a:noFill/>
                          <a:ln>
                            <a:noFill/>
                          </a:ln>
                        </pic:spPr>
                      </pic:pic>
                    </a:graphicData>
                  </a:graphic>
                </wp:inline>
              </w:drawing>
            </w:r>
          </w:p>
          <w:p>
            <w:pPr>
              <w:pStyle w:val="111"/>
            </w:pPr>
            <w:r>
              <w:rPr>
                <w:rFonts w:hint="eastAsia"/>
              </w:rPr>
              <w:t>图</w:t>
            </w:r>
            <w:r>
              <w:t>1</w:t>
            </w:r>
            <w:r>
              <w:rPr>
                <w:rFonts w:hint="eastAsia"/>
              </w:rPr>
              <w:t>定城污水处理厂一期工艺流程图</w:t>
            </w:r>
          </w:p>
          <w:p>
            <w:pPr>
              <w:pStyle w:val="114"/>
              <w:ind w:firstLine="482"/>
              <w:rPr>
                <w:b/>
              </w:rPr>
            </w:pPr>
            <w:r>
              <w:rPr>
                <w:rFonts w:hint="eastAsia"/>
                <w:b/>
              </w:rPr>
              <w:t>二、进、出水水质</w:t>
            </w:r>
          </w:p>
          <w:p>
            <w:pPr>
              <w:pStyle w:val="114"/>
              <w:ind w:firstLine="482"/>
              <w:rPr>
                <w:b/>
              </w:rPr>
            </w:pPr>
            <w:r>
              <w:rPr>
                <w:b/>
              </w:rPr>
              <w:t>1</w:t>
            </w:r>
            <w:r>
              <w:rPr>
                <w:rFonts w:hint="eastAsia"/>
                <w:b/>
              </w:rPr>
              <w:t>、进水水质分析</w:t>
            </w:r>
          </w:p>
          <w:p>
            <w:pPr>
              <w:pStyle w:val="114"/>
            </w:pPr>
            <w:r>
              <w:rPr>
                <w:rFonts w:hint="eastAsia"/>
              </w:rPr>
              <w:t>（</w:t>
            </w:r>
            <w:r>
              <w:t>1</w:t>
            </w:r>
            <w:r>
              <w:rPr>
                <w:rFonts w:hint="eastAsia"/>
              </w:rPr>
              <w:t>）设计进水水质</w:t>
            </w:r>
          </w:p>
          <w:p>
            <w:pPr>
              <w:pStyle w:val="114"/>
            </w:pPr>
            <w:r>
              <w:rPr>
                <w:rFonts w:hint="eastAsia"/>
              </w:rPr>
              <w:t>定城污水处理厂一期工程设计进水水质见表</w:t>
            </w:r>
            <w:r>
              <w:t>1-14</w:t>
            </w:r>
            <w:r>
              <w:rPr>
                <w:rFonts w:hint="eastAsia"/>
              </w:rPr>
              <w:t>。</w:t>
            </w:r>
          </w:p>
          <w:p>
            <w:pPr>
              <w:pStyle w:val="111"/>
            </w:pPr>
            <w:r>
              <w:rPr>
                <w:rFonts w:hint="eastAsia"/>
              </w:rPr>
              <w:t>表</w:t>
            </w:r>
            <w:r>
              <w:t xml:space="preserve">1-14    </w:t>
            </w:r>
            <w:r>
              <w:rPr>
                <w:rFonts w:hint="eastAsia"/>
              </w:rPr>
              <w:t>污水处理厂一期设计进水水质一览表单位：</w:t>
            </w:r>
            <w:r>
              <w:t>mg/L</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9"/>
              <w:gridCol w:w="1266"/>
              <w:gridCol w:w="1265"/>
              <w:gridCol w:w="1265"/>
              <w:gridCol w:w="1265"/>
              <w:gridCol w:w="1265"/>
              <w:gridCol w:w="12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exact"/>
                <w:jc w:val="center"/>
              </w:trPr>
              <w:tc>
                <w:tcPr>
                  <w:tcW w:w="1509" w:type="dxa"/>
                  <w:tcBorders>
                    <w:top w:val="single" w:color="auto" w:sz="12" w:space="0"/>
                    <w:left w:val="single" w:color="auto" w:sz="12" w:space="0"/>
                    <w:bottom w:val="double" w:color="auto" w:sz="4" w:space="0"/>
                    <w:right w:val="single" w:color="auto" w:sz="6" w:space="0"/>
                  </w:tcBorders>
                  <w:vAlign w:val="center"/>
                </w:tcPr>
                <w:p>
                  <w:pPr>
                    <w:pStyle w:val="78"/>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项目</w:t>
                  </w:r>
                </w:p>
              </w:tc>
              <w:tc>
                <w:tcPr>
                  <w:tcW w:w="1266" w:type="dxa"/>
                  <w:tcBorders>
                    <w:top w:val="single" w:color="auto" w:sz="12" w:space="0"/>
                    <w:left w:val="single" w:color="auto" w:sz="6" w:space="0"/>
                    <w:bottom w:val="double" w:color="auto" w:sz="4" w:space="0"/>
                    <w:right w:val="single" w:color="auto" w:sz="6" w:space="0"/>
                  </w:tcBorders>
                  <w:vAlign w:val="center"/>
                </w:tcPr>
                <w:p>
                  <w:pPr>
                    <w:pStyle w:val="78"/>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COD</w:t>
                  </w:r>
                </w:p>
              </w:tc>
              <w:tc>
                <w:tcPr>
                  <w:tcW w:w="1265" w:type="dxa"/>
                  <w:tcBorders>
                    <w:top w:val="single" w:color="auto" w:sz="12" w:space="0"/>
                    <w:left w:val="single" w:color="auto" w:sz="6" w:space="0"/>
                    <w:bottom w:val="double" w:color="auto" w:sz="4" w:space="0"/>
                    <w:right w:val="single" w:color="auto" w:sz="6" w:space="0"/>
                  </w:tcBorders>
                  <w:vAlign w:val="center"/>
                </w:tcPr>
                <w:p>
                  <w:pPr>
                    <w:pStyle w:val="78"/>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BOD</w:t>
                  </w:r>
                  <w:r>
                    <w:rPr>
                      <w:rFonts w:ascii="Times New Roman" w:hAnsi="Times New Roman" w:eastAsia="宋体" w:cs="Times New Roman"/>
                      <w:b/>
                      <w:bCs/>
                      <w:color w:val="auto"/>
                      <w:sz w:val="21"/>
                      <w:szCs w:val="21"/>
                      <w:vertAlign w:val="subscript"/>
                    </w:rPr>
                    <w:t>5</w:t>
                  </w:r>
                </w:p>
              </w:tc>
              <w:tc>
                <w:tcPr>
                  <w:tcW w:w="1265" w:type="dxa"/>
                  <w:tcBorders>
                    <w:top w:val="single" w:color="auto" w:sz="12" w:space="0"/>
                    <w:left w:val="single" w:color="auto" w:sz="6" w:space="0"/>
                    <w:bottom w:val="double" w:color="auto" w:sz="4" w:space="0"/>
                    <w:right w:val="single" w:color="auto" w:sz="6" w:space="0"/>
                  </w:tcBorders>
                  <w:vAlign w:val="center"/>
                </w:tcPr>
                <w:p>
                  <w:pPr>
                    <w:pStyle w:val="78"/>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SS</w:t>
                  </w:r>
                </w:p>
              </w:tc>
              <w:tc>
                <w:tcPr>
                  <w:tcW w:w="1265" w:type="dxa"/>
                  <w:tcBorders>
                    <w:top w:val="single" w:color="auto" w:sz="12" w:space="0"/>
                    <w:left w:val="single" w:color="auto" w:sz="6" w:space="0"/>
                    <w:bottom w:val="double" w:color="auto" w:sz="4" w:space="0"/>
                    <w:right w:val="single" w:color="auto" w:sz="6" w:space="0"/>
                  </w:tcBorders>
                  <w:vAlign w:val="center"/>
                </w:tcPr>
                <w:p>
                  <w:pPr>
                    <w:pStyle w:val="78"/>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NH</w:t>
                  </w:r>
                  <w:r>
                    <w:rPr>
                      <w:rFonts w:ascii="Times New Roman" w:hAnsi="Times New Roman" w:eastAsia="宋体" w:cs="Times New Roman"/>
                      <w:b/>
                      <w:bCs/>
                      <w:color w:val="auto"/>
                      <w:sz w:val="21"/>
                      <w:szCs w:val="21"/>
                      <w:vertAlign w:val="subscript"/>
                    </w:rPr>
                    <w:t>3</w:t>
                  </w:r>
                  <w:r>
                    <w:rPr>
                      <w:rFonts w:ascii="Times New Roman" w:hAnsi="Times New Roman" w:eastAsia="宋体" w:cs="Times New Roman"/>
                      <w:b/>
                      <w:bCs/>
                      <w:color w:val="auto"/>
                      <w:sz w:val="21"/>
                      <w:szCs w:val="21"/>
                    </w:rPr>
                    <w:t>-N</w:t>
                  </w:r>
                </w:p>
              </w:tc>
              <w:tc>
                <w:tcPr>
                  <w:tcW w:w="1265" w:type="dxa"/>
                  <w:tcBorders>
                    <w:top w:val="single" w:color="auto" w:sz="12" w:space="0"/>
                    <w:left w:val="single" w:color="auto" w:sz="6" w:space="0"/>
                    <w:bottom w:val="double" w:color="auto" w:sz="4" w:space="0"/>
                    <w:right w:val="single" w:color="auto" w:sz="6" w:space="0"/>
                  </w:tcBorders>
                </w:tcPr>
                <w:p>
                  <w:pPr>
                    <w:pStyle w:val="78"/>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TN</w:t>
                  </w:r>
                </w:p>
              </w:tc>
              <w:tc>
                <w:tcPr>
                  <w:tcW w:w="1263" w:type="dxa"/>
                  <w:tcBorders>
                    <w:top w:val="single" w:color="auto" w:sz="12" w:space="0"/>
                    <w:left w:val="single" w:color="auto" w:sz="6" w:space="0"/>
                    <w:bottom w:val="double" w:color="auto" w:sz="4" w:space="0"/>
                    <w:right w:val="single" w:color="auto" w:sz="12" w:space="0"/>
                  </w:tcBorders>
                  <w:vAlign w:val="center"/>
                </w:tcPr>
                <w:p>
                  <w:pPr>
                    <w:pStyle w:val="78"/>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exact"/>
                <w:jc w:val="center"/>
              </w:trPr>
              <w:tc>
                <w:tcPr>
                  <w:tcW w:w="1509" w:type="dxa"/>
                  <w:tcBorders>
                    <w:top w:val="double" w:color="auto" w:sz="4" w:space="0"/>
                    <w:left w:val="single" w:color="auto" w:sz="12" w:space="0"/>
                    <w:bottom w:val="single" w:color="auto" w:sz="12" w:space="0"/>
                    <w:right w:val="single" w:color="auto" w:sz="6" w:space="0"/>
                  </w:tcBorders>
                  <w:vAlign w:val="center"/>
                </w:tcPr>
                <w:p>
                  <w:pPr>
                    <w:pStyle w:val="78"/>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设计进水水质</w:t>
                  </w:r>
                </w:p>
              </w:tc>
              <w:tc>
                <w:tcPr>
                  <w:tcW w:w="1266" w:type="dxa"/>
                  <w:tcBorders>
                    <w:top w:val="double" w:color="auto" w:sz="4" w:space="0"/>
                    <w:left w:val="single" w:color="auto" w:sz="6" w:space="0"/>
                    <w:bottom w:val="single" w:color="auto" w:sz="12" w:space="0"/>
                    <w:right w:val="single" w:color="auto" w:sz="6" w:space="0"/>
                  </w:tcBorders>
                  <w:vAlign w:val="center"/>
                </w:tcPr>
                <w:p>
                  <w:pPr>
                    <w:pStyle w:val="78"/>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300</w:t>
                  </w:r>
                </w:p>
              </w:tc>
              <w:tc>
                <w:tcPr>
                  <w:tcW w:w="1265" w:type="dxa"/>
                  <w:tcBorders>
                    <w:top w:val="double" w:color="auto" w:sz="4" w:space="0"/>
                    <w:left w:val="single" w:color="auto" w:sz="6" w:space="0"/>
                    <w:bottom w:val="single" w:color="auto" w:sz="12" w:space="0"/>
                    <w:right w:val="single" w:color="auto" w:sz="6" w:space="0"/>
                  </w:tcBorders>
                  <w:vAlign w:val="center"/>
                </w:tcPr>
                <w:p>
                  <w:pPr>
                    <w:pStyle w:val="78"/>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150</w:t>
                  </w:r>
                </w:p>
              </w:tc>
              <w:tc>
                <w:tcPr>
                  <w:tcW w:w="1265" w:type="dxa"/>
                  <w:tcBorders>
                    <w:top w:val="double" w:color="auto" w:sz="4" w:space="0"/>
                    <w:left w:val="single" w:color="auto" w:sz="6" w:space="0"/>
                    <w:bottom w:val="single" w:color="auto" w:sz="12" w:space="0"/>
                    <w:right w:val="single" w:color="auto" w:sz="6" w:space="0"/>
                  </w:tcBorders>
                  <w:vAlign w:val="center"/>
                </w:tcPr>
                <w:p>
                  <w:pPr>
                    <w:pStyle w:val="78"/>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200</w:t>
                  </w:r>
                </w:p>
              </w:tc>
              <w:tc>
                <w:tcPr>
                  <w:tcW w:w="1265" w:type="dxa"/>
                  <w:tcBorders>
                    <w:top w:val="double" w:color="auto" w:sz="4" w:space="0"/>
                    <w:left w:val="single" w:color="auto" w:sz="6" w:space="0"/>
                    <w:bottom w:val="single" w:color="auto" w:sz="12" w:space="0"/>
                    <w:right w:val="single" w:color="auto" w:sz="6" w:space="0"/>
                  </w:tcBorders>
                  <w:vAlign w:val="center"/>
                </w:tcPr>
                <w:p>
                  <w:pPr>
                    <w:pStyle w:val="78"/>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25</w:t>
                  </w:r>
                </w:p>
              </w:tc>
              <w:tc>
                <w:tcPr>
                  <w:tcW w:w="1265" w:type="dxa"/>
                  <w:tcBorders>
                    <w:top w:val="double" w:color="auto" w:sz="4" w:space="0"/>
                    <w:left w:val="single" w:color="auto" w:sz="6" w:space="0"/>
                    <w:bottom w:val="single" w:color="auto" w:sz="12" w:space="0"/>
                    <w:right w:val="single" w:color="auto" w:sz="6" w:space="0"/>
                  </w:tcBorders>
                </w:tcPr>
                <w:p>
                  <w:pPr>
                    <w:pStyle w:val="78"/>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40</w:t>
                  </w:r>
                </w:p>
              </w:tc>
              <w:tc>
                <w:tcPr>
                  <w:tcW w:w="1263" w:type="dxa"/>
                  <w:tcBorders>
                    <w:top w:val="double" w:color="auto" w:sz="4" w:space="0"/>
                    <w:left w:val="single" w:color="auto" w:sz="6" w:space="0"/>
                    <w:bottom w:val="single" w:color="auto" w:sz="12" w:space="0"/>
                    <w:right w:val="single" w:color="auto" w:sz="12" w:space="0"/>
                  </w:tcBorders>
                  <w:vAlign w:val="center"/>
                </w:tcPr>
                <w:p>
                  <w:pPr>
                    <w:pStyle w:val="78"/>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4.0</w:t>
                  </w:r>
                </w:p>
              </w:tc>
            </w:tr>
          </w:tbl>
          <w:p>
            <w:pPr>
              <w:pStyle w:val="114"/>
            </w:pPr>
            <w:r>
              <w:rPr>
                <w:rFonts w:hint="eastAsia"/>
              </w:rPr>
              <w:t>（</w:t>
            </w:r>
            <w:r>
              <w:t>2</w:t>
            </w:r>
            <w:r>
              <w:rPr>
                <w:rFonts w:hint="eastAsia"/>
              </w:rPr>
              <w:t>）实际进水水质</w:t>
            </w:r>
          </w:p>
          <w:p>
            <w:pPr>
              <w:pStyle w:val="114"/>
            </w:pPr>
            <w:r>
              <w:rPr>
                <w:rFonts w:hint="eastAsia"/>
              </w:rPr>
              <w:t>根据建设单位提供一期工程</w:t>
            </w:r>
            <w:r>
              <w:t>2019</w:t>
            </w:r>
            <w:r>
              <w:rPr>
                <w:rFonts w:hint="eastAsia"/>
              </w:rPr>
              <w:t>年</w:t>
            </w:r>
            <w:r>
              <w:t>1-3</w:t>
            </w:r>
            <w:r>
              <w:rPr>
                <w:rFonts w:hint="eastAsia"/>
              </w:rPr>
              <w:t>月生产运行统计数据，实际进水水质情况见表</w:t>
            </w:r>
            <w:r>
              <w:t>1-15</w:t>
            </w:r>
            <w:r>
              <w:rPr>
                <w:rFonts w:hint="eastAsia"/>
              </w:rPr>
              <w:t>，水质分析图见图</w:t>
            </w:r>
            <w:r>
              <w:t>2-</w:t>
            </w:r>
            <w:r>
              <w:rPr>
                <w:rFonts w:hint="eastAsia"/>
              </w:rPr>
              <w:t>图</w:t>
            </w:r>
            <w:r>
              <w:t>7</w:t>
            </w:r>
            <w:r>
              <w:rPr>
                <w:rFonts w:hint="eastAsia"/>
              </w:rPr>
              <w:t>。</w:t>
            </w:r>
          </w:p>
          <w:p>
            <w:pPr>
              <w:pStyle w:val="111"/>
            </w:pPr>
            <w:r>
              <w:rPr>
                <w:rFonts w:hint="eastAsia"/>
              </w:rPr>
              <w:t>表</w:t>
            </w:r>
            <w:r>
              <w:t xml:space="preserve">1-15    </w:t>
            </w:r>
            <w:r>
              <w:rPr>
                <w:rFonts w:hint="eastAsia"/>
              </w:rPr>
              <w:t>原设计进水水质与现状实际进水水质的对比（</w:t>
            </w:r>
            <w:r>
              <w:t>2019</w:t>
            </w:r>
            <w:r>
              <w:rPr>
                <w:rFonts w:hint="eastAsia"/>
              </w:rPr>
              <w:t>年</w:t>
            </w:r>
            <w:r>
              <w:t>1~3</w:t>
            </w:r>
            <w:r>
              <w:rPr>
                <w:rFonts w:hint="eastAsia"/>
              </w:rPr>
              <w:t>月）</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87"/>
              <w:gridCol w:w="1008"/>
              <w:gridCol w:w="1008"/>
              <w:gridCol w:w="1008"/>
              <w:gridCol w:w="864"/>
              <w:gridCol w:w="721"/>
              <w:gridCol w:w="8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tblHeader/>
                <w:jc w:val="center"/>
              </w:trPr>
              <w:tc>
                <w:tcPr>
                  <w:tcW w:w="3687" w:type="dxa"/>
                  <w:tcBorders>
                    <w:top w:val="single" w:color="auto" w:sz="12" w:space="0"/>
                    <w:left w:val="single" w:color="auto" w:sz="12" w:space="0"/>
                    <w:bottom w:val="double" w:color="auto" w:sz="4" w:space="0"/>
                    <w:right w:val="single" w:color="auto" w:sz="6" w:space="0"/>
                  </w:tcBorders>
                  <w:vAlign w:val="center"/>
                </w:tcPr>
                <w:p>
                  <w:pPr>
                    <w:adjustRightInd w:val="0"/>
                    <w:jc w:val="center"/>
                    <w:rPr>
                      <w:rFonts w:ascii="Times New Roman" w:hAnsi="Times New Roman"/>
                      <w:b/>
                      <w:szCs w:val="21"/>
                    </w:rPr>
                  </w:pPr>
                  <w:r>
                    <w:rPr>
                      <w:rFonts w:hint="eastAsia" w:ascii="Times New Roman" w:hAnsi="Times New Roman"/>
                      <w:b/>
                      <w:szCs w:val="21"/>
                    </w:rPr>
                    <w:t>项目</w:t>
                  </w:r>
                </w:p>
              </w:tc>
              <w:tc>
                <w:tcPr>
                  <w:tcW w:w="1008"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CO</w:t>
                  </w:r>
                  <w:r>
                    <w:rPr>
                      <w:rFonts w:hint="eastAsia" w:ascii="Times New Roman" w:hAnsi="Times New Roman"/>
                      <w:b/>
                      <w:szCs w:val="21"/>
                    </w:rPr>
                    <w:t>D</w:t>
                  </w:r>
                </w:p>
              </w:tc>
              <w:tc>
                <w:tcPr>
                  <w:tcW w:w="1008"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BOD</w:t>
                  </w:r>
                  <w:r>
                    <w:rPr>
                      <w:rFonts w:ascii="Times New Roman" w:hAnsi="Times New Roman"/>
                      <w:b/>
                      <w:szCs w:val="21"/>
                      <w:vertAlign w:val="subscript"/>
                    </w:rPr>
                    <w:t>5</w:t>
                  </w:r>
                </w:p>
              </w:tc>
              <w:tc>
                <w:tcPr>
                  <w:tcW w:w="1008"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SS</w:t>
                  </w:r>
                </w:p>
              </w:tc>
              <w:tc>
                <w:tcPr>
                  <w:tcW w:w="864"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NH</w:t>
                  </w:r>
                  <w:r>
                    <w:rPr>
                      <w:rFonts w:ascii="Times New Roman" w:hAnsi="Times New Roman"/>
                      <w:b/>
                      <w:szCs w:val="21"/>
                      <w:vertAlign w:val="subscript"/>
                    </w:rPr>
                    <w:t>3</w:t>
                  </w:r>
                  <w:r>
                    <w:rPr>
                      <w:rFonts w:ascii="Times New Roman" w:hAnsi="Times New Roman"/>
                      <w:b/>
                      <w:szCs w:val="21"/>
                    </w:rPr>
                    <w:t>-N</w:t>
                  </w:r>
                </w:p>
              </w:tc>
              <w:tc>
                <w:tcPr>
                  <w:tcW w:w="721"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TN</w:t>
                  </w:r>
                </w:p>
              </w:tc>
              <w:tc>
                <w:tcPr>
                  <w:tcW w:w="802" w:type="dxa"/>
                  <w:tcBorders>
                    <w:top w:val="single" w:color="auto" w:sz="12" w:space="0"/>
                    <w:left w:val="single" w:color="auto" w:sz="6" w:space="0"/>
                    <w:bottom w:val="double" w:color="auto" w:sz="4" w:space="0"/>
                    <w:right w:val="single" w:color="auto" w:sz="12"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687" w:type="dxa"/>
                  <w:tcBorders>
                    <w:top w:val="double" w:color="auto" w:sz="4" w:space="0"/>
                    <w:left w:val="single" w:color="auto" w:sz="12" w:space="0"/>
                    <w:bottom w:val="single" w:color="auto" w:sz="6"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一期设计进水水质（</w:t>
                  </w:r>
                  <w:r>
                    <w:rPr>
                      <w:rFonts w:ascii="Times New Roman" w:hAnsi="Times New Roman"/>
                      <w:bCs/>
                      <w:szCs w:val="21"/>
                    </w:rPr>
                    <w:t>mg/L</w:t>
                  </w:r>
                  <w:r>
                    <w:rPr>
                      <w:rFonts w:hint="eastAsia" w:ascii="Times New Roman" w:hAnsi="Times New Roman"/>
                      <w:szCs w:val="21"/>
                    </w:rPr>
                    <w:t>）</w:t>
                  </w:r>
                </w:p>
              </w:tc>
              <w:tc>
                <w:tcPr>
                  <w:tcW w:w="1008"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≤300</w:t>
                  </w:r>
                </w:p>
              </w:tc>
              <w:tc>
                <w:tcPr>
                  <w:tcW w:w="1008"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≤150</w:t>
                  </w:r>
                </w:p>
              </w:tc>
              <w:tc>
                <w:tcPr>
                  <w:tcW w:w="1008"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≤200</w:t>
                  </w:r>
                </w:p>
              </w:tc>
              <w:tc>
                <w:tcPr>
                  <w:tcW w:w="864"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≤25</w:t>
                  </w:r>
                </w:p>
              </w:tc>
              <w:tc>
                <w:tcPr>
                  <w:tcW w:w="721"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≤40</w:t>
                  </w:r>
                </w:p>
              </w:tc>
              <w:tc>
                <w:tcPr>
                  <w:tcW w:w="802" w:type="dxa"/>
                  <w:tcBorders>
                    <w:top w:val="double" w:color="auto" w:sz="4" w:space="0"/>
                    <w:left w:val="single" w:color="auto" w:sz="6" w:space="0"/>
                    <w:bottom w:val="single" w:color="auto" w:sz="6"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687" w:type="dxa"/>
                  <w:tcBorders>
                    <w:top w:val="single" w:color="auto" w:sz="6" w:space="0"/>
                    <w:left w:val="single" w:color="auto" w:sz="12" w:space="0"/>
                    <w:bottom w:val="single" w:color="auto" w:sz="6"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现状进水水质日均最高值（</w:t>
                  </w:r>
                  <w:r>
                    <w:rPr>
                      <w:rFonts w:ascii="Times New Roman" w:hAnsi="Times New Roman"/>
                      <w:bCs/>
                      <w:szCs w:val="21"/>
                    </w:rPr>
                    <w:t>mg/L</w:t>
                  </w:r>
                  <w:r>
                    <w:rPr>
                      <w:rFonts w:hint="eastAsia" w:ascii="Times New Roman" w:hAnsi="Times New Roman"/>
                      <w:szCs w:val="21"/>
                    </w:rPr>
                    <w:t>）</w:t>
                  </w:r>
                </w:p>
              </w:tc>
              <w:tc>
                <w:tcPr>
                  <w:tcW w:w="1008"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830.83</w:t>
                  </w:r>
                </w:p>
              </w:tc>
              <w:tc>
                <w:tcPr>
                  <w:tcW w:w="1008"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330.4</w:t>
                  </w:r>
                </w:p>
              </w:tc>
              <w:tc>
                <w:tcPr>
                  <w:tcW w:w="1008"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1558</w:t>
                  </w:r>
                </w:p>
              </w:tc>
              <w:tc>
                <w:tcPr>
                  <w:tcW w:w="864"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56.96</w:t>
                  </w:r>
                </w:p>
              </w:tc>
              <w:tc>
                <w:tcPr>
                  <w:tcW w:w="721"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68.69</w:t>
                  </w:r>
                </w:p>
              </w:tc>
              <w:tc>
                <w:tcPr>
                  <w:tcW w:w="802" w:type="dxa"/>
                  <w:tcBorders>
                    <w:top w:val="single" w:color="auto" w:sz="6" w:space="0"/>
                    <w:left w:val="single" w:color="auto" w:sz="6" w:space="0"/>
                    <w:bottom w:val="single" w:color="auto" w:sz="6"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687" w:type="dxa"/>
                  <w:tcBorders>
                    <w:top w:val="single" w:color="auto" w:sz="6" w:space="0"/>
                    <w:left w:val="single" w:color="auto" w:sz="12" w:space="0"/>
                    <w:bottom w:val="single" w:color="auto" w:sz="6"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现状进水水质日均最低值（</w:t>
                  </w:r>
                  <w:r>
                    <w:rPr>
                      <w:rFonts w:ascii="Times New Roman" w:hAnsi="Times New Roman"/>
                      <w:bCs/>
                      <w:szCs w:val="21"/>
                    </w:rPr>
                    <w:t>mg/L</w:t>
                  </w:r>
                  <w:r>
                    <w:rPr>
                      <w:rFonts w:hint="eastAsia" w:ascii="Times New Roman" w:hAnsi="Times New Roman"/>
                      <w:szCs w:val="21"/>
                    </w:rPr>
                    <w:t>）</w:t>
                  </w:r>
                </w:p>
              </w:tc>
              <w:tc>
                <w:tcPr>
                  <w:tcW w:w="1008"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141.22</w:t>
                  </w:r>
                </w:p>
              </w:tc>
              <w:tc>
                <w:tcPr>
                  <w:tcW w:w="1008"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48.2</w:t>
                  </w:r>
                </w:p>
              </w:tc>
              <w:tc>
                <w:tcPr>
                  <w:tcW w:w="1008"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63</w:t>
                  </w:r>
                </w:p>
              </w:tc>
              <w:tc>
                <w:tcPr>
                  <w:tcW w:w="864"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17.26</w:t>
                  </w:r>
                </w:p>
              </w:tc>
              <w:tc>
                <w:tcPr>
                  <w:tcW w:w="721"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24.19</w:t>
                  </w:r>
                </w:p>
              </w:tc>
              <w:tc>
                <w:tcPr>
                  <w:tcW w:w="802" w:type="dxa"/>
                  <w:tcBorders>
                    <w:top w:val="single" w:color="auto" w:sz="6" w:space="0"/>
                    <w:left w:val="single" w:color="auto" w:sz="6" w:space="0"/>
                    <w:bottom w:val="single" w:color="auto" w:sz="6"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3.46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687" w:type="dxa"/>
                  <w:tcBorders>
                    <w:top w:val="single" w:color="auto" w:sz="6" w:space="0"/>
                    <w:left w:val="single" w:color="auto" w:sz="12" w:space="0"/>
                    <w:bottom w:val="single" w:color="auto" w:sz="6"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现状进水水质超标率（</w:t>
                  </w:r>
                  <w:r>
                    <w:rPr>
                      <w:rFonts w:ascii="Times New Roman" w:hAnsi="Times New Roman"/>
                      <w:szCs w:val="21"/>
                    </w:rPr>
                    <w:t>%</w:t>
                  </w:r>
                  <w:r>
                    <w:rPr>
                      <w:rFonts w:hint="eastAsia" w:ascii="Times New Roman" w:hAnsi="Times New Roman"/>
                      <w:szCs w:val="21"/>
                    </w:rPr>
                    <w:t>）</w:t>
                  </w:r>
                </w:p>
              </w:tc>
              <w:tc>
                <w:tcPr>
                  <w:tcW w:w="1008"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79.78</w:t>
                  </w:r>
                </w:p>
              </w:tc>
              <w:tc>
                <w:tcPr>
                  <w:tcW w:w="1008"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60</w:t>
                  </w:r>
                </w:p>
              </w:tc>
              <w:tc>
                <w:tcPr>
                  <w:tcW w:w="1008"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38.89</w:t>
                  </w:r>
                </w:p>
              </w:tc>
              <w:tc>
                <w:tcPr>
                  <w:tcW w:w="864"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80</w:t>
                  </w:r>
                </w:p>
              </w:tc>
              <w:tc>
                <w:tcPr>
                  <w:tcW w:w="721"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56.67</w:t>
                  </w:r>
                </w:p>
              </w:tc>
              <w:tc>
                <w:tcPr>
                  <w:tcW w:w="802" w:type="dxa"/>
                  <w:tcBorders>
                    <w:top w:val="single" w:color="auto" w:sz="6" w:space="0"/>
                    <w:left w:val="single" w:color="auto" w:sz="6" w:space="0"/>
                    <w:bottom w:val="single" w:color="auto" w:sz="6"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96.67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687" w:type="dxa"/>
                  <w:tcBorders>
                    <w:top w:val="single" w:color="auto" w:sz="6" w:space="0"/>
                    <w:left w:val="single" w:color="auto" w:sz="12" w:space="0"/>
                    <w:bottom w:val="single" w:color="auto" w:sz="12"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有效统计天数</w:t>
                  </w:r>
                </w:p>
              </w:tc>
              <w:tc>
                <w:tcPr>
                  <w:tcW w:w="1008"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89</w:t>
                  </w:r>
                </w:p>
              </w:tc>
              <w:tc>
                <w:tcPr>
                  <w:tcW w:w="1008"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65</w:t>
                  </w:r>
                </w:p>
              </w:tc>
              <w:tc>
                <w:tcPr>
                  <w:tcW w:w="1008"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90</w:t>
                  </w:r>
                </w:p>
              </w:tc>
              <w:tc>
                <w:tcPr>
                  <w:tcW w:w="864"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90</w:t>
                  </w:r>
                </w:p>
              </w:tc>
              <w:tc>
                <w:tcPr>
                  <w:tcW w:w="721"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90</w:t>
                  </w:r>
                </w:p>
              </w:tc>
              <w:tc>
                <w:tcPr>
                  <w:tcW w:w="802" w:type="dxa"/>
                  <w:tcBorders>
                    <w:top w:val="single" w:color="auto" w:sz="6" w:space="0"/>
                    <w:left w:val="single" w:color="auto" w:sz="6" w:space="0"/>
                    <w:bottom w:val="single" w:color="auto" w:sz="12"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90</w:t>
                  </w:r>
                </w:p>
              </w:tc>
            </w:tr>
          </w:tbl>
          <w:p>
            <w:pPr>
              <w:adjustRightInd w:val="0"/>
              <w:spacing w:line="360" w:lineRule="auto"/>
              <w:jc w:val="center"/>
              <w:rPr>
                <w:rFonts w:ascii="Times New Roman" w:hAnsi="Times New Roman"/>
                <w:b/>
                <w:szCs w:val="21"/>
              </w:rPr>
            </w:pPr>
            <w:r>
              <w:drawing>
                <wp:inline distT="0" distB="0" distL="0" distR="0">
                  <wp:extent cx="5619750" cy="3362325"/>
                  <wp:effectExtent l="0" t="0" r="0" b="952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111"/>
            </w:pPr>
            <w:r>
              <w:rPr>
                <w:rFonts w:hint="eastAsia"/>
              </w:rPr>
              <w:t>图</w:t>
            </w:r>
            <w:r>
              <w:t xml:space="preserve">2   </w:t>
            </w:r>
            <w:r>
              <w:rPr>
                <w:rFonts w:hint="eastAsia"/>
              </w:rPr>
              <w:t>定城污水处理厂</w:t>
            </w:r>
            <w:r>
              <w:t>2019</w:t>
            </w:r>
            <w:r>
              <w:rPr>
                <w:rFonts w:hint="eastAsia"/>
              </w:rPr>
              <w:t>年</w:t>
            </w:r>
            <w:r>
              <w:t>1-3</w:t>
            </w:r>
            <w:r>
              <w:rPr>
                <w:rFonts w:hint="eastAsia"/>
              </w:rPr>
              <w:t>月实际进水</w:t>
            </w:r>
            <w:r>
              <w:t>COD</w:t>
            </w:r>
            <w:r>
              <w:rPr>
                <w:rFonts w:hint="eastAsia"/>
              </w:rPr>
              <w:t>（</w:t>
            </w:r>
            <w:r>
              <w:t>mg/L</w:t>
            </w:r>
            <w:r>
              <w:rPr>
                <w:rFonts w:hint="eastAsia"/>
              </w:rPr>
              <w:t>）</w:t>
            </w:r>
          </w:p>
          <w:p>
            <w:pPr>
              <w:pStyle w:val="2"/>
            </w:pPr>
          </w:p>
          <w:p>
            <w:pPr>
              <w:pStyle w:val="2"/>
            </w:pPr>
          </w:p>
          <w:p>
            <w:pPr>
              <w:pStyle w:val="2"/>
            </w:pPr>
          </w:p>
          <w:p>
            <w:pPr>
              <w:pStyle w:val="2"/>
            </w:pPr>
          </w:p>
          <w:p>
            <w:pPr>
              <w:adjustRightInd w:val="0"/>
              <w:spacing w:line="360" w:lineRule="auto"/>
              <w:jc w:val="center"/>
              <w:rPr>
                <w:rFonts w:ascii="Times New Roman" w:hAnsi="Times New Roman"/>
                <w:b/>
                <w:szCs w:val="21"/>
              </w:rPr>
            </w:pPr>
            <w:r>
              <w:drawing>
                <wp:inline distT="0" distB="0" distL="0" distR="0">
                  <wp:extent cx="5619750" cy="3362325"/>
                  <wp:effectExtent l="0" t="0" r="0" b="9525"/>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111"/>
            </w:pPr>
            <w:r>
              <w:rPr>
                <w:rFonts w:hint="eastAsia"/>
              </w:rPr>
              <w:t>图</w:t>
            </w:r>
            <w:r>
              <w:t xml:space="preserve">3   </w:t>
            </w:r>
            <w:r>
              <w:rPr>
                <w:rFonts w:hint="eastAsia"/>
              </w:rPr>
              <w:t>定城污水处理厂</w:t>
            </w:r>
            <w:r>
              <w:t>2019</w:t>
            </w:r>
            <w:r>
              <w:rPr>
                <w:rFonts w:hint="eastAsia"/>
              </w:rPr>
              <w:t>年</w:t>
            </w:r>
            <w:r>
              <w:t>1-3</w:t>
            </w:r>
            <w:r>
              <w:rPr>
                <w:rFonts w:hint="eastAsia"/>
              </w:rPr>
              <w:t>月实际进水</w:t>
            </w:r>
            <w:r>
              <w:t>BOD</w:t>
            </w:r>
            <w:r>
              <w:rPr>
                <w:vertAlign w:val="subscript"/>
              </w:rPr>
              <w:t>5</w:t>
            </w:r>
            <w:r>
              <w:rPr>
                <w:rFonts w:hint="eastAsia"/>
              </w:rPr>
              <w:t>（</w:t>
            </w:r>
            <w:r>
              <w:t>mg/L</w:t>
            </w:r>
            <w:r>
              <w:rPr>
                <w:rFonts w:hint="eastAsia"/>
              </w:rPr>
              <w:t>）</w:t>
            </w:r>
          </w:p>
          <w:p>
            <w:pPr>
              <w:pStyle w:val="2"/>
            </w:pPr>
          </w:p>
          <w:p>
            <w:pPr>
              <w:pStyle w:val="2"/>
            </w:pPr>
          </w:p>
          <w:p>
            <w:pPr>
              <w:pStyle w:val="2"/>
            </w:pPr>
          </w:p>
          <w:p>
            <w:pPr>
              <w:pStyle w:val="2"/>
            </w:pPr>
          </w:p>
          <w:p>
            <w:pPr>
              <w:pStyle w:val="2"/>
              <w:spacing w:line="360" w:lineRule="auto"/>
              <w:ind w:firstLine="21" w:firstLineChars="9"/>
              <w:jc w:val="center"/>
              <w:rPr>
                <w:b/>
                <w:bCs/>
                <w:szCs w:val="28"/>
              </w:rPr>
            </w:pPr>
            <w:r>
              <w:drawing>
                <wp:inline distT="0" distB="0" distL="0" distR="0">
                  <wp:extent cx="5619750" cy="3362325"/>
                  <wp:effectExtent l="0" t="0" r="0" b="952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111"/>
            </w:pPr>
            <w:r>
              <w:rPr>
                <w:rFonts w:hint="eastAsia"/>
              </w:rPr>
              <w:t>图</w:t>
            </w:r>
            <w:r>
              <w:t xml:space="preserve">4   </w:t>
            </w:r>
            <w:r>
              <w:rPr>
                <w:rFonts w:hint="eastAsia"/>
              </w:rPr>
              <w:t>定城污水处理厂</w:t>
            </w:r>
            <w:r>
              <w:t>2019</w:t>
            </w:r>
            <w:r>
              <w:rPr>
                <w:rFonts w:hint="eastAsia"/>
              </w:rPr>
              <w:t>年</w:t>
            </w:r>
            <w:r>
              <w:t>1-3</w:t>
            </w:r>
            <w:r>
              <w:rPr>
                <w:rFonts w:hint="eastAsia"/>
              </w:rPr>
              <w:t>月实际进水</w:t>
            </w:r>
            <w:r>
              <w:t>SS</w:t>
            </w:r>
            <w:r>
              <w:rPr>
                <w:rFonts w:hint="eastAsia"/>
              </w:rPr>
              <w:t>（</w:t>
            </w:r>
            <w:r>
              <w:t>mg/L</w:t>
            </w:r>
            <w:r>
              <w:rPr>
                <w:rFonts w:hint="eastAsia"/>
              </w:rPr>
              <w:t>）</w:t>
            </w:r>
          </w:p>
          <w:p>
            <w:pPr>
              <w:pStyle w:val="111"/>
            </w:pPr>
          </w:p>
          <w:p>
            <w:pPr>
              <w:pStyle w:val="2"/>
            </w:pPr>
          </w:p>
          <w:p>
            <w:pPr>
              <w:pStyle w:val="2"/>
            </w:pPr>
          </w:p>
          <w:p>
            <w:pPr>
              <w:pStyle w:val="2"/>
            </w:pPr>
          </w:p>
          <w:p>
            <w:pPr>
              <w:pStyle w:val="2"/>
              <w:spacing w:line="360" w:lineRule="auto"/>
              <w:ind w:firstLine="21" w:firstLineChars="9"/>
              <w:jc w:val="center"/>
              <w:rPr>
                <w:b/>
                <w:bCs/>
                <w:szCs w:val="28"/>
              </w:rPr>
            </w:pPr>
            <w:r>
              <w:drawing>
                <wp:inline distT="0" distB="0" distL="0" distR="0">
                  <wp:extent cx="5619750" cy="3362325"/>
                  <wp:effectExtent l="0" t="0" r="0" b="952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111"/>
            </w:pPr>
            <w:r>
              <w:rPr>
                <w:rFonts w:hint="eastAsia"/>
              </w:rPr>
              <w:t>图</w:t>
            </w:r>
            <w:r>
              <w:t>5</w:t>
            </w:r>
            <w:r>
              <w:rPr>
                <w:rFonts w:hint="eastAsia"/>
              </w:rPr>
              <w:t>定城污水处理厂</w:t>
            </w:r>
            <w:r>
              <w:t>2019</w:t>
            </w:r>
            <w:r>
              <w:rPr>
                <w:rFonts w:hint="eastAsia"/>
              </w:rPr>
              <w:t>年</w:t>
            </w:r>
            <w:r>
              <w:t>1-3</w:t>
            </w:r>
            <w:r>
              <w:rPr>
                <w:rFonts w:hint="eastAsia"/>
              </w:rPr>
              <w:t>月实际进水氨氮（</w:t>
            </w:r>
            <w:r>
              <w:t>mg/L</w:t>
            </w:r>
            <w:r>
              <w:rPr>
                <w:rFonts w:hint="eastAsia"/>
              </w:rPr>
              <w:t>）</w:t>
            </w:r>
          </w:p>
          <w:p>
            <w:pPr>
              <w:pStyle w:val="2"/>
            </w:pPr>
          </w:p>
          <w:p>
            <w:pPr>
              <w:pStyle w:val="2"/>
            </w:pPr>
          </w:p>
          <w:p>
            <w:pPr>
              <w:pStyle w:val="2"/>
            </w:pPr>
          </w:p>
          <w:p>
            <w:pPr>
              <w:pStyle w:val="115"/>
            </w:pPr>
            <w:r>
              <w:drawing>
                <wp:inline distT="0" distB="0" distL="0" distR="0">
                  <wp:extent cx="5619750" cy="3362325"/>
                  <wp:effectExtent l="0" t="0" r="0" b="9525"/>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111"/>
            </w:pPr>
            <w:r>
              <w:rPr>
                <w:rFonts w:hint="eastAsia"/>
              </w:rPr>
              <w:t>图</w:t>
            </w:r>
            <w:r>
              <w:t>6</w:t>
            </w:r>
            <w:r>
              <w:rPr>
                <w:rFonts w:hint="eastAsia"/>
              </w:rPr>
              <w:t>定城污水处理厂</w:t>
            </w:r>
            <w:r>
              <w:t>2019</w:t>
            </w:r>
            <w:r>
              <w:rPr>
                <w:rFonts w:hint="eastAsia"/>
              </w:rPr>
              <w:t>年</w:t>
            </w:r>
            <w:r>
              <w:t>1-3</w:t>
            </w:r>
            <w:r>
              <w:rPr>
                <w:rFonts w:hint="eastAsia"/>
              </w:rPr>
              <w:t>月实际进水</w:t>
            </w:r>
            <w:r>
              <w:t>TN</w:t>
            </w:r>
            <w:r>
              <w:rPr>
                <w:rFonts w:hint="eastAsia"/>
              </w:rPr>
              <w:t>（</w:t>
            </w:r>
            <w:r>
              <w:t>mg/L</w:t>
            </w:r>
            <w:r>
              <w:rPr>
                <w:rFonts w:hint="eastAsia"/>
              </w:rPr>
              <w:t>）</w:t>
            </w:r>
          </w:p>
          <w:p>
            <w:pPr>
              <w:pStyle w:val="115"/>
              <w:rPr>
                <w:szCs w:val="24"/>
              </w:rPr>
            </w:pPr>
            <w:r>
              <w:drawing>
                <wp:inline distT="0" distB="0" distL="0" distR="0">
                  <wp:extent cx="5619750" cy="3362325"/>
                  <wp:effectExtent l="0" t="0" r="0" b="9525"/>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111"/>
            </w:pPr>
            <w:r>
              <w:rPr>
                <w:rFonts w:hint="eastAsia"/>
              </w:rPr>
              <w:t>图</w:t>
            </w:r>
            <w:r>
              <w:t xml:space="preserve">7  </w:t>
            </w:r>
            <w:r>
              <w:rPr>
                <w:rFonts w:hint="eastAsia"/>
              </w:rPr>
              <w:t>定城污水处理厂</w:t>
            </w:r>
            <w:r>
              <w:t>2019</w:t>
            </w:r>
            <w:r>
              <w:rPr>
                <w:rFonts w:hint="eastAsia"/>
              </w:rPr>
              <w:t>年</w:t>
            </w:r>
            <w:r>
              <w:t>1-3</w:t>
            </w:r>
            <w:r>
              <w:rPr>
                <w:rFonts w:hint="eastAsia"/>
              </w:rPr>
              <w:t>月实际进水</w:t>
            </w:r>
            <w:r>
              <w:t>TP</w:t>
            </w:r>
            <w:r>
              <w:rPr>
                <w:rFonts w:hint="eastAsia"/>
              </w:rPr>
              <w:t>（</w:t>
            </w:r>
            <w:r>
              <w:t>mg/L</w:t>
            </w:r>
            <w:r>
              <w:rPr>
                <w:rFonts w:hint="eastAsia"/>
              </w:rPr>
              <w:t>）</w:t>
            </w:r>
          </w:p>
          <w:p>
            <w:pPr>
              <w:pStyle w:val="114"/>
            </w:pPr>
            <w:r>
              <w:t>2019</w:t>
            </w:r>
            <w:r>
              <w:rPr>
                <w:rFonts w:hint="eastAsia"/>
              </w:rPr>
              <w:t>年第一季度定城污水处理厂各项因子进水水质达标情况统计如下：</w:t>
            </w:r>
          </w:p>
          <w:p>
            <w:pPr>
              <w:pStyle w:val="114"/>
            </w:pPr>
            <w:r>
              <w:rPr>
                <w:rFonts w:hint="eastAsia"/>
              </w:rPr>
              <w:t>化学需氧量（</w:t>
            </w:r>
            <w:r>
              <w:t>COD</w:t>
            </w:r>
            <w:r>
              <w:rPr>
                <w:rFonts w:hint="eastAsia"/>
              </w:rPr>
              <w:t>）进水有效数据天数为</w:t>
            </w:r>
            <w:r>
              <w:t>89</w:t>
            </w:r>
            <w:r>
              <w:rPr>
                <w:rFonts w:hint="eastAsia"/>
              </w:rPr>
              <w:t>天，进水达标天数别为</w:t>
            </w:r>
            <w:r>
              <w:t>18</w:t>
            </w:r>
            <w:r>
              <w:rPr>
                <w:rFonts w:hint="eastAsia"/>
              </w:rPr>
              <w:t>天，达标率为</w:t>
            </w:r>
            <w:r>
              <w:t>20.22%</w:t>
            </w:r>
            <w:r>
              <w:rPr>
                <w:rFonts w:hint="eastAsia"/>
              </w:rPr>
              <w:t>。</w:t>
            </w:r>
          </w:p>
          <w:p>
            <w:pPr>
              <w:pStyle w:val="114"/>
            </w:pPr>
            <w:r>
              <w:rPr>
                <w:rFonts w:hint="eastAsia"/>
              </w:rPr>
              <w:t>生化需氧量（</w:t>
            </w:r>
            <w:r>
              <w:t>BOD</w:t>
            </w:r>
            <w:r>
              <w:rPr>
                <w:vertAlign w:val="subscript"/>
              </w:rPr>
              <w:t>5</w:t>
            </w:r>
            <w:r>
              <w:rPr>
                <w:rFonts w:hint="eastAsia"/>
              </w:rPr>
              <w:t>）进水有效数据天数为</w:t>
            </w:r>
            <w:r>
              <w:t>65</w:t>
            </w:r>
            <w:r>
              <w:rPr>
                <w:rFonts w:hint="eastAsia"/>
              </w:rPr>
              <w:t>天，进水达标天数别为</w:t>
            </w:r>
            <w:r>
              <w:t>26</w:t>
            </w:r>
            <w:r>
              <w:rPr>
                <w:rFonts w:hint="eastAsia"/>
              </w:rPr>
              <w:t>天，达标率为</w:t>
            </w:r>
            <w:r>
              <w:t>40%</w:t>
            </w:r>
            <w:r>
              <w:rPr>
                <w:rFonts w:hint="eastAsia"/>
              </w:rPr>
              <w:t>。</w:t>
            </w:r>
          </w:p>
          <w:p>
            <w:pPr>
              <w:pStyle w:val="114"/>
            </w:pPr>
            <w:r>
              <w:rPr>
                <w:rFonts w:hint="eastAsia"/>
              </w:rPr>
              <w:t>固体悬浮物（</w:t>
            </w:r>
            <w:r>
              <w:t>SS</w:t>
            </w:r>
            <w:r>
              <w:rPr>
                <w:rFonts w:hint="eastAsia"/>
              </w:rPr>
              <w:t>）进水有效数据天数为</w:t>
            </w:r>
            <w:r>
              <w:t>90</w:t>
            </w:r>
            <w:r>
              <w:rPr>
                <w:rFonts w:hint="eastAsia"/>
              </w:rPr>
              <w:t>天，进水达标天数别为</w:t>
            </w:r>
            <w:r>
              <w:t>55</w:t>
            </w:r>
            <w:r>
              <w:rPr>
                <w:rFonts w:hint="eastAsia"/>
              </w:rPr>
              <w:t>天，达标率为</w:t>
            </w:r>
            <w:r>
              <w:t>61.11%</w:t>
            </w:r>
            <w:r>
              <w:rPr>
                <w:rFonts w:hint="eastAsia"/>
              </w:rPr>
              <w:t>。</w:t>
            </w:r>
          </w:p>
          <w:p>
            <w:pPr>
              <w:pStyle w:val="114"/>
            </w:pPr>
            <w:r>
              <w:rPr>
                <w:rFonts w:hint="eastAsia"/>
              </w:rPr>
              <w:t>氨氮（</w:t>
            </w:r>
            <w:r>
              <w:t>NH</w:t>
            </w:r>
            <w:r>
              <w:rPr>
                <w:vertAlign w:val="subscript"/>
              </w:rPr>
              <w:t>3</w:t>
            </w:r>
            <w:r>
              <w:t>-N</w:t>
            </w:r>
            <w:r>
              <w:rPr>
                <w:rFonts w:hint="eastAsia"/>
              </w:rPr>
              <w:t>）进水有效数据天数为</w:t>
            </w:r>
            <w:r>
              <w:t>90</w:t>
            </w:r>
            <w:r>
              <w:rPr>
                <w:rFonts w:hint="eastAsia"/>
              </w:rPr>
              <w:t>天，进水达标天数别为</w:t>
            </w:r>
            <w:r>
              <w:t>18</w:t>
            </w:r>
            <w:r>
              <w:rPr>
                <w:rFonts w:hint="eastAsia"/>
              </w:rPr>
              <w:t>天，达标率为</w:t>
            </w:r>
            <w:r>
              <w:t>20%</w:t>
            </w:r>
            <w:r>
              <w:rPr>
                <w:rFonts w:hint="eastAsia"/>
              </w:rPr>
              <w:t>。</w:t>
            </w:r>
          </w:p>
          <w:p>
            <w:pPr>
              <w:pStyle w:val="114"/>
            </w:pPr>
            <w:r>
              <w:rPr>
                <w:rFonts w:hint="eastAsia"/>
              </w:rPr>
              <w:t>总磷（</w:t>
            </w:r>
            <w:r>
              <w:t>TP</w:t>
            </w:r>
            <w:r>
              <w:rPr>
                <w:rFonts w:hint="eastAsia"/>
              </w:rPr>
              <w:t>）进水有效数据天数为</w:t>
            </w:r>
            <w:r>
              <w:t>90</w:t>
            </w:r>
            <w:r>
              <w:rPr>
                <w:rFonts w:hint="eastAsia"/>
              </w:rPr>
              <w:t>天，进水达标天数别为</w:t>
            </w:r>
            <w:r>
              <w:t>2</w:t>
            </w:r>
            <w:r>
              <w:rPr>
                <w:rFonts w:hint="eastAsia"/>
              </w:rPr>
              <w:t>天，达标率为</w:t>
            </w:r>
            <w:r>
              <w:t>2.22%</w:t>
            </w:r>
            <w:r>
              <w:rPr>
                <w:rFonts w:hint="eastAsia"/>
              </w:rPr>
              <w:t>。</w:t>
            </w:r>
          </w:p>
          <w:p>
            <w:pPr>
              <w:pStyle w:val="114"/>
            </w:pPr>
            <w:r>
              <w:rPr>
                <w:rFonts w:hint="eastAsia"/>
              </w:rPr>
              <w:t>总氮（</w:t>
            </w:r>
            <w:r>
              <w:t>TN</w:t>
            </w:r>
            <w:r>
              <w:rPr>
                <w:rFonts w:hint="eastAsia"/>
              </w:rPr>
              <w:t>）进水有效数据天数为</w:t>
            </w:r>
            <w:r>
              <w:t>90</w:t>
            </w:r>
            <w:r>
              <w:rPr>
                <w:rFonts w:hint="eastAsia"/>
              </w:rPr>
              <w:t>天，进水达标天数别为</w:t>
            </w:r>
            <w:r>
              <w:t>39</w:t>
            </w:r>
            <w:r>
              <w:rPr>
                <w:rFonts w:hint="eastAsia"/>
              </w:rPr>
              <w:t>天，达标率为</w:t>
            </w:r>
            <w:r>
              <w:t>43.33%</w:t>
            </w:r>
            <w:r>
              <w:rPr>
                <w:rFonts w:hint="eastAsia"/>
              </w:rPr>
              <w:t>。</w:t>
            </w:r>
          </w:p>
          <w:p>
            <w:pPr>
              <w:pStyle w:val="114"/>
              <w:ind w:firstLine="482"/>
              <w:rPr>
                <w:b/>
              </w:rPr>
            </w:pPr>
            <w:r>
              <w:rPr>
                <w:b/>
              </w:rPr>
              <w:t>2</w:t>
            </w:r>
            <w:r>
              <w:rPr>
                <w:rFonts w:hint="eastAsia"/>
                <w:b/>
              </w:rPr>
              <w:t>、出水水质分析</w:t>
            </w:r>
          </w:p>
          <w:p>
            <w:pPr>
              <w:pStyle w:val="114"/>
            </w:pPr>
            <w:r>
              <w:rPr>
                <w:rFonts w:hint="eastAsia"/>
              </w:rPr>
              <w:t>（</w:t>
            </w:r>
            <w:r>
              <w:t>1</w:t>
            </w:r>
            <w:r>
              <w:rPr>
                <w:rFonts w:hint="eastAsia"/>
              </w:rPr>
              <w:t>）设计出水水质</w:t>
            </w:r>
          </w:p>
          <w:p>
            <w:pPr>
              <w:pStyle w:val="114"/>
            </w:pPr>
            <w:r>
              <w:rPr>
                <w:rFonts w:hint="eastAsia"/>
              </w:rPr>
              <w:t>目前定城污水处理厂出水执行《城镇污水处理厂污染物排放标准》（</w:t>
            </w:r>
            <w:r>
              <w:t>GB18918-2002</w:t>
            </w:r>
            <w:r>
              <w:rPr>
                <w:rFonts w:hint="eastAsia"/>
              </w:rPr>
              <w:t>）的一级</w:t>
            </w:r>
            <w:r>
              <w:t>A</w:t>
            </w:r>
            <w:r>
              <w:rPr>
                <w:rFonts w:hint="eastAsia"/>
              </w:rPr>
              <w:t>标准，标准值见表</w:t>
            </w:r>
            <w:r>
              <w:t>1-16</w:t>
            </w:r>
            <w:r>
              <w:rPr>
                <w:rFonts w:hint="eastAsia"/>
              </w:rPr>
              <w:t>。</w:t>
            </w:r>
          </w:p>
          <w:p>
            <w:pPr>
              <w:pStyle w:val="114"/>
            </w:pPr>
          </w:p>
          <w:p>
            <w:pPr>
              <w:pStyle w:val="114"/>
            </w:pPr>
          </w:p>
          <w:p>
            <w:pPr>
              <w:pStyle w:val="114"/>
            </w:pPr>
          </w:p>
          <w:p>
            <w:pPr>
              <w:pStyle w:val="114"/>
            </w:pPr>
          </w:p>
          <w:p>
            <w:pPr>
              <w:pStyle w:val="2"/>
              <w:spacing w:line="360" w:lineRule="auto"/>
              <w:ind w:firstLine="482" w:firstLineChars="200"/>
              <w:jc w:val="center"/>
              <w:rPr>
                <w:b/>
                <w:bCs/>
                <w:szCs w:val="28"/>
              </w:rPr>
            </w:pPr>
            <w:r>
              <w:rPr>
                <w:rFonts w:hint="eastAsia"/>
                <w:b/>
                <w:bCs/>
                <w:szCs w:val="28"/>
              </w:rPr>
              <w:t>表</w:t>
            </w:r>
            <w:r>
              <w:rPr>
                <w:b/>
                <w:bCs/>
                <w:szCs w:val="28"/>
              </w:rPr>
              <w:t>1-16</w:t>
            </w:r>
            <w:r>
              <w:rPr>
                <w:rFonts w:hint="eastAsia"/>
                <w:b/>
                <w:bCs/>
                <w:szCs w:val="28"/>
              </w:rPr>
              <w:t>定安县定城污水处理厂出水水质主要污染物指标</w:t>
            </w:r>
          </w:p>
          <w:tbl>
            <w:tblPr>
              <w:tblStyle w:val="37"/>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189"/>
              <w:gridCol w:w="4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12" w:space="0"/>
                    <w:left w:val="single" w:color="auto" w:sz="12" w:space="0"/>
                    <w:bottom w:val="double" w:color="auto" w:sz="4" w:space="0"/>
                    <w:right w:val="single" w:color="auto" w:sz="4" w:space="0"/>
                  </w:tcBorders>
                  <w:vAlign w:val="center"/>
                </w:tcPr>
                <w:p>
                  <w:pPr>
                    <w:spacing w:line="240" w:lineRule="atLeast"/>
                    <w:jc w:val="center"/>
                    <w:rPr>
                      <w:rFonts w:ascii="Times New Roman" w:hAnsi="Times New Roman"/>
                      <w:b/>
                      <w:bCs/>
                    </w:rPr>
                  </w:pPr>
                  <w:r>
                    <w:rPr>
                      <w:rFonts w:hint="eastAsia" w:ascii="Times New Roman" w:hAnsi="Times New Roman"/>
                      <w:b/>
                      <w:bCs/>
                    </w:rPr>
                    <w:t>序号</w:t>
                  </w:r>
                </w:p>
              </w:tc>
              <w:tc>
                <w:tcPr>
                  <w:tcW w:w="4189" w:type="dxa"/>
                  <w:tcBorders>
                    <w:top w:val="single" w:color="auto" w:sz="12" w:space="0"/>
                    <w:left w:val="single" w:color="auto" w:sz="4" w:space="0"/>
                    <w:bottom w:val="double" w:color="auto" w:sz="4" w:space="0"/>
                    <w:right w:val="single" w:color="auto" w:sz="4" w:space="0"/>
                  </w:tcBorders>
                  <w:vAlign w:val="center"/>
                </w:tcPr>
                <w:p>
                  <w:pPr>
                    <w:spacing w:line="240" w:lineRule="atLeast"/>
                    <w:jc w:val="center"/>
                    <w:rPr>
                      <w:rFonts w:ascii="Times New Roman" w:hAnsi="Times New Roman"/>
                      <w:b/>
                      <w:bCs/>
                    </w:rPr>
                  </w:pPr>
                  <w:r>
                    <w:rPr>
                      <w:rFonts w:hint="eastAsia" w:ascii="Times New Roman" w:hAnsi="Times New Roman"/>
                      <w:b/>
                      <w:bCs/>
                    </w:rPr>
                    <w:t>项目</w:t>
                  </w:r>
                </w:p>
              </w:tc>
              <w:tc>
                <w:tcPr>
                  <w:tcW w:w="4081" w:type="dxa"/>
                  <w:tcBorders>
                    <w:top w:val="single" w:color="auto" w:sz="12" w:space="0"/>
                    <w:left w:val="single" w:color="auto" w:sz="4" w:space="0"/>
                    <w:bottom w:val="double" w:color="auto" w:sz="4" w:space="0"/>
                    <w:right w:val="single" w:color="auto" w:sz="12" w:space="0"/>
                  </w:tcBorders>
                  <w:vAlign w:val="center"/>
                </w:tcPr>
                <w:p>
                  <w:pPr>
                    <w:spacing w:line="240" w:lineRule="atLeast"/>
                    <w:jc w:val="center"/>
                    <w:rPr>
                      <w:rFonts w:ascii="Times New Roman" w:hAnsi="Times New Roman"/>
                      <w:b/>
                      <w:bCs/>
                    </w:rPr>
                  </w:pPr>
                  <w:r>
                    <w:rPr>
                      <w:rFonts w:hint="eastAsia" w:ascii="Times New Roman" w:hAnsi="Times New Roman"/>
                      <w:b/>
                      <w:bCs/>
                    </w:rPr>
                    <w:t>设计出水水质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tcBorders>
                    <w:top w:val="doub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1</w:t>
                  </w:r>
                </w:p>
              </w:tc>
              <w:tc>
                <w:tcPr>
                  <w:tcW w:w="4189" w:type="dxa"/>
                  <w:tcBorders>
                    <w:top w:val="doub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化学需氧量（</w:t>
                  </w:r>
                  <w:r>
                    <w:rPr>
                      <w:rFonts w:ascii="Times New Roman" w:hAnsi="Times New Roman"/>
                    </w:rPr>
                    <w:t>COD</w:t>
                  </w:r>
                  <w:r>
                    <w:rPr>
                      <w:rFonts w:hint="eastAsia" w:ascii="Times New Roman" w:hAnsi="Times New Roman"/>
                    </w:rPr>
                    <w:t>）</w:t>
                  </w:r>
                </w:p>
              </w:tc>
              <w:tc>
                <w:tcPr>
                  <w:tcW w:w="4081" w:type="dxa"/>
                  <w:tcBorders>
                    <w:top w:val="doub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2</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生化需氧量（</w:t>
                  </w:r>
                  <w:r>
                    <w:rPr>
                      <w:rFonts w:ascii="Times New Roman" w:hAnsi="Times New Roman"/>
                    </w:rPr>
                    <w:t>BOD</w:t>
                  </w:r>
                  <w:r>
                    <w:rPr>
                      <w:rFonts w:ascii="Times New Roman" w:hAnsi="Times New Roman"/>
                      <w:vertAlign w:val="subscript"/>
                    </w:rPr>
                    <w:t>5</w:t>
                  </w:r>
                  <w:r>
                    <w:rPr>
                      <w:rFonts w:hint="eastAsia" w:ascii="Times New Roman" w:hAnsi="Times New Roman"/>
                    </w:rPr>
                    <w:t>）</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3</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悬浮物（</w:t>
                  </w:r>
                  <w:r>
                    <w:rPr>
                      <w:rFonts w:ascii="Times New Roman" w:hAnsi="Times New Roman"/>
                    </w:rPr>
                    <w:t>SS</w:t>
                  </w:r>
                  <w:r>
                    <w:rPr>
                      <w:rFonts w:hint="eastAsia" w:ascii="Times New Roman" w:hAnsi="Times New Roman"/>
                    </w:rPr>
                    <w:t>）</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4</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动植物油</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5</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石油类</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6</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阴离子表面活性剂</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7</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总氮（以</w:t>
                  </w:r>
                  <w:r>
                    <w:rPr>
                      <w:rFonts w:ascii="Times New Roman" w:hAnsi="Times New Roman"/>
                    </w:rPr>
                    <w:t>N</w:t>
                  </w:r>
                  <w:r>
                    <w:rPr>
                      <w:rFonts w:hint="eastAsia" w:ascii="Times New Roman" w:hAnsi="Times New Roman"/>
                    </w:rPr>
                    <w:t>计）</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8</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氨氮（以</w:t>
                  </w:r>
                  <w:r>
                    <w:rPr>
                      <w:rFonts w:ascii="Times New Roman" w:hAnsi="Times New Roman"/>
                    </w:rPr>
                    <w:t>N</w:t>
                  </w:r>
                  <w:r>
                    <w:rPr>
                      <w:rFonts w:hint="eastAsia" w:ascii="Times New Roman" w:hAnsi="Times New Roman"/>
                    </w:rPr>
                    <w:t>计）</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9</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总磷（以</w:t>
                  </w:r>
                  <w:r>
                    <w:rPr>
                      <w:rFonts w:ascii="Times New Roman" w:hAnsi="Times New Roman"/>
                    </w:rPr>
                    <w:t>P</w:t>
                  </w:r>
                  <w:r>
                    <w:rPr>
                      <w:rFonts w:hint="eastAsia" w:ascii="Times New Roman" w:hAnsi="Times New Roman"/>
                    </w:rPr>
                    <w:t>计）</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10</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色度（稀释倍数）</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11</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pH</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8"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rPr>
                  </w:pPr>
                  <w:r>
                    <w:rPr>
                      <w:rFonts w:ascii="Times New Roman" w:hAnsi="Times New Roman"/>
                    </w:rPr>
                    <w:t>12</w:t>
                  </w:r>
                </w:p>
              </w:tc>
              <w:tc>
                <w:tcPr>
                  <w:tcW w:w="41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rPr>
                  </w:pPr>
                  <w:r>
                    <w:rPr>
                      <w:rFonts w:hint="eastAsia" w:ascii="Times New Roman" w:hAnsi="Times New Roman"/>
                    </w:rPr>
                    <w:t>类大肠菌群数（个</w:t>
                  </w:r>
                  <w:r>
                    <w:rPr>
                      <w:rFonts w:ascii="Times New Roman" w:hAnsi="Times New Roman"/>
                    </w:rPr>
                    <w:t>/L</w:t>
                  </w:r>
                  <w:r>
                    <w:rPr>
                      <w:rFonts w:hint="eastAsia" w:ascii="Times New Roman" w:hAnsi="Times New Roman"/>
                    </w:rPr>
                    <w:t>）</w:t>
                  </w:r>
                </w:p>
              </w:tc>
              <w:tc>
                <w:tcPr>
                  <w:tcW w:w="4081"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rPr>
                  </w:pPr>
                  <w:r>
                    <w:rPr>
                      <w:rFonts w:ascii="Times New Roman" w:hAnsi="Times New Roma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098" w:type="dxa"/>
                  <w:gridSpan w:val="3"/>
                  <w:tcBorders>
                    <w:top w:val="single" w:color="auto" w:sz="4" w:space="0"/>
                    <w:left w:val="single" w:color="auto" w:sz="12" w:space="0"/>
                    <w:bottom w:val="single" w:color="auto" w:sz="12" w:space="0"/>
                    <w:right w:val="single" w:color="auto" w:sz="12" w:space="0"/>
                  </w:tcBorders>
                  <w:vAlign w:val="center"/>
                </w:tcPr>
                <w:p>
                  <w:pPr>
                    <w:pStyle w:val="2"/>
                    <w:spacing w:line="360" w:lineRule="auto"/>
                    <w:rPr>
                      <w:sz w:val="21"/>
                      <w:szCs w:val="21"/>
                    </w:rPr>
                  </w:pPr>
                  <w:r>
                    <w:rPr>
                      <w:sz w:val="21"/>
                      <w:szCs w:val="21"/>
                    </w:rPr>
                    <w:t>*</w:t>
                  </w:r>
                  <w:r>
                    <w:rPr>
                      <w:rFonts w:hint="eastAsia"/>
                      <w:sz w:val="21"/>
                      <w:szCs w:val="21"/>
                    </w:rPr>
                    <w:t>括号外数值为水温＞</w:t>
                  </w:r>
                  <w:r>
                    <w:rPr>
                      <w:sz w:val="21"/>
                      <w:szCs w:val="21"/>
                    </w:rPr>
                    <w:t>12</w:t>
                  </w:r>
                  <w:r>
                    <w:rPr>
                      <w:rFonts w:hint="eastAsia" w:ascii="宋体" w:hAnsi="宋体" w:cs="宋体"/>
                      <w:sz w:val="21"/>
                      <w:szCs w:val="21"/>
                    </w:rPr>
                    <w:t>℃</w:t>
                  </w:r>
                  <w:r>
                    <w:rPr>
                      <w:rFonts w:hint="eastAsia"/>
                      <w:sz w:val="21"/>
                      <w:szCs w:val="21"/>
                    </w:rPr>
                    <w:t>时控制指标，括号内数值为水温</w:t>
                  </w:r>
                  <w:r>
                    <w:rPr>
                      <w:sz w:val="21"/>
                      <w:szCs w:val="21"/>
                    </w:rPr>
                    <w:t>≤12</w:t>
                  </w:r>
                  <w:r>
                    <w:rPr>
                      <w:rFonts w:hint="eastAsia" w:ascii="宋体" w:hAnsi="宋体" w:cs="宋体"/>
                      <w:sz w:val="21"/>
                      <w:szCs w:val="21"/>
                    </w:rPr>
                    <w:t>℃</w:t>
                  </w:r>
                  <w:r>
                    <w:rPr>
                      <w:rFonts w:hint="eastAsia"/>
                      <w:sz w:val="21"/>
                      <w:szCs w:val="21"/>
                    </w:rPr>
                    <w:t>时的控制指标</w:t>
                  </w:r>
                </w:p>
              </w:tc>
            </w:tr>
          </w:tbl>
          <w:p>
            <w:pPr>
              <w:pStyle w:val="114"/>
            </w:pPr>
          </w:p>
          <w:p>
            <w:pPr>
              <w:pStyle w:val="114"/>
            </w:pPr>
            <w:r>
              <w:rPr>
                <w:rFonts w:hint="eastAsia"/>
              </w:rPr>
              <w:t>（</w:t>
            </w:r>
            <w:r>
              <w:t>2</w:t>
            </w:r>
            <w:r>
              <w:rPr>
                <w:rFonts w:hint="eastAsia"/>
              </w:rPr>
              <w:t>）实际出水水质</w:t>
            </w:r>
          </w:p>
          <w:p>
            <w:pPr>
              <w:pStyle w:val="114"/>
            </w:pPr>
            <w:r>
              <w:t>2019</w:t>
            </w:r>
            <w:r>
              <w:rPr>
                <w:rFonts w:hint="eastAsia"/>
              </w:rPr>
              <w:t>年</w:t>
            </w:r>
            <w:r>
              <w:t>1-3</w:t>
            </w:r>
            <w:r>
              <w:rPr>
                <w:rFonts w:hint="eastAsia"/>
              </w:rPr>
              <w:t>月出水水质统计见表</w:t>
            </w:r>
            <w:r>
              <w:t>1-17</w:t>
            </w:r>
            <w:r>
              <w:rPr>
                <w:rFonts w:hint="eastAsia"/>
              </w:rPr>
              <w:t>及图</w:t>
            </w:r>
            <w:r>
              <w:t>8-</w:t>
            </w:r>
            <w:r>
              <w:rPr>
                <w:rFonts w:hint="eastAsia"/>
              </w:rPr>
              <w:t>图</w:t>
            </w:r>
            <w:r>
              <w:t>13</w:t>
            </w:r>
            <w:r>
              <w:rPr>
                <w:rFonts w:hint="eastAsia"/>
              </w:rPr>
              <w:t>。</w:t>
            </w:r>
          </w:p>
          <w:p>
            <w:pPr>
              <w:pStyle w:val="111"/>
              <w:rPr>
                <w:szCs w:val="21"/>
              </w:rPr>
            </w:pPr>
            <w:r>
              <w:rPr>
                <w:rFonts w:hint="eastAsia"/>
                <w:szCs w:val="21"/>
              </w:rPr>
              <w:t>表</w:t>
            </w:r>
            <w:r>
              <w:rPr>
                <w:szCs w:val="21"/>
              </w:rPr>
              <w:t xml:space="preserve">1-17    </w:t>
            </w:r>
            <w:r>
              <w:rPr>
                <w:rFonts w:hint="eastAsia"/>
                <w:szCs w:val="21"/>
              </w:rPr>
              <w:t>一期设计出水水质与实际出水水质的对比（</w:t>
            </w:r>
            <w:r>
              <w:rPr>
                <w:szCs w:val="21"/>
              </w:rPr>
              <w:t>2019</w:t>
            </w:r>
            <w:r>
              <w:rPr>
                <w:rFonts w:hint="eastAsia"/>
                <w:szCs w:val="21"/>
              </w:rPr>
              <w:t>年</w:t>
            </w:r>
            <w:r>
              <w:rPr>
                <w:szCs w:val="21"/>
              </w:rPr>
              <w:t>1-3</w:t>
            </w:r>
            <w:r>
              <w:rPr>
                <w:rFonts w:hint="eastAsia"/>
                <w:szCs w:val="21"/>
              </w:rPr>
              <w:t>月）</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30"/>
              <w:gridCol w:w="994"/>
              <w:gridCol w:w="995"/>
              <w:gridCol w:w="995"/>
              <w:gridCol w:w="995"/>
              <w:gridCol w:w="995"/>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tblHeader/>
                <w:jc w:val="center"/>
              </w:trPr>
              <w:tc>
                <w:tcPr>
                  <w:tcW w:w="3130" w:type="dxa"/>
                  <w:tcBorders>
                    <w:top w:val="single" w:color="auto" w:sz="12" w:space="0"/>
                    <w:left w:val="single" w:color="auto" w:sz="12" w:space="0"/>
                    <w:bottom w:val="double" w:color="auto" w:sz="4" w:space="0"/>
                    <w:right w:val="single" w:color="auto" w:sz="6" w:space="0"/>
                  </w:tcBorders>
                  <w:vAlign w:val="center"/>
                </w:tcPr>
                <w:p>
                  <w:pPr>
                    <w:adjustRightInd w:val="0"/>
                    <w:jc w:val="center"/>
                    <w:rPr>
                      <w:rFonts w:ascii="Times New Roman" w:hAnsi="Times New Roman"/>
                      <w:b/>
                      <w:szCs w:val="21"/>
                    </w:rPr>
                  </w:pPr>
                  <w:r>
                    <w:rPr>
                      <w:rFonts w:hint="eastAsia" w:ascii="Times New Roman" w:hAnsi="Times New Roman"/>
                      <w:b/>
                      <w:szCs w:val="21"/>
                    </w:rPr>
                    <w:t>项目</w:t>
                  </w:r>
                </w:p>
              </w:tc>
              <w:tc>
                <w:tcPr>
                  <w:tcW w:w="994"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COD</w:t>
                  </w:r>
                </w:p>
              </w:tc>
              <w:tc>
                <w:tcPr>
                  <w:tcW w:w="995"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BOD</w:t>
                  </w:r>
                  <w:r>
                    <w:rPr>
                      <w:rFonts w:ascii="Times New Roman" w:hAnsi="Times New Roman"/>
                      <w:b/>
                      <w:szCs w:val="21"/>
                      <w:vertAlign w:val="subscript"/>
                    </w:rPr>
                    <w:t>5</w:t>
                  </w:r>
                </w:p>
              </w:tc>
              <w:tc>
                <w:tcPr>
                  <w:tcW w:w="995"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SS</w:t>
                  </w:r>
                </w:p>
              </w:tc>
              <w:tc>
                <w:tcPr>
                  <w:tcW w:w="995"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NH</w:t>
                  </w:r>
                  <w:r>
                    <w:rPr>
                      <w:rFonts w:ascii="Times New Roman" w:hAnsi="Times New Roman"/>
                      <w:b/>
                      <w:szCs w:val="21"/>
                      <w:vertAlign w:val="subscript"/>
                    </w:rPr>
                    <w:t>3</w:t>
                  </w:r>
                  <w:r>
                    <w:rPr>
                      <w:rFonts w:ascii="Times New Roman" w:hAnsi="Times New Roman"/>
                      <w:b/>
                      <w:szCs w:val="21"/>
                    </w:rPr>
                    <w:t>-N</w:t>
                  </w:r>
                </w:p>
              </w:tc>
              <w:tc>
                <w:tcPr>
                  <w:tcW w:w="995" w:type="dxa"/>
                  <w:tcBorders>
                    <w:top w:val="single" w:color="auto" w:sz="12" w:space="0"/>
                    <w:left w:val="single" w:color="auto" w:sz="6" w:space="0"/>
                    <w:bottom w:val="double" w:color="auto" w:sz="4" w:space="0"/>
                    <w:right w:val="single" w:color="auto" w:sz="6"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TN</w:t>
                  </w:r>
                </w:p>
              </w:tc>
              <w:tc>
                <w:tcPr>
                  <w:tcW w:w="994" w:type="dxa"/>
                  <w:tcBorders>
                    <w:top w:val="single" w:color="auto" w:sz="12" w:space="0"/>
                    <w:left w:val="single" w:color="auto" w:sz="6" w:space="0"/>
                    <w:bottom w:val="double" w:color="auto" w:sz="4" w:space="0"/>
                    <w:right w:val="single" w:color="auto" w:sz="12" w:space="0"/>
                  </w:tcBorders>
                  <w:shd w:val="clear" w:color="000000" w:fill="auto"/>
                  <w:vAlign w:val="center"/>
                </w:tcPr>
                <w:p>
                  <w:pPr>
                    <w:adjustRightInd w:val="0"/>
                    <w:jc w:val="center"/>
                    <w:rPr>
                      <w:rFonts w:ascii="Times New Roman" w:hAnsi="Times New Roman"/>
                      <w:b/>
                      <w:szCs w:val="21"/>
                    </w:rPr>
                  </w:pPr>
                  <w:r>
                    <w:rPr>
                      <w:rFonts w:ascii="Times New Roman" w:hAnsi="Times New Roman"/>
                      <w:b/>
                      <w:szCs w:val="21"/>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130" w:type="dxa"/>
                  <w:tcBorders>
                    <w:top w:val="double" w:color="auto" w:sz="4" w:space="0"/>
                    <w:left w:val="single" w:color="auto" w:sz="12" w:space="0"/>
                    <w:bottom w:val="single" w:color="auto" w:sz="6"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一期设计出水水质（</w:t>
                  </w:r>
                  <w:r>
                    <w:rPr>
                      <w:rFonts w:ascii="Times New Roman" w:hAnsi="Times New Roman"/>
                      <w:bCs/>
                      <w:szCs w:val="21"/>
                    </w:rPr>
                    <w:t>mg/L</w:t>
                  </w:r>
                  <w:r>
                    <w:rPr>
                      <w:rFonts w:hint="eastAsia" w:ascii="Times New Roman" w:hAnsi="Times New Roman"/>
                      <w:szCs w:val="21"/>
                    </w:rPr>
                    <w:t>）</w:t>
                  </w:r>
                </w:p>
              </w:tc>
              <w:tc>
                <w:tcPr>
                  <w:tcW w:w="994"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≤50</w:t>
                  </w:r>
                </w:p>
              </w:tc>
              <w:tc>
                <w:tcPr>
                  <w:tcW w:w="995"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≤10</w:t>
                  </w:r>
                </w:p>
              </w:tc>
              <w:tc>
                <w:tcPr>
                  <w:tcW w:w="995"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≤10</w:t>
                  </w:r>
                </w:p>
              </w:tc>
              <w:tc>
                <w:tcPr>
                  <w:tcW w:w="995"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≤5</w:t>
                  </w:r>
                  <w:r>
                    <w:rPr>
                      <w:rFonts w:hint="eastAsia" w:ascii="Times New Roman" w:hAnsi="Times New Roman"/>
                      <w:szCs w:val="21"/>
                    </w:rPr>
                    <w:t>（</w:t>
                  </w:r>
                  <w:r>
                    <w:rPr>
                      <w:rFonts w:ascii="Times New Roman" w:hAnsi="Times New Roman"/>
                      <w:szCs w:val="21"/>
                    </w:rPr>
                    <w:t>8</w:t>
                  </w:r>
                  <w:r>
                    <w:rPr>
                      <w:rFonts w:hint="eastAsia" w:ascii="Times New Roman" w:hAnsi="Times New Roman"/>
                      <w:szCs w:val="21"/>
                    </w:rPr>
                    <w:t>）</w:t>
                  </w:r>
                </w:p>
              </w:tc>
              <w:tc>
                <w:tcPr>
                  <w:tcW w:w="995" w:type="dxa"/>
                  <w:tcBorders>
                    <w:top w:val="double" w:color="auto" w:sz="4"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≤15</w:t>
                  </w:r>
                </w:p>
              </w:tc>
              <w:tc>
                <w:tcPr>
                  <w:tcW w:w="994" w:type="dxa"/>
                  <w:tcBorders>
                    <w:top w:val="double" w:color="auto" w:sz="4" w:space="0"/>
                    <w:left w:val="single" w:color="auto" w:sz="6" w:space="0"/>
                    <w:bottom w:val="single" w:color="auto" w:sz="6"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130" w:type="dxa"/>
                  <w:tcBorders>
                    <w:top w:val="single" w:color="auto" w:sz="6" w:space="0"/>
                    <w:left w:val="single" w:color="auto" w:sz="12" w:space="0"/>
                    <w:bottom w:val="single" w:color="auto" w:sz="6"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现状出水水质日均最高值（</w:t>
                  </w:r>
                  <w:r>
                    <w:rPr>
                      <w:rFonts w:ascii="Times New Roman" w:hAnsi="Times New Roman"/>
                      <w:bCs/>
                      <w:szCs w:val="21"/>
                    </w:rPr>
                    <w:t>mg/L</w:t>
                  </w:r>
                  <w:r>
                    <w:rPr>
                      <w:rFonts w:hint="eastAsia" w:ascii="Times New Roman" w:hAnsi="Times New Roman"/>
                      <w:szCs w:val="21"/>
                    </w:rPr>
                    <w:t>）</w:t>
                  </w:r>
                </w:p>
              </w:tc>
              <w:tc>
                <w:tcPr>
                  <w:tcW w:w="994"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96</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9.04</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24</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33.04</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43.55</w:t>
                  </w:r>
                </w:p>
              </w:tc>
              <w:tc>
                <w:tcPr>
                  <w:tcW w:w="994" w:type="dxa"/>
                  <w:tcBorders>
                    <w:top w:val="single" w:color="auto" w:sz="6" w:space="0"/>
                    <w:left w:val="single" w:color="auto" w:sz="6" w:space="0"/>
                    <w:bottom w:val="single" w:color="auto" w:sz="6"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130" w:type="dxa"/>
                  <w:tcBorders>
                    <w:top w:val="single" w:color="auto" w:sz="6" w:space="0"/>
                    <w:left w:val="single" w:color="auto" w:sz="12" w:space="0"/>
                    <w:bottom w:val="single" w:color="auto" w:sz="6"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现状出水水质日均最低值（</w:t>
                  </w:r>
                  <w:r>
                    <w:rPr>
                      <w:rFonts w:ascii="Times New Roman" w:hAnsi="Times New Roman"/>
                      <w:bCs/>
                      <w:szCs w:val="21"/>
                    </w:rPr>
                    <w:t>mg/L</w:t>
                  </w:r>
                  <w:r>
                    <w:rPr>
                      <w:rFonts w:hint="eastAsia" w:ascii="Times New Roman" w:hAnsi="Times New Roman"/>
                      <w:szCs w:val="21"/>
                    </w:rPr>
                    <w:t>）</w:t>
                  </w:r>
                </w:p>
              </w:tc>
              <w:tc>
                <w:tcPr>
                  <w:tcW w:w="994"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14</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0.52</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11.82</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14.79</w:t>
                  </w:r>
                </w:p>
              </w:tc>
              <w:tc>
                <w:tcPr>
                  <w:tcW w:w="994" w:type="dxa"/>
                  <w:tcBorders>
                    <w:top w:val="single" w:color="auto" w:sz="6" w:space="0"/>
                    <w:left w:val="single" w:color="auto" w:sz="6" w:space="0"/>
                    <w:bottom w:val="single" w:color="auto" w:sz="6"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130" w:type="dxa"/>
                  <w:tcBorders>
                    <w:top w:val="single" w:color="auto" w:sz="6" w:space="0"/>
                    <w:left w:val="single" w:color="auto" w:sz="12" w:space="0"/>
                    <w:bottom w:val="single" w:color="auto" w:sz="6"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现状出水水质超标率（</w:t>
                  </w:r>
                  <w:r>
                    <w:rPr>
                      <w:rFonts w:ascii="Times New Roman" w:hAnsi="Times New Roman"/>
                      <w:szCs w:val="21"/>
                    </w:rPr>
                    <w:t>%</w:t>
                  </w:r>
                  <w:r>
                    <w:rPr>
                      <w:rFonts w:hint="eastAsia" w:ascii="Times New Roman" w:hAnsi="Times New Roman"/>
                      <w:szCs w:val="21"/>
                    </w:rPr>
                    <w:t>）</w:t>
                  </w:r>
                </w:p>
              </w:tc>
              <w:tc>
                <w:tcPr>
                  <w:tcW w:w="994"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34.83</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0</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31.11</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100</w:t>
                  </w:r>
                </w:p>
              </w:tc>
              <w:tc>
                <w:tcPr>
                  <w:tcW w:w="995" w:type="dxa"/>
                  <w:tcBorders>
                    <w:top w:val="single" w:color="auto" w:sz="6" w:space="0"/>
                    <w:left w:val="single" w:color="auto" w:sz="6" w:space="0"/>
                    <w:bottom w:val="single" w:color="auto" w:sz="6"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98.89</w:t>
                  </w:r>
                </w:p>
              </w:tc>
              <w:tc>
                <w:tcPr>
                  <w:tcW w:w="994" w:type="dxa"/>
                  <w:tcBorders>
                    <w:top w:val="single" w:color="auto" w:sz="6" w:space="0"/>
                    <w:left w:val="single" w:color="auto" w:sz="6" w:space="0"/>
                    <w:bottom w:val="single" w:color="auto" w:sz="6"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31.11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4" w:hRule="exact"/>
                <w:jc w:val="center"/>
              </w:trPr>
              <w:tc>
                <w:tcPr>
                  <w:tcW w:w="3130" w:type="dxa"/>
                  <w:tcBorders>
                    <w:top w:val="single" w:color="auto" w:sz="6" w:space="0"/>
                    <w:left w:val="single" w:color="auto" w:sz="12" w:space="0"/>
                    <w:bottom w:val="single" w:color="auto" w:sz="12" w:space="0"/>
                    <w:right w:val="single" w:color="auto" w:sz="6" w:space="0"/>
                  </w:tcBorders>
                  <w:vAlign w:val="center"/>
                </w:tcPr>
                <w:p>
                  <w:pPr>
                    <w:adjustRightInd w:val="0"/>
                    <w:jc w:val="center"/>
                    <w:rPr>
                      <w:rFonts w:ascii="Times New Roman" w:hAnsi="Times New Roman"/>
                      <w:szCs w:val="21"/>
                    </w:rPr>
                  </w:pPr>
                  <w:r>
                    <w:rPr>
                      <w:rFonts w:hint="eastAsia" w:ascii="Times New Roman" w:hAnsi="Times New Roman"/>
                      <w:szCs w:val="21"/>
                    </w:rPr>
                    <w:t>有效统计天数</w:t>
                  </w:r>
                </w:p>
              </w:tc>
              <w:tc>
                <w:tcPr>
                  <w:tcW w:w="994"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89</w:t>
                  </w:r>
                </w:p>
              </w:tc>
              <w:tc>
                <w:tcPr>
                  <w:tcW w:w="995"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65</w:t>
                  </w:r>
                </w:p>
              </w:tc>
              <w:tc>
                <w:tcPr>
                  <w:tcW w:w="995"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90</w:t>
                  </w:r>
                </w:p>
              </w:tc>
              <w:tc>
                <w:tcPr>
                  <w:tcW w:w="995"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90</w:t>
                  </w:r>
                </w:p>
              </w:tc>
              <w:tc>
                <w:tcPr>
                  <w:tcW w:w="995" w:type="dxa"/>
                  <w:tcBorders>
                    <w:top w:val="single" w:color="auto" w:sz="6" w:space="0"/>
                    <w:left w:val="single" w:color="auto" w:sz="6" w:space="0"/>
                    <w:bottom w:val="single" w:color="auto" w:sz="12" w:space="0"/>
                    <w:right w:val="single" w:color="auto" w:sz="6"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90</w:t>
                  </w:r>
                </w:p>
              </w:tc>
              <w:tc>
                <w:tcPr>
                  <w:tcW w:w="994" w:type="dxa"/>
                  <w:tcBorders>
                    <w:top w:val="single" w:color="auto" w:sz="6" w:space="0"/>
                    <w:left w:val="single" w:color="auto" w:sz="6" w:space="0"/>
                    <w:bottom w:val="single" w:color="auto" w:sz="12" w:space="0"/>
                    <w:right w:val="single" w:color="auto" w:sz="12" w:space="0"/>
                  </w:tcBorders>
                  <w:shd w:val="clear" w:color="000000" w:fill="auto"/>
                  <w:vAlign w:val="center"/>
                </w:tcPr>
                <w:p>
                  <w:pPr>
                    <w:adjustRightInd w:val="0"/>
                    <w:jc w:val="center"/>
                    <w:rPr>
                      <w:rFonts w:ascii="Times New Roman" w:hAnsi="Times New Roman"/>
                      <w:szCs w:val="21"/>
                    </w:rPr>
                  </w:pPr>
                  <w:r>
                    <w:rPr>
                      <w:rFonts w:ascii="Times New Roman" w:hAnsi="Times New Roman"/>
                      <w:szCs w:val="21"/>
                    </w:rPr>
                    <w:t>90</w:t>
                  </w:r>
                </w:p>
              </w:tc>
            </w:tr>
          </w:tbl>
          <w:p>
            <w:pPr>
              <w:pStyle w:val="114"/>
            </w:pPr>
          </w:p>
          <w:p>
            <w:pPr>
              <w:pStyle w:val="114"/>
            </w:pPr>
          </w:p>
          <w:p>
            <w:pPr>
              <w:pStyle w:val="114"/>
            </w:pPr>
          </w:p>
          <w:p>
            <w:pPr>
              <w:pStyle w:val="114"/>
            </w:pPr>
          </w:p>
          <w:p>
            <w:pPr>
              <w:pStyle w:val="114"/>
            </w:pPr>
          </w:p>
          <w:p>
            <w:pPr>
              <w:pStyle w:val="114"/>
            </w:pPr>
          </w:p>
          <w:p>
            <w:pPr>
              <w:pStyle w:val="114"/>
            </w:pPr>
          </w:p>
          <w:p>
            <w:pPr>
              <w:pStyle w:val="114"/>
            </w:pPr>
          </w:p>
          <w:p>
            <w:pPr>
              <w:pStyle w:val="114"/>
            </w:pPr>
          </w:p>
          <w:p>
            <w:pPr>
              <w:pStyle w:val="114"/>
            </w:pPr>
          </w:p>
          <w:p>
            <w:pPr>
              <w:pStyle w:val="114"/>
            </w:pPr>
          </w:p>
          <w:p>
            <w:pPr>
              <w:pStyle w:val="111"/>
            </w:pPr>
            <w:r>
              <w:drawing>
                <wp:inline distT="0" distB="0" distL="0" distR="0">
                  <wp:extent cx="5619750" cy="3362325"/>
                  <wp:effectExtent l="0" t="0" r="0" b="9525"/>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111"/>
              <w:rPr>
                <w:szCs w:val="21"/>
              </w:rPr>
            </w:pPr>
            <w:r>
              <w:rPr>
                <w:rFonts w:hint="eastAsia"/>
                <w:szCs w:val="21"/>
              </w:rPr>
              <w:t>图</w:t>
            </w:r>
            <w:r>
              <w:rPr>
                <w:szCs w:val="21"/>
              </w:rPr>
              <w:t xml:space="preserve">8     </w:t>
            </w:r>
            <w:r>
              <w:rPr>
                <w:rFonts w:hint="eastAsia"/>
                <w:szCs w:val="21"/>
              </w:rPr>
              <w:t>定城污水处理厂</w:t>
            </w:r>
            <w:r>
              <w:rPr>
                <w:szCs w:val="21"/>
              </w:rPr>
              <w:t>2019</w:t>
            </w:r>
            <w:r>
              <w:rPr>
                <w:rFonts w:hint="eastAsia"/>
                <w:szCs w:val="21"/>
              </w:rPr>
              <w:t>年</w:t>
            </w:r>
            <w:r>
              <w:rPr>
                <w:szCs w:val="21"/>
              </w:rPr>
              <w:t>1-3</w:t>
            </w:r>
            <w:r>
              <w:rPr>
                <w:rFonts w:hint="eastAsia"/>
                <w:szCs w:val="21"/>
              </w:rPr>
              <w:t>月实际出水</w:t>
            </w:r>
            <w:r>
              <w:rPr>
                <w:szCs w:val="21"/>
              </w:rPr>
              <w:t>COD</w:t>
            </w:r>
            <w:r>
              <w:rPr>
                <w:rFonts w:hint="eastAsia"/>
                <w:szCs w:val="21"/>
              </w:rPr>
              <w:t>（</w:t>
            </w:r>
            <w:r>
              <w:rPr>
                <w:szCs w:val="21"/>
              </w:rPr>
              <w:t>mg/L</w:t>
            </w:r>
            <w:r>
              <w:rPr>
                <w:rFonts w:hint="eastAsia"/>
                <w:szCs w:val="21"/>
              </w:rPr>
              <w:t>）</w:t>
            </w:r>
          </w:p>
          <w:p>
            <w:pPr>
              <w:pStyle w:val="111"/>
              <w:rPr>
                <w:szCs w:val="21"/>
              </w:rPr>
            </w:pPr>
          </w:p>
          <w:p>
            <w:pPr>
              <w:pStyle w:val="111"/>
              <w:rPr>
                <w:szCs w:val="21"/>
              </w:rPr>
            </w:pPr>
            <w:r>
              <w:drawing>
                <wp:inline distT="0" distB="0" distL="0" distR="0">
                  <wp:extent cx="5619750" cy="3362325"/>
                  <wp:effectExtent l="0" t="0" r="0" b="9525"/>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11"/>
              <w:rPr>
                <w:szCs w:val="21"/>
              </w:rPr>
            </w:pPr>
            <w:r>
              <w:rPr>
                <w:rFonts w:hint="eastAsia"/>
                <w:szCs w:val="21"/>
              </w:rPr>
              <w:t>图</w:t>
            </w:r>
            <w:r>
              <w:rPr>
                <w:szCs w:val="21"/>
              </w:rPr>
              <w:t xml:space="preserve">9    </w:t>
            </w:r>
            <w:r>
              <w:rPr>
                <w:rFonts w:hint="eastAsia"/>
                <w:szCs w:val="21"/>
              </w:rPr>
              <w:t>定城污水处理厂</w:t>
            </w:r>
            <w:r>
              <w:rPr>
                <w:szCs w:val="21"/>
              </w:rPr>
              <w:t>2019</w:t>
            </w:r>
            <w:r>
              <w:rPr>
                <w:rFonts w:hint="eastAsia"/>
                <w:szCs w:val="21"/>
              </w:rPr>
              <w:t>年</w:t>
            </w:r>
            <w:r>
              <w:rPr>
                <w:szCs w:val="21"/>
              </w:rPr>
              <w:t>1-3</w:t>
            </w:r>
            <w:r>
              <w:rPr>
                <w:rFonts w:hint="eastAsia"/>
                <w:szCs w:val="21"/>
              </w:rPr>
              <w:t>月实际出水</w:t>
            </w:r>
            <w:r>
              <w:rPr>
                <w:szCs w:val="21"/>
              </w:rPr>
              <w:t>BOD</w:t>
            </w:r>
            <w:r>
              <w:rPr>
                <w:szCs w:val="21"/>
                <w:vertAlign w:val="subscript"/>
              </w:rPr>
              <w:t>5</w:t>
            </w:r>
            <w:r>
              <w:rPr>
                <w:rFonts w:hint="eastAsia"/>
                <w:szCs w:val="21"/>
              </w:rPr>
              <w:t>（</w:t>
            </w:r>
            <w:r>
              <w:rPr>
                <w:szCs w:val="21"/>
              </w:rPr>
              <w:t>mg/L</w:t>
            </w:r>
            <w:r>
              <w:rPr>
                <w:rFonts w:hint="eastAsia"/>
                <w:szCs w:val="21"/>
              </w:rPr>
              <w:t>）</w:t>
            </w:r>
          </w:p>
          <w:p>
            <w:pPr>
              <w:pStyle w:val="111"/>
              <w:rPr>
                <w:szCs w:val="21"/>
              </w:rPr>
            </w:pPr>
          </w:p>
          <w:p>
            <w:pPr>
              <w:pStyle w:val="111"/>
              <w:rPr>
                <w:szCs w:val="21"/>
              </w:rPr>
            </w:pPr>
          </w:p>
          <w:p>
            <w:pPr>
              <w:pStyle w:val="111"/>
              <w:rPr>
                <w:szCs w:val="21"/>
              </w:rPr>
            </w:pPr>
          </w:p>
          <w:p>
            <w:pPr>
              <w:pStyle w:val="111"/>
              <w:rPr>
                <w:szCs w:val="21"/>
              </w:rPr>
            </w:pPr>
          </w:p>
          <w:p>
            <w:pPr>
              <w:pStyle w:val="111"/>
              <w:rPr>
                <w:szCs w:val="21"/>
              </w:rPr>
            </w:pPr>
            <w:r>
              <w:drawing>
                <wp:inline distT="0" distB="0" distL="0" distR="0">
                  <wp:extent cx="5619750" cy="3362325"/>
                  <wp:effectExtent l="0" t="0" r="0" b="9525"/>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11"/>
              <w:rPr>
                <w:szCs w:val="21"/>
              </w:rPr>
            </w:pPr>
            <w:r>
              <w:rPr>
                <w:rFonts w:hint="eastAsia"/>
                <w:szCs w:val="21"/>
              </w:rPr>
              <w:t>图</w:t>
            </w:r>
            <w:r>
              <w:rPr>
                <w:szCs w:val="21"/>
              </w:rPr>
              <w:t xml:space="preserve">10   </w:t>
            </w:r>
            <w:r>
              <w:rPr>
                <w:rFonts w:hint="eastAsia"/>
                <w:szCs w:val="21"/>
              </w:rPr>
              <w:t>定城污水处理厂</w:t>
            </w:r>
            <w:r>
              <w:rPr>
                <w:szCs w:val="21"/>
              </w:rPr>
              <w:t>2019</w:t>
            </w:r>
            <w:r>
              <w:rPr>
                <w:rFonts w:hint="eastAsia"/>
                <w:szCs w:val="21"/>
              </w:rPr>
              <w:t>年</w:t>
            </w:r>
            <w:r>
              <w:rPr>
                <w:szCs w:val="21"/>
              </w:rPr>
              <w:t>1-3</w:t>
            </w:r>
            <w:r>
              <w:rPr>
                <w:rFonts w:hint="eastAsia"/>
                <w:szCs w:val="21"/>
              </w:rPr>
              <w:t>月实际出水</w:t>
            </w:r>
            <w:r>
              <w:rPr>
                <w:szCs w:val="21"/>
              </w:rPr>
              <w:t>SS</w:t>
            </w:r>
            <w:r>
              <w:rPr>
                <w:rFonts w:hint="eastAsia"/>
                <w:szCs w:val="21"/>
              </w:rPr>
              <w:t>（</w:t>
            </w:r>
            <w:r>
              <w:rPr>
                <w:szCs w:val="21"/>
              </w:rPr>
              <w:t>mg/L</w:t>
            </w:r>
            <w:r>
              <w:rPr>
                <w:rFonts w:hint="eastAsia"/>
                <w:szCs w:val="21"/>
              </w:rPr>
              <w:t>）</w:t>
            </w:r>
          </w:p>
          <w:p>
            <w:pPr>
              <w:pStyle w:val="111"/>
            </w:pPr>
          </w:p>
          <w:p>
            <w:pPr>
              <w:pStyle w:val="111"/>
            </w:pPr>
          </w:p>
          <w:p>
            <w:pPr>
              <w:pStyle w:val="111"/>
            </w:pPr>
          </w:p>
          <w:p>
            <w:pPr>
              <w:pStyle w:val="111"/>
            </w:pPr>
          </w:p>
          <w:p>
            <w:pPr>
              <w:pStyle w:val="111"/>
              <w:rPr>
                <w:szCs w:val="21"/>
              </w:rPr>
            </w:pPr>
            <w:r>
              <w:drawing>
                <wp:inline distT="0" distB="0" distL="0" distR="0">
                  <wp:extent cx="5619750" cy="3362325"/>
                  <wp:effectExtent l="0" t="0" r="0" b="9525"/>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adjustRightInd w:val="0"/>
              <w:spacing w:line="360" w:lineRule="auto"/>
              <w:jc w:val="center"/>
              <w:rPr>
                <w:rFonts w:ascii="Times New Roman" w:hAnsi="Times New Roman"/>
                <w:b/>
                <w:sz w:val="24"/>
                <w:szCs w:val="24"/>
              </w:rPr>
            </w:pPr>
            <w:r>
              <w:rPr>
                <w:rFonts w:hint="eastAsia" w:ascii="Times New Roman" w:hAnsi="Times New Roman"/>
                <w:b/>
                <w:sz w:val="24"/>
                <w:szCs w:val="24"/>
              </w:rPr>
              <w:t>图</w:t>
            </w:r>
            <w:r>
              <w:rPr>
                <w:rFonts w:ascii="Times New Roman" w:hAnsi="Times New Roman"/>
                <w:b/>
                <w:sz w:val="24"/>
                <w:szCs w:val="24"/>
              </w:rPr>
              <w:t xml:space="preserve">11   </w:t>
            </w:r>
            <w:r>
              <w:rPr>
                <w:rFonts w:hint="eastAsia" w:ascii="Times New Roman" w:hAnsi="Times New Roman"/>
                <w:b/>
                <w:sz w:val="24"/>
                <w:szCs w:val="24"/>
              </w:rPr>
              <w:t>定城污水处理厂</w:t>
            </w:r>
            <w:r>
              <w:rPr>
                <w:rFonts w:ascii="Times New Roman" w:hAnsi="Times New Roman"/>
                <w:b/>
                <w:sz w:val="24"/>
                <w:szCs w:val="24"/>
              </w:rPr>
              <w:t>2019</w:t>
            </w:r>
            <w:r>
              <w:rPr>
                <w:rFonts w:hint="eastAsia" w:ascii="Times New Roman" w:hAnsi="Times New Roman"/>
                <w:b/>
                <w:sz w:val="24"/>
                <w:szCs w:val="24"/>
              </w:rPr>
              <w:t>年</w:t>
            </w:r>
            <w:r>
              <w:rPr>
                <w:rFonts w:ascii="Times New Roman" w:hAnsi="Times New Roman"/>
                <w:b/>
                <w:sz w:val="24"/>
                <w:szCs w:val="24"/>
              </w:rPr>
              <w:t>1-3</w:t>
            </w:r>
            <w:r>
              <w:rPr>
                <w:rFonts w:hint="eastAsia" w:ascii="Times New Roman" w:hAnsi="Times New Roman"/>
                <w:b/>
                <w:sz w:val="24"/>
                <w:szCs w:val="24"/>
              </w:rPr>
              <w:t>月实际出水</w:t>
            </w:r>
            <w:r>
              <w:rPr>
                <w:rFonts w:ascii="Times New Roman" w:hAnsi="Times New Roman"/>
                <w:b/>
                <w:sz w:val="24"/>
                <w:szCs w:val="24"/>
              </w:rPr>
              <w:t>NH</w:t>
            </w:r>
            <w:r>
              <w:rPr>
                <w:rFonts w:ascii="Times New Roman" w:hAnsi="Times New Roman"/>
                <w:b/>
                <w:sz w:val="24"/>
                <w:szCs w:val="24"/>
                <w:vertAlign w:val="subscript"/>
              </w:rPr>
              <w:t>3</w:t>
            </w:r>
            <w:r>
              <w:rPr>
                <w:rFonts w:ascii="Times New Roman" w:hAnsi="Times New Roman"/>
                <w:b/>
                <w:sz w:val="24"/>
                <w:szCs w:val="24"/>
              </w:rPr>
              <w:t>-N</w:t>
            </w:r>
            <w:r>
              <w:rPr>
                <w:rFonts w:hint="eastAsia" w:ascii="Times New Roman" w:hAnsi="Times New Roman"/>
                <w:b/>
                <w:sz w:val="24"/>
                <w:szCs w:val="24"/>
              </w:rPr>
              <w:t>（</w:t>
            </w:r>
            <w:r>
              <w:rPr>
                <w:rFonts w:ascii="Times New Roman" w:hAnsi="Times New Roman"/>
                <w:b/>
                <w:sz w:val="24"/>
                <w:szCs w:val="24"/>
              </w:rPr>
              <w:t>mg/L</w:t>
            </w:r>
            <w:r>
              <w:rPr>
                <w:rFonts w:hint="eastAsia" w:ascii="Times New Roman" w:hAnsi="Times New Roman"/>
                <w:b/>
                <w:sz w:val="24"/>
                <w:szCs w:val="24"/>
              </w:rPr>
              <w:t>）</w:t>
            </w:r>
          </w:p>
          <w:p>
            <w:pPr>
              <w:pStyle w:val="2"/>
            </w:pPr>
          </w:p>
          <w:p>
            <w:pPr>
              <w:pStyle w:val="2"/>
            </w:pPr>
          </w:p>
          <w:p>
            <w:pPr>
              <w:pStyle w:val="2"/>
            </w:pPr>
          </w:p>
          <w:p>
            <w:pPr>
              <w:pStyle w:val="2"/>
            </w:pPr>
          </w:p>
          <w:p>
            <w:pPr>
              <w:pStyle w:val="111"/>
              <w:rPr>
                <w:szCs w:val="21"/>
              </w:rPr>
            </w:pPr>
            <w:r>
              <w:drawing>
                <wp:inline distT="0" distB="0" distL="0" distR="0">
                  <wp:extent cx="5619750" cy="3362325"/>
                  <wp:effectExtent l="0" t="0" r="0" b="9525"/>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11"/>
              <w:rPr>
                <w:szCs w:val="21"/>
              </w:rPr>
            </w:pPr>
            <w:r>
              <w:rPr>
                <w:rFonts w:hint="eastAsia"/>
                <w:szCs w:val="21"/>
              </w:rPr>
              <w:t>图</w:t>
            </w:r>
            <w:r>
              <w:rPr>
                <w:szCs w:val="21"/>
              </w:rPr>
              <w:t xml:space="preserve">12    </w:t>
            </w:r>
            <w:r>
              <w:rPr>
                <w:rFonts w:hint="eastAsia"/>
                <w:szCs w:val="21"/>
              </w:rPr>
              <w:t>定城污水处理厂</w:t>
            </w:r>
            <w:r>
              <w:rPr>
                <w:szCs w:val="21"/>
              </w:rPr>
              <w:t>2019</w:t>
            </w:r>
            <w:r>
              <w:rPr>
                <w:rFonts w:hint="eastAsia"/>
                <w:szCs w:val="21"/>
              </w:rPr>
              <w:t>年</w:t>
            </w:r>
            <w:r>
              <w:rPr>
                <w:szCs w:val="21"/>
              </w:rPr>
              <w:t>1-3</w:t>
            </w:r>
            <w:r>
              <w:rPr>
                <w:rFonts w:hint="eastAsia"/>
                <w:szCs w:val="21"/>
              </w:rPr>
              <w:t>月实际出水</w:t>
            </w:r>
            <w:r>
              <w:rPr>
                <w:szCs w:val="21"/>
              </w:rPr>
              <w:t>TN</w:t>
            </w:r>
            <w:r>
              <w:rPr>
                <w:rFonts w:hint="eastAsia"/>
                <w:szCs w:val="21"/>
              </w:rPr>
              <w:t>（</w:t>
            </w:r>
            <w:r>
              <w:rPr>
                <w:szCs w:val="21"/>
              </w:rPr>
              <w:t>mg/L</w:t>
            </w:r>
            <w:r>
              <w:rPr>
                <w:rFonts w:hint="eastAsia"/>
                <w:szCs w:val="21"/>
              </w:rPr>
              <w:t>）</w:t>
            </w:r>
          </w:p>
          <w:p>
            <w:pPr>
              <w:pStyle w:val="111"/>
              <w:rPr>
                <w:szCs w:val="21"/>
              </w:rPr>
            </w:pPr>
          </w:p>
          <w:p>
            <w:pPr>
              <w:pStyle w:val="111"/>
              <w:rPr>
                <w:szCs w:val="21"/>
              </w:rPr>
            </w:pPr>
          </w:p>
          <w:p>
            <w:pPr>
              <w:pStyle w:val="111"/>
              <w:rPr>
                <w:szCs w:val="21"/>
              </w:rPr>
            </w:pPr>
          </w:p>
          <w:p>
            <w:pPr>
              <w:pStyle w:val="111"/>
              <w:rPr>
                <w:szCs w:val="21"/>
              </w:rPr>
            </w:pPr>
            <w:r>
              <w:drawing>
                <wp:inline distT="0" distB="0" distL="0" distR="0">
                  <wp:extent cx="5619750" cy="3362325"/>
                  <wp:effectExtent l="0" t="0" r="0" b="9525"/>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11"/>
              <w:rPr>
                <w:szCs w:val="21"/>
              </w:rPr>
            </w:pPr>
            <w:r>
              <w:rPr>
                <w:rFonts w:hint="eastAsia"/>
                <w:szCs w:val="21"/>
              </w:rPr>
              <w:t>图</w:t>
            </w:r>
            <w:r>
              <w:rPr>
                <w:szCs w:val="21"/>
              </w:rPr>
              <w:t xml:space="preserve">13   </w:t>
            </w:r>
            <w:r>
              <w:rPr>
                <w:rFonts w:hint="eastAsia"/>
                <w:szCs w:val="21"/>
              </w:rPr>
              <w:t>定城污水处理厂</w:t>
            </w:r>
            <w:r>
              <w:rPr>
                <w:szCs w:val="21"/>
              </w:rPr>
              <w:t>2019</w:t>
            </w:r>
            <w:r>
              <w:rPr>
                <w:rFonts w:hint="eastAsia"/>
                <w:szCs w:val="21"/>
              </w:rPr>
              <w:t>年</w:t>
            </w:r>
            <w:r>
              <w:rPr>
                <w:szCs w:val="21"/>
              </w:rPr>
              <w:t>1-3</w:t>
            </w:r>
            <w:r>
              <w:rPr>
                <w:rFonts w:hint="eastAsia"/>
                <w:szCs w:val="21"/>
              </w:rPr>
              <w:t>月实际出水</w:t>
            </w:r>
            <w:r>
              <w:rPr>
                <w:szCs w:val="21"/>
              </w:rPr>
              <w:t>TP</w:t>
            </w:r>
            <w:r>
              <w:rPr>
                <w:rFonts w:hint="eastAsia"/>
                <w:szCs w:val="21"/>
              </w:rPr>
              <w:t>（</w:t>
            </w:r>
            <w:r>
              <w:rPr>
                <w:szCs w:val="21"/>
              </w:rPr>
              <w:t>mg/L</w:t>
            </w:r>
            <w:r>
              <w:rPr>
                <w:rFonts w:hint="eastAsia"/>
                <w:szCs w:val="21"/>
              </w:rPr>
              <w:t>）</w:t>
            </w:r>
          </w:p>
          <w:p>
            <w:pPr>
              <w:pStyle w:val="111"/>
              <w:rPr>
                <w:szCs w:val="21"/>
              </w:rPr>
            </w:pPr>
          </w:p>
          <w:p>
            <w:pPr>
              <w:pStyle w:val="114"/>
            </w:pPr>
            <w:r>
              <w:t>2019</w:t>
            </w:r>
            <w:r>
              <w:rPr>
                <w:rFonts w:hint="eastAsia"/>
              </w:rPr>
              <w:t>年第一季度定城污水处理厂各项因子出水水质达标情况统计如下：</w:t>
            </w:r>
          </w:p>
          <w:p>
            <w:pPr>
              <w:pStyle w:val="114"/>
            </w:pPr>
            <w:r>
              <w:rPr>
                <w:rFonts w:hint="eastAsia"/>
              </w:rPr>
              <w:t>化学需氧量（</w:t>
            </w:r>
            <w:r>
              <w:t>COD</w:t>
            </w:r>
            <w:r>
              <w:rPr>
                <w:rFonts w:hint="eastAsia"/>
              </w:rPr>
              <w:t>）出水有效数据天数为</w:t>
            </w:r>
            <w:r>
              <w:t>89</w:t>
            </w:r>
            <w:r>
              <w:rPr>
                <w:rFonts w:hint="eastAsia"/>
              </w:rPr>
              <w:t>天，出水达标天数为</w:t>
            </w:r>
            <w:r>
              <w:t>59</w:t>
            </w:r>
            <w:r>
              <w:rPr>
                <w:rFonts w:hint="eastAsia"/>
              </w:rPr>
              <w:t>天，达标率为</w:t>
            </w:r>
            <w:r>
              <w:t>66.29%</w:t>
            </w:r>
            <w:r>
              <w:rPr>
                <w:rFonts w:hint="eastAsia"/>
              </w:rPr>
              <w:t>。</w:t>
            </w:r>
          </w:p>
          <w:p>
            <w:pPr>
              <w:pStyle w:val="114"/>
            </w:pPr>
            <w:r>
              <w:rPr>
                <w:rFonts w:hint="eastAsia"/>
              </w:rPr>
              <w:t>生化需氧量（</w:t>
            </w:r>
            <w:r>
              <w:t>BOD</w:t>
            </w:r>
            <w:r>
              <w:rPr>
                <w:vertAlign w:val="subscript"/>
              </w:rPr>
              <w:t>5</w:t>
            </w:r>
            <w:r>
              <w:rPr>
                <w:rFonts w:hint="eastAsia"/>
              </w:rPr>
              <w:t>）出水有效数据天数为</w:t>
            </w:r>
            <w:r>
              <w:t>65</w:t>
            </w:r>
            <w:r>
              <w:rPr>
                <w:rFonts w:hint="eastAsia"/>
              </w:rPr>
              <w:t>天，出水达标天数为</w:t>
            </w:r>
            <w:r>
              <w:t>65</w:t>
            </w:r>
            <w:r>
              <w:rPr>
                <w:rFonts w:hint="eastAsia"/>
              </w:rPr>
              <w:t>天，达标率为</w:t>
            </w:r>
            <w:r>
              <w:t>100%</w:t>
            </w:r>
            <w:r>
              <w:rPr>
                <w:rFonts w:hint="eastAsia"/>
              </w:rPr>
              <w:t>。</w:t>
            </w:r>
          </w:p>
          <w:p>
            <w:pPr>
              <w:pStyle w:val="114"/>
            </w:pPr>
            <w:r>
              <w:rPr>
                <w:rFonts w:hint="eastAsia"/>
              </w:rPr>
              <w:t>固体悬浮物（</w:t>
            </w:r>
            <w:r>
              <w:t>SS</w:t>
            </w:r>
            <w:r>
              <w:rPr>
                <w:rFonts w:hint="eastAsia"/>
              </w:rPr>
              <w:t>）出水有效数据天数为</w:t>
            </w:r>
            <w:r>
              <w:t>90</w:t>
            </w:r>
            <w:r>
              <w:rPr>
                <w:rFonts w:hint="eastAsia"/>
              </w:rPr>
              <w:t>天，出水达标天数为</w:t>
            </w:r>
            <w:r>
              <w:t>75</w:t>
            </w:r>
            <w:r>
              <w:rPr>
                <w:rFonts w:hint="eastAsia"/>
              </w:rPr>
              <w:t>天，达标率为</w:t>
            </w:r>
            <w:r>
              <w:t>83.33%</w:t>
            </w:r>
            <w:r>
              <w:rPr>
                <w:rFonts w:hint="eastAsia"/>
              </w:rPr>
              <w:t>。</w:t>
            </w:r>
          </w:p>
          <w:p>
            <w:pPr>
              <w:pStyle w:val="114"/>
            </w:pPr>
            <w:r>
              <w:rPr>
                <w:rFonts w:hint="eastAsia"/>
              </w:rPr>
              <w:t>氨氮（</w:t>
            </w:r>
            <w:r>
              <w:t>NH</w:t>
            </w:r>
            <w:r>
              <w:rPr>
                <w:vertAlign w:val="subscript"/>
              </w:rPr>
              <w:t>3</w:t>
            </w:r>
            <w:r>
              <w:t>-N</w:t>
            </w:r>
            <w:r>
              <w:rPr>
                <w:rFonts w:hint="eastAsia"/>
              </w:rPr>
              <w:t>）出水有效数据天数为</w:t>
            </w:r>
            <w:r>
              <w:t>90</w:t>
            </w:r>
            <w:r>
              <w:rPr>
                <w:rFonts w:hint="eastAsia"/>
              </w:rPr>
              <w:t>天，出水达标天数为</w:t>
            </w:r>
            <w:r>
              <w:t>0</w:t>
            </w:r>
            <w:r>
              <w:rPr>
                <w:rFonts w:hint="eastAsia"/>
              </w:rPr>
              <w:t>天，达标率为</w:t>
            </w:r>
            <w:r>
              <w:t>0%</w:t>
            </w:r>
            <w:r>
              <w:rPr>
                <w:rFonts w:hint="eastAsia"/>
              </w:rPr>
              <w:t>。</w:t>
            </w:r>
          </w:p>
          <w:p>
            <w:pPr>
              <w:pStyle w:val="114"/>
            </w:pPr>
            <w:r>
              <w:rPr>
                <w:rFonts w:hint="eastAsia"/>
              </w:rPr>
              <w:t>总磷（</w:t>
            </w:r>
            <w:r>
              <w:t>TP</w:t>
            </w:r>
            <w:r>
              <w:rPr>
                <w:rFonts w:hint="eastAsia"/>
              </w:rPr>
              <w:t>）出水有效数据天数为</w:t>
            </w:r>
            <w:r>
              <w:t>90</w:t>
            </w:r>
            <w:r>
              <w:rPr>
                <w:rFonts w:hint="eastAsia"/>
              </w:rPr>
              <w:t>天，出水达标天数为</w:t>
            </w:r>
            <w:r>
              <w:t>62</w:t>
            </w:r>
            <w:r>
              <w:rPr>
                <w:rFonts w:hint="eastAsia"/>
              </w:rPr>
              <w:t>天，达标率为</w:t>
            </w:r>
            <w:r>
              <w:t>68.89%</w:t>
            </w:r>
            <w:r>
              <w:rPr>
                <w:rFonts w:hint="eastAsia"/>
              </w:rPr>
              <w:t>。</w:t>
            </w:r>
          </w:p>
          <w:p>
            <w:pPr>
              <w:pStyle w:val="114"/>
            </w:pPr>
            <w:r>
              <w:rPr>
                <w:rFonts w:hint="eastAsia"/>
              </w:rPr>
              <w:t>总氮（</w:t>
            </w:r>
            <w:r>
              <w:t>TN</w:t>
            </w:r>
            <w:r>
              <w:rPr>
                <w:rFonts w:hint="eastAsia"/>
              </w:rPr>
              <w:t>）出水有效数据天数为</w:t>
            </w:r>
            <w:r>
              <w:t>90</w:t>
            </w:r>
            <w:r>
              <w:rPr>
                <w:rFonts w:hint="eastAsia"/>
              </w:rPr>
              <w:t>天，出水达标天数为</w:t>
            </w:r>
            <w:r>
              <w:t>1</w:t>
            </w:r>
            <w:r>
              <w:rPr>
                <w:rFonts w:hint="eastAsia"/>
              </w:rPr>
              <w:t>天，达标率为</w:t>
            </w:r>
            <w:r>
              <w:t>1.11%</w:t>
            </w:r>
            <w:r>
              <w:rPr>
                <w:rFonts w:hint="eastAsia"/>
              </w:rPr>
              <w:t>。</w:t>
            </w:r>
          </w:p>
          <w:p>
            <w:pPr>
              <w:pStyle w:val="90"/>
              <w:snapToGrid w:val="0"/>
              <w:spacing w:line="360" w:lineRule="auto"/>
              <w:ind w:firstLine="480"/>
              <w:rPr>
                <w:rFonts w:ascii="Times New Roman" w:hAnsi="Times New Roman"/>
                <w:b/>
                <w:bCs/>
                <w:spacing w:val="0"/>
                <w:sz w:val="24"/>
                <w:szCs w:val="24"/>
              </w:rPr>
            </w:pPr>
            <w:r>
              <w:rPr>
                <w:rFonts w:ascii="Times New Roman" w:hAnsi="Times New Roman"/>
                <w:b/>
                <w:bCs/>
                <w:spacing w:val="0"/>
                <w:sz w:val="24"/>
                <w:szCs w:val="24"/>
              </w:rPr>
              <w:t>3</w:t>
            </w:r>
            <w:r>
              <w:rPr>
                <w:rFonts w:hint="eastAsia" w:ascii="Times New Roman" w:hAnsi="Times New Roman"/>
                <w:b/>
                <w:bCs/>
                <w:spacing w:val="0"/>
                <w:sz w:val="24"/>
                <w:szCs w:val="24"/>
              </w:rPr>
              <w:t>、超标原因分析</w:t>
            </w:r>
          </w:p>
          <w:p>
            <w:pPr>
              <w:pStyle w:val="114"/>
            </w:pPr>
            <w:r>
              <w:rPr>
                <w:rFonts w:hint="eastAsia"/>
              </w:rPr>
              <w:t>一期排水超标的原因主要有以下几点：</w:t>
            </w:r>
          </w:p>
          <w:p>
            <w:pPr>
              <w:pStyle w:val="114"/>
            </w:pPr>
            <w:r>
              <w:rPr>
                <w:rFonts w:hint="eastAsia"/>
              </w:rPr>
              <w:t>①长期的进水指标远超设计值是造成污水厂排水超标的主要原因；</w:t>
            </w:r>
          </w:p>
          <w:p>
            <w:pPr>
              <w:pStyle w:val="114"/>
            </w:pPr>
            <w:r>
              <w:rPr>
                <w:rFonts w:hint="eastAsia"/>
              </w:rPr>
              <w:t>②进水负荷远超设计值，导致生化系统污泥量激增。污水厂现有污泥脱水系统处理能力无法满足要求，导致污水厂生化系统无法正常排放剩余污泥。长期无法正常排泥导致生化系统中的微生物老化、解体，严重影响处理效果，导致排水超标；</w:t>
            </w:r>
          </w:p>
          <w:p>
            <w:pPr>
              <w:pStyle w:val="114"/>
            </w:pPr>
            <w:r>
              <w:rPr>
                <w:rFonts w:hint="eastAsia"/>
              </w:rPr>
              <w:t>③由于定安污水厂无备份系统，单线长期超负荷运行导致生化系统中的核心设备如曝气系统的损坏且无法停产检修导致定城污水厂生化系统接近瘫痪，导致出水无法达标。</w:t>
            </w:r>
          </w:p>
          <w:p>
            <w:pPr>
              <w:pStyle w:val="90"/>
              <w:snapToGrid w:val="0"/>
              <w:spacing w:line="360" w:lineRule="auto"/>
              <w:ind w:firstLine="480"/>
              <w:rPr>
                <w:rFonts w:ascii="Times New Roman" w:hAnsi="Times New Roman"/>
                <w:b/>
                <w:bCs/>
                <w:spacing w:val="0"/>
                <w:sz w:val="24"/>
                <w:szCs w:val="24"/>
              </w:rPr>
            </w:pPr>
            <w:r>
              <w:rPr>
                <w:rFonts w:hint="eastAsia" w:ascii="Times New Roman" w:hAnsi="Times New Roman"/>
                <w:b/>
                <w:bCs/>
                <w:spacing w:val="0"/>
                <w:sz w:val="24"/>
                <w:szCs w:val="24"/>
              </w:rPr>
              <w:t>三、现有问题整改情况</w:t>
            </w:r>
          </w:p>
          <w:p>
            <w:pPr>
              <w:pStyle w:val="2"/>
              <w:spacing w:line="360" w:lineRule="auto"/>
              <w:ind w:firstLine="482" w:firstLineChars="200"/>
              <w:rPr>
                <w:b/>
              </w:rPr>
            </w:pPr>
            <w:r>
              <w:rPr>
                <w:b/>
              </w:rPr>
              <w:t>1</w:t>
            </w:r>
            <w:r>
              <w:rPr>
                <w:rFonts w:hint="eastAsia"/>
                <w:b/>
              </w:rPr>
              <w:t>、整改工程</w:t>
            </w:r>
          </w:p>
          <w:p>
            <w:pPr>
              <w:pStyle w:val="2"/>
              <w:spacing w:line="360" w:lineRule="auto"/>
              <w:ind w:firstLine="480" w:firstLineChars="200"/>
            </w:pPr>
            <w:r>
              <w:rPr>
                <w:rFonts w:hint="eastAsia"/>
              </w:rPr>
              <w:t>为解决污水处理厂尾水超标排放问题，建设单位于</w:t>
            </w:r>
            <w:r>
              <w:t>2019</w:t>
            </w:r>
            <w:r>
              <w:rPr>
                <w:rFonts w:hint="eastAsia"/>
              </w:rPr>
              <w:t>年</w:t>
            </w:r>
            <w:r>
              <w:t>2-8</w:t>
            </w:r>
            <w:r>
              <w:rPr>
                <w:rFonts w:hint="eastAsia"/>
              </w:rPr>
              <w:t>月对一期工程进行以下</w:t>
            </w:r>
            <w:r>
              <w:t>4</w:t>
            </w:r>
            <w:r>
              <w:rPr>
                <w:rFonts w:hint="eastAsia"/>
              </w:rPr>
              <w:t>项整改措施：</w:t>
            </w:r>
          </w:p>
          <w:p>
            <w:pPr>
              <w:pStyle w:val="114"/>
            </w:pPr>
            <w:r>
              <w:rPr>
                <w:rFonts w:hint="eastAsia"/>
              </w:rPr>
              <w:t>（</w:t>
            </w:r>
            <w:r>
              <w:t>1</w:t>
            </w:r>
            <w:r>
              <w:rPr>
                <w:rFonts w:hint="eastAsia"/>
              </w:rPr>
              <w:t>）曝气系统提升改造工程</w:t>
            </w:r>
          </w:p>
          <w:p>
            <w:pPr>
              <w:pStyle w:val="114"/>
            </w:pPr>
            <w:r>
              <w:rPr>
                <w:rFonts w:hint="eastAsia"/>
              </w:rPr>
              <w:t>一期工程现有主要曝气器为微孔曝气管。微孔曝气器材在长期使用过程中出现损耗、曝气疲软、微孔扩大等致使传氧不足、曝气不均，直接影响曝气效果，最终导致出现污水厂氨氮出水超标情况。</w:t>
            </w:r>
          </w:p>
          <w:p>
            <w:pPr>
              <w:pStyle w:val="114"/>
            </w:pPr>
            <w:r>
              <w:rPr>
                <w:rFonts w:hint="eastAsia"/>
              </w:rPr>
              <w:t>本次整改选择可提升式微孔曝气器作为曝气主材，在同等进水指标条件下，出水效果较传统工艺优；微氧条件下，</w:t>
            </w:r>
            <w:r>
              <w:t>COD</w:t>
            </w:r>
            <w:r>
              <w:rPr>
                <w:rFonts w:hint="eastAsia"/>
              </w:rPr>
              <w:t>去除效果好；氨氮、总氮去除彻底；除磷在绝氧条件下更加充分。可提升式微孔曝气器，理化性质稳定，寿命长；均匀打孔，孔径均匀细微，拓展出来的气泡直径小，因而，具有较高的传质速率，充氧的效率比较高，这样与其它现行曝气设备比较，能够大大节约电耗，降低污水处理的运营成本。</w:t>
            </w:r>
          </w:p>
          <w:p>
            <w:pPr>
              <w:pStyle w:val="2"/>
              <w:spacing w:line="360" w:lineRule="auto"/>
              <w:ind w:firstLine="480" w:firstLineChars="200"/>
            </w:pPr>
            <w:r>
              <w:rPr>
                <w:rFonts w:hint="eastAsia"/>
              </w:rPr>
              <w:t>（</w:t>
            </w:r>
            <w:r>
              <w:t>2</w:t>
            </w:r>
            <w:r>
              <w:rPr>
                <w:rFonts w:hint="eastAsia"/>
              </w:rPr>
              <w:t>）新增高效菌种投加系统</w:t>
            </w:r>
          </w:p>
          <w:p>
            <w:pPr>
              <w:pStyle w:val="114"/>
            </w:pPr>
            <w:r>
              <w:rPr>
                <w:rFonts w:hint="eastAsia"/>
              </w:rPr>
              <w:t>原有曝气池内硝化菌群活性不足，直接引起出水氨氮超标。本次整改采用向生化系统投加高效菌种来增强生化系统处理能力</w:t>
            </w:r>
            <w:r>
              <w:rPr>
                <w:rFonts w:hint="eastAsia"/>
                <w:sz w:val="28"/>
              </w:rPr>
              <w:t>，</w:t>
            </w:r>
            <w:r>
              <w:rPr>
                <w:rFonts w:hint="eastAsia"/>
              </w:rPr>
              <w:t>扩大污泥微生物对氨氮的去除效率。</w:t>
            </w:r>
          </w:p>
          <w:p>
            <w:pPr>
              <w:pStyle w:val="2"/>
              <w:spacing w:line="360" w:lineRule="auto"/>
              <w:ind w:firstLine="480" w:firstLineChars="200"/>
            </w:pPr>
            <w:r>
              <w:rPr>
                <w:rFonts w:hint="eastAsia"/>
              </w:rPr>
              <w:t>（</w:t>
            </w:r>
            <w:r>
              <w:t>3</w:t>
            </w:r>
            <w:r>
              <w:rPr>
                <w:rFonts w:hint="eastAsia"/>
              </w:rPr>
              <w:t>）硝化液回流泵更换</w:t>
            </w:r>
          </w:p>
          <w:p>
            <w:pPr>
              <w:pStyle w:val="2"/>
              <w:spacing w:line="360" w:lineRule="auto"/>
              <w:ind w:firstLine="480" w:firstLineChars="200"/>
            </w:pPr>
            <w:r>
              <w:rPr>
                <w:rFonts w:hint="eastAsia"/>
              </w:rPr>
              <w:t>原有硝化液回流泵设备老旧，故障频出，回流量不足，导致反硝化不能完全反应，严重影响污水厂正常生产运营。本次整改拆除老旧回流泵，更换为新</w:t>
            </w:r>
            <w:r>
              <w:t>LSW200-200 Q=200 N=15KW</w:t>
            </w:r>
            <w:r>
              <w:rPr>
                <w:rFonts w:hint="eastAsia"/>
              </w:rPr>
              <w:t>离心泵。</w:t>
            </w:r>
          </w:p>
          <w:p>
            <w:pPr>
              <w:pStyle w:val="2"/>
              <w:spacing w:line="360" w:lineRule="auto"/>
              <w:ind w:firstLine="480" w:firstLineChars="200"/>
            </w:pPr>
            <w:r>
              <w:rPr>
                <w:rFonts w:hint="eastAsia"/>
              </w:rPr>
              <w:t>（</w:t>
            </w:r>
            <w:r>
              <w:t>4</w:t>
            </w:r>
            <w:r>
              <w:rPr>
                <w:rFonts w:hint="eastAsia"/>
              </w:rPr>
              <w:t>）新增污泥压滤系统</w:t>
            </w:r>
          </w:p>
          <w:p>
            <w:pPr>
              <w:pStyle w:val="114"/>
            </w:pPr>
            <w:r>
              <w:rPr>
                <w:rFonts w:hint="eastAsia"/>
              </w:rPr>
              <w:t>原有污泥脱水工艺为普通机械脱水，脱水后的污泥含水率约为</w:t>
            </w:r>
            <w:r>
              <w:t>78%</w:t>
            </w:r>
            <w:r>
              <w:rPr>
                <w:rFonts w:hint="eastAsia"/>
              </w:rPr>
              <w:t>，每天产生的量约为</w:t>
            </w:r>
            <w:r>
              <w:t>15</w:t>
            </w:r>
            <w:r>
              <w:rPr>
                <w:rFonts w:hint="eastAsia"/>
              </w:rPr>
              <w:t>吨。由于现有污泥脱水机无法满足现有剩余污泥的处置量，处理后的污泥含水率高，无法直接进行填埋处理。污泥处理能力的不足及后续无法填埋会造成生化系统的剩余污泥无法及时排出并处置。</w:t>
            </w:r>
          </w:p>
          <w:p>
            <w:pPr>
              <w:pStyle w:val="114"/>
            </w:pPr>
            <w:r>
              <w:rPr>
                <w:rFonts w:hint="eastAsia"/>
              </w:rPr>
              <w:t>为解决此问题，本次整改新增污泥压滤系统，增设两台</w:t>
            </w:r>
            <w:r>
              <w:t>250</w:t>
            </w:r>
            <w:r>
              <w:rPr>
                <w:rFonts w:hint="eastAsia"/>
              </w:rPr>
              <w:t>㎡的高压板框压滤机及配套的污泥调质设备。新增的污泥板框压滤机采用机、电一体化设计制造，控制系统采用</w:t>
            </w:r>
            <w:r>
              <w:t>PLC</w:t>
            </w:r>
            <w:r>
              <w:rPr>
                <w:rFonts w:hint="eastAsia"/>
              </w:rPr>
              <w:t>编程控制，自动化程度高。</w:t>
            </w:r>
          </w:p>
          <w:p>
            <w:pPr>
              <w:pStyle w:val="114"/>
              <w:ind w:firstLine="482"/>
              <w:rPr>
                <w:b/>
              </w:rPr>
            </w:pPr>
            <w:r>
              <w:rPr>
                <w:b/>
              </w:rPr>
              <w:t>2</w:t>
            </w:r>
            <w:r>
              <w:rPr>
                <w:rFonts w:hint="eastAsia"/>
                <w:b/>
              </w:rPr>
              <w:t>、整改进度表</w:t>
            </w:r>
          </w:p>
          <w:p>
            <w:pPr>
              <w:pStyle w:val="111"/>
            </w:pPr>
            <w:r>
              <w:rPr>
                <w:rFonts w:hint="eastAsia"/>
              </w:rPr>
              <w:t>表</w:t>
            </w:r>
            <w:r>
              <w:t>1-18</w:t>
            </w:r>
            <w:r>
              <w:rPr>
                <w:rFonts w:hint="eastAsia"/>
              </w:rPr>
              <w:t>整改施工计划进度表</w:t>
            </w:r>
          </w:p>
          <w:tbl>
            <w:tblPr>
              <w:tblStyle w:val="37"/>
              <w:tblW w:w="89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87"/>
              <w:gridCol w:w="854"/>
              <w:gridCol w:w="854"/>
              <w:gridCol w:w="854"/>
              <w:gridCol w:w="855"/>
              <w:gridCol w:w="855"/>
              <w:gridCol w:w="855"/>
              <w:gridCol w:w="855"/>
              <w:gridCol w:w="9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8" w:hRule="atLeast"/>
              </w:trPr>
              <w:tc>
                <w:tcPr>
                  <w:tcW w:w="2087" w:type="dxa"/>
                  <w:tcBorders>
                    <w:top w:val="single" w:color="auto" w:sz="12" w:space="0"/>
                    <w:left w:val="single" w:color="auto" w:sz="12" w:space="0"/>
                    <w:bottom w:val="double" w:color="auto" w:sz="4" w:space="0"/>
                    <w:right w:val="single" w:color="auto" w:sz="6" w:space="0"/>
                    <w:tl2br w:val="single" w:color="auto" w:sz="12" w:space="0"/>
                  </w:tcBorders>
                  <w:vAlign w:val="center"/>
                </w:tcPr>
                <w:p>
                  <w:pPr>
                    <w:jc w:val="center"/>
                    <w:rPr>
                      <w:rFonts w:ascii="Times New Roman" w:hAnsi="Times New Roman"/>
                    </w:rPr>
                  </w:pPr>
                  <w:r>
                    <w:rPr>
                      <w:rFonts w:ascii="Times New Roman" w:hAnsi="Times New Roman"/>
                    </w:rPr>
                    <w:t xml:space="preserve"> </w:t>
                  </w:r>
                  <w:r>
                    <w:rPr>
                      <w:rFonts w:hint="eastAsia" w:ascii="Times New Roman" w:hAnsi="Times New Roman"/>
                    </w:rPr>
                    <w:t>项目</w:t>
                  </w:r>
                  <w:r>
                    <w:rPr>
                      <w:rFonts w:ascii="Times New Roman" w:hAnsi="Times New Roman"/>
                    </w:rPr>
                    <w:t xml:space="preserve">         </w:t>
                  </w:r>
                  <w:r>
                    <w:rPr>
                      <w:rFonts w:hint="eastAsia" w:ascii="Times New Roman" w:hAnsi="Times New Roman"/>
                    </w:rPr>
                    <w:t>时间</w:t>
                  </w:r>
                </w:p>
              </w:tc>
              <w:tc>
                <w:tcPr>
                  <w:tcW w:w="854"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rPr>
                  </w:pPr>
                  <w:r>
                    <w:rPr>
                      <w:rFonts w:ascii="Times New Roman" w:hAnsi="Times New Roman"/>
                    </w:rPr>
                    <w:t>2019.2</w:t>
                  </w:r>
                </w:p>
              </w:tc>
              <w:tc>
                <w:tcPr>
                  <w:tcW w:w="854"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rPr>
                  </w:pPr>
                  <w:r>
                    <w:rPr>
                      <w:rFonts w:ascii="Times New Roman" w:hAnsi="Times New Roman"/>
                    </w:rPr>
                    <w:t>2019.3</w:t>
                  </w:r>
                </w:p>
              </w:tc>
              <w:tc>
                <w:tcPr>
                  <w:tcW w:w="854"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rPr>
                  </w:pPr>
                  <w:r>
                    <w:rPr>
                      <w:rFonts w:ascii="Times New Roman" w:hAnsi="Times New Roman"/>
                    </w:rPr>
                    <w:t>2019.4</w:t>
                  </w:r>
                </w:p>
              </w:tc>
              <w:tc>
                <w:tcPr>
                  <w:tcW w:w="855"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rPr>
                  </w:pPr>
                  <w:r>
                    <w:rPr>
                      <w:rFonts w:ascii="Times New Roman" w:hAnsi="Times New Roman"/>
                    </w:rPr>
                    <w:t>2019.5</w:t>
                  </w:r>
                </w:p>
              </w:tc>
              <w:tc>
                <w:tcPr>
                  <w:tcW w:w="855"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rPr>
                  </w:pPr>
                  <w:r>
                    <w:rPr>
                      <w:rFonts w:ascii="Times New Roman" w:hAnsi="Times New Roman"/>
                    </w:rPr>
                    <w:t>2019.6</w:t>
                  </w:r>
                </w:p>
              </w:tc>
              <w:tc>
                <w:tcPr>
                  <w:tcW w:w="855"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rPr>
                  </w:pPr>
                  <w:r>
                    <w:rPr>
                      <w:rFonts w:ascii="Times New Roman" w:hAnsi="Times New Roman"/>
                    </w:rPr>
                    <w:t>2019.7</w:t>
                  </w:r>
                </w:p>
              </w:tc>
              <w:tc>
                <w:tcPr>
                  <w:tcW w:w="855"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rPr>
                  </w:pPr>
                  <w:r>
                    <w:rPr>
                      <w:rFonts w:ascii="Times New Roman" w:hAnsi="Times New Roman"/>
                    </w:rPr>
                    <w:t>2019.8</w:t>
                  </w:r>
                </w:p>
              </w:tc>
              <w:tc>
                <w:tcPr>
                  <w:tcW w:w="907" w:type="dxa"/>
                  <w:tcBorders>
                    <w:top w:val="single" w:color="auto" w:sz="12" w:space="0"/>
                    <w:left w:val="single" w:color="auto" w:sz="6" w:space="0"/>
                    <w:bottom w:val="double" w:color="auto" w:sz="4" w:space="0"/>
                    <w:right w:val="single" w:color="auto" w:sz="12" w:space="0"/>
                  </w:tcBorders>
                  <w:vAlign w:val="center"/>
                </w:tcPr>
                <w:p>
                  <w:pPr>
                    <w:jc w:val="center"/>
                    <w:rPr>
                      <w:rFonts w:ascii="Times New Roman" w:hAnsi="Times New Roman"/>
                    </w:rPr>
                  </w:pPr>
                  <w:r>
                    <w:rPr>
                      <w:rFonts w:hint="eastAsia" w:ascii="Times New Roman" w:hAnsi="Times New Roma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trPr>
              <w:tc>
                <w:tcPr>
                  <w:tcW w:w="2087" w:type="dxa"/>
                  <w:tcBorders>
                    <w:top w:val="double" w:color="auto" w:sz="4" w:space="0"/>
                    <w:left w:val="single" w:color="auto" w:sz="12" w:space="0"/>
                    <w:bottom w:val="single" w:color="auto" w:sz="6" w:space="0"/>
                    <w:right w:val="single" w:color="auto" w:sz="6" w:space="0"/>
                  </w:tcBorders>
                  <w:vAlign w:val="center"/>
                </w:tcPr>
                <w:p>
                  <w:pPr>
                    <w:jc w:val="center"/>
                    <w:rPr>
                      <w:rFonts w:ascii="Times New Roman" w:hAnsi="Times New Roman"/>
                    </w:rPr>
                  </w:pPr>
                  <w:r>
                    <w:rPr>
                      <w:rFonts w:hint="eastAsia" w:ascii="Times New Roman" w:hAnsi="Times New Roman"/>
                    </w:rPr>
                    <w:t>曝气管道预制</w:t>
                  </w:r>
                </w:p>
              </w:tc>
              <w:tc>
                <w:tcPr>
                  <w:tcW w:w="854"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rPr>
                  </w:pPr>
                  <w:r>
                    <mc:AlternateContent>
                      <mc:Choice Requires="wps">
                        <w:drawing>
                          <wp:anchor distT="0" distB="0" distL="114300" distR="114300" simplePos="0" relativeHeight="251651072" behindDoc="0" locked="0" layoutInCell="1" allowOverlap="1">
                            <wp:simplePos x="0" y="0"/>
                            <wp:positionH relativeFrom="column">
                              <wp:posOffset>-32385</wp:posOffset>
                            </wp:positionH>
                            <wp:positionV relativeFrom="paragraph">
                              <wp:posOffset>110490</wp:posOffset>
                            </wp:positionV>
                            <wp:extent cx="535940" cy="6350"/>
                            <wp:effectExtent l="10795" t="13335" r="5715" b="8890"/>
                            <wp:wrapNone/>
                            <wp:docPr id="38" name="直接连接符 9"/>
                            <wp:cNvGraphicFramePr/>
                            <a:graphic xmlns:a="http://schemas.openxmlformats.org/drawingml/2006/main">
                              <a:graphicData uri="http://schemas.microsoft.com/office/word/2010/wordprocessingShape">
                                <wps:wsp>
                                  <wps:cNvCnPr>
                                    <a:cxnSpLocks noChangeShapeType="1"/>
                                  </wps:cNvCnPr>
                                  <wps:spPr bwMode="auto">
                                    <a:xfrm flipV="1">
                                      <a:off x="0" y="0"/>
                                      <a:ext cx="535940" cy="6350"/>
                                    </a:xfrm>
                                    <a:prstGeom prst="line">
                                      <a:avLst/>
                                    </a:prstGeom>
                                    <a:noFill/>
                                    <a:ln w="9525">
                                      <a:solidFill>
                                        <a:srgbClr val="000000"/>
                                      </a:solidFill>
                                      <a:round/>
                                    </a:ln>
                                  </wps:spPr>
                                  <wps:bodyPr/>
                                </wps:wsp>
                              </a:graphicData>
                            </a:graphic>
                          </wp:anchor>
                        </w:drawing>
                      </mc:Choice>
                      <mc:Fallback>
                        <w:pict>
                          <v:line id="直接连接符 9" o:spid="_x0000_s1026" o:spt="20" style="position:absolute;left:0pt;flip:y;margin-left:-2.55pt;margin-top:8.7pt;height:0.5pt;width:42.2pt;z-index:251651072;mso-width-relative:page;mso-height-relative:page;" filled="f" stroked="t" coordsize="21600,21600" o:gfxdata="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awstUAAAAHAQAADwAAAAAAAAABACAAAAAi&#10;AAAAZHJzL2Rvd25yZXYueG1sUEsBAhQAFAAAAAgAh07iQCBplGjUAQAAaQMAAA4AAAAAAAAAAQAg&#10;AAAAJAEAAGRycy9lMm9Eb2MueG1sUEsFBgAAAAAGAAYAWQEAAGoFAAAAAA==&#10;">
                            <v:fill on="f" focussize="0,0"/>
                            <v:stroke color="#000000" joinstyle="round"/>
                            <v:imagedata o:title=""/>
                            <o:lock v:ext="edit" aspectratio="f"/>
                          </v:line>
                        </w:pict>
                      </mc:Fallback>
                    </mc:AlternateContent>
                  </w:r>
                </w:p>
              </w:tc>
              <w:tc>
                <w:tcPr>
                  <w:tcW w:w="855"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907" w:type="dxa"/>
                  <w:vMerge w:val="restart"/>
                  <w:tcBorders>
                    <w:top w:val="double" w:color="auto" w:sz="4" w:space="0"/>
                    <w:left w:val="single" w:color="auto" w:sz="6" w:space="0"/>
                    <w:bottom w:val="single" w:color="auto" w:sz="6" w:space="0"/>
                    <w:right w:val="single" w:color="auto" w:sz="12" w:space="0"/>
                  </w:tcBorders>
                  <w:vAlign w:val="center"/>
                </w:tcPr>
                <w:p>
                  <w:pPr>
                    <w:jc w:val="center"/>
                    <w:rPr>
                      <w:rFonts w:ascii="Times New Roman" w:hAnsi="Times New Roman"/>
                    </w:rPr>
                  </w:pPr>
                  <w:r>
                    <w:rPr>
                      <w:rFonts w:hint="eastAsia" w:ascii="Times New Roman" w:hAnsi="Times New Roman"/>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2087"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rPr>
                  </w:pPr>
                  <w:r>
                    <w:rPr>
                      <w:rFonts w:hint="eastAsia" w:ascii="Times New Roman" w:hAnsi="Times New Roman"/>
                    </w:rPr>
                    <w:t>曝气直管安装</w:t>
                  </w: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r>
                    <mc:AlternateContent>
                      <mc:Choice Requires="wps">
                        <w:drawing>
                          <wp:anchor distT="0" distB="0" distL="114300" distR="114300" simplePos="0" relativeHeight="251653120" behindDoc="0" locked="0" layoutInCell="1" allowOverlap="1">
                            <wp:simplePos x="0" y="0"/>
                            <wp:positionH relativeFrom="column">
                              <wp:posOffset>-300355</wp:posOffset>
                            </wp:positionH>
                            <wp:positionV relativeFrom="paragraph">
                              <wp:posOffset>120015</wp:posOffset>
                            </wp:positionV>
                            <wp:extent cx="489585" cy="1270"/>
                            <wp:effectExtent l="13335" t="13335" r="11430" b="13970"/>
                            <wp:wrapNone/>
                            <wp:docPr id="37" name="直接连接符 8"/>
                            <wp:cNvGraphicFramePr/>
                            <a:graphic xmlns:a="http://schemas.openxmlformats.org/drawingml/2006/main">
                              <a:graphicData uri="http://schemas.microsoft.com/office/word/2010/wordprocessingShape">
                                <wps:wsp>
                                  <wps:cNvCnPr>
                                    <a:cxnSpLocks noChangeShapeType="1"/>
                                  </wps:cNvCnPr>
                                  <wps:spPr bwMode="auto">
                                    <a:xfrm flipV="1">
                                      <a:off x="0" y="0"/>
                                      <a:ext cx="489585" cy="1270"/>
                                    </a:xfrm>
                                    <a:prstGeom prst="line">
                                      <a:avLst/>
                                    </a:prstGeom>
                                    <a:noFill/>
                                    <a:ln w="9525">
                                      <a:solidFill>
                                        <a:srgbClr val="000000"/>
                                      </a:solidFill>
                                      <a:round/>
                                    </a:ln>
                                  </wps:spPr>
                                  <wps:bodyPr/>
                                </wps:wsp>
                              </a:graphicData>
                            </a:graphic>
                          </wp:anchor>
                        </w:drawing>
                      </mc:Choice>
                      <mc:Fallback>
                        <w:pict>
                          <v:line id="直接连接符 8" o:spid="_x0000_s1026" o:spt="20" style="position:absolute;left:0pt;flip:y;margin-left:-23.65pt;margin-top:9.45pt;height:0.1pt;width:38.55pt;z-index:251653120;mso-width-relative:page;mso-height-relative:page;" filled="f" stroked="t" coordsize="21600,21600" o:gfxdata="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KKBQ9UAAAAIAQAADwAAAAAAAAABACAAAAAi&#10;AAAAZHJzL2Rvd25yZXYueG1sUEsBAhQAFAAAAAgAh07iQDDOhOnUAQAAaQMAAA4AAAAAAAAAAQAg&#10;AAAAJAEAAGRycy9lMm9Eb2MueG1sUEsFBgAAAAAGAAYAWQEAAGoFAAAAAA==&#10;">
                            <v:fill on="f" focussize="0,0"/>
                            <v:stroke color="#000000" joinstyle="round"/>
                            <v:imagedata o:title=""/>
                            <o:lock v:ext="edit" aspectratio="f"/>
                          </v:line>
                        </w:pict>
                      </mc:Fallback>
                    </mc:AlternateContent>
                  </w: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907"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2" w:hRule="atLeast"/>
              </w:trPr>
              <w:tc>
                <w:tcPr>
                  <w:tcW w:w="2087"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rPr>
                  </w:pPr>
                  <w:r>
                    <w:rPr>
                      <w:rFonts w:hint="eastAsia" w:ascii="Times New Roman" w:hAnsi="Times New Roman"/>
                    </w:rPr>
                    <w:t>曝气器检查更换</w:t>
                  </w: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r>
                    <mc:AlternateContent>
                      <mc:Choice Requires="wps">
                        <w:drawing>
                          <wp:anchor distT="0" distB="0" distL="114300" distR="114300" simplePos="0" relativeHeight="251658240" behindDoc="0" locked="0" layoutInCell="1" allowOverlap="1">
                            <wp:simplePos x="0" y="0"/>
                            <wp:positionH relativeFrom="column">
                              <wp:posOffset>-339090</wp:posOffset>
                            </wp:positionH>
                            <wp:positionV relativeFrom="paragraph">
                              <wp:posOffset>143510</wp:posOffset>
                            </wp:positionV>
                            <wp:extent cx="489585" cy="1270"/>
                            <wp:effectExtent l="6985" t="8255" r="8255" b="9525"/>
                            <wp:wrapNone/>
                            <wp:docPr id="36" name="直接连接符 7"/>
                            <wp:cNvGraphicFramePr/>
                            <a:graphic xmlns:a="http://schemas.openxmlformats.org/drawingml/2006/main">
                              <a:graphicData uri="http://schemas.microsoft.com/office/word/2010/wordprocessingShape">
                                <wps:wsp>
                                  <wps:cNvCnPr>
                                    <a:cxnSpLocks noChangeShapeType="1"/>
                                  </wps:cNvCnPr>
                                  <wps:spPr bwMode="auto">
                                    <a:xfrm flipV="1">
                                      <a:off x="0" y="0"/>
                                      <a:ext cx="489585" cy="1270"/>
                                    </a:xfrm>
                                    <a:prstGeom prst="line">
                                      <a:avLst/>
                                    </a:prstGeom>
                                    <a:noFill/>
                                    <a:ln w="9525">
                                      <a:solidFill>
                                        <a:srgbClr val="000000"/>
                                      </a:solidFill>
                                      <a:round/>
                                    </a:ln>
                                  </wps:spPr>
                                  <wps:bodyPr/>
                                </wps:wsp>
                              </a:graphicData>
                            </a:graphic>
                          </wp:anchor>
                        </w:drawing>
                      </mc:Choice>
                      <mc:Fallback>
                        <w:pict>
                          <v:line id="直接连接符 7" o:spid="_x0000_s1026" o:spt="20" style="position:absolute;left:0pt;flip:y;margin-left:-26.7pt;margin-top:11.3pt;height:0.1pt;width:38.55pt;z-index:251658240;mso-width-relative:page;mso-height-relative:page;" filled="f" stroked="t" coordsize="21600,21600" o:gfxdata="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3Rlzd1gAAAAgBAAAPAAAAAAAAAAEAIAAA&#10;ACIAAABkcnMvZG93bnJldi54bWxQSwECFAAUAAAACACHTuJANg/RINUBAABpAwAADgAAAAAAAAAB&#10;ACAAAAAlAQAAZHJzL2Uyb0RvYy54bWxQSwUGAAAAAAYABgBZAQAAbAUAAAAA&#10;">
                            <v:fill on="f" focussize="0,0"/>
                            <v:stroke color="#000000" joinstyle="round"/>
                            <v:imagedata o:title=""/>
                            <o:lock v:ext="edit" aspectratio="f"/>
                          </v:line>
                        </w:pict>
                      </mc:Fallback>
                    </mc:AlternateContent>
                  </w: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907"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trPr>
              <w:tc>
                <w:tcPr>
                  <w:tcW w:w="2087"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rPr>
                  </w:pPr>
                  <w:r>
                    <w:rPr>
                      <w:rFonts w:hint="eastAsia" w:ascii="Times New Roman" w:hAnsi="Times New Roman"/>
                    </w:rPr>
                    <w:t>应急加药系统改造</w:t>
                  </w: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r>
                    <mc:AlternateContent>
                      <mc:Choice Requires="wps">
                        <w:drawing>
                          <wp:anchor distT="0" distB="0" distL="114300" distR="114300" simplePos="0" relativeHeight="251652096" behindDoc="0" locked="0" layoutInCell="1" allowOverlap="1">
                            <wp:simplePos x="0" y="0"/>
                            <wp:positionH relativeFrom="column">
                              <wp:posOffset>-31750</wp:posOffset>
                            </wp:positionH>
                            <wp:positionV relativeFrom="paragraph">
                              <wp:posOffset>130810</wp:posOffset>
                            </wp:positionV>
                            <wp:extent cx="1631315" cy="0"/>
                            <wp:effectExtent l="13335" t="6350" r="12700" b="12700"/>
                            <wp:wrapNone/>
                            <wp:docPr id="35"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1631315" cy="0"/>
                                    </a:xfrm>
                                    <a:prstGeom prst="line">
                                      <a:avLst/>
                                    </a:prstGeom>
                                    <a:noFill/>
                                    <a:ln w="9525">
                                      <a:solidFill>
                                        <a:srgbClr val="000000"/>
                                      </a:solidFill>
                                      <a:round/>
                                    </a:ln>
                                  </wps:spPr>
                                  <wps:bodyPr/>
                                </wps:wsp>
                              </a:graphicData>
                            </a:graphic>
                          </wp:anchor>
                        </w:drawing>
                      </mc:Choice>
                      <mc:Fallback>
                        <w:pict>
                          <v:line id="直接连接符 6" o:spid="_x0000_s1026" o:spt="20" style="position:absolute;left:0pt;margin-left:-2.5pt;margin-top:10.3pt;height:0pt;width:128.45pt;z-index:251652096;mso-width-relative:page;mso-height-relative:page;" filled="f" stroked="t" coordsize="21600,21600" o:gfxdata="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3jOEf1gAAAAgBAAAPAAAAAAAAAAEAIAAAACIAAABkcnMvZG93&#10;bnJldi54bWxQSwECFAAUAAAACACHTuJAonyoQskBAABdAwAADgAAAAAAAAABACAAAAAlAQAAZHJz&#10;L2Uyb0RvYy54bWxQSwUGAAAAAAYABgBZAQAAYAUAAAAA&#10;">
                            <v:fill on="f" focussize="0,0"/>
                            <v:stroke color="#000000" joinstyle="round"/>
                            <v:imagedata o:title=""/>
                            <o:lock v:ext="edit" aspectratio="f"/>
                          </v:line>
                        </w:pict>
                      </mc:Fallback>
                    </mc:AlternateContent>
                  </w: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907"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rPr>
                  </w:pPr>
                  <w:r>
                    <w:rPr>
                      <w:rFonts w:hint="eastAsia" w:ascii="Times New Roman" w:hAnsi="Times New Roman"/>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2087"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rPr>
                  </w:pPr>
                  <w:r>
                    <w:rPr>
                      <w:rFonts w:hint="eastAsia" w:ascii="Times New Roman" w:hAnsi="Times New Roman"/>
                    </w:rPr>
                    <w:t>板框就位</w:t>
                  </w: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r>
                    <mc:AlternateContent>
                      <mc:Choice Requires="wps">
                        <w:drawing>
                          <wp:anchor distT="0" distB="0" distL="114300" distR="114300" simplePos="0" relativeHeight="251654144" behindDoc="0" locked="0" layoutInCell="1" allowOverlap="1">
                            <wp:simplePos x="0" y="0"/>
                            <wp:positionH relativeFrom="column">
                              <wp:posOffset>-334010</wp:posOffset>
                            </wp:positionH>
                            <wp:positionV relativeFrom="paragraph">
                              <wp:posOffset>92710</wp:posOffset>
                            </wp:positionV>
                            <wp:extent cx="518795" cy="635"/>
                            <wp:effectExtent l="6350" t="9525" r="8255" b="8890"/>
                            <wp:wrapNone/>
                            <wp:docPr id="34" name="直接连接符 42"/>
                            <wp:cNvGraphicFramePr/>
                            <a:graphic xmlns:a="http://schemas.openxmlformats.org/drawingml/2006/main">
                              <a:graphicData uri="http://schemas.microsoft.com/office/word/2010/wordprocessingShape">
                                <wps:wsp>
                                  <wps:cNvCnPr>
                                    <a:cxnSpLocks noChangeShapeType="1"/>
                                  </wps:cNvCnPr>
                                  <wps:spPr bwMode="auto">
                                    <a:xfrm>
                                      <a:off x="0" y="0"/>
                                      <a:ext cx="518795" cy="635"/>
                                    </a:xfrm>
                                    <a:prstGeom prst="line">
                                      <a:avLst/>
                                    </a:prstGeom>
                                    <a:noFill/>
                                    <a:ln w="9525">
                                      <a:solidFill>
                                        <a:srgbClr val="000000"/>
                                      </a:solidFill>
                                      <a:round/>
                                    </a:ln>
                                  </wps:spPr>
                                  <wps:bodyPr/>
                                </wps:wsp>
                              </a:graphicData>
                            </a:graphic>
                          </wp:anchor>
                        </w:drawing>
                      </mc:Choice>
                      <mc:Fallback>
                        <w:pict>
                          <v:line id="直接连接符 42" o:spid="_x0000_s1026" o:spt="20" style="position:absolute;left:0pt;margin-left:-26.3pt;margin-top:7.3pt;height:0.05pt;width:40.85pt;z-index:251654144;mso-width-relative:page;mso-height-relative:page;" filled="f" stroked="t" coordsize="21600,21600" o:gfxdata="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zodPTWAAAACAEAAA8AAAAAAAAAAQAgAAAAIgAAAGRy&#10;cy9kb3ducmV2LnhtbFBLAQIUABQAAAAIAIdO4kDfvl5AzgEAAF8DAAAOAAAAAAAAAAEAIAAAACUB&#10;AABkcnMvZTJvRG9jLnhtbFBLBQYAAAAABgAGAFkBAABlBQAAAAA=&#10;">
                            <v:fill on="f" focussize="0,0"/>
                            <v:stroke color="#000000" joinstyle="round"/>
                            <v:imagedata o:title=""/>
                            <o:lock v:ext="edit" aspectratio="f"/>
                          </v:line>
                        </w:pict>
                      </mc:Fallback>
                    </mc:AlternateContent>
                  </w: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907"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rPr>
                  </w:pPr>
                  <w:r>
                    <w:rPr>
                      <w:rFonts w:hint="eastAsia" w:ascii="Times New Roman" w:hAnsi="Times New Roman"/>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trPr>
              <w:tc>
                <w:tcPr>
                  <w:tcW w:w="2087"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rPr>
                  </w:pPr>
                  <w:r>
                    <w:rPr>
                      <w:rFonts w:hint="eastAsia" w:ascii="Times New Roman" w:hAnsi="Times New Roman"/>
                    </w:rPr>
                    <w:t>车间地面硬化</w:t>
                  </w: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r>
                    <mc:AlternateContent>
                      <mc:Choice Requires="wps">
                        <w:drawing>
                          <wp:anchor distT="0" distB="0" distL="114300" distR="114300" simplePos="0" relativeHeight="251655168" behindDoc="0" locked="0" layoutInCell="1" allowOverlap="1">
                            <wp:simplePos x="0" y="0"/>
                            <wp:positionH relativeFrom="column">
                              <wp:posOffset>-528320</wp:posOffset>
                            </wp:positionH>
                            <wp:positionV relativeFrom="paragraph">
                              <wp:posOffset>106045</wp:posOffset>
                            </wp:positionV>
                            <wp:extent cx="1335405" cy="635"/>
                            <wp:effectExtent l="10160" t="13335" r="6985" b="5080"/>
                            <wp:wrapNone/>
                            <wp:docPr id="33" name="直接连接符 5"/>
                            <wp:cNvGraphicFramePr/>
                            <a:graphic xmlns:a="http://schemas.openxmlformats.org/drawingml/2006/main">
                              <a:graphicData uri="http://schemas.microsoft.com/office/word/2010/wordprocessingShape">
                                <wps:wsp>
                                  <wps:cNvCnPr>
                                    <a:cxnSpLocks noChangeShapeType="1"/>
                                  </wps:cNvCnPr>
                                  <wps:spPr bwMode="auto">
                                    <a:xfrm flipV="1">
                                      <a:off x="0" y="0"/>
                                      <a:ext cx="1335405" cy="635"/>
                                    </a:xfrm>
                                    <a:prstGeom prst="line">
                                      <a:avLst/>
                                    </a:prstGeom>
                                    <a:noFill/>
                                    <a:ln w="9525">
                                      <a:solidFill>
                                        <a:srgbClr val="000000"/>
                                      </a:solidFill>
                                      <a:round/>
                                    </a:ln>
                                  </wps:spPr>
                                  <wps:bodyPr/>
                                </wps:wsp>
                              </a:graphicData>
                            </a:graphic>
                          </wp:anchor>
                        </w:drawing>
                      </mc:Choice>
                      <mc:Fallback>
                        <w:pict>
                          <v:line id="直接连接符 5" o:spid="_x0000_s1026" o:spt="20" style="position:absolute;left:0pt;flip:y;margin-left:-41.6pt;margin-top:8.35pt;height:0.05pt;width:105.15pt;z-index:251655168;mso-width-relative:page;mso-height-relative:page;" filled="f" stroked="t" coordsize="21600,21600" o:gfxdata="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o4d5nWAAAACQEAAA8AAAAAAAAAAQAgAAAA&#10;IgAAAGRycy9kb3ducmV2LnhtbFBLAQIUABQAAAAIAIdO4kA0ByJF1AEAAGkDAAAOAAAAAAAAAAEA&#10;IAAAACUBAABkcnMvZTJvRG9jLnhtbFBLBQYAAAAABgAGAFkBAABrBQAAAAA=&#10;">
                            <v:fill on="f" focussize="0,0"/>
                            <v:stroke color="#000000" joinstyle="round"/>
                            <v:imagedata o:title=""/>
                            <o:lock v:ext="edit" aspectratio="f"/>
                          </v:line>
                        </w:pict>
                      </mc:Fallback>
                    </mc:AlternateContent>
                  </w: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907"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rPr>
                  </w:pPr>
                  <w:r>
                    <w:rPr>
                      <w:rFonts w:hint="eastAsia" w:ascii="Times New Roman" w:hAnsi="Times New Roman"/>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2087"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rPr>
                  </w:pPr>
                  <w:r>
                    <w:rPr>
                      <w:rFonts w:hint="eastAsia" w:ascii="Times New Roman" w:hAnsi="Times New Roman"/>
                    </w:rPr>
                    <w:t>设备就位</w:t>
                  </w: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r>
                    <mc:AlternateContent>
                      <mc:Choice Requires="wps">
                        <w:drawing>
                          <wp:anchor distT="0" distB="0" distL="114300" distR="114300" simplePos="0" relativeHeight="251657216" behindDoc="0" locked="0" layoutInCell="1" allowOverlap="1">
                            <wp:simplePos x="0" y="0"/>
                            <wp:positionH relativeFrom="column">
                              <wp:posOffset>-190500</wp:posOffset>
                            </wp:positionH>
                            <wp:positionV relativeFrom="paragraph">
                              <wp:posOffset>97155</wp:posOffset>
                            </wp:positionV>
                            <wp:extent cx="292735" cy="12065"/>
                            <wp:effectExtent l="8890" t="13970" r="12700" b="12065"/>
                            <wp:wrapNone/>
                            <wp:docPr id="32" name="直接连接符 4"/>
                            <wp:cNvGraphicFramePr/>
                            <a:graphic xmlns:a="http://schemas.openxmlformats.org/drawingml/2006/main">
                              <a:graphicData uri="http://schemas.microsoft.com/office/word/2010/wordprocessingShape">
                                <wps:wsp>
                                  <wps:cNvCnPr>
                                    <a:cxnSpLocks noChangeShapeType="1"/>
                                  </wps:cNvCnPr>
                                  <wps:spPr bwMode="auto">
                                    <a:xfrm flipV="1">
                                      <a:off x="0" y="0"/>
                                      <a:ext cx="292735" cy="12065"/>
                                    </a:xfrm>
                                    <a:prstGeom prst="line">
                                      <a:avLst/>
                                    </a:prstGeom>
                                    <a:noFill/>
                                    <a:ln w="9525">
                                      <a:solidFill>
                                        <a:srgbClr val="000000"/>
                                      </a:solidFill>
                                      <a:round/>
                                    </a:ln>
                                  </wps:spPr>
                                  <wps:bodyPr/>
                                </wps:wsp>
                              </a:graphicData>
                            </a:graphic>
                          </wp:anchor>
                        </w:drawing>
                      </mc:Choice>
                      <mc:Fallback>
                        <w:pict>
                          <v:line id="直接连接符 4" o:spid="_x0000_s1026" o:spt="20" style="position:absolute;left:0pt;flip:y;margin-left:-15pt;margin-top:7.65pt;height:0.95pt;width:23.05pt;z-index:251657216;mso-width-relative:page;mso-height-relative:page;" filled="f" stroked="t" coordsize="21600,21600" o:gfxdata="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DradYAAAAIAQAADwAAAAAAAAABACAAAAAi&#10;AAAAZHJzL2Rvd25yZXYueG1sUEsBAhQAFAAAAAgAh07iQMcklwDTAQAAagMAAA4AAAAAAAAAAQAg&#10;AAAAJQEAAGRycy9lMm9Eb2MueG1sUEsFBgAAAAAGAAYAWQEAAGoFAAAAAA==&#10;">
                            <v:fill on="f" focussize="0,0"/>
                            <v:stroke color="#000000" joinstyle="round"/>
                            <v:imagedata o:title=""/>
                            <o:lock v:ext="edit" aspectratio="f"/>
                          </v:line>
                        </w:pict>
                      </mc:Fallback>
                    </mc:AlternateContent>
                  </w: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907"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rPr>
                  </w:pPr>
                  <w:r>
                    <w:rPr>
                      <w:rFonts w:hint="eastAsia" w:ascii="Times New Roman" w:hAnsi="Times New Roman"/>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trPr>
              <w:tc>
                <w:tcPr>
                  <w:tcW w:w="2087" w:type="dxa"/>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rPr>
                  </w:pPr>
                  <w:r>
                    <w:rPr>
                      <w:rFonts w:hint="eastAsia" w:ascii="Times New Roman" w:hAnsi="Times New Roman"/>
                    </w:rPr>
                    <w:t>车间封顶</w:t>
                  </w: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r>
                    <mc:AlternateContent>
                      <mc:Choice Requires="wps">
                        <w:drawing>
                          <wp:anchor distT="0" distB="0" distL="114300" distR="114300" simplePos="0" relativeHeight="251656192" behindDoc="0" locked="0" layoutInCell="1" allowOverlap="1">
                            <wp:simplePos x="0" y="0"/>
                            <wp:positionH relativeFrom="column">
                              <wp:posOffset>152400</wp:posOffset>
                            </wp:positionH>
                            <wp:positionV relativeFrom="paragraph">
                              <wp:posOffset>113030</wp:posOffset>
                            </wp:positionV>
                            <wp:extent cx="591185" cy="9525"/>
                            <wp:effectExtent l="12700" t="10795" r="5715" b="8255"/>
                            <wp:wrapNone/>
                            <wp:docPr id="31"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91185" cy="9525"/>
                                    </a:xfrm>
                                    <a:prstGeom prst="line">
                                      <a:avLst/>
                                    </a:prstGeom>
                                    <a:noFill/>
                                    <a:ln w="9525">
                                      <a:solidFill>
                                        <a:srgbClr val="000000"/>
                                      </a:solidFill>
                                      <a:round/>
                                    </a:ln>
                                  </wps:spPr>
                                  <wps:bodyPr/>
                                </wps:wsp>
                              </a:graphicData>
                            </a:graphic>
                          </wp:anchor>
                        </w:drawing>
                      </mc:Choice>
                      <mc:Fallback>
                        <w:pict>
                          <v:line id="直接连接符 3" o:spid="_x0000_s1026" o:spt="20" style="position:absolute;left:0pt;margin-left:12pt;margin-top:8.9pt;height:0.75pt;width:46.55pt;z-index:251656192;mso-width-relative:page;mso-height-relative:page;" filled="f" stroked="t" coordsize="21600,21600" o:gfxdata="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dC6mjWAAAACAEAAA8AAAAAAAAAAQAgAAAAIgAAAGRycy9kb3du&#10;cmV2LnhtbFBLAQIUABQAAAAIAIdO4kCYOY/4yAEAAF8DAAAOAAAAAAAAAAEAIAAAACUBAABkcnMv&#10;ZTJvRG9jLnhtbFBLBQYAAAAABgAGAFkBAABfBQAAAAA=&#10;">
                            <v:fill on="f" focussize="0,0"/>
                            <v:stroke color="#000000" joinstyle="round"/>
                            <v:imagedata o:title=""/>
                            <o:lock v:ext="edit" aspectratio="f"/>
                          </v:line>
                        </w:pict>
                      </mc:Fallback>
                    </mc:AlternateContent>
                  </w:r>
                </w:p>
              </w:tc>
              <w:tc>
                <w:tcPr>
                  <w:tcW w:w="855"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rPr>
                  </w:pPr>
                </w:p>
              </w:tc>
              <w:tc>
                <w:tcPr>
                  <w:tcW w:w="907"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rPr>
                  </w:pPr>
                  <w:r>
                    <w:rPr>
                      <w:rFonts w:hint="eastAsia" w:ascii="Times New Roman" w:hAnsi="Times New Roman"/>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3" w:hRule="atLeast"/>
              </w:trPr>
              <w:tc>
                <w:tcPr>
                  <w:tcW w:w="2087" w:type="dxa"/>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Times New Roman"/>
                    </w:rPr>
                  </w:pPr>
                  <w:r>
                    <w:rPr>
                      <w:rFonts w:hint="eastAsia" w:ascii="Times New Roman" w:hAnsi="Times New Roman"/>
                    </w:rPr>
                    <w:t>回流泵更换</w:t>
                  </w:r>
                </w:p>
              </w:tc>
              <w:tc>
                <w:tcPr>
                  <w:tcW w:w="854"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rPr>
                  </w:pPr>
                </w:p>
              </w:tc>
              <w:tc>
                <w:tcPr>
                  <w:tcW w:w="854"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rPr>
                  </w:pPr>
                  <w:r>
                    <mc:AlternateContent>
                      <mc:Choice Requires="wps">
                        <w:drawing>
                          <wp:anchor distT="0" distB="0" distL="114300" distR="114300" simplePos="0" relativeHeight="251658240" behindDoc="0" locked="0" layoutInCell="1" allowOverlap="1">
                            <wp:simplePos x="0" y="0"/>
                            <wp:positionH relativeFrom="column">
                              <wp:posOffset>-31750</wp:posOffset>
                            </wp:positionH>
                            <wp:positionV relativeFrom="paragraph">
                              <wp:posOffset>90805</wp:posOffset>
                            </wp:positionV>
                            <wp:extent cx="485775" cy="0"/>
                            <wp:effectExtent l="13335" t="7620" r="5715" b="11430"/>
                            <wp:wrapNone/>
                            <wp:docPr id="30"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ln>
                                  </wps:spPr>
                                  <wps:bodyPr/>
                                </wps:wsp>
                              </a:graphicData>
                            </a:graphic>
                          </wp:anchor>
                        </w:drawing>
                      </mc:Choice>
                      <mc:Fallback>
                        <w:pict>
                          <v:line id="直接连接符 2" o:spid="_x0000_s1026" o:spt="20" style="position:absolute;left:0pt;margin-left:-2.5pt;margin-top:7.15pt;height:0pt;width:38.25pt;z-index:251658240;mso-width-relative:page;mso-height-relative:page;" filled="f" stroked="t" coordsize="21600,21600" o:gfxdata="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cH72dQAAAAHAQAADwAAAAAAAAABACAAAAAiAAAAZHJzL2Rvd25y&#10;ZXYueG1sUEsBAhQAFAAAAAgAh07iQHF5u87JAQAAXAMAAA4AAAAAAAAAAQAgAAAAIwEAAGRycy9l&#10;Mm9Eb2MueG1sUEsFBgAAAAAGAAYAWQEAAF4FAAAAAA==&#10;">
                            <v:fill on="f" focussize="0,0"/>
                            <v:stroke color="#000000" joinstyle="round"/>
                            <v:imagedata o:title=""/>
                            <o:lock v:ext="edit" aspectratio="f"/>
                          </v:line>
                        </w:pict>
                      </mc:Fallback>
                    </mc:AlternateContent>
                  </w:r>
                </w:p>
              </w:tc>
              <w:tc>
                <w:tcPr>
                  <w:tcW w:w="854"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rPr>
                  </w:pPr>
                </w:p>
              </w:tc>
              <w:tc>
                <w:tcPr>
                  <w:tcW w:w="855"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rPr>
                  </w:pPr>
                </w:p>
              </w:tc>
              <w:tc>
                <w:tcPr>
                  <w:tcW w:w="907"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rPr>
                  </w:pPr>
                  <w:r>
                    <w:rPr>
                      <w:rFonts w:hint="eastAsia" w:ascii="Times New Roman" w:hAnsi="Times New Roman"/>
                    </w:rPr>
                    <w:t>已完工</w:t>
                  </w:r>
                </w:p>
              </w:tc>
            </w:tr>
          </w:tbl>
          <w:p>
            <w:pPr>
              <w:pStyle w:val="2"/>
              <w:spacing w:line="360" w:lineRule="auto"/>
              <w:ind w:firstLine="482" w:firstLineChars="200"/>
              <w:rPr>
                <w:b/>
              </w:rPr>
            </w:pPr>
          </w:p>
          <w:p>
            <w:pPr>
              <w:pStyle w:val="2"/>
              <w:spacing w:line="360" w:lineRule="auto"/>
              <w:ind w:firstLine="482" w:firstLineChars="200"/>
              <w:rPr>
                <w:b/>
              </w:rPr>
            </w:pPr>
            <w:r>
              <w:rPr>
                <w:b/>
              </w:rPr>
              <w:t>3</w:t>
            </w:r>
            <w:r>
              <w:rPr>
                <w:rFonts w:hint="eastAsia"/>
                <w:b/>
              </w:rPr>
              <w:t>、整改效果</w:t>
            </w:r>
          </w:p>
          <w:p>
            <w:pPr>
              <w:pStyle w:val="2"/>
              <w:spacing w:line="360" w:lineRule="auto"/>
              <w:ind w:firstLine="480" w:firstLineChars="200"/>
            </w:pPr>
            <w:r>
              <w:rPr>
                <w:rFonts w:hint="eastAsia"/>
              </w:rPr>
              <w:t>本次评价收集定安污水处理厂整改完成后，</w:t>
            </w:r>
            <w:r>
              <w:t>2019</w:t>
            </w:r>
            <w:r>
              <w:rPr>
                <w:rFonts w:hint="eastAsia"/>
              </w:rPr>
              <w:t>年</w:t>
            </w:r>
            <w:r>
              <w:t>9-12</w:t>
            </w:r>
            <w:r>
              <w:rPr>
                <w:rFonts w:hint="eastAsia"/>
              </w:rPr>
              <w:t>月环保日台账数据评估整改效果。</w:t>
            </w:r>
            <w:r>
              <w:t>2019</w:t>
            </w:r>
            <w:r>
              <w:rPr>
                <w:rFonts w:hint="eastAsia"/>
              </w:rPr>
              <w:t>年</w:t>
            </w:r>
            <w:r>
              <w:t>9-12</w:t>
            </w:r>
            <w:r>
              <w:rPr>
                <w:rFonts w:hint="eastAsia"/>
              </w:rPr>
              <w:t>月出水水质统计见图</w:t>
            </w:r>
            <w:r>
              <w:t>14-19</w:t>
            </w:r>
            <w:r>
              <w:rPr>
                <w:rFonts w:hint="eastAsia"/>
              </w:rPr>
              <w:t>。</w:t>
            </w:r>
          </w:p>
          <w:p>
            <w:pPr>
              <w:pStyle w:val="111"/>
              <w:rPr>
                <w:szCs w:val="21"/>
              </w:rPr>
            </w:pPr>
            <w:r>
              <w:drawing>
                <wp:inline distT="0" distB="0" distL="0" distR="0">
                  <wp:extent cx="5476875" cy="2819400"/>
                  <wp:effectExtent l="0" t="0" r="9525" b="0"/>
                  <wp:docPr id="14" name="图表 21"/>
                  <wp:cNvGraphicFramePr/>
                  <a:graphic xmlns:a="http://schemas.openxmlformats.org/drawingml/2006/main">
                    <a:graphicData uri="http://schemas.openxmlformats.org/drawingml/2006/picture">
                      <pic:pic xmlns:pic="http://schemas.openxmlformats.org/drawingml/2006/picture">
                        <pic:nvPicPr>
                          <pic:cNvPr id="14" name="图表 2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76875" cy="2819400"/>
                          </a:xfrm>
                          <a:prstGeom prst="rect">
                            <a:avLst/>
                          </a:prstGeom>
                          <a:noFill/>
                          <a:ln>
                            <a:noFill/>
                          </a:ln>
                        </pic:spPr>
                      </pic:pic>
                    </a:graphicData>
                  </a:graphic>
                </wp:inline>
              </w:drawing>
            </w:r>
          </w:p>
          <w:p>
            <w:pPr>
              <w:pStyle w:val="111"/>
              <w:rPr>
                <w:szCs w:val="21"/>
              </w:rPr>
            </w:pPr>
            <w:r>
              <w:rPr>
                <w:rFonts w:hint="eastAsia"/>
                <w:szCs w:val="21"/>
              </w:rPr>
              <w:t>图</w:t>
            </w:r>
            <w:r>
              <w:rPr>
                <w:szCs w:val="21"/>
              </w:rPr>
              <w:t xml:space="preserve">14     </w:t>
            </w:r>
            <w:r>
              <w:rPr>
                <w:rFonts w:hint="eastAsia"/>
                <w:szCs w:val="21"/>
              </w:rPr>
              <w:t>整改后</w:t>
            </w:r>
            <w:r>
              <w:rPr>
                <w:szCs w:val="21"/>
              </w:rPr>
              <w:t>2019</w:t>
            </w:r>
            <w:r>
              <w:rPr>
                <w:rFonts w:hint="eastAsia"/>
                <w:szCs w:val="21"/>
              </w:rPr>
              <w:t>年</w:t>
            </w:r>
            <w:r>
              <w:rPr>
                <w:szCs w:val="21"/>
              </w:rPr>
              <w:t>9-12</w:t>
            </w:r>
            <w:r>
              <w:rPr>
                <w:rFonts w:hint="eastAsia"/>
                <w:szCs w:val="21"/>
              </w:rPr>
              <w:t>月实际出水</w:t>
            </w:r>
            <w:r>
              <w:rPr>
                <w:szCs w:val="21"/>
              </w:rPr>
              <w:t>COD</w:t>
            </w:r>
            <w:r>
              <w:rPr>
                <w:rFonts w:hint="eastAsia"/>
                <w:szCs w:val="21"/>
              </w:rPr>
              <w:t>（</w:t>
            </w:r>
            <w:r>
              <w:rPr>
                <w:szCs w:val="21"/>
              </w:rPr>
              <w:t>mg/L</w:t>
            </w:r>
            <w:r>
              <w:rPr>
                <w:rFonts w:hint="eastAsia"/>
                <w:szCs w:val="21"/>
              </w:rPr>
              <w:t>）</w:t>
            </w:r>
          </w:p>
          <w:p>
            <w:pPr>
              <w:pStyle w:val="111"/>
              <w:rPr>
                <w:szCs w:val="21"/>
              </w:rPr>
            </w:pPr>
            <w:r>
              <w:drawing>
                <wp:inline distT="0" distB="0" distL="0" distR="0">
                  <wp:extent cx="5572125" cy="2647950"/>
                  <wp:effectExtent l="0" t="0" r="9525" b="0"/>
                  <wp:docPr id="15" name="图表 23"/>
                  <wp:cNvGraphicFramePr/>
                  <a:graphic xmlns:a="http://schemas.openxmlformats.org/drawingml/2006/main">
                    <a:graphicData uri="http://schemas.openxmlformats.org/drawingml/2006/picture">
                      <pic:pic xmlns:pic="http://schemas.openxmlformats.org/drawingml/2006/picture">
                        <pic:nvPicPr>
                          <pic:cNvPr id="15" name="图表 2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72125" cy="2647950"/>
                          </a:xfrm>
                          <a:prstGeom prst="rect">
                            <a:avLst/>
                          </a:prstGeom>
                          <a:noFill/>
                          <a:ln>
                            <a:noFill/>
                          </a:ln>
                        </pic:spPr>
                      </pic:pic>
                    </a:graphicData>
                  </a:graphic>
                </wp:inline>
              </w:drawing>
            </w:r>
          </w:p>
          <w:p>
            <w:pPr>
              <w:pStyle w:val="111"/>
              <w:rPr>
                <w:szCs w:val="21"/>
              </w:rPr>
            </w:pPr>
            <w:r>
              <w:rPr>
                <w:rFonts w:hint="eastAsia"/>
                <w:szCs w:val="21"/>
              </w:rPr>
              <w:t>图</w:t>
            </w:r>
            <w:r>
              <w:rPr>
                <w:szCs w:val="21"/>
              </w:rPr>
              <w:t xml:space="preserve">15     </w:t>
            </w:r>
            <w:r>
              <w:rPr>
                <w:rFonts w:hint="eastAsia"/>
                <w:szCs w:val="21"/>
              </w:rPr>
              <w:t>整改后</w:t>
            </w:r>
            <w:r>
              <w:rPr>
                <w:szCs w:val="21"/>
              </w:rPr>
              <w:t>2019</w:t>
            </w:r>
            <w:r>
              <w:rPr>
                <w:rFonts w:hint="eastAsia"/>
                <w:szCs w:val="21"/>
              </w:rPr>
              <w:t>年</w:t>
            </w:r>
            <w:r>
              <w:rPr>
                <w:szCs w:val="21"/>
              </w:rPr>
              <w:t>9-12</w:t>
            </w:r>
            <w:r>
              <w:rPr>
                <w:rFonts w:hint="eastAsia"/>
                <w:szCs w:val="21"/>
              </w:rPr>
              <w:t>月实际出水</w:t>
            </w:r>
            <w:r>
              <w:rPr>
                <w:szCs w:val="21"/>
              </w:rPr>
              <w:t>BOD</w:t>
            </w:r>
            <w:r>
              <w:rPr>
                <w:szCs w:val="21"/>
                <w:vertAlign w:val="subscript"/>
              </w:rPr>
              <w:t>5</w:t>
            </w:r>
            <w:r>
              <w:rPr>
                <w:rFonts w:hint="eastAsia"/>
                <w:szCs w:val="21"/>
              </w:rPr>
              <w:t>（</w:t>
            </w:r>
            <w:r>
              <w:rPr>
                <w:szCs w:val="21"/>
              </w:rPr>
              <w:t>mg/L</w:t>
            </w:r>
            <w:r>
              <w:rPr>
                <w:rFonts w:hint="eastAsia"/>
                <w:szCs w:val="21"/>
              </w:rPr>
              <w:t>）</w:t>
            </w:r>
          </w:p>
          <w:p>
            <w:pPr>
              <w:pStyle w:val="111"/>
              <w:rPr>
                <w:szCs w:val="21"/>
              </w:rPr>
            </w:pPr>
            <w:r>
              <w:rPr>
                <w:rFonts w:hint="eastAsia"/>
                <w:szCs w:val="21"/>
              </w:rPr>
              <w:t>（图中虚线表示监测结果低于测定下限</w:t>
            </w:r>
            <w:r>
              <w:rPr>
                <w:szCs w:val="21"/>
              </w:rPr>
              <w:t>2.0mg/l</w:t>
            </w:r>
            <w:r>
              <w:rPr>
                <w:rFonts w:hint="eastAsia"/>
                <w:szCs w:val="21"/>
              </w:rPr>
              <w:t>）</w:t>
            </w:r>
          </w:p>
          <w:p>
            <w:pPr>
              <w:pStyle w:val="111"/>
              <w:rPr>
                <w:szCs w:val="21"/>
              </w:rPr>
            </w:pPr>
            <w:r>
              <w:drawing>
                <wp:inline distT="0" distB="0" distL="0" distR="0">
                  <wp:extent cx="5514975" cy="2143125"/>
                  <wp:effectExtent l="0" t="0" r="9525" b="9525"/>
                  <wp:docPr id="16" name="图表 24"/>
                  <wp:cNvGraphicFramePr/>
                  <a:graphic xmlns:a="http://schemas.openxmlformats.org/drawingml/2006/main">
                    <a:graphicData uri="http://schemas.openxmlformats.org/drawingml/2006/picture">
                      <pic:pic xmlns:pic="http://schemas.openxmlformats.org/drawingml/2006/picture">
                        <pic:nvPicPr>
                          <pic:cNvPr id="16" name="图表 24"/>
                          <pic:cNvPicPr>
                            <a:picLocks noChangeArrowheads="1"/>
                          </pic:cNvPicPr>
                        </pic:nvPicPr>
                        <pic:blipFill>
                          <a:blip r:embed="rId22"/>
                          <a:srcRect b="-66"/>
                          <a:stretch>
                            <a:fillRect/>
                          </a:stretch>
                        </pic:blipFill>
                        <pic:spPr>
                          <a:xfrm>
                            <a:off x="0" y="0"/>
                            <a:ext cx="5514975" cy="2143125"/>
                          </a:xfrm>
                          <a:prstGeom prst="rect">
                            <a:avLst/>
                          </a:prstGeom>
                          <a:noFill/>
                          <a:ln>
                            <a:noFill/>
                          </a:ln>
                        </pic:spPr>
                      </pic:pic>
                    </a:graphicData>
                  </a:graphic>
                </wp:inline>
              </w:drawing>
            </w:r>
          </w:p>
          <w:p>
            <w:pPr>
              <w:pStyle w:val="111"/>
              <w:rPr>
                <w:szCs w:val="21"/>
              </w:rPr>
            </w:pPr>
            <w:r>
              <w:rPr>
                <w:rFonts w:hint="eastAsia"/>
                <w:szCs w:val="21"/>
              </w:rPr>
              <w:t>图</w:t>
            </w:r>
            <w:r>
              <w:rPr>
                <w:szCs w:val="21"/>
              </w:rPr>
              <w:t xml:space="preserve">16     </w:t>
            </w:r>
            <w:r>
              <w:rPr>
                <w:rFonts w:hint="eastAsia"/>
                <w:szCs w:val="21"/>
              </w:rPr>
              <w:t>整改后</w:t>
            </w:r>
            <w:r>
              <w:rPr>
                <w:szCs w:val="21"/>
              </w:rPr>
              <w:t>2019</w:t>
            </w:r>
            <w:r>
              <w:rPr>
                <w:rFonts w:hint="eastAsia"/>
                <w:szCs w:val="21"/>
              </w:rPr>
              <w:t>年</w:t>
            </w:r>
            <w:r>
              <w:rPr>
                <w:szCs w:val="21"/>
              </w:rPr>
              <w:t>9-12</w:t>
            </w:r>
            <w:r>
              <w:rPr>
                <w:rFonts w:hint="eastAsia"/>
                <w:szCs w:val="21"/>
              </w:rPr>
              <w:t>月实际出水</w:t>
            </w:r>
            <w:r>
              <w:rPr>
                <w:szCs w:val="21"/>
              </w:rPr>
              <w:t>SS</w:t>
            </w:r>
            <w:r>
              <w:rPr>
                <w:rFonts w:hint="eastAsia"/>
                <w:szCs w:val="21"/>
              </w:rPr>
              <w:t>（</w:t>
            </w:r>
            <w:r>
              <w:rPr>
                <w:szCs w:val="21"/>
              </w:rPr>
              <w:t>mg/L</w:t>
            </w:r>
            <w:r>
              <w:rPr>
                <w:rFonts w:hint="eastAsia"/>
                <w:szCs w:val="21"/>
              </w:rPr>
              <w:t>）</w:t>
            </w:r>
          </w:p>
          <w:p>
            <w:pPr>
              <w:pStyle w:val="111"/>
              <w:rPr>
                <w:szCs w:val="21"/>
              </w:rPr>
            </w:pPr>
          </w:p>
          <w:p>
            <w:pPr>
              <w:pStyle w:val="111"/>
              <w:rPr>
                <w:szCs w:val="21"/>
              </w:rPr>
            </w:pPr>
          </w:p>
          <w:p>
            <w:pPr>
              <w:pStyle w:val="111"/>
              <w:rPr>
                <w:szCs w:val="21"/>
              </w:rPr>
            </w:pPr>
          </w:p>
          <w:p>
            <w:pPr>
              <w:pStyle w:val="111"/>
              <w:rPr>
                <w:szCs w:val="21"/>
              </w:rPr>
            </w:pPr>
            <w:r>
              <w:drawing>
                <wp:inline distT="0" distB="0" distL="0" distR="0">
                  <wp:extent cx="5410200" cy="2590800"/>
                  <wp:effectExtent l="0" t="0" r="0" b="0"/>
                  <wp:docPr id="17" name="图表 25"/>
                  <wp:cNvGraphicFramePr/>
                  <a:graphic xmlns:a="http://schemas.openxmlformats.org/drawingml/2006/main">
                    <a:graphicData uri="http://schemas.openxmlformats.org/drawingml/2006/picture">
                      <pic:pic xmlns:pic="http://schemas.openxmlformats.org/drawingml/2006/picture">
                        <pic:nvPicPr>
                          <pic:cNvPr id="17" name="图表 2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10200" cy="2590800"/>
                          </a:xfrm>
                          <a:prstGeom prst="rect">
                            <a:avLst/>
                          </a:prstGeom>
                          <a:noFill/>
                          <a:ln>
                            <a:noFill/>
                          </a:ln>
                        </pic:spPr>
                      </pic:pic>
                    </a:graphicData>
                  </a:graphic>
                </wp:inline>
              </w:drawing>
            </w:r>
          </w:p>
          <w:p>
            <w:pPr>
              <w:pStyle w:val="111"/>
              <w:rPr>
                <w:szCs w:val="21"/>
              </w:rPr>
            </w:pPr>
            <w:r>
              <w:rPr>
                <w:rFonts w:hint="eastAsia"/>
                <w:szCs w:val="21"/>
              </w:rPr>
              <w:t>图</w:t>
            </w:r>
            <w:r>
              <w:rPr>
                <w:szCs w:val="21"/>
              </w:rPr>
              <w:t xml:space="preserve">17     </w:t>
            </w:r>
            <w:r>
              <w:rPr>
                <w:rFonts w:hint="eastAsia"/>
                <w:szCs w:val="21"/>
              </w:rPr>
              <w:t>整改后</w:t>
            </w:r>
            <w:r>
              <w:rPr>
                <w:szCs w:val="21"/>
              </w:rPr>
              <w:t>2019</w:t>
            </w:r>
            <w:r>
              <w:rPr>
                <w:rFonts w:hint="eastAsia"/>
                <w:szCs w:val="21"/>
              </w:rPr>
              <w:t>年</w:t>
            </w:r>
            <w:r>
              <w:rPr>
                <w:szCs w:val="21"/>
              </w:rPr>
              <w:t>9-12</w:t>
            </w:r>
            <w:r>
              <w:rPr>
                <w:rFonts w:hint="eastAsia"/>
                <w:szCs w:val="21"/>
              </w:rPr>
              <w:t>月实际出水</w:t>
            </w:r>
            <w:r>
              <w:rPr>
                <w:szCs w:val="21"/>
              </w:rPr>
              <w:t>NH</w:t>
            </w:r>
            <w:r>
              <w:rPr>
                <w:szCs w:val="21"/>
                <w:vertAlign w:val="subscript"/>
              </w:rPr>
              <w:t>3</w:t>
            </w:r>
            <w:r>
              <w:rPr>
                <w:szCs w:val="21"/>
              </w:rPr>
              <w:t>-N</w:t>
            </w:r>
            <w:r>
              <w:rPr>
                <w:rFonts w:hint="eastAsia"/>
                <w:szCs w:val="21"/>
              </w:rPr>
              <w:t>（</w:t>
            </w:r>
            <w:r>
              <w:rPr>
                <w:szCs w:val="21"/>
              </w:rPr>
              <w:t>mg/L</w:t>
            </w:r>
            <w:r>
              <w:rPr>
                <w:rFonts w:hint="eastAsia"/>
                <w:szCs w:val="21"/>
              </w:rPr>
              <w:t>）</w:t>
            </w:r>
          </w:p>
          <w:p>
            <w:pPr>
              <w:pStyle w:val="111"/>
              <w:rPr>
                <w:szCs w:val="21"/>
              </w:rPr>
            </w:pPr>
          </w:p>
          <w:p>
            <w:pPr>
              <w:pStyle w:val="111"/>
              <w:rPr>
                <w:szCs w:val="21"/>
              </w:rPr>
            </w:pPr>
            <w:r>
              <w:drawing>
                <wp:inline distT="0" distB="0" distL="0" distR="0">
                  <wp:extent cx="5343525" cy="2428875"/>
                  <wp:effectExtent l="0" t="0" r="9525" b="9525"/>
                  <wp:docPr id="18" name="图表 27"/>
                  <wp:cNvGraphicFramePr/>
                  <a:graphic xmlns:a="http://schemas.openxmlformats.org/drawingml/2006/main">
                    <a:graphicData uri="http://schemas.openxmlformats.org/drawingml/2006/picture">
                      <pic:pic xmlns:pic="http://schemas.openxmlformats.org/drawingml/2006/picture">
                        <pic:nvPicPr>
                          <pic:cNvPr id="18" name="图表 27"/>
                          <pic:cNvPicPr>
                            <a:picLocks noChangeArrowheads="1"/>
                          </pic:cNvPicPr>
                        </pic:nvPicPr>
                        <pic:blipFill>
                          <a:blip r:embed="rId24">
                            <a:extLst>
                              <a:ext uri="{28A0092B-C50C-407E-A947-70E740481C1C}">
                                <a14:useLocalDpi xmlns:a14="http://schemas.microsoft.com/office/drawing/2010/main" val="0"/>
                              </a:ext>
                            </a:extLst>
                          </a:blip>
                          <a:srcRect b="-66"/>
                          <a:stretch>
                            <a:fillRect/>
                          </a:stretch>
                        </pic:blipFill>
                        <pic:spPr>
                          <a:xfrm>
                            <a:off x="0" y="0"/>
                            <a:ext cx="5343525" cy="2428875"/>
                          </a:xfrm>
                          <a:prstGeom prst="rect">
                            <a:avLst/>
                          </a:prstGeom>
                          <a:noFill/>
                          <a:ln>
                            <a:noFill/>
                          </a:ln>
                        </pic:spPr>
                      </pic:pic>
                    </a:graphicData>
                  </a:graphic>
                </wp:inline>
              </w:drawing>
            </w:r>
          </w:p>
          <w:p>
            <w:pPr>
              <w:pStyle w:val="111"/>
              <w:rPr>
                <w:szCs w:val="21"/>
              </w:rPr>
            </w:pPr>
            <w:r>
              <w:rPr>
                <w:rFonts w:hint="eastAsia"/>
                <w:szCs w:val="21"/>
              </w:rPr>
              <w:t>图</w:t>
            </w:r>
            <w:r>
              <w:rPr>
                <w:szCs w:val="21"/>
              </w:rPr>
              <w:t xml:space="preserve">18     </w:t>
            </w:r>
            <w:r>
              <w:rPr>
                <w:rFonts w:hint="eastAsia"/>
                <w:szCs w:val="21"/>
              </w:rPr>
              <w:t>整改后</w:t>
            </w:r>
            <w:r>
              <w:rPr>
                <w:szCs w:val="21"/>
              </w:rPr>
              <w:t>2019</w:t>
            </w:r>
            <w:r>
              <w:rPr>
                <w:rFonts w:hint="eastAsia"/>
                <w:szCs w:val="21"/>
              </w:rPr>
              <w:t>年</w:t>
            </w:r>
            <w:r>
              <w:rPr>
                <w:szCs w:val="21"/>
              </w:rPr>
              <w:t>9-12</w:t>
            </w:r>
            <w:r>
              <w:rPr>
                <w:rFonts w:hint="eastAsia"/>
                <w:szCs w:val="21"/>
              </w:rPr>
              <w:t>月实际出水</w:t>
            </w:r>
            <w:r>
              <w:rPr>
                <w:szCs w:val="21"/>
              </w:rPr>
              <w:t>TN</w:t>
            </w:r>
            <w:r>
              <w:rPr>
                <w:rFonts w:hint="eastAsia"/>
                <w:szCs w:val="21"/>
              </w:rPr>
              <w:t>（</w:t>
            </w:r>
            <w:r>
              <w:rPr>
                <w:szCs w:val="21"/>
              </w:rPr>
              <w:t>mg/L</w:t>
            </w:r>
            <w:r>
              <w:rPr>
                <w:rFonts w:hint="eastAsia"/>
                <w:szCs w:val="21"/>
              </w:rPr>
              <w:t>）</w:t>
            </w:r>
          </w:p>
          <w:p>
            <w:pPr>
              <w:pStyle w:val="111"/>
              <w:rPr>
                <w:szCs w:val="21"/>
              </w:rPr>
            </w:pPr>
          </w:p>
          <w:p>
            <w:pPr>
              <w:pStyle w:val="111"/>
              <w:rPr>
                <w:szCs w:val="21"/>
              </w:rPr>
            </w:pPr>
            <w:r>
              <w:drawing>
                <wp:inline distT="0" distB="0" distL="0" distR="0">
                  <wp:extent cx="5295900" cy="2514600"/>
                  <wp:effectExtent l="0" t="0" r="0" b="0"/>
                  <wp:docPr id="19" name="图表 29"/>
                  <wp:cNvGraphicFramePr/>
                  <a:graphic xmlns:a="http://schemas.openxmlformats.org/drawingml/2006/main">
                    <a:graphicData uri="http://schemas.openxmlformats.org/drawingml/2006/picture">
                      <pic:pic xmlns:pic="http://schemas.openxmlformats.org/drawingml/2006/picture">
                        <pic:nvPicPr>
                          <pic:cNvPr id="19" name="图表 29"/>
                          <pic:cNvPicPr>
                            <a:picLocks noChangeArrowheads="1"/>
                          </pic:cNvPicPr>
                        </pic:nvPicPr>
                        <pic:blipFill>
                          <a:blip r:embed="rId25">
                            <a:extLst>
                              <a:ext uri="{28A0092B-C50C-407E-A947-70E740481C1C}">
                                <a14:useLocalDpi xmlns:a14="http://schemas.microsoft.com/office/drawing/2010/main" val="0"/>
                              </a:ext>
                            </a:extLst>
                          </a:blip>
                          <a:srcRect b="-66"/>
                          <a:stretch>
                            <a:fillRect/>
                          </a:stretch>
                        </pic:blipFill>
                        <pic:spPr>
                          <a:xfrm>
                            <a:off x="0" y="0"/>
                            <a:ext cx="5295900" cy="2514600"/>
                          </a:xfrm>
                          <a:prstGeom prst="rect">
                            <a:avLst/>
                          </a:prstGeom>
                          <a:noFill/>
                          <a:ln>
                            <a:noFill/>
                          </a:ln>
                        </pic:spPr>
                      </pic:pic>
                    </a:graphicData>
                  </a:graphic>
                </wp:inline>
              </w:drawing>
            </w:r>
          </w:p>
          <w:p>
            <w:pPr>
              <w:pStyle w:val="111"/>
              <w:rPr>
                <w:szCs w:val="21"/>
              </w:rPr>
            </w:pPr>
            <w:r>
              <w:rPr>
                <w:rFonts w:hint="eastAsia"/>
                <w:szCs w:val="21"/>
              </w:rPr>
              <w:t>图</w:t>
            </w:r>
            <w:r>
              <w:rPr>
                <w:szCs w:val="21"/>
              </w:rPr>
              <w:t xml:space="preserve">19     </w:t>
            </w:r>
            <w:r>
              <w:rPr>
                <w:rFonts w:hint="eastAsia"/>
                <w:szCs w:val="21"/>
              </w:rPr>
              <w:t>整改后</w:t>
            </w:r>
            <w:r>
              <w:rPr>
                <w:szCs w:val="21"/>
              </w:rPr>
              <w:t>2019</w:t>
            </w:r>
            <w:r>
              <w:rPr>
                <w:rFonts w:hint="eastAsia"/>
                <w:szCs w:val="21"/>
              </w:rPr>
              <w:t>年</w:t>
            </w:r>
            <w:r>
              <w:rPr>
                <w:szCs w:val="21"/>
              </w:rPr>
              <w:t>9-12</w:t>
            </w:r>
            <w:r>
              <w:rPr>
                <w:rFonts w:hint="eastAsia"/>
                <w:szCs w:val="21"/>
              </w:rPr>
              <w:t>月实际出水</w:t>
            </w:r>
            <w:r>
              <w:rPr>
                <w:szCs w:val="21"/>
              </w:rPr>
              <w:t>TP</w:t>
            </w:r>
            <w:r>
              <w:rPr>
                <w:rFonts w:hint="eastAsia"/>
                <w:szCs w:val="21"/>
              </w:rPr>
              <w:t>（</w:t>
            </w:r>
            <w:r>
              <w:rPr>
                <w:szCs w:val="21"/>
              </w:rPr>
              <w:t>mg/L</w:t>
            </w:r>
            <w:r>
              <w:rPr>
                <w:rFonts w:hint="eastAsia"/>
                <w:szCs w:val="21"/>
              </w:rPr>
              <w:t>）</w:t>
            </w:r>
          </w:p>
          <w:p>
            <w:pPr>
              <w:pStyle w:val="114"/>
            </w:pPr>
            <w:r>
              <w:rPr>
                <w:rFonts w:hint="eastAsia"/>
              </w:rPr>
              <w:t>整改后定城污水处理厂各项因子出水水质达标统计情况见表</w:t>
            </w:r>
            <w:r>
              <w:t>1-19</w:t>
            </w:r>
            <w:r>
              <w:rPr>
                <w:rFonts w:hint="eastAsia"/>
              </w:rPr>
              <w:t>。</w:t>
            </w:r>
          </w:p>
          <w:p>
            <w:pPr>
              <w:pStyle w:val="111"/>
            </w:pPr>
            <w:r>
              <w:rPr>
                <w:rFonts w:hint="eastAsia"/>
              </w:rPr>
              <w:t>表</w:t>
            </w:r>
            <w:r>
              <w:t>1-19</w:t>
            </w:r>
            <w:r>
              <w:rPr>
                <w:rFonts w:hint="eastAsia"/>
              </w:rPr>
              <w:t>出水水质达标统计一览表</w:t>
            </w:r>
          </w:p>
          <w:tbl>
            <w:tblPr>
              <w:tblStyle w:val="37"/>
              <w:tblW w:w="90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81"/>
              <w:gridCol w:w="1551"/>
              <w:gridCol w:w="1193"/>
              <w:gridCol w:w="1193"/>
              <w:gridCol w:w="1193"/>
              <w:gridCol w:w="1193"/>
              <w:gridCol w:w="11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581" w:type="dxa"/>
                  <w:tcBorders>
                    <w:top w:val="single" w:color="auto" w:sz="12" w:space="0"/>
                    <w:left w:val="single" w:color="auto" w:sz="12" w:space="0"/>
                    <w:bottom w:val="double" w:color="auto" w:sz="4" w:space="0"/>
                    <w:right w:val="single" w:color="auto" w:sz="6" w:space="0"/>
                  </w:tcBorders>
                  <w:vAlign w:val="center"/>
                </w:tcPr>
                <w:p>
                  <w:pPr>
                    <w:pStyle w:val="77"/>
                  </w:pPr>
                  <w:r>
                    <w:rPr>
                      <w:rFonts w:hint="eastAsia"/>
                    </w:rPr>
                    <w:t>因子</w:t>
                  </w:r>
                </w:p>
              </w:tc>
              <w:tc>
                <w:tcPr>
                  <w:tcW w:w="1551" w:type="dxa"/>
                  <w:tcBorders>
                    <w:top w:val="single" w:color="auto" w:sz="12" w:space="0"/>
                    <w:left w:val="single" w:color="auto" w:sz="6" w:space="0"/>
                    <w:bottom w:val="double" w:color="auto" w:sz="4" w:space="0"/>
                    <w:right w:val="single" w:color="auto" w:sz="6" w:space="0"/>
                  </w:tcBorders>
                  <w:vAlign w:val="center"/>
                </w:tcPr>
                <w:p>
                  <w:pPr>
                    <w:pStyle w:val="77"/>
                  </w:pPr>
                  <w:r>
                    <w:t>COD</w:t>
                  </w:r>
                </w:p>
              </w:tc>
              <w:tc>
                <w:tcPr>
                  <w:tcW w:w="1193" w:type="dxa"/>
                  <w:tcBorders>
                    <w:top w:val="single" w:color="auto" w:sz="12" w:space="0"/>
                    <w:left w:val="single" w:color="auto" w:sz="6" w:space="0"/>
                    <w:bottom w:val="double" w:color="auto" w:sz="4" w:space="0"/>
                    <w:right w:val="single" w:color="auto" w:sz="6" w:space="0"/>
                  </w:tcBorders>
                  <w:vAlign w:val="center"/>
                </w:tcPr>
                <w:p>
                  <w:pPr>
                    <w:pStyle w:val="77"/>
                  </w:pPr>
                  <w:r>
                    <w:t>BOD</w:t>
                  </w:r>
                  <w:r>
                    <w:rPr>
                      <w:vertAlign w:val="subscript"/>
                    </w:rPr>
                    <w:t>5</w:t>
                  </w:r>
                </w:p>
              </w:tc>
              <w:tc>
                <w:tcPr>
                  <w:tcW w:w="1193" w:type="dxa"/>
                  <w:tcBorders>
                    <w:top w:val="single" w:color="auto" w:sz="12" w:space="0"/>
                    <w:left w:val="single" w:color="auto" w:sz="6" w:space="0"/>
                    <w:bottom w:val="double" w:color="auto" w:sz="4" w:space="0"/>
                    <w:right w:val="single" w:color="auto" w:sz="6" w:space="0"/>
                  </w:tcBorders>
                  <w:vAlign w:val="center"/>
                </w:tcPr>
                <w:p>
                  <w:pPr>
                    <w:pStyle w:val="77"/>
                  </w:pPr>
                  <w:r>
                    <w:t xml:space="preserve">SS </w:t>
                  </w:r>
                </w:p>
              </w:tc>
              <w:tc>
                <w:tcPr>
                  <w:tcW w:w="1193" w:type="dxa"/>
                  <w:tcBorders>
                    <w:top w:val="single" w:color="auto" w:sz="12" w:space="0"/>
                    <w:left w:val="single" w:color="auto" w:sz="6" w:space="0"/>
                    <w:bottom w:val="double" w:color="auto" w:sz="4" w:space="0"/>
                    <w:right w:val="single" w:color="auto" w:sz="6" w:space="0"/>
                  </w:tcBorders>
                  <w:vAlign w:val="center"/>
                </w:tcPr>
                <w:p>
                  <w:pPr>
                    <w:pStyle w:val="77"/>
                  </w:pPr>
                  <w:r>
                    <w:t>NH</w:t>
                  </w:r>
                  <w:r>
                    <w:rPr>
                      <w:vertAlign w:val="subscript"/>
                    </w:rPr>
                    <w:t>3</w:t>
                  </w:r>
                  <w:r>
                    <w:t>-N</w:t>
                  </w:r>
                </w:p>
              </w:tc>
              <w:tc>
                <w:tcPr>
                  <w:tcW w:w="1193" w:type="dxa"/>
                  <w:tcBorders>
                    <w:top w:val="single" w:color="auto" w:sz="12" w:space="0"/>
                    <w:left w:val="single" w:color="auto" w:sz="6" w:space="0"/>
                    <w:bottom w:val="double" w:color="auto" w:sz="4" w:space="0"/>
                    <w:right w:val="single" w:color="auto" w:sz="6" w:space="0"/>
                  </w:tcBorders>
                  <w:vAlign w:val="center"/>
                </w:tcPr>
                <w:p>
                  <w:pPr>
                    <w:pStyle w:val="77"/>
                  </w:pPr>
                  <w:r>
                    <w:t>TP</w:t>
                  </w:r>
                </w:p>
              </w:tc>
              <w:tc>
                <w:tcPr>
                  <w:tcW w:w="1194" w:type="dxa"/>
                  <w:tcBorders>
                    <w:top w:val="single" w:color="auto" w:sz="12" w:space="0"/>
                    <w:left w:val="single" w:color="auto" w:sz="6" w:space="0"/>
                    <w:bottom w:val="double" w:color="auto" w:sz="4" w:space="0"/>
                    <w:right w:val="single" w:color="auto" w:sz="12" w:space="0"/>
                  </w:tcBorders>
                  <w:vAlign w:val="center"/>
                </w:tcPr>
                <w:p>
                  <w:pPr>
                    <w:pStyle w:val="77"/>
                  </w:pPr>
                  <w:r>
                    <w:t>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581" w:type="dxa"/>
                  <w:tcBorders>
                    <w:top w:val="double" w:color="auto" w:sz="4" w:space="0"/>
                    <w:left w:val="single" w:color="auto" w:sz="12" w:space="0"/>
                    <w:bottom w:val="single" w:color="auto" w:sz="6" w:space="0"/>
                    <w:right w:val="single" w:color="auto" w:sz="6" w:space="0"/>
                  </w:tcBorders>
                  <w:vAlign w:val="center"/>
                </w:tcPr>
                <w:p>
                  <w:pPr>
                    <w:pStyle w:val="77"/>
                  </w:pPr>
                  <w:r>
                    <w:rPr>
                      <w:rFonts w:hint="eastAsia"/>
                    </w:rPr>
                    <w:t>有效天数（</w:t>
                  </w:r>
                  <w:r>
                    <w:t>d</w:t>
                  </w:r>
                  <w:r>
                    <w:rPr>
                      <w:rFonts w:hint="eastAsia"/>
                    </w:rPr>
                    <w:t>）</w:t>
                  </w:r>
                </w:p>
              </w:tc>
              <w:tc>
                <w:tcPr>
                  <w:tcW w:w="1551" w:type="dxa"/>
                  <w:tcBorders>
                    <w:top w:val="double" w:color="auto" w:sz="4" w:space="0"/>
                    <w:left w:val="single" w:color="auto" w:sz="6" w:space="0"/>
                    <w:bottom w:val="single" w:color="auto" w:sz="6" w:space="0"/>
                    <w:right w:val="single" w:color="auto" w:sz="6" w:space="0"/>
                  </w:tcBorders>
                  <w:vAlign w:val="center"/>
                </w:tcPr>
                <w:p>
                  <w:pPr>
                    <w:pStyle w:val="77"/>
                  </w:pPr>
                  <w:r>
                    <w:t>92</w:t>
                  </w:r>
                </w:p>
              </w:tc>
              <w:tc>
                <w:tcPr>
                  <w:tcW w:w="1193" w:type="dxa"/>
                  <w:tcBorders>
                    <w:top w:val="double" w:color="auto" w:sz="4" w:space="0"/>
                    <w:left w:val="single" w:color="auto" w:sz="6" w:space="0"/>
                    <w:bottom w:val="single" w:color="auto" w:sz="6" w:space="0"/>
                    <w:right w:val="single" w:color="auto" w:sz="6" w:space="0"/>
                  </w:tcBorders>
                  <w:vAlign w:val="center"/>
                </w:tcPr>
                <w:p>
                  <w:pPr>
                    <w:pStyle w:val="77"/>
                  </w:pPr>
                  <w:r>
                    <w:t>16</w:t>
                  </w:r>
                </w:p>
              </w:tc>
              <w:tc>
                <w:tcPr>
                  <w:tcW w:w="1193" w:type="dxa"/>
                  <w:tcBorders>
                    <w:top w:val="double" w:color="auto" w:sz="4" w:space="0"/>
                    <w:left w:val="single" w:color="auto" w:sz="6" w:space="0"/>
                    <w:bottom w:val="single" w:color="auto" w:sz="6" w:space="0"/>
                    <w:right w:val="single" w:color="auto" w:sz="6" w:space="0"/>
                  </w:tcBorders>
                  <w:vAlign w:val="center"/>
                </w:tcPr>
                <w:p>
                  <w:pPr>
                    <w:pStyle w:val="77"/>
                  </w:pPr>
                  <w:r>
                    <w:t>93</w:t>
                  </w:r>
                </w:p>
              </w:tc>
              <w:tc>
                <w:tcPr>
                  <w:tcW w:w="1193" w:type="dxa"/>
                  <w:tcBorders>
                    <w:top w:val="double" w:color="auto" w:sz="4" w:space="0"/>
                    <w:left w:val="single" w:color="auto" w:sz="6" w:space="0"/>
                    <w:bottom w:val="single" w:color="auto" w:sz="6" w:space="0"/>
                    <w:right w:val="single" w:color="auto" w:sz="6" w:space="0"/>
                  </w:tcBorders>
                  <w:vAlign w:val="center"/>
                </w:tcPr>
                <w:p>
                  <w:pPr>
                    <w:pStyle w:val="77"/>
                  </w:pPr>
                  <w:r>
                    <w:t>93</w:t>
                  </w:r>
                </w:p>
              </w:tc>
              <w:tc>
                <w:tcPr>
                  <w:tcW w:w="1193" w:type="dxa"/>
                  <w:tcBorders>
                    <w:top w:val="double" w:color="auto" w:sz="4" w:space="0"/>
                    <w:left w:val="single" w:color="auto" w:sz="6" w:space="0"/>
                    <w:bottom w:val="single" w:color="auto" w:sz="6" w:space="0"/>
                    <w:right w:val="single" w:color="auto" w:sz="6" w:space="0"/>
                  </w:tcBorders>
                  <w:vAlign w:val="center"/>
                </w:tcPr>
                <w:p>
                  <w:pPr>
                    <w:pStyle w:val="77"/>
                  </w:pPr>
                  <w:r>
                    <w:t>93</w:t>
                  </w:r>
                </w:p>
              </w:tc>
              <w:tc>
                <w:tcPr>
                  <w:tcW w:w="1194" w:type="dxa"/>
                  <w:tcBorders>
                    <w:top w:val="double" w:color="auto" w:sz="4" w:space="0"/>
                    <w:left w:val="single" w:color="auto" w:sz="6" w:space="0"/>
                    <w:bottom w:val="single" w:color="auto" w:sz="6" w:space="0"/>
                    <w:right w:val="single" w:color="auto" w:sz="12" w:space="0"/>
                  </w:tcBorders>
                  <w:vAlign w:val="center"/>
                </w:tcPr>
                <w:p>
                  <w:pPr>
                    <w:pStyle w:val="77"/>
                  </w:pPr>
                  <w:r>
                    <w:t>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581" w:type="dxa"/>
                  <w:tcBorders>
                    <w:top w:val="single" w:color="auto" w:sz="6" w:space="0"/>
                    <w:left w:val="single" w:color="auto" w:sz="12" w:space="0"/>
                    <w:bottom w:val="single" w:color="auto" w:sz="6" w:space="0"/>
                    <w:right w:val="single" w:color="auto" w:sz="6" w:space="0"/>
                  </w:tcBorders>
                  <w:vAlign w:val="center"/>
                </w:tcPr>
                <w:p>
                  <w:pPr>
                    <w:pStyle w:val="77"/>
                  </w:pPr>
                  <w:r>
                    <w:rPr>
                      <w:rFonts w:hint="eastAsia"/>
                    </w:rPr>
                    <w:t>达标天数（</w:t>
                  </w:r>
                  <w:r>
                    <w:t>d</w:t>
                  </w:r>
                  <w:r>
                    <w:rPr>
                      <w:rFonts w:hint="eastAsia"/>
                    </w:rPr>
                    <w:t>）</w:t>
                  </w:r>
                </w:p>
              </w:tc>
              <w:tc>
                <w:tcPr>
                  <w:tcW w:w="1551" w:type="dxa"/>
                  <w:tcBorders>
                    <w:top w:val="single" w:color="auto" w:sz="6" w:space="0"/>
                    <w:left w:val="single" w:color="auto" w:sz="6" w:space="0"/>
                    <w:bottom w:val="single" w:color="auto" w:sz="6" w:space="0"/>
                    <w:right w:val="single" w:color="auto" w:sz="6" w:space="0"/>
                  </w:tcBorders>
                  <w:vAlign w:val="center"/>
                </w:tcPr>
                <w:p>
                  <w:pPr>
                    <w:pStyle w:val="77"/>
                  </w:pPr>
                  <w:r>
                    <w:t>92</w:t>
                  </w:r>
                </w:p>
              </w:tc>
              <w:tc>
                <w:tcPr>
                  <w:tcW w:w="1193" w:type="dxa"/>
                  <w:tcBorders>
                    <w:top w:val="single" w:color="auto" w:sz="6" w:space="0"/>
                    <w:left w:val="single" w:color="auto" w:sz="6" w:space="0"/>
                    <w:bottom w:val="single" w:color="auto" w:sz="6" w:space="0"/>
                    <w:right w:val="single" w:color="auto" w:sz="6" w:space="0"/>
                  </w:tcBorders>
                  <w:vAlign w:val="center"/>
                </w:tcPr>
                <w:p>
                  <w:pPr>
                    <w:pStyle w:val="77"/>
                  </w:pPr>
                  <w:r>
                    <w:t>16</w:t>
                  </w:r>
                </w:p>
              </w:tc>
              <w:tc>
                <w:tcPr>
                  <w:tcW w:w="1193" w:type="dxa"/>
                  <w:tcBorders>
                    <w:top w:val="single" w:color="auto" w:sz="6" w:space="0"/>
                    <w:left w:val="single" w:color="auto" w:sz="6" w:space="0"/>
                    <w:bottom w:val="single" w:color="auto" w:sz="6" w:space="0"/>
                    <w:right w:val="single" w:color="auto" w:sz="6" w:space="0"/>
                  </w:tcBorders>
                  <w:vAlign w:val="center"/>
                </w:tcPr>
                <w:p>
                  <w:pPr>
                    <w:pStyle w:val="77"/>
                  </w:pPr>
                  <w:r>
                    <w:t>93</w:t>
                  </w:r>
                </w:p>
              </w:tc>
              <w:tc>
                <w:tcPr>
                  <w:tcW w:w="1193" w:type="dxa"/>
                  <w:tcBorders>
                    <w:top w:val="single" w:color="auto" w:sz="6" w:space="0"/>
                    <w:left w:val="single" w:color="auto" w:sz="6" w:space="0"/>
                    <w:bottom w:val="single" w:color="auto" w:sz="6" w:space="0"/>
                    <w:right w:val="single" w:color="auto" w:sz="6" w:space="0"/>
                  </w:tcBorders>
                  <w:vAlign w:val="center"/>
                </w:tcPr>
                <w:p>
                  <w:pPr>
                    <w:pStyle w:val="77"/>
                  </w:pPr>
                  <w:r>
                    <w:t>93</w:t>
                  </w:r>
                </w:p>
              </w:tc>
              <w:tc>
                <w:tcPr>
                  <w:tcW w:w="1193" w:type="dxa"/>
                  <w:tcBorders>
                    <w:top w:val="single" w:color="auto" w:sz="6" w:space="0"/>
                    <w:left w:val="single" w:color="auto" w:sz="6" w:space="0"/>
                    <w:bottom w:val="single" w:color="auto" w:sz="6" w:space="0"/>
                    <w:right w:val="single" w:color="auto" w:sz="6" w:space="0"/>
                  </w:tcBorders>
                  <w:vAlign w:val="center"/>
                </w:tcPr>
                <w:p>
                  <w:pPr>
                    <w:pStyle w:val="77"/>
                  </w:pPr>
                  <w:r>
                    <w:t>93</w:t>
                  </w:r>
                </w:p>
              </w:tc>
              <w:tc>
                <w:tcPr>
                  <w:tcW w:w="1194" w:type="dxa"/>
                  <w:tcBorders>
                    <w:top w:val="single" w:color="auto" w:sz="6" w:space="0"/>
                    <w:left w:val="single" w:color="auto" w:sz="6" w:space="0"/>
                    <w:bottom w:val="single" w:color="auto" w:sz="6" w:space="0"/>
                    <w:right w:val="single" w:color="auto" w:sz="12" w:space="0"/>
                  </w:tcBorders>
                  <w:vAlign w:val="center"/>
                </w:tcPr>
                <w:p>
                  <w:pPr>
                    <w:pStyle w:val="77"/>
                  </w:pPr>
                  <w:r>
                    <w:t>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1581" w:type="dxa"/>
                  <w:tcBorders>
                    <w:top w:val="single" w:color="auto" w:sz="6" w:space="0"/>
                    <w:left w:val="single" w:color="auto" w:sz="12" w:space="0"/>
                    <w:bottom w:val="single" w:color="auto" w:sz="12" w:space="0"/>
                    <w:right w:val="single" w:color="auto" w:sz="6" w:space="0"/>
                  </w:tcBorders>
                  <w:vAlign w:val="center"/>
                </w:tcPr>
                <w:p>
                  <w:pPr>
                    <w:pStyle w:val="77"/>
                  </w:pPr>
                  <w:r>
                    <w:rPr>
                      <w:rFonts w:hint="eastAsia"/>
                    </w:rPr>
                    <w:t>达标率（</w:t>
                  </w:r>
                  <w:r>
                    <w:t>%</w:t>
                  </w:r>
                  <w:r>
                    <w:rPr>
                      <w:rFonts w:hint="eastAsia"/>
                    </w:rPr>
                    <w:t>）</w:t>
                  </w:r>
                </w:p>
              </w:tc>
              <w:tc>
                <w:tcPr>
                  <w:tcW w:w="1551" w:type="dxa"/>
                  <w:tcBorders>
                    <w:top w:val="single" w:color="auto" w:sz="6" w:space="0"/>
                    <w:left w:val="single" w:color="auto" w:sz="6" w:space="0"/>
                    <w:bottom w:val="single" w:color="auto" w:sz="12" w:space="0"/>
                    <w:right w:val="single" w:color="auto" w:sz="6" w:space="0"/>
                  </w:tcBorders>
                  <w:vAlign w:val="center"/>
                </w:tcPr>
                <w:p>
                  <w:pPr>
                    <w:pStyle w:val="77"/>
                  </w:pPr>
                  <w:r>
                    <w:t>100</w:t>
                  </w:r>
                </w:p>
              </w:tc>
              <w:tc>
                <w:tcPr>
                  <w:tcW w:w="1193" w:type="dxa"/>
                  <w:tcBorders>
                    <w:top w:val="single" w:color="auto" w:sz="6" w:space="0"/>
                    <w:left w:val="single" w:color="auto" w:sz="6" w:space="0"/>
                    <w:bottom w:val="single" w:color="auto" w:sz="12" w:space="0"/>
                    <w:right w:val="single" w:color="auto" w:sz="6" w:space="0"/>
                  </w:tcBorders>
                  <w:vAlign w:val="center"/>
                </w:tcPr>
                <w:p>
                  <w:pPr>
                    <w:pStyle w:val="77"/>
                  </w:pPr>
                  <w:r>
                    <w:t>100</w:t>
                  </w:r>
                </w:p>
              </w:tc>
              <w:tc>
                <w:tcPr>
                  <w:tcW w:w="1193" w:type="dxa"/>
                  <w:tcBorders>
                    <w:top w:val="single" w:color="auto" w:sz="6" w:space="0"/>
                    <w:left w:val="single" w:color="auto" w:sz="6" w:space="0"/>
                    <w:bottom w:val="single" w:color="auto" w:sz="12" w:space="0"/>
                    <w:right w:val="single" w:color="auto" w:sz="6" w:space="0"/>
                  </w:tcBorders>
                  <w:vAlign w:val="center"/>
                </w:tcPr>
                <w:p>
                  <w:pPr>
                    <w:pStyle w:val="77"/>
                  </w:pPr>
                  <w:r>
                    <w:t>100</w:t>
                  </w:r>
                </w:p>
              </w:tc>
              <w:tc>
                <w:tcPr>
                  <w:tcW w:w="1193" w:type="dxa"/>
                  <w:tcBorders>
                    <w:top w:val="single" w:color="auto" w:sz="6" w:space="0"/>
                    <w:left w:val="single" w:color="auto" w:sz="6" w:space="0"/>
                    <w:bottom w:val="single" w:color="auto" w:sz="12" w:space="0"/>
                    <w:right w:val="single" w:color="auto" w:sz="6" w:space="0"/>
                  </w:tcBorders>
                  <w:vAlign w:val="center"/>
                </w:tcPr>
                <w:p>
                  <w:pPr>
                    <w:pStyle w:val="77"/>
                  </w:pPr>
                  <w:r>
                    <w:t>100</w:t>
                  </w:r>
                </w:p>
              </w:tc>
              <w:tc>
                <w:tcPr>
                  <w:tcW w:w="1193" w:type="dxa"/>
                  <w:tcBorders>
                    <w:top w:val="single" w:color="auto" w:sz="6" w:space="0"/>
                    <w:left w:val="single" w:color="auto" w:sz="6" w:space="0"/>
                    <w:bottom w:val="single" w:color="auto" w:sz="12" w:space="0"/>
                    <w:right w:val="single" w:color="auto" w:sz="6" w:space="0"/>
                  </w:tcBorders>
                  <w:vAlign w:val="center"/>
                </w:tcPr>
                <w:p>
                  <w:pPr>
                    <w:pStyle w:val="77"/>
                  </w:pPr>
                  <w:r>
                    <w:t>100</w:t>
                  </w:r>
                </w:p>
              </w:tc>
              <w:tc>
                <w:tcPr>
                  <w:tcW w:w="1194" w:type="dxa"/>
                  <w:tcBorders>
                    <w:top w:val="single" w:color="auto" w:sz="6" w:space="0"/>
                    <w:left w:val="single" w:color="auto" w:sz="6" w:space="0"/>
                    <w:bottom w:val="single" w:color="auto" w:sz="12" w:space="0"/>
                    <w:right w:val="single" w:color="auto" w:sz="12" w:space="0"/>
                  </w:tcBorders>
                  <w:vAlign w:val="center"/>
                </w:tcPr>
                <w:p>
                  <w:pPr>
                    <w:pStyle w:val="77"/>
                  </w:pPr>
                  <w:r>
                    <w:t>100</w:t>
                  </w:r>
                </w:p>
              </w:tc>
            </w:tr>
          </w:tbl>
          <w:p>
            <w:pPr>
              <w:pStyle w:val="114"/>
            </w:pPr>
            <w:r>
              <w:rPr>
                <w:rFonts w:hint="eastAsia"/>
              </w:rPr>
              <w:t>由表</w:t>
            </w:r>
            <w:r>
              <w:t>1-17</w:t>
            </w:r>
            <w:r>
              <w:rPr>
                <w:rFonts w:hint="eastAsia"/>
              </w:rPr>
              <w:t>可知，经过厂内处理设施的升级改造，出水其他各项因子均可实现稳定达标排放。</w:t>
            </w:r>
          </w:p>
          <w:p>
            <w:pPr>
              <w:pStyle w:val="90"/>
              <w:snapToGrid w:val="0"/>
              <w:spacing w:line="360" w:lineRule="auto"/>
              <w:ind w:firstLine="480"/>
              <w:rPr>
                <w:rFonts w:ascii="Times New Roman" w:hAnsi="Times New Roman"/>
                <w:b/>
                <w:bCs/>
                <w:spacing w:val="0"/>
                <w:sz w:val="24"/>
                <w:szCs w:val="24"/>
              </w:rPr>
            </w:pPr>
            <w:r>
              <w:rPr>
                <w:rFonts w:hint="eastAsia" w:ascii="Times New Roman" w:hAnsi="Times New Roman"/>
                <w:b/>
                <w:bCs/>
                <w:spacing w:val="0"/>
                <w:sz w:val="24"/>
                <w:szCs w:val="24"/>
              </w:rPr>
              <w:t>三、现有污染源排放情况及达标分析</w:t>
            </w:r>
          </w:p>
          <w:p>
            <w:pPr>
              <w:pStyle w:val="90"/>
              <w:snapToGrid w:val="0"/>
              <w:spacing w:line="360" w:lineRule="auto"/>
              <w:ind w:firstLine="480"/>
              <w:rPr>
                <w:rFonts w:ascii="Times New Roman" w:hAnsi="Times New Roman"/>
                <w:b/>
                <w:bCs/>
                <w:spacing w:val="0"/>
                <w:sz w:val="24"/>
                <w:szCs w:val="24"/>
              </w:rPr>
            </w:pPr>
            <w:r>
              <w:rPr>
                <w:rFonts w:ascii="Times New Roman" w:hAnsi="Times New Roman"/>
                <w:b/>
                <w:bCs/>
                <w:spacing w:val="0"/>
                <w:sz w:val="24"/>
                <w:szCs w:val="24"/>
              </w:rPr>
              <w:t>1</w:t>
            </w:r>
            <w:r>
              <w:rPr>
                <w:rFonts w:hint="eastAsia" w:ascii="Times New Roman" w:hAnsi="Times New Roman"/>
                <w:b/>
                <w:bCs/>
                <w:spacing w:val="0"/>
                <w:sz w:val="24"/>
                <w:szCs w:val="24"/>
              </w:rPr>
              <w:t>、一期工程污染源调查</w:t>
            </w:r>
          </w:p>
          <w:p>
            <w:pPr>
              <w:autoSpaceDE w:val="0"/>
              <w:autoSpaceDN w:val="0"/>
              <w:adjustRightInd w:val="0"/>
              <w:snapToGrid w:val="0"/>
              <w:spacing w:line="360" w:lineRule="auto"/>
              <w:ind w:firstLine="482" w:firstLineChars="200"/>
              <w:rPr>
                <w:rFonts w:ascii="Times New Roman" w:hAnsi="Times New Roman"/>
                <w:b/>
                <w:bCs/>
                <w:sz w:val="24"/>
              </w:rPr>
            </w:pPr>
            <w:r>
              <w:rPr>
                <w:rFonts w:hint="eastAsia" w:ascii="Times New Roman" w:hAnsi="Times New Roman"/>
                <w:b/>
                <w:bCs/>
                <w:sz w:val="24"/>
              </w:rPr>
              <w:t>（</w:t>
            </w:r>
            <w:r>
              <w:rPr>
                <w:rFonts w:ascii="Times New Roman" w:hAnsi="Times New Roman"/>
                <w:b/>
                <w:bCs/>
                <w:sz w:val="24"/>
              </w:rPr>
              <w:t>1</w:t>
            </w:r>
            <w:r>
              <w:rPr>
                <w:rFonts w:hint="eastAsia" w:ascii="Times New Roman" w:hAnsi="Times New Roman"/>
                <w:b/>
                <w:bCs/>
                <w:sz w:val="24"/>
              </w:rPr>
              <w:t>）大气污染</w:t>
            </w:r>
          </w:p>
          <w:p>
            <w:pPr>
              <w:keepNext/>
              <w:keepLines/>
              <w:spacing w:line="360" w:lineRule="auto"/>
              <w:ind w:firstLine="482" w:firstLineChars="200"/>
              <w:outlineLvl w:val="3"/>
              <w:rPr>
                <w:rFonts w:ascii="Times New Roman" w:hAnsi="Times New Roman"/>
                <w:b/>
                <w:bCs/>
                <w:sz w:val="24"/>
                <w:szCs w:val="28"/>
              </w:rPr>
            </w:pPr>
            <w:r>
              <w:rPr>
                <w:rFonts w:hint="eastAsia" w:ascii="宋体" w:hAnsi="宋体" w:cs="宋体"/>
                <w:b/>
                <w:bCs/>
                <w:sz w:val="24"/>
                <w:szCs w:val="28"/>
              </w:rPr>
              <w:t>①</w:t>
            </w:r>
            <w:r>
              <w:rPr>
                <w:rFonts w:hint="eastAsia" w:ascii="Times New Roman" w:hAnsi="Times New Roman"/>
                <w:b/>
                <w:bCs/>
                <w:sz w:val="24"/>
                <w:szCs w:val="28"/>
              </w:rPr>
              <w:t>大气污染源</w:t>
            </w:r>
          </w:p>
          <w:p>
            <w:pPr>
              <w:pStyle w:val="114"/>
              <w:rPr>
                <w:rStyle w:val="116"/>
                <w:bCs w:val="0"/>
                <w:sz w:val="24"/>
              </w:rPr>
            </w:pPr>
            <w:r>
              <w:rPr>
                <w:rFonts w:hint="eastAsia"/>
              </w:rPr>
              <w:t>一期工程的大气污染物主要为污水预处理、生化处理工段以及污泥处理工段产生的恶臭气体，主要污染因子为</w:t>
            </w:r>
            <w:r>
              <w:rPr>
                <w:rStyle w:val="116"/>
                <w:bCs w:val="0"/>
                <w:sz w:val="24"/>
              </w:rPr>
              <w:t>NH</w:t>
            </w:r>
            <w:r>
              <w:rPr>
                <w:rStyle w:val="116"/>
                <w:bCs w:val="0"/>
                <w:sz w:val="24"/>
                <w:vertAlign w:val="subscript"/>
              </w:rPr>
              <w:t>3</w:t>
            </w:r>
            <w:r>
              <w:rPr>
                <w:rStyle w:val="116"/>
                <w:rFonts w:hint="eastAsia"/>
                <w:bCs w:val="0"/>
                <w:sz w:val="24"/>
              </w:rPr>
              <w:t>、</w:t>
            </w:r>
            <w:r>
              <w:rPr>
                <w:rStyle w:val="116"/>
                <w:bCs w:val="0"/>
                <w:sz w:val="24"/>
              </w:rPr>
              <w:t>H</w:t>
            </w:r>
            <w:r>
              <w:rPr>
                <w:rStyle w:val="116"/>
                <w:bCs w:val="0"/>
                <w:sz w:val="24"/>
                <w:vertAlign w:val="subscript"/>
              </w:rPr>
              <w:t>2</w:t>
            </w:r>
            <w:r>
              <w:rPr>
                <w:rStyle w:val="116"/>
                <w:bCs w:val="0"/>
                <w:sz w:val="24"/>
              </w:rPr>
              <w:t>S</w:t>
            </w:r>
            <w:r>
              <w:rPr>
                <w:rFonts w:hint="eastAsia"/>
              </w:rPr>
              <w:t>，具体</w:t>
            </w:r>
            <w:r>
              <w:rPr>
                <w:rStyle w:val="116"/>
                <w:rFonts w:hint="eastAsia"/>
                <w:bCs w:val="0"/>
                <w:sz w:val="24"/>
              </w:rPr>
              <w:t>产生情况详见表</w:t>
            </w:r>
            <w:r>
              <w:rPr>
                <w:rStyle w:val="116"/>
                <w:bCs w:val="0"/>
                <w:sz w:val="24"/>
              </w:rPr>
              <w:t>1-20</w:t>
            </w:r>
            <w:r>
              <w:rPr>
                <w:rFonts w:hint="eastAsia"/>
              </w:rPr>
              <w:t>。</w:t>
            </w:r>
          </w:p>
          <w:p>
            <w:pPr>
              <w:pStyle w:val="111"/>
              <w:rPr>
                <w:bCs/>
              </w:rPr>
            </w:pPr>
            <w:r>
              <w:rPr>
                <w:rFonts w:hint="eastAsia"/>
              </w:rPr>
              <w:t>表</w:t>
            </w:r>
            <w:r>
              <w:t xml:space="preserve">1-20  </w:t>
            </w:r>
            <w:r>
              <w:rPr>
                <w:rFonts w:hint="eastAsia"/>
              </w:rPr>
              <w:t>一期项目各处理单元</w:t>
            </w:r>
            <w:r>
              <w:t>NH</w:t>
            </w:r>
            <w:r>
              <w:rPr>
                <w:vertAlign w:val="subscript"/>
              </w:rPr>
              <w:t>3</w:t>
            </w:r>
            <w:r>
              <w:rPr>
                <w:rFonts w:hint="eastAsia"/>
              </w:rPr>
              <w:t>和</w:t>
            </w:r>
            <w:r>
              <w:t>H</w:t>
            </w:r>
            <w:r>
              <w:rPr>
                <w:vertAlign w:val="subscript"/>
              </w:rPr>
              <w:t>2</w:t>
            </w:r>
            <w:r>
              <w:t>S</w:t>
            </w:r>
            <w:r>
              <w:rPr>
                <w:rFonts w:hint="eastAsia"/>
              </w:rPr>
              <w:t>的产生情况</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1"/>
              <w:gridCol w:w="2586"/>
              <w:gridCol w:w="1034"/>
              <w:gridCol w:w="1014"/>
              <w:gridCol w:w="1015"/>
              <w:gridCol w:w="1014"/>
              <w:gridCol w:w="9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531"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b/>
                    </w:rPr>
                  </w:pPr>
                  <w:r>
                    <w:rPr>
                      <w:rFonts w:hint="eastAsia" w:ascii="Times New Roman" w:hAnsi="Times New Roman"/>
                      <w:b/>
                    </w:rPr>
                    <w:t>工段</w:t>
                  </w:r>
                </w:p>
              </w:tc>
              <w:tc>
                <w:tcPr>
                  <w:tcW w:w="2586" w:type="dxa"/>
                  <w:vMerge w:val="restart"/>
                  <w:tcBorders>
                    <w:top w:val="single" w:color="auto" w:sz="12"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b/>
                    </w:rPr>
                  </w:pPr>
                  <w:r>
                    <w:rPr>
                      <w:rFonts w:hint="eastAsia" w:ascii="Times New Roman" w:hAnsi="Times New Roman"/>
                      <w:b/>
                    </w:rPr>
                    <w:t>构筑物</w:t>
                  </w:r>
                </w:p>
              </w:tc>
              <w:tc>
                <w:tcPr>
                  <w:tcW w:w="1034" w:type="dxa"/>
                  <w:vMerge w:val="restart"/>
                  <w:tcBorders>
                    <w:top w:val="single" w:color="auto" w:sz="12"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b/>
                    </w:rPr>
                  </w:pPr>
                  <w:r>
                    <w:rPr>
                      <w:rFonts w:hint="eastAsia" w:ascii="Times New Roman" w:hAnsi="Times New Roman"/>
                      <w:b/>
                    </w:rPr>
                    <w:t>面积</w:t>
                  </w:r>
                </w:p>
              </w:tc>
              <w:tc>
                <w:tcPr>
                  <w:tcW w:w="2029" w:type="dxa"/>
                  <w:gridSpan w:val="2"/>
                  <w:tcBorders>
                    <w:top w:val="single" w:color="auto" w:sz="12"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b/>
                    </w:rPr>
                  </w:pPr>
                  <w:r>
                    <w:rPr>
                      <w:rFonts w:ascii="Times New Roman" w:hAnsi="Times New Roman"/>
                      <w:b/>
                    </w:rPr>
                    <w:t>NH</w:t>
                  </w:r>
                  <w:r>
                    <w:rPr>
                      <w:rFonts w:ascii="Times New Roman" w:hAnsi="Times New Roman"/>
                      <w:b/>
                      <w:vertAlign w:val="subscript"/>
                    </w:rPr>
                    <w:t>3</w:t>
                  </w:r>
                  <w:r>
                    <w:rPr>
                      <w:rFonts w:hint="eastAsia" w:ascii="Times New Roman" w:hAnsi="Times New Roman"/>
                      <w:b/>
                    </w:rPr>
                    <w:t>产生情况</w:t>
                  </w:r>
                </w:p>
              </w:tc>
              <w:tc>
                <w:tcPr>
                  <w:tcW w:w="1918" w:type="dxa"/>
                  <w:gridSpan w:val="2"/>
                  <w:tcBorders>
                    <w:top w:val="single" w:color="auto" w:sz="12"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b/>
                    </w:rPr>
                  </w:pPr>
                  <w:r>
                    <w:rPr>
                      <w:rFonts w:ascii="Times New Roman" w:hAnsi="Times New Roman"/>
                      <w:b/>
                    </w:rPr>
                    <w:t>H</w:t>
                  </w:r>
                  <w:r>
                    <w:rPr>
                      <w:rFonts w:ascii="Times New Roman" w:hAnsi="Times New Roman"/>
                      <w:b/>
                      <w:vertAlign w:val="subscript"/>
                    </w:rPr>
                    <w:t>2</w:t>
                  </w:r>
                  <w:r>
                    <w:rPr>
                      <w:rFonts w:ascii="Times New Roman" w:hAnsi="Times New Roman"/>
                      <w:b/>
                    </w:rPr>
                    <w:t>S</w:t>
                  </w:r>
                  <w:r>
                    <w:rPr>
                      <w:rFonts w:hint="eastAsia" w:ascii="Times New Roman" w:hAnsi="Times New Roman"/>
                      <w:b/>
                    </w:rPr>
                    <w:t>产生情况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531" w:type="dxa"/>
                  <w:vMerge w:val="continue"/>
                  <w:tcBorders>
                    <w:top w:val="single" w:color="auto" w:sz="6" w:space="0"/>
                    <w:left w:val="single" w:color="auto" w:sz="12" w:space="0"/>
                    <w:bottom w:val="double" w:color="auto" w:sz="4" w:space="0"/>
                    <w:right w:val="single" w:color="auto" w:sz="6" w:space="0"/>
                  </w:tcBorders>
                  <w:vAlign w:val="center"/>
                </w:tcPr>
                <w:p>
                  <w:pPr>
                    <w:spacing w:line="240" w:lineRule="atLeast"/>
                    <w:jc w:val="center"/>
                    <w:rPr>
                      <w:rFonts w:ascii="Times New Roman" w:hAnsi="Times New Roman"/>
                      <w:b/>
                    </w:rPr>
                  </w:pPr>
                </w:p>
              </w:tc>
              <w:tc>
                <w:tcPr>
                  <w:tcW w:w="2586" w:type="dxa"/>
                  <w:vMerge w:val="continue"/>
                  <w:tcBorders>
                    <w:top w:val="single" w:color="auto" w:sz="6"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rPr>
                  </w:pPr>
                </w:p>
              </w:tc>
              <w:tc>
                <w:tcPr>
                  <w:tcW w:w="1034" w:type="dxa"/>
                  <w:vMerge w:val="continue"/>
                  <w:tcBorders>
                    <w:top w:val="single" w:color="auto" w:sz="6"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rPr>
                  </w:pPr>
                </w:p>
              </w:tc>
              <w:tc>
                <w:tcPr>
                  <w:tcW w:w="1014" w:type="dxa"/>
                  <w:tcBorders>
                    <w:top w:val="single" w:color="auto" w:sz="6"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rPr>
                  </w:pPr>
                  <w:r>
                    <w:rPr>
                      <w:rFonts w:ascii="Times New Roman" w:hAnsi="Times New Roman"/>
                      <w:b/>
                    </w:rPr>
                    <w:t>kg/h</w:t>
                  </w:r>
                </w:p>
              </w:tc>
              <w:tc>
                <w:tcPr>
                  <w:tcW w:w="1015" w:type="dxa"/>
                  <w:tcBorders>
                    <w:top w:val="single" w:color="auto" w:sz="6"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rPr>
                  </w:pPr>
                  <w:r>
                    <w:rPr>
                      <w:rFonts w:ascii="Times New Roman" w:hAnsi="Times New Roman"/>
                      <w:b/>
                    </w:rPr>
                    <w:t>t/a</w:t>
                  </w:r>
                </w:p>
              </w:tc>
              <w:tc>
                <w:tcPr>
                  <w:tcW w:w="1014" w:type="dxa"/>
                  <w:tcBorders>
                    <w:top w:val="single" w:color="auto" w:sz="6"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b/>
                    </w:rPr>
                  </w:pPr>
                  <w:r>
                    <w:rPr>
                      <w:rFonts w:ascii="Times New Roman" w:hAnsi="Times New Roman"/>
                      <w:b/>
                    </w:rPr>
                    <w:t>kg/h</w:t>
                  </w:r>
                </w:p>
              </w:tc>
              <w:tc>
                <w:tcPr>
                  <w:tcW w:w="904" w:type="dxa"/>
                  <w:tcBorders>
                    <w:top w:val="single" w:color="auto" w:sz="6" w:space="0"/>
                    <w:left w:val="single" w:color="auto" w:sz="6" w:space="0"/>
                    <w:bottom w:val="double" w:color="auto" w:sz="4" w:space="0"/>
                    <w:right w:val="single" w:color="auto" w:sz="12" w:space="0"/>
                  </w:tcBorders>
                  <w:vAlign w:val="center"/>
                </w:tcPr>
                <w:p>
                  <w:pPr>
                    <w:spacing w:line="240" w:lineRule="atLeast"/>
                    <w:jc w:val="center"/>
                    <w:rPr>
                      <w:rFonts w:ascii="Times New Roman" w:hAnsi="Times New Roman"/>
                      <w:b/>
                    </w:rPr>
                  </w:pPr>
                  <w:r>
                    <w:rPr>
                      <w:rFonts w:ascii="Times New Roman" w:hAnsi="Times New Roman"/>
                      <w:b/>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531" w:type="dxa"/>
                  <w:tcBorders>
                    <w:top w:val="double" w:color="auto" w:sz="4"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预处理阶段</w:t>
                  </w:r>
                </w:p>
              </w:tc>
              <w:tc>
                <w:tcPr>
                  <w:tcW w:w="2586"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粗格栅、细格栅、沉砂池</w:t>
                  </w:r>
                </w:p>
              </w:tc>
              <w:tc>
                <w:tcPr>
                  <w:tcW w:w="1034"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161</w:t>
                  </w:r>
                </w:p>
              </w:tc>
              <w:tc>
                <w:tcPr>
                  <w:tcW w:w="1014"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0.032</w:t>
                  </w:r>
                </w:p>
              </w:tc>
              <w:tc>
                <w:tcPr>
                  <w:tcW w:w="1015"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0.28</w:t>
                  </w:r>
                </w:p>
              </w:tc>
              <w:tc>
                <w:tcPr>
                  <w:tcW w:w="1014"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0.002</w:t>
                  </w:r>
                </w:p>
              </w:tc>
              <w:tc>
                <w:tcPr>
                  <w:tcW w:w="904" w:type="dxa"/>
                  <w:tcBorders>
                    <w:top w:val="double" w:color="auto" w:sz="4"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hAnsi="Times New Roman" w:eastAsia="等线"/>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531"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生化处理阶段</w:t>
                  </w:r>
                </w:p>
              </w:tc>
              <w:tc>
                <w:tcPr>
                  <w:tcW w:w="258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AAO</w:t>
                  </w:r>
                </w:p>
              </w:tc>
              <w:tc>
                <w:tcPr>
                  <w:tcW w:w="103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2058</w:t>
                  </w:r>
                </w:p>
              </w:tc>
              <w:tc>
                <w:tcPr>
                  <w:tcW w:w="101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0.333</w:t>
                  </w:r>
                </w:p>
              </w:tc>
              <w:tc>
                <w:tcPr>
                  <w:tcW w:w="1015"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2.92</w:t>
                  </w:r>
                </w:p>
              </w:tc>
              <w:tc>
                <w:tcPr>
                  <w:tcW w:w="101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0.037</w:t>
                  </w:r>
                </w:p>
              </w:tc>
              <w:tc>
                <w:tcPr>
                  <w:tcW w:w="904"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hAnsi="Times New Roman" w:eastAsia="等线"/>
                      <w:szCs w:val="21"/>
                    </w:rPr>
                    <w:t>0.32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531"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污泥处理工段</w:t>
                  </w:r>
                </w:p>
              </w:tc>
              <w:tc>
                <w:tcPr>
                  <w:tcW w:w="258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贮泥池、污泥浓缩脱水间</w:t>
                  </w:r>
                </w:p>
              </w:tc>
              <w:tc>
                <w:tcPr>
                  <w:tcW w:w="103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306</w:t>
                  </w:r>
                </w:p>
              </w:tc>
              <w:tc>
                <w:tcPr>
                  <w:tcW w:w="101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0.308</w:t>
                  </w:r>
                </w:p>
              </w:tc>
              <w:tc>
                <w:tcPr>
                  <w:tcW w:w="1015"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2.7</w:t>
                  </w:r>
                </w:p>
              </w:tc>
              <w:tc>
                <w:tcPr>
                  <w:tcW w:w="1014"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eastAsia="等线"/>
                      <w:szCs w:val="21"/>
                    </w:rPr>
                    <w:t>0.022</w:t>
                  </w:r>
                </w:p>
              </w:tc>
              <w:tc>
                <w:tcPr>
                  <w:tcW w:w="904"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hAnsi="Times New Roman" w:eastAsia="等线"/>
                      <w:szCs w:val="21"/>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4117" w:type="dxa"/>
                  <w:gridSpan w:val="2"/>
                  <w:tcBorders>
                    <w:top w:val="single" w:color="auto" w:sz="6" w:space="0"/>
                    <w:left w:val="single" w:color="auto" w:sz="12" w:space="0"/>
                    <w:bottom w:val="single" w:color="auto" w:sz="12" w:space="0"/>
                    <w:right w:val="single" w:color="auto" w:sz="6" w:space="0"/>
                  </w:tcBorders>
                  <w:vAlign w:val="center"/>
                </w:tcPr>
                <w:p>
                  <w:pPr>
                    <w:spacing w:line="240" w:lineRule="atLeast"/>
                    <w:jc w:val="center"/>
                    <w:rPr>
                      <w:rFonts w:ascii="Times New Roman" w:hAnsi="Times New Roman"/>
                    </w:rPr>
                  </w:pPr>
                  <w:r>
                    <w:rPr>
                      <w:rFonts w:hint="eastAsia" w:ascii="Times New Roman" w:hAnsi="Times New Roman"/>
                    </w:rPr>
                    <w:t>合计</w:t>
                  </w:r>
                </w:p>
              </w:tc>
              <w:tc>
                <w:tcPr>
                  <w:tcW w:w="1034"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rPr>
                  </w:pPr>
                  <w:r>
                    <w:rPr>
                      <w:rFonts w:ascii="Times New Roman" w:hAnsi="Times New Roman"/>
                    </w:rPr>
                    <w:t>2525</w:t>
                  </w:r>
                </w:p>
              </w:tc>
              <w:tc>
                <w:tcPr>
                  <w:tcW w:w="1014" w:type="dxa"/>
                  <w:tcBorders>
                    <w:top w:val="single" w:color="auto" w:sz="6" w:space="0"/>
                    <w:left w:val="single" w:color="auto" w:sz="6" w:space="0"/>
                    <w:bottom w:val="single" w:color="auto" w:sz="12" w:space="0"/>
                    <w:right w:val="single" w:color="auto" w:sz="6" w:space="0"/>
                  </w:tcBorders>
                </w:tcPr>
                <w:p>
                  <w:pPr>
                    <w:spacing w:line="240" w:lineRule="atLeast"/>
                    <w:jc w:val="center"/>
                    <w:rPr>
                      <w:rFonts w:ascii="Times New Roman" w:hAnsi="Times New Roman"/>
                    </w:rPr>
                  </w:pPr>
                  <w:r>
                    <w:rPr>
                      <w:rFonts w:ascii="Times New Roman" w:hAnsi="Times New Roman"/>
                    </w:rPr>
                    <w:t>0.674</w:t>
                  </w:r>
                </w:p>
              </w:tc>
              <w:tc>
                <w:tcPr>
                  <w:tcW w:w="1015" w:type="dxa"/>
                  <w:tcBorders>
                    <w:top w:val="single" w:color="auto" w:sz="6" w:space="0"/>
                    <w:left w:val="single" w:color="auto" w:sz="6" w:space="0"/>
                    <w:bottom w:val="single" w:color="auto" w:sz="12" w:space="0"/>
                    <w:right w:val="single" w:color="auto" w:sz="6" w:space="0"/>
                  </w:tcBorders>
                </w:tcPr>
                <w:p>
                  <w:pPr>
                    <w:spacing w:line="240" w:lineRule="atLeast"/>
                    <w:jc w:val="center"/>
                    <w:rPr>
                      <w:rFonts w:ascii="Times New Roman" w:hAnsi="Times New Roman"/>
                    </w:rPr>
                  </w:pPr>
                  <w:r>
                    <w:rPr>
                      <w:rFonts w:ascii="Times New Roman" w:hAnsi="Times New Roman"/>
                    </w:rPr>
                    <w:t>5.9</w:t>
                  </w:r>
                </w:p>
              </w:tc>
              <w:tc>
                <w:tcPr>
                  <w:tcW w:w="1014" w:type="dxa"/>
                  <w:tcBorders>
                    <w:top w:val="single" w:color="auto" w:sz="6" w:space="0"/>
                    <w:left w:val="single" w:color="auto" w:sz="6" w:space="0"/>
                    <w:bottom w:val="single" w:color="auto" w:sz="12" w:space="0"/>
                    <w:right w:val="single" w:color="auto" w:sz="6" w:space="0"/>
                  </w:tcBorders>
                </w:tcPr>
                <w:p>
                  <w:pPr>
                    <w:spacing w:line="240" w:lineRule="atLeast"/>
                    <w:jc w:val="center"/>
                    <w:rPr>
                      <w:rFonts w:ascii="Times New Roman" w:hAnsi="Times New Roman"/>
                    </w:rPr>
                  </w:pPr>
                  <w:r>
                    <w:rPr>
                      <w:rFonts w:ascii="Times New Roman" w:hAnsi="Times New Roman"/>
                    </w:rPr>
                    <w:t>0.061</w:t>
                  </w:r>
                </w:p>
              </w:tc>
              <w:tc>
                <w:tcPr>
                  <w:tcW w:w="904" w:type="dxa"/>
                  <w:tcBorders>
                    <w:top w:val="single" w:color="auto" w:sz="6" w:space="0"/>
                    <w:left w:val="single" w:color="auto" w:sz="6" w:space="0"/>
                    <w:bottom w:val="single" w:color="auto" w:sz="12" w:space="0"/>
                    <w:right w:val="single" w:color="auto" w:sz="12" w:space="0"/>
                  </w:tcBorders>
                </w:tcPr>
                <w:p>
                  <w:pPr>
                    <w:spacing w:line="240" w:lineRule="atLeast"/>
                    <w:jc w:val="center"/>
                    <w:rPr>
                      <w:rFonts w:ascii="Times New Roman" w:hAnsi="Times New Roman"/>
                    </w:rPr>
                  </w:pPr>
                  <w:r>
                    <w:rPr>
                      <w:rFonts w:ascii="Times New Roman" w:hAnsi="Times New Roman"/>
                    </w:rPr>
                    <w:t>0.53</w:t>
                  </w:r>
                </w:p>
              </w:tc>
            </w:tr>
          </w:tbl>
          <w:p>
            <w:pPr>
              <w:keepNext/>
              <w:keepLines/>
              <w:spacing w:line="360" w:lineRule="auto"/>
              <w:ind w:firstLine="482" w:firstLineChars="200"/>
              <w:outlineLvl w:val="3"/>
              <w:rPr>
                <w:rFonts w:ascii="Times New Roman" w:hAnsi="Times New Roman"/>
                <w:b/>
                <w:bCs/>
                <w:sz w:val="24"/>
                <w:szCs w:val="28"/>
              </w:rPr>
            </w:pPr>
            <w:r>
              <w:rPr>
                <w:rFonts w:hint="eastAsia" w:ascii="Times New Roman" w:hAnsi="Times New Roman"/>
                <w:b/>
                <w:bCs/>
                <w:sz w:val="24"/>
                <w:szCs w:val="28"/>
              </w:rPr>
              <w:t>②大气污染治理措施</w:t>
            </w:r>
          </w:p>
          <w:p>
            <w:pPr>
              <w:autoSpaceDE w:val="0"/>
              <w:autoSpaceDN w:val="0"/>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一期工程除贮泥池有加盖措施外，未对其他工段产生的恶臭气体进行有效的收集处理，现状恶臭气体均为无组织排放。</w:t>
            </w:r>
          </w:p>
          <w:p>
            <w:pPr>
              <w:keepNext/>
              <w:keepLines/>
              <w:spacing w:line="360" w:lineRule="auto"/>
              <w:ind w:firstLine="482" w:firstLineChars="200"/>
              <w:outlineLvl w:val="3"/>
              <w:rPr>
                <w:rFonts w:ascii="Times New Roman" w:hAnsi="Times New Roman"/>
                <w:b/>
                <w:bCs/>
                <w:sz w:val="24"/>
                <w:szCs w:val="28"/>
              </w:rPr>
            </w:pPr>
            <w:r>
              <w:rPr>
                <w:rFonts w:hint="eastAsia" w:ascii="Times New Roman" w:hAnsi="Times New Roman"/>
                <w:b/>
                <w:bCs/>
                <w:sz w:val="24"/>
                <w:szCs w:val="28"/>
              </w:rPr>
              <w:t>③大气污染达标分析</w:t>
            </w:r>
          </w:p>
          <w:p>
            <w:pPr>
              <w:spacing w:line="360" w:lineRule="auto"/>
              <w:ind w:firstLine="480" w:firstLineChars="200"/>
              <w:rPr>
                <w:rFonts w:ascii="Times New Roman" w:hAnsi="Times New Roman"/>
                <w:sz w:val="24"/>
              </w:rPr>
            </w:pPr>
            <w:r>
              <w:rPr>
                <w:rFonts w:hint="eastAsia" w:ascii="Times New Roman" w:hAnsi="Times New Roman"/>
                <w:sz w:val="24"/>
                <w:szCs w:val="24"/>
              </w:rPr>
              <w:t>定安县水务有限公司于</w:t>
            </w:r>
            <w:r>
              <w:rPr>
                <w:rFonts w:ascii="Times New Roman" w:hAnsi="Times New Roman"/>
                <w:sz w:val="24"/>
                <w:szCs w:val="24"/>
              </w:rPr>
              <w:t>2019</w:t>
            </w:r>
            <w:r>
              <w:rPr>
                <w:rFonts w:hint="eastAsia" w:ascii="Times New Roman" w:hAnsi="Times New Roman"/>
                <w:sz w:val="24"/>
                <w:szCs w:val="24"/>
              </w:rPr>
              <w:t>年</w:t>
            </w:r>
            <w:r>
              <w:rPr>
                <w:rFonts w:ascii="Times New Roman" w:hAnsi="Times New Roman"/>
                <w:sz w:val="24"/>
                <w:szCs w:val="24"/>
              </w:rPr>
              <w:t>11</w:t>
            </w:r>
            <w:r>
              <w:rPr>
                <w:rFonts w:hint="eastAsia" w:ascii="Times New Roman" w:hAnsi="Times New Roman"/>
                <w:sz w:val="24"/>
                <w:szCs w:val="24"/>
              </w:rPr>
              <w:t>月委托海南华清检测技术有限公司对定城污水处理厂无组织废气及噪声进行了监测，根据《</w:t>
            </w:r>
            <w:bookmarkStart w:id="13" w:name="_Hlk38565888"/>
            <w:r>
              <w:rPr>
                <w:rFonts w:hint="eastAsia" w:ascii="Times New Roman" w:hAnsi="Times New Roman"/>
                <w:sz w:val="24"/>
                <w:szCs w:val="24"/>
              </w:rPr>
              <w:t>定安县定城镇环城北路污水处理厂环境监测检测报告</w:t>
            </w:r>
            <w:bookmarkEnd w:id="13"/>
            <w:r>
              <w:rPr>
                <w:rFonts w:hint="eastAsia" w:ascii="Times New Roman" w:hAnsi="Times New Roman"/>
                <w:sz w:val="24"/>
                <w:szCs w:val="24"/>
              </w:rPr>
              <w:t>》（报告编号</w:t>
            </w:r>
            <w:r>
              <w:rPr>
                <w:rFonts w:ascii="Times New Roman" w:hAnsi="Times New Roman"/>
                <w:sz w:val="24"/>
                <w:szCs w:val="24"/>
              </w:rPr>
              <w:t>HQT-201910045</w:t>
            </w:r>
            <w:r>
              <w:rPr>
                <w:rFonts w:hint="eastAsia" w:ascii="Times New Roman" w:hAnsi="Times New Roman"/>
                <w:sz w:val="24"/>
                <w:szCs w:val="24"/>
              </w:rPr>
              <w:t>）中无组织废气监测情况结果统计详见表</w:t>
            </w:r>
            <w:r>
              <w:rPr>
                <w:rFonts w:ascii="Times New Roman" w:hAnsi="Times New Roman"/>
                <w:sz w:val="24"/>
                <w:szCs w:val="24"/>
              </w:rPr>
              <w:t>1-21</w:t>
            </w:r>
            <w:r>
              <w:rPr>
                <w:rFonts w:hint="eastAsia" w:ascii="Times New Roman" w:hAnsi="Times New Roman"/>
                <w:sz w:val="24"/>
                <w:szCs w:val="24"/>
              </w:rPr>
              <w:t>，监测报告见附件</w:t>
            </w:r>
            <w:r>
              <w:rPr>
                <w:rFonts w:ascii="Times New Roman" w:hAnsi="Times New Roman"/>
                <w:sz w:val="24"/>
                <w:szCs w:val="24"/>
              </w:rPr>
              <w:t>9</w:t>
            </w:r>
            <w:r>
              <w:rPr>
                <w:rFonts w:hint="eastAsia" w:ascii="Times New Roman" w:hAnsi="Times New Roman"/>
                <w:sz w:val="24"/>
              </w:rPr>
              <w:t>。</w:t>
            </w:r>
          </w:p>
          <w:p>
            <w:pPr>
              <w:pStyle w:val="2"/>
            </w:pPr>
          </w:p>
          <w:p>
            <w:pPr>
              <w:pStyle w:val="2"/>
            </w:pPr>
          </w:p>
          <w:p>
            <w:pPr>
              <w:pStyle w:val="2"/>
            </w:pPr>
          </w:p>
          <w:p>
            <w:pPr>
              <w:pStyle w:val="2"/>
            </w:pPr>
          </w:p>
          <w:p>
            <w:pPr>
              <w:pStyle w:val="2"/>
            </w:pPr>
          </w:p>
          <w:p>
            <w:pPr>
              <w:pStyle w:val="2"/>
            </w:pPr>
          </w:p>
          <w:p>
            <w:pPr>
              <w:pStyle w:val="2"/>
            </w:pPr>
          </w:p>
          <w:p>
            <w:pPr>
              <w:pStyle w:val="2"/>
            </w:pPr>
          </w:p>
          <w:p>
            <w:pPr>
              <w:pStyle w:val="122"/>
            </w:pPr>
            <w:r>
              <w:rPr>
                <w:rFonts w:hint="eastAsia"/>
              </w:rPr>
              <w:t>表</w:t>
            </w:r>
            <w:r>
              <w:t xml:space="preserve">1-21    </w:t>
            </w:r>
            <w:r>
              <w:rPr>
                <w:rFonts w:hint="eastAsia"/>
              </w:rPr>
              <w:t>无组织废气检测结果一览表</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1"/>
              <w:gridCol w:w="1948"/>
              <w:gridCol w:w="1879"/>
              <w:gridCol w:w="1370"/>
              <w:gridCol w:w="1370"/>
              <w:gridCol w:w="13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restart"/>
                  <w:tcBorders>
                    <w:top w:val="single" w:color="auto" w:sz="12" w:space="0"/>
                    <w:left w:val="single" w:color="auto" w:sz="12" w:space="0"/>
                    <w:bottom w:val="single" w:color="auto" w:sz="6" w:space="0"/>
                    <w:right w:val="single" w:color="auto" w:sz="6" w:space="0"/>
                  </w:tcBorders>
                  <w:vAlign w:val="center"/>
                </w:tcPr>
                <w:p>
                  <w:pPr>
                    <w:pStyle w:val="124"/>
                    <w:rPr>
                      <w:szCs w:val="21"/>
                    </w:rPr>
                  </w:pPr>
                  <w:r>
                    <w:rPr>
                      <w:rFonts w:hint="eastAsia"/>
                      <w:szCs w:val="21"/>
                    </w:rPr>
                    <w:t>采样时间</w:t>
                  </w:r>
                </w:p>
              </w:tc>
              <w:tc>
                <w:tcPr>
                  <w:tcW w:w="1948" w:type="dxa"/>
                  <w:vMerge w:val="restart"/>
                  <w:tcBorders>
                    <w:top w:val="single" w:color="auto" w:sz="12" w:space="0"/>
                    <w:left w:val="single" w:color="auto" w:sz="6" w:space="0"/>
                    <w:bottom w:val="single" w:color="auto" w:sz="6" w:space="0"/>
                    <w:right w:val="single" w:color="auto" w:sz="6" w:space="0"/>
                  </w:tcBorders>
                  <w:vAlign w:val="center"/>
                </w:tcPr>
                <w:p>
                  <w:pPr>
                    <w:pStyle w:val="124"/>
                    <w:rPr>
                      <w:szCs w:val="21"/>
                    </w:rPr>
                  </w:pPr>
                  <w:r>
                    <w:rPr>
                      <w:rFonts w:hint="eastAsia"/>
                      <w:szCs w:val="21"/>
                    </w:rPr>
                    <w:t>检测点位</w:t>
                  </w:r>
                </w:p>
              </w:tc>
              <w:tc>
                <w:tcPr>
                  <w:tcW w:w="1879" w:type="dxa"/>
                  <w:vMerge w:val="restart"/>
                  <w:tcBorders>
                    <w:top w:val="single" w:color="auto" w:sz="12" w:space="0"/>
                    <w:left w:val="single" w:color="auto" w:sz="6" w:space="0"/>
                    <w:bottom w:val="single" w:color="auto" w:sz="6" w:space="0"/>
                    <w:right w:val="single" w:color="auto" w:sz="6" w:space="0"/>
                  </w:tcBorders>
                  <w:vAlign w:val="center"/>
                </w:tcPr>
                <w:p>
                  <w:pPr>
                    <w:pStyle w:val="124"/>
                    <w:rPr>
                      <w:szCs w:val="21"/>
                    </w:rPr>
                  </w:pPr>
                  <w:r>
                    <w:rPr>
                      <w:rFonts w:hint="eastAsia"/>
                      <w:szCs w:val="21"/>
                    </w:rPr>
                    <w:t>检测频次</w:t>
                  </w:r>
                </w:p>
              </w:tc>
              <w:tc>
                <w:tcPr>
                  <w:tcW w:w="4110" w:type="dxa"/>
                  <w:gridSpan w:val="3"/>
                  <w:tcBorders>
                    <w:top w:val="single" w:color="auto" w:sz="12" w:space="0"/>
                    <w:left w:val="single" w:color="auto" w:sz="6" w:space="0"/>
                    <w:bottom w:val="single" w:color="auto" w:sz="6" w:space="0"/>
                    <w:right w:val="single" w:color="auto" w:sz="12" w:space="0"/>
                  </w:tcBorders>
                  <w:vAlign w:val="center"/>
                </w:tcPr>
                <w:p>
                  <w:pPr>
                    <w:pStyle w:val="124"/>
                    <w:rPr>
                      <w:szCs w:val="21"/>
                    </w:rPr>
                  </w:pPr>
                  <w:r>
                    <w:rPr>
                      <w:rFonts w:hint="eastAsia"/>
                      <w:szCs w:val="21"/>
                    </w:rPr>
                    <w:t>检测项目及结果</w:t>
                  </w:r>
                  <w:r>
                    <w:rPr>
                      <w:szCs w:val="21"/>
                    </w:rPr>
                    <w:t xml:space="preserve"> </w:t>
                  </w:r>
                  <w:r>
                    <w:rPr>
                      <w:rFonts w:hint="eastAsia"/>
                      <w:szCs w:val="21"/>
                    </w:rPr>
                    <w:t>单位：</w:t>
                  </w:r>
                  <w:r>
                    <w:rPr>
                      <w:szCs w:val="21"/>
                    </w:rPr>
                    <w:t>mg/m</w:t>
                  </w:r>
                  <w:r>
                    <w:rPr>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continue"/>
                  <w:tcBorders>
                    <w:top w:val="single" w:color="auto" w:sz="6" w:space="0"/>
                    <w:left w:val="single" w:color="auto" w:sz="12" w:space="0"/>
                    <w:bottom w:val="double" w:color="auto" w:sz="4" w:space="0"/>
                    <w:right w:val="single" w:color="auto" w:sz="6" w:space="0"/>
                  </w:tcBorders>
                  <w:vAlign w:val="center"/>
                </w:tcPr>
                <w:p>
                  <w:pPr>
                    <w:pStyle w:val="124"/>
                    <w:rPr>
                      <w:szCs w:val="21"/>
                    </w:rPr>
                  </w:pPr>
                </w:p>
              </w:tc>
              <w:tc>
                <w:tcPr>
                  <w:tcW w:w="1948" w:type="dxa"/>
                  <w:vMerge w:val="continue"/>
                  <w:tcBorders>
                    <w:top w:val="single" w:color="auto" w:sz="6" w:space="0"/>
                    <w:left w:val="single" w:color="auto" w:sz="6" w:space="0"/>
                    <w:bottom w:val="double" w:color="auto" w:sz="4" w:space="0"/>
                    <w:right w:val="single" w:color="auto" w:sz="6" w:space="0"/>
                  </w:tcBorders>
                  <w:vAlign w:val="center"/>
                </w:tcPr>
                <w:p>
                  <w:pPr>
                    <w:pStyle w:val="124"/>
                    <w:rPr>
                      <w:szCs w:val="21"/>
                    </w:rPr>
                  </w:pPr>
                </w:p>
              </w:tc>
              <w:tc>
                <w:tcPr>
                  <w:tcW w:w="1879" w:type="dxa"/>
                  <w:vMerge w:val="continue"/>
                  <w:tcBorders>
                    <w:top w:val="single" w:color="auto" w:sz="6" w:space="0"/>
                    <w:left w:val="single" w:color="auto" w:sz="6" w:space="0"/>
                    <w:bottom w:val="double" w:color="auto" w:sz="4" w:space="0"/>
                    <w:right w:val="single" w:color="auto" w:sz="6" w:space="0"/>
                  </w:tcBorders>
                  <w:vAlign w:val="center"/>
                </w:tcPr>
                <w:p>
                  <w:pPr>
                    <w:pStyle w:val="124"/>
                    <w:rPr>
                      <w:szCs w:val="21"/>
                    </w:rPr>
                  </w:pPr>
                </w:p>
              </w:tc>
              <w:tc>
                <w:tcPr>
                  <w:tcW w:w="1370" w:type="dxa"/>
                  <w:tcBorders>
                    <w:top w:val="single" w:color="auto" w:sz="6" w:space="0"/>
                    <w:left w:val="single" w:color="auto" w:sz="6" w:space="0"/>
                    <w:bottom w:val="double" w:color="auto" w:sz="4" w:space="0"/>
                    <w:right w:val="single" w:color="auto" w:sz="4" w:space="0"/>
                  </w:tcBorders>
                  <w:vAlign w:val="center"/>
                </w:tcPr>
                <w:p>
                  <w:pPr>
                    <w:pStyle w:val="124"/>
                    <w:rPr>
                      <w:szCs w:val="21"/>
                    </w:rPr>
                  </w:pPr>
                  <w:r>
                    <w:rPr>
                      <w:szCs w:val="21"/>
                    </w:rPr>
                    <w:t>H</w:t>
                  </w:r>
                  <w:r>
                    <w:rPr>
                      <w:szCs w:val="21"/>
                      <w:vertAlign w:val="subscript"/>
                    </w:rPr>
                    <w:t>2</w:t>
                  </w:r>
                  <w:r>
                    <w:rPr>
                      <w:szCs w:val="21"/>
                    </w:rPr>
                    <w:t>S</w:t>
                  </w:r>
                </w:p>
              </w:tc>
              <w:tc>
                <w:tcPr>
                  <w:tcW w:w="1370" w:type="dxa"/>
                  <w:tcBorders>
                    <w:top w:val="single" w:color="auto" w:sz="6" w:space="0"/>
                    <w:left w:val="single" w:color="auto" w:sz="4" w:space="0"/>
                    <w:bottom w:val="double" w:color="auto" w:sz="4" w:space="0"/>
                    <w:right w:val="single" w:color="auto" w:sz="4" w:space="0"/>
                  </w:tcBorders>
                  <w:vAlign w:val="center"/>
                </w:tcPr>
                <w:p>
                  <w:pPr>
                    <w:pStyle w:val="124"/>
                    <w:rPr>
                      <w:szCs w:val="21"/>
                    </w:rPr>
                  </w:pPr>
                  <w:r>
                    <w:rPr>
                      <w:szCs w:val="21"/>
                    </w:rPr>
                    <w:t>NH</w:t>
                  </w:r>
                  <w:r>
                    <w:rPr>
                      <w:szCs w:val="21"/>
                      <w:vertAlign w:val="subscript"/>
                    </w:rPr>
                    <w:t>3</w:t>
                  </w:r>
                </w:p>
              </w:tc>
              <w:tc>
                <w:tcPr>
                  <w:tcW w:w="1370" w:type="dxa"/>
                  <w:tcBorders>
                    <w:top w:val="single" w:color="auto" w:sz="6" w:space="0"/>
                    <w:left w:val="single" w:color="auto" w:sz="4" w:space="0"/>
                    <w:bottom w:val="double" w:color="auto" w:sz="4" w:space="0"/>
                    <w:right w:val="single" w:color="auto" w:sz="12" w:space="0"/>
                  </w:tcBorders>
                  <w:vAlign w:val="center"/>
                </w:tcPr>
                <w:p>
                  <w:pPr>
                    <w:pStyle w:val="124"/>
                    <w:rPr>
                      <w:szCs w:val="21"/>
                    </w:rPr>
                  </w:pPr>
                  <w:r>
                    <w:rPr>
                      <w:rFonts w:hint="eastAsia"/>
                      <w:szCs w:val="21"/>
                    </w:rPr>
                    <w:t>臭气浓度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restart"/>
                  <w:tcBorders>
                    <w:top w:val="double" w:color="auto" w:sz="4" w:space="0"/>
                    <w:left w:val="single" w:color="auto" w:sz="12" w:space="0"/>
                    <w:bottom w:val="single" w:color="auto" w:sz="6" w:space="0"/>
                    <w:right w:val="single" w:color="auto" w:sz="6" w:space="0"/>
                  </w:tcBorders>
                  <w:vAlign w:val="center"/>
                </w:tcPr>
                <w:p>
                  <w:pPr>
                    <w:pStyle w:val="77"/>
                  </w:pPr>
                  <w:r>
                    <w:t>2019.10.22</w:t>
                  </w:r>
                </w:p>
              </w:tc>
              <w:tc>
                <w:tcPr>
                  <w:tcW w:w="1948" w:type="dxa"/>
                  <w:vMerge w:val="restart"/>
                  <w:tcBorders>
                    <w:top w:val="double" w:color="auto" w:sz="4" w:space="0"/>
                    <w:left w:val="single" w:color="auto" w:sz="6" w:space="0"/>
                    <w:bottom w:val="single" w:color="auto" w:sz="6" w:space="0"/>
                    <w:right w:val="single" w:color="auto" w:sz="6" w:space="0"/>
                  </w:tcBorders>
                  <w:vAlign w:val="center"/>
                </w:tcPr>
                <w:p>
                  <w:pPr>
                    <w:pStyle w:val="77"/>
                  </w:pPr>
                  <w:r>
                    <w:t>1#</w:t>
                  </w:r>
                  <w:r>
                    <w:rPr>
                      <w:rFonts w:hint="eastAsia"/>
                    </w:rPr>
                    <w:t>上风向参照点</w:t>
                  </w:r>
                </w:p>
              </w:tc>
              <w:tc>
                <w:tcPr>
                  <w:tcW w:w="1879" w:type="dxa"/>
                  <w:tcBorders>
                    <w:top w:val="double" w:color="auto" w:sz="4" w:space="0"/>
                    <w:left w:val="single" w:color="auto" w:sz="6" w:space="0"/>
                    <w:bottom w:val="single" w:color="auto" w:sz="4" w:space="0"/>
                    <w:right w:val="single" w:color="auto" w:sz="6" w:space="0"/>
                  </w:tcBorders>
                  <w:vAlign w:val="center"/>
                </w:tcPr>
                <w:p>
                  <w:pPr>
                    <w:pStyle w:val="77"/>
                  </w:pPr>
                  <w:r>
                    <w:rPr>
                      <w:rFonts w:hint="eastAsia"/>
                    </w:rPr>
                    <w:t>第一次</w:t>
                  </w:r>
                </w:p>
              </w:tc>
              <w:tc>
                <w:tcPr>
                  <w:tcW w:w="1370" w:type="dxa"/>
                  <w:tcBorders>
                    <w:top w:val="double" w:color="auto" w:sz="4" w:space="0"/>
                    <w:left w:val="single" w:color="auto" w:sz="6" w:space="0"/>
                    <w:bottom w:val="single" w:color="auto" w:sz="4" w:space="0"/>
                    <w:right w:val="single" w:color="auto" w:sz="4" w:space="0"/>
                  </w:tcBorders>
                  <w:vAlign w:val="center"/>
                </w:tcPr>
                <w:p>
                  <w:pPr>
                    <w:pStyle w:val="77"/>
                  </w:pPr>
                  <w:r>
                    <w:t>0.001*</w:t>
                  </w:r>
                </w:p>
              </w:tc>
              <w:tc>
                <w:tcPr>
                  <w:tcW w:w="1370" w:type="dxa"/>
                  <w:tcBorders>
                    <w:top w:val="double" w:color="auto" w:sz="4" w:space="0"/>
                    <w:left w:val="single" w:color="auto" w:sz="4" w:space="0"/>
                    <w:bottom w:val="single" w:color="auto" w:sz="4" w:space="0"/>
                    <w:right w:val="single" w:color="auto" w:sz="4" w:space="0"/>
                  </w:tcBorders>
                  <w:vAlign w:val="center"/>
                </w:tcPr>
                <w:p>
                  <w:pPr>
                    <w:pStyle w:val="77"/>
                  </w:pPr>
                  <w:r>
                    <w:t>0.03</w:t>
                  </w:r>
                </w:p>
              </w:tc>
              <w:tc>
                <w:tcPr>
                  <w:tcW w:w="1370" w:type="dxa"/>
                  <w:tcBorders>
                    <w:top w:val="double" w:color="auto" w:sz="4"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jc w:val="center"/>
              </w:trPr>
              <w:tc>
                <w:tcPr>
                  <w:tcW w:w="1161" w:type="dxa"/>
                  <w:vMerge w:val="continue"/>
                  <w:tcBorders>
                    <w:top w:val="double" w:color="auto" w:sz="4" w:space="0"/>
                    <w:left w:val="single" w:color="auto" w:sz="12" w:space="0"/>
                    <w:bottom w:val="single" w:color="auto" w:sz="6" w:space="0"/>
                    <w:right w:val="single" w:color="auto" w:sz="6" w:space="0"/>
                  </w:tcBorders>
                  <w:vAlign w:val="center"/>
                </w:tcPr>
                <w:p>
                  <w:pPr>
                    <w:pStyle w:val="77"/>
                  </w:pPr>
                </w:p>
              </w:tc>
              <w:tc>
                <w:tcPr>
                  <w:tcW w:w="1948" w:type="dxa"/>
                  <w:vMerge w:val="continue"/>
                  <w:tcBorders>
                    <w:top w:val="double" w:color="auto" w:sz="4" w:space="0"/>
                    <w:left w:val="single" w:color="auto" w:sz="6" w:space="0"/>
                    <w:bottom w:val="single" w:color="auto" w:sz="6" w:space="0"/>
                    <w:right w:val="single" w:color="auto" w:sz="6" w:space="0"/>
                  </w:tcBorders>
                  <w:vAlign w:val="center"/>
                </w:tcPr>
                <w:p>
                  <w:pPr>
                    <w:pStyle w:val="77"/>
                  </w:pPr>
                </w:p>
              </w:tc>
              <w:tc>
                <w:tcPr>
                  <w:tcW w:w="1879" w:type="dxa"/>
                  <w:tcBorders>
                    <w:top w:val="single" w:color="auto" w:sz="4" w:space="0"/>
                    <w:left w:val="single" w:color="auto" w:sz="6" w:space="0"/>
                    <w:bottom w:val="single" w:color="auto" w:sz="4" w:space="0"/>
                    <w:right w:val="single" w:color="auto" w:sz="6" w:space="0"/>
                  </w:tcBorders>
                  <w:vAlign w:val="center"/>
                </w:tcPr>
                <w:p>
                  <w:pPr>
                    <w:pStyle w:val="77"/>
                  </w:pPr>
                  <w:r>
                    <w:rPr>
                      <w:rFonts w:hint="eastAsia"/>
                    </w:rPr>
                    <w:t>第二次</w:t>
                  </w:r>
                </w:p>
              </w:tc>
              <w:tc>
                <w:tcPr>
                  <w:tcW w:w="1370" w:type="dxa"/>
                  <w:tcBorders>
                    <w:top w:val="single" w:color="auto" w:sz="4"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4" w:space="0"/>
                    <w:left w:val="single" w:color="auto" w:sz="4" w:space="0"/>
                    <w:bottom w:val="single" w:color="auto" w:sz="4" w:space="0"/>
                    <w:right w:val="single" w:color="auto" w:sz="4" w:space="0"/>
                  </w:tcBorders>
                  <w:vAlign w:val="center"/>
                </w:tcPr>
                <w:p>
                  <w:pPr>
                    <w:pStyle w:val="77"/>
                  </w:pPr>
                  <w:r>
                    <w:t>0.03</w:t>
                  </w:r>
                </w:p>
              </w:tc>
              <w:tc>
                <w:tcPr>
                  <w:tcW w:w="1370"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161" w:type="dxa"/>
                  <w:vMerge w:val="continue"/>
                  <w:tcBorders>
                    <w:top w:val="double" w:color="auto" w:sz="4" w:space="0"/>
                    <w:left w:val="single" w:color="auto" w:sz="12" w:space="0"/>
                    <w:bottom w:val="single" w:color="auto" w:sz="6" w:space="0"/>
                    <w:right w:val="single" w:color="auto" w:sz="6" w:space="0"/>
                  </w:tcBorders>
                  <w:vAlign w:val="center"/>
                </w:tcPr>
                <w:p>
                  <w:pPr>
                    <w:pStyle w:val="77"/>
                  </w:pPr>
                </w:p>
              </w:tc>
              <w:tc>
                <w:tcPr>
                  <w:tcW w:w="1948" w:type="dxa"/>
                  <w:vMerge w:val="continue"/>
                  <w:tcBorders>
                    <w:top w:val="double" w:color="auto" w:sz="4" w:space="0"/>
                    <w:left w:val="single" w:color="auto" w:sz="6" w:space="0"/>
                    <w:bottom w:val="single" w:color="auto" w:sz="6" w:space="0"/>
                    <w:right w:val="single" w:color="auto" w:sz="6" w:space="0"/>
                  </w:tcBorders>
                  <w:vAlign w:val="center"/>
                </w:tcPr>
                <w:p>
                  <w:pPr>
                    <w:pStyle w:val="77"/>
                  </w:pPr>
                </w:p>
              </w:tc>
              <w:tc>
                <w:tcPr>
                  <w:tcW w:w="1879" w:type="dxa"/>
                  <w:tcBorders>
                    <w:top w:val="single" w:color="auto" w:sz="4" w:space="0"/>
                    <w:left w:val="single" w:color="auto" w:sz="6" w:space="0"/>
                    <w:bottom w:val="single" w:color="auto" w:sz="4" w:space="0"/>
                    <w:right w:val="single" w:color="auto" w:sz="6" w:space="0"/>
                  </w:tcBorders>
                  <w:vAlign w:val="center"/>
                </w:tcPr>
                <w:p>
                  <w:pPr>
                    <w:pStyle w:val="77"/>
                  </w:pPr>
                  <w:r>
                    <w:rPr>
                      <w:rFonts w:hint="eastAsia"/>
                    </w:rPr>
                    <w:t>第三次</w:t>
                  </w:r>
                </w:p>
              </w:tc>
              <w:tc>
                <w:tcPr>
                  <w:tcW w:w="1370" w:type="dxa"/>
                  <w:tcBorders>
                    <w:top w:val="single" w:color="auto" w:sz="4"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4" w:space="0"/>
                    <w:left w:val="single" w:color="auto" w:sz="4" w:space="0"/>
                    <w:bottom w:val="single" w:color="auto" w:sz="4" w:space="0"/>
                    <w:right w:val="single" w:color="auto" w:sz="4" w:space="0"/>
                  </w:tcBorders>
                  <w:vAlign w:val="center"/>
                </w:tcPr>
                <w:p>
                  <w:pPr>
                    <w:pStyle w:val="77"/>
                  </w:pPr>
                  <w:r>
                    <w:t>0.02</w:t>
                  </w:r>
                </w:p>
              </w:tc>
              <w:tc>
                <w:tcPr>
                  <w:tcW w:w="1370"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第四次</w:t>
                  </w:r>
                </w:p>
              </w:tc>
              <w:tc>
                <w:tcPr>
                  <w:tcW w:w="1370" w:type="dxa"/>
                  <w:tcBorders>
                    <w:top w:val="single" w:color="auto" w:sz="6" w:space="0"/>
                    <w:left w:val="single" w:color="auto" w:sz="6" w:space="0"/>
                    <w:bottom w:val="single" w:color="auto" w:sz="6" w:space="0"/>
                    <w:right w:val="single" w:color="auto" w:sz="4" w:space="0"/>
                  </w:tcBorders>
                  <w:vAlign w:val="center"/>
                </w:tcPr>
                <w:p>
                  <w:pPr>
                    <w:pStyle w:val="77"/>
                  </w:pPr>
                  <w:r>
                    <w:t>0.001*</w:t>
                  </w:r>
                </w:p>
              </w:tc>
              <w:tc>
                <w:tcPr>
                  <w:tcW w:w="1370" w:type="dxa"/>
                  <w:tcBorders>
                    <w:top w:val="single" w:color="auto" w:sz="6" w:space="0"/>
                    <w:left w:val="single" w:color="auto" w:sz="4" w:space="0"/>
                    <w:bottom w:val="single" w:color="auto" w:sz="6" w:space="0"/>
                    <w:right w:val="single" w:color="auto" w:sz="4" w:space="0"/>
                  </w:tcBorders>
                  <w:vAlign w:val="center"/>
                </w:tcPr>
                <w:p>
                  <w:pPr>
                    <w:pStyle w:val="77"/>
                  </w:pPr>
                  <w:r>
                    <w:t>0.03</w:t>
                  </w:r>
                </w:p>
              </w:tc>
              <w:tc>
                <w:tcPr>
                  <w:tcW w:w="1370" w:type="dxa"/>
                  <w:tcBorders>
                    <w:top w:val="single" w:color="auto" w:sz="6" w:space="0"/>
                    <w:left w:val="single" w:color="auto" w:sz="4" w:space="0"/>
                    <w:bottom w:val="single" w:color="auto" w:sz="6"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restart"/>
                  <w:tcBorders>
                    <w:top w:val="single" w:color="auto" w:sz="6" w:space="0"/>
                    <w:left w:val="single" w:color="auto" w:sz="6" w:space="0"/>
                    <w:bottom w:val="single" w:color="auto" w:sz="6" w:space="0"/>
                    <w:right w:val="single" w:color="auto" w:sz="6" w:space="0"/>
                  </w:tcBorders>
                  <w:vAlign w:val="center"/>
                </w:tcPr>
                <w:p>
                  <w:pPr>
                    <w:pStyle w:val="77"/>
                  </w:pPr>
                  <w:r>
                    <w:t>2#</w:t>
                  </w:r>
                  <w:r>
                    <w:rPr>
                      <w:rFonts w:hint="eastAsia"/>
                    </w:rPr>
                    <w:t>下风向参照点</w:t>
                  </w:r>
                </w:p>
              </w:tc>
              <w:tc>
                <w:tcPr>
                  <w:tcW w:w="1879" w:type="dxa"/>
                  <w:tcBorders>
                    <w:top w:val="single" w:color="auto" w:sz="6" w:space="0"/>
                    <w:left w:val="single" w:color="auto" w:sz="6" w:space="0"/>
                    <w:bottom w:val="single" w:color="auto" w:sz="4" w:space="0"/>
                    <w:right w:val="single" w:color="auto" w:sz="6" w:space="0"/>
                  </w:tcBorders>
                  <w:vAlign w:val="center"/>
                </w:tcPr>
                <w:p>
                  <w:pPr>
                    <w:pStyle w:val="77"/>
                  </w:pPr>
                  <w:r>
                    <w:rPr>
                      <w:rFonts w:hint="eastAsia"/>
                    </w:rPr>
                    <w:t>第一次</w:t>
                  </w:r>
                </w:p>
              </w:tc>
              <w:tc>
                <w:tcPr>
                  <w:tcW w:w="1370" w:type="dxa"/>
                  <w:tcBorders>
                    <w:top w:val="single" w:color="auto" w:sz="6"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6" w:space="0"/>
                    <w:left w:val="single" w:color="auto" w:sz="4" w:space="0"/>
                    <w:bottom w:val="single" w:color="auto" w:sz="4" w:space="0"/>
                    <w:right w:val="single" w:color="auto" w:sz="4" w:space="0"/>
                  </w:tcBorders>
                  <w:vAlign w:val="center"/>
                </w:tcPr>
                <w:p>
                  <w:pPr>
                    <w:pStyle w:val="77"/>
                  </w:pPr>
                  <w:r>
                    <w:t>0.16</w:t>
                  </w:r>
                </w:p>
              </w:tc>
              <w:tc>
                <w:tcPr>
                  <w:tcW w:w="1370" w:type="dxa"/>
                  <w:tcBorders>
                    <w:top w:val="single" w:color="auto" w:sz="6"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5" w:hRule="atLeast"/>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4" w:space="0"/>
                    <w:left w:val="single" w:color="auto" w:sz="6" w:space="0"/>
                    <w:bottom w:val="single" w:color="auto" w:sz="4" w:space="0"/>
                    <w:right w:val="single" w:color="auto" w:sz="6" w:space="0"/>
                  </w:tcBorders>
                  <w:vAlign w:val="center"/>
                </w:tcPr>
                <w:p>
                  <w:pPr>
                    <w:pStyle w:val="77"/>
                  </w:pPr>
                  <w:r>
                    <w:rPr>
                      <w:rFonts w:hint="eastAsia"/>
                    </w:rPr>
                    <w:t>第二次</w:t>
                  </w:r>
                </w:p>
              </w:tc>
              <w:tc>
                <w:tcPr>
                  <w:tcW w:w="1370" w:type="dxa"/>
                  <w:tcBorders>
                    <w:top w:val="single" w:color="auto" w:sz="4"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4" w:space="0"/>
                    <w:left w:val="single" w:color="auto" w:sz="4" w:space="0"/>
                    <w:bottom w:val="single" w:color="auto" w:sz="4" w:space="0"/>
                    <w:right w:val="single" w:color="auto" w:sz="4" w:space="0"/>
                  </w:tcBorders>
                  <w:vAlign w:val="center"/>
                </w:tcPr>
                <w:p>
                  <w:pPr>
                    <w:pStyle w:val="77"/>
                  </w:pPr>
                  <w:r>
                    <w:t>0.14</w:t>
                  </w:r>
                </w:p>
              </w:tc>
              <w:tc>
                <w:tcPr>
                  <w:tcW w:w="1370"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4" w:space="0"/>
                    <w:left w:val="single" w:color="auto" w:sz="6" w:space="0"/>
                    <w:bottom w:val="single" w:color="auto" w:sz="4" w:space="0"/>
                    <w:right w:val="single" w:color="auto" w:sz="6" w:space="0"/>
                  </w:tcBorders>
                  <w:vAlign w:val="center"/>
                </w:tcPr>
                <w:p>
                  <w:pPr>
                    <w:pStyle w:val="77"/>
                  </w:pPr>
                  <w:r>
                    <w:rPr>
                      <w:rFonts w:hint="eastAsia"/>
                    </w:rPr>
                    <w:t>第三次</w:t>
                  </w:r>
                </w:p>
              </w:tc>
              <w:tc>
                <w:tcPr>
                  <w:tcW w:w="1370" w:type="dxa"/>
                  <w:tcBorders>
                    <w:top w:val="single" w:color="auto" w:sz="4"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4" w:space="0"/>
                    <w:left w:val="single" w:color="auto" w:sz="4" w:space="0"/>
                    <w:bottom w:val="single" w:color="auto" w:sz="4" w:space="0"/>
                    <w:right w:val="single" w:color="auto" w:sz="4" w:space="0"/>
                  </w:tcBorders>
                  <w:vAlign w:val="center"/>
                </w:tcPr>
                <w:p>
                  <w:pPr>
                    <w:pStyle w:val="77"/>
                  </w:pPr>
                  <w:r>
                    <w:t>0.05</w:t>
                  </w:r>
                </w:p>
              </w:tc>
              <w:tc>
                <w:tcPr>
                  <w:tcW w:w="1370"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第四次</w:t>
                  </w:r>
                </w:p>
              </w:tc>
              <w:tc>
                <w:tcPr>
                  <w:tcW w:w="1370" w:type="dxa"/>
                  <w:tcBorders>
                    <w:top w:val="single" w:color="auto" w:sz="6" w:space="0"/>
                    <w:left w:val="single" w:color="auto" w:sz="6" w:space="0"/>
                    <w:bottom w:val="single" w:color="auto" w:sz="6" w:space="0"/>
                    <w:right w:val="single" w:color="auto" w:sz="4" w:space="0"/>
                  </w:tcBorders>
                  <w:vAlign w:val="center"/>
                </w:tcPr>
                <w:p>
                  <w:pPr>
                    <w:pStyle w:val="77"/>
                  </w:pPr>
                  <w:r>
                    <w:t>0.001*</w:t>
                  </w:r>
                </w:p>
              </w:tc>
              <w:tc>
                <w:tcPr>
                  <w:tcW w:w="1370" w:type="dxa"/>
                  <w:tcBorders>
                    <w:top w:val="single" w:color="auto" w:sz="6" w:space="0"/>
                    <w:left w:val="single" w:color="auto" w:sz="4" w:space="0"/>
                    <w:bottom w:val="single" w:color="auto" w:sz="6" w:space="0"/>
                    <w:right w:val="single" w:color="auto" w:sz="4" w:space="0"/>
                  </w:tcBorders>
                  <w:vAlign w:val="center"/>
                </w:tcPr>
                <w:p>
                  <w:pPr>
                    <w:pStyle w:val="77"/>
                  </w:pPr>
                  <w:r>
                    <w:t>0.09</w:t>
                  </w:r>
                </w:p>
              </w:tc>
              <w:tc>
                <w:tcPr>
                  <w:tcW w:w="1370" w:type="dxa"/>
                  <w:tcBorders>
                    <w:top w:val="single" w:color="auto" w:sz="6" w:space="0"/>
                    <w:left w:val="single" w:color="auto" w:sz="4" w:space="0"/>
                    <w:bottom w:val="single" w:color="auto" w:sz="6"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restart"/>
                  <w:tcBorders>
                    <w:top w:val="single" w:color="auto" w:sz="6" w:space="0"/>
                    <w:left w:val="single" w:color="auto" w:sz="6" w:space="0"/>
                    <w:bottom w:val="single" w:color="auto" w:sz="6" w:space="0"/>
                    <w:right w:val="single" w:color="auto" w:sz="6" w:space="0"/>
                  </w:tcBorders>
                  <w:vAlign w:val="center"/>
                </w:tcPr>
                <w:p>
                  <w:pPr>
                    <w:pStyle w:val="77"/>
                  </w:pPr>
                  <w:r>
                    <w:t>3#</w:t>
                  </w:r>
                  <w:r>
                    <w:rPr>
                      <w:rFonts w:hint="eastAsia"/>
                    </w:rPr>
                    <w:t>下风向参照点</w:t>
                  </w:r>
                </w:p>
              </w:tc>
              <w:tc>
                <w:tcPr>
                  <w:tcW w:w="1879" w:type="dxa"/>
                  <w:tcBorders>
                    <w:top w:val="single" w:color="auto" w:sz="6" w:space="0"/>
                    <w:left w:val="single" w:color="auto" w:sz="6" w:space="0"/>
                    <w:bottom w:val="single" w:color="auto" w:sz="4" w:space="0"/>
                    <w:right w:val="single" w:color="auto" w:sz="6" w:space="0"/>
                  </w:tcBorders>
                  <w:vAlign w:val="center"/>
                </w:tcPr>
                <w:p>
                  <w:pPr>
                    <w:pStyle w:val="77"/>
                  </w:pPr>
                  <w:r>
                    <w:rPr>
                      <w:rFonts w:hint="eastAsia"/>
                    </w:rPr>
                    <w:t>第一次</w:t>
                  </w:r>
                </w:p>
              </w:tc>
              <w:tc>
                <w:tcPr>
                  <w:tcW w:w="1370" w:type="dxa"/>
                  <w:tcBorders>
                    <w:top w:val="single" w:color="auto" w:sz="6"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6" w:space="0"/>
                    <w:left w:val="single" w:color="auto" w:sz="4" w:space="0"/>
                    <w:bottom w:val="single" w:color="auto" w:sz="4" w:space="0"/>
                    <w:right w:val="single" w:color="auto" w:sz="4" w:space="0"/>
                  </w:tcBorders>
                  <w:vAlign w:val="center"/>
                </w:tcPr>
                <w:p>
                  <w:pPr>
                    <w:pStyle w:val="77"/>
                  </w:pPr>
                  <w:r>
                    <w:t>0.07</w:t>
                  </w:r>
                </w:p>
              </w:tc>
              <w:tc>
                <w:tcPr>
                  <w:tcW w:w="1370" w:type="dxa"/>
                  <w:tcBorders>
                    <w:top w:val="single" w:color="auto" w:sz="6"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5" w:hRule="atLeast"/>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4" w:space="0"/>
                    <w:left w:val="single" w:color="auto" w:sz="6" w:space="0"/>
                    <w:bottom w:val="single" w:color="auto" w:sz="4" w:space="0"/>
                    <w:right w:val="single" w:color="auto" w:sz="6" w:space="0"/>
                  </w:tcBorders>
                  <w:vAlign w:val="center"/>
                </w:tcPr>
                <w:p>
                  <w:pPr>
                    <w:pStyle w:val="77"/>
                  </w:pPr>
                  <w:r>
                    <w:rPr>
                      <w:rFonts w:hint="eastAsia"/>
                    </w:rPr>
                    <w:t>第二次</w:t>
                  </w:r>
                </w:p>
              </w:tc>
              <w:tc>
                <w:tcPr>
                  <w:tcW w:w="1370" w:type="dxa"/>
                  <w:tcBorders>
                    <w:top w:val="single" w:color="auto" w:sz="4"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4" w:space="0"/>
                    <w:left w:val="single" w:color="auto" w:sz="4" w:space="0"/>
                    <w:bottom w:val="single" w:color="auto" w:sz="4" w:space="0"/>
                    <w:right w:val="single" w:color="auto" w:sz="4" w:space="0"/>
                  </w:tcBorders>
                  <w:vAlign w:val="center"/>
                </w:tcPr>
                <w:p>
                  <w:pPr>
                    <w:pStyle w:val="77"/>
                  </w:pPr>
                  <w:r>
                    <w:t>0.06</w:t>
                  </w:r>
                </w:p>
              </w:tc>
              <w:tc>
                <w:tcPr>
                  <w:tcW w:w="1370"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4" w:space="0"/>
                    <w:left w:val="single" w:color="auto" w:sz="6" w:space="0"/>
                    <w:bottom w:val="single" w:color="auto" w:sz="4" w:space="0"/>
                    <w:right w:val="single" w:color="auto" w:sz="6" w:space="0"/>
                  </w:tcBorders>
                  <w:vAlign w:val="center"/>
                </w:tcPr>
                <w:p>
                  <w:pPr>
                    <w:pStyle w:val="77"/>
                  </w:pPr>
                  <w:r>
                    <w:rPr>
                      <w:rFonts w:hint="eastAsia"/>
                    </w:rPr>
                    <w:t>第三次</w:t>
                  </w:r>
                </w:p>
              </w:tc>
              <w:tc>
                <w:tcPr>
                  <w:tcW w:w="1370" w:type="dxa"/>
                  <w:tcBorders>
                    <w:top w:val="single" w:color="auto" w:sz="4"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4" w:space="0"/>
                    <w:left w:val="single" w:color="auto" w:sz="4" w:space="0"/>
                    <w:bottom w:val="single" w:color="auto" w:sz="4" w:space="0"/>
                    <w:right w:val="single" w:color="auto" w:sz="4" w:space="0"/>
                  </w:tcBorders>
                  <w:vAlign w:val="center"/>
                </w:tcPr>
                <w:p>
                  <w:pPr>
                    <w:pStyle w:val="77"/>
                  </w:pPr>
                  <w:r>
                    <w:t>0.06</w:t>
                  </w:r>
                </w:p>
              </w:tc>
              <w:tc>
                <w:tcPr>
                  <w:tcW w:w="1370"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第四次</w:t>
                  </w:r>
                </w:p>
              </w:tc>
              <w:tc>
                <w:tcPr>
                  <w:tcW w:w="1370" w:type="dxa"/>
                  <w:tcBorders>
                    <w:top w:val="single" w:color="auto" w:sz="6" w:space="0"/>
                    <w:left w:val="single" w:color="auto" w:sz="6" w:space="0"/>
                    <w:bottom w:val="single" w:color="auto" w:sz="6" w:space="0"/>
                    <w:right w:val="single" w:color="auto" w:sz="4" w:space="0"/>
                  </w:tcBorders>
                  <w:vAlign w:val="center"/>
                </w:tcPr>
                <w:p>
                  <w:pPr>
                    <w:pStyle w:val="77"/>
                  </w:pPr>
                  <w:r>
                    <w:t>0.001*</w:t>
                  </w:r>
                </w:p>
              </w:tc>
              <w:tc>
                <w:tcPr>
                  <w:tcW w:w="1370" w:type="dxa"/>
                  <w:tcBorders>
                    <w:top w:val="single" w:color="auto" w:sz="6" w:space="0"/>
                    <w:left w:val="single" w:color="auto" w:sz="4" w:space="0"/>
                    <w:bottom w:val="single" w:color="auto" w:sz="6" w:space="0"/>
                    <w:right w:val="single" w:color="auto" w:sz="4" w:space="0"/>
                  </w:tcBorders>
                  <w:vAlign w:val="center"/>
                </w:tcPr>
                <w:p>
                  <w:pPr>
                    <w:pStyle w:val="77"/>
                  </w:pPr>
                  <w:r>
                    <w:t>0.14</w:t>
                  </w:r>
                </w:p>
              </w:tc>
              <w:tc>
                <w:tcPr>
                  <w:tcW w:w="1370" w:type="dxa"/>
                  <w:tcBorders>
                    <w:top w:val="single" w:color="auto" w:sz="6" w:space="0"/>
                    <w:left w:val="single" w:color="auto" w:sz="4" w:space="0"/>
                    <w:bottom w:val="single" w:color="auto" w:sz="6"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restart"/>
                  <w:tcBorders>
                    <w:top w:val="single" w:color="auto" w:sz="6" w:space="0"/>
                    <w:left w:val="single" w:color="auto" w:sz="6" w:space="0"/>
                    <w:bottom w:val="single" w:color="auto" w:sz="6" w:space="0"/>
                    <w:right w:val="single" w:color="auto" w:sz="6" w:space="0"/>
                  </w:tcBorders>
                  <w:vAlign w:val="center"/>
                </w:tcPr>
                <w:p>
                  <w:pPr>
                    <w:pStyle w:val="77"/>
                  </w:pPr>
                  <w:r>
                    <w:t>4#</w:t>
                  </w:r>
                  <w:r>
                    <w:rPr>
                      <w:rFonts w:hint="eastAsia"/>
                    </w:rPr>
                    <w:t>下风向参照点</w:t>
                  </w:r>
                </w:p>
              </w:tc>
              <w:tc>
                <w:tcPr>
                  <w:tcW w:w="1879" w:type="dxa"/>
                  <w:tcBorders>
                    <w:top w:val="single" w:color="auto" w:sz="6" w:space="0"/>
                    <w:left w:val="single" w:color="auto" w:sz="6" w:space="0"/>
                    <w:bottom w:val="single" w:color="auto" w:sz="4" w:space="0"/>
                    <w:right w:val="single" w:color="auto" w:sz="6" w:space="0"/>
                  </w:tcBorders>
                  <w:vAlign w:val="center"/>
                </w:tcPr>
                <w:p>
                  <w:pPr>
                    <w:pStyle w:val="77"/>
                  </w:pPr>
                  <w:r>
                    <w:rPr>
                      <w:rFonts w:hint="eastAsia"/>
                    </w:rPr>
                    <w:t>第一次</w:t>
                  </w:r>
                </w:p>
              </w:tc>
              <w:tc>
                <w:tcPr>
                  <w:tcW w:w="1370" w:type="dxa"/>
                  <w:tcBorders>
                    <w:top w:val="single" w:color="auto" w:sz="6"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6" w:space="0"/>
                    <w:left w:val="single" w:color="auto" w:sz="4" w:space="0"/>
                    <w:bottom w:val="single" w:color="auto" w:sz="4" w:space="0"/>
                    <w:right w:val="single" w:color="auto" w:sz="4" w:space="0"/>
                  </w:tcBorders>
                  <w:vAlign w:val="center"/>
                </w:tcPr>
                <w:p>
                  <w:pPr>
                    <w:pStyle w:val="77"/>
                  </w:pPr>
                  <w:r>
                    <w:t>0.08</w:t>
                  </w:r>
                </w:p>
              </w:tc>
              <w:tc>
                <w:tcPr>
                  <w:tcW w:w="1370" w:type="dxa"/>
                  <w:tcBorders>
                    <w:top w:val="single" w:color="auto" w:sz="6"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4" w:space="0"/>
                    <w:left w:val="single" w:color="auto" w:sz="6" w:space="0"/>
                    <w:bottom w:val="single" w:color="auto" w:sz="4" w:space="0"/>
                    <w:right w:val="single" w:color="auto" w:sz="6" w:space="0"/>
                  </w:tcBorders>
                  <w:vAlign w:val="center"/>
                </w:tcPr>
                <w:p>
                  <w:pPr>
                    <w:pStyle w:val="77"/>
                  </w:pPr>
                  <w:r>
                    <w:rPr>
                      <w:rFonts w:hint="eastAsia"/>
                    </w:rPr>
                    <w:t>第二次</w:t>
                  </w:r>
                </w:p>
              </w:tc>
              <w:tc>
                <w:tcPr>
                  <w:tcW w:w="1370" w:type="dxa"/>
                  <w:tcBorders>
                    <w:top w:val="single" w:color="auto" w:sz="4"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4" w:space="0"/>
                    <w:left w:val="single" w:color="auto" w:sz="4" w:space="0"/>
                    <w:bottom w:val="single" w:color="auto" w:sz="4" w:space="0"/>
                    <w:right w:val="single" w:color="auto" w:sz="4" w:space="0"/>
                  </w:tcBorders>
                  <w:vAlign w:val="center"/>
                </w:tcPr>
                <w:p>
                  <w:pPr>
                    <w:pStyle w:val="77"/>
                  </w:pPr>
                  <w:r>
                    <w:t>0.06</w:t>
                  </w:r>
                </w:p>
              </w:tc>
              <w:tc>
                <w:tcPr>
                  <w:tcW w:w="1370"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5" w:hRule="atLeast"/>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4" w:space="0"/>
                    <w:left w:val="single" w:color="auto" w:sz="6" w:space="0"/>
                    <w:bottom w:val="single" w:color="auto" w:sz="4" w:space="0"/>
                    <w:right w:val="single" w:color="auto" w:sz="6" w:space="0"/>
                  </w:tcBorders>
                  <w:vAlign w:val="center"/>
                </w:tcPr>
                <w:p>
                  <w:pPr>
                    <w:pStyle w:val="77"/>
                  </w:pPr>
                  <w:r>
                    <w:rPr>
                      <w:rFonts w:hint="eastAsia"/>
                    </w:rPr>
                    <w:t>第三次</w:t>
                  </w:r>
                </w:p>
              </w:tc>
              <w:tc>
                <w:tcPr>
                  <w:tcW w:w="1370" w:type="dxa"/>
                  <w:tcBorders>
                    <w:top w:val="single" w:color="auto" w:sz="4" w:space="0"/>
                    <w:left w:val="single" w:color="auto" w:sz="6" w:space="0"/>
                    <w:bottom w:val="single" w:color="auto" w:sz="4" w:space="0"/>
                    <w:right w:val="single" w:color="auto" w:sz="4" w:space="0"/>
                  </w:tcBorders>
                  <w:vAlign w:val="center"/>
                </w:tcPr>
                <w:p>
                  <w:pPr>
                    <w:pStyle w:val="77"/>
                  </w:pPr>
                  <w:r>
                    <w:t>0.001*</w:t>
                  </w:r>
                </w:p>
              </w:tc>
              <w:tc>
                <w:tcPr>
                  <w:tcW w:w="1370" w:type="dxa"/>
                  <w:tcBorders>
                    <w:top w:val="single" w:color="auto" w:sz="4" w:space="0"/>
                    <w:left w:val="single" w:color="auto" w:sz="4" w:space="0"/>
                    <w:bottom w:val="single" w:color="auto" w:sz="4" w:space="0"/>
                    <w:right w:val="single" w:color="auto" w:sz="4" w:space="0"/>
                  </w:tcBorders>
                  <w:vAlign w:val="center"/>
                </w:tcPr>
                <w:p>
                  <w:pPr>
                    <w:pStyle w:val="77"/>
                  </w:pPr>
                  <w:r>
                    <w:t>0.15</w:t>
                  </w:r>
                </w:p>
              </w:tc>
              <w:tc>
                <w:tcPr>
                  <w:tcW w:w="1370"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1"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948"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879" w:type="dxa"/>
                  <w:tcBorders>
                    <w:top w:val="single" w:color="auto" w:sz="4" w:space="0"/>
                    <w:left w:val="single" w:color="auto" w:sz="6" w:space="0"/>
                    <w:bottom w:val="single" w:color="auto" w:sz="6" w:space="0"/>
                    <w:right w:val="single" w:color="auto" w:sz="6" w:space="0"/>
                  </w:tcBorders>
                  <w:vAlign w:val="center"/>
                </w:tcPr>
                <w:p>
                  <w:pPr>
                    <w:pStyle w:val="77"/>
                  </w:pPr>
                  <w:r>
                    <w:rPr>
                      <w:rFonts w:hint="eastAsia"/>
                    </w:rPr>
                    <w:t>第四次</w:t>
                  </w:r>
                </w:p>
              </w:tc>
              <w:tc>
                <w:tcPr>
                  <w:tcW w:w="1370" w:type="dxa"/>
                  <w:tcBorders>
                    <w:top w:val="single" w:color="auto" w:sz="4" w:space="0"/>
                    <w:left w:val="single" w:color="auto" w:sz="6" w:space="0"/>
                    <w:bottom w:val="single" w:color="auto" w:sz="6" w:space="0"/>
                    <w:right w:val="single" w:color="auto" w:sz="4" w:space="0"/>
                  </w:tcBorders>
                  <w:vAlign w:val="center"/>
                </w:tcPr>
                <w:p>
                  <w:pPr>
                    <w:pStyle w:val="77"/>
                  </w:pPr>
                  <w:r>
                    <w:t>0.001*</w:t>
                  </w:r>
                </w:p>
              </w:tc>
              <w:tc>
                <w:tcPr>
                  <w:tcW w:w="1370" w:type="dxa"/>
                  <w:tcBorders>
                    <w:top w:val="single" w:color="auto" w:sz="4" w:space="0"/>
                    <w:left w:val="single" w:color="auto" w:sz="4" w:space="0"/>
                    <w:bottom w:val="single" w:color="auto" w:sz="6" w:space="0"/>
                    <w:right w:val="single" w:color="auto" w:sz="4" w:space="0"/>
                  </w:tcBorders>
                  <w:vAlign w:val="center"/>
                </w:tcPr>
                <w:p>
                  <w:pPr>
                    <w:pStyle w:val="77"/>
                  </w:pPr>
                  <w:r>
                    <w:t>0.07</w:t>
                  </w:r>
                </w:p>
              </w:tc>
              <w:tc>
                <w:tcPr>
                  <w:tcW w:w="1370" w:type="dxa"/>
                  <w:tcBorders>
                    <w:top w:val="single" w:color="auto" w:sz="4" w:space="0"/>
                    <w:left w:val="single" w:color="auto" w:sz="4" w:space="0"/>
                    <w:bottom w:val="single" w:color="auto" w:sz="6"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88" w:type="dxa"/>
                  <w:gridSpan w:val="3"/>
                  <w:tcBorders>
                    <w:top w:val="single" w:color="auto" w:sz="6" w:space="0"/>
                    <w:left w:val="single" w:color="auto" w:sz="12" w:space="0"/>
                    <w:bottom w:val="single" w:color="auto" w:sz="6" w:space="0"/>
                    <w:right w:val="single" w:color="auto" w:sz="6" w:space="0"/>
                  </w:tcBorders>
                  <w:vAlign w:val="center"/>
                </w:tcPr>
                <w:p>
                  <w:pPr>
                    <w:pStyle w:val="77"/>
                  </w:pPr>
                  <w:r>
                    <w:rPr>
                      <w:rFonts w:hint="eastAsia"/>
                    </w:rPr>
                    <w:t>监测点最大值</w:t>
                  </w:r>
                </w:p>
              </w:tc>
              <w:tc>
                <w:tcPr>
                  <w:tcW w:w="1370" w:type="dxa"/>
                  <w:tcBorders>
                    <w:top w:val="single" w:color="auto" w:sz="6" w:space="0"/>
                    <w:left w:val="single" w:color="auto" w:sz="6" w:space="0"/>
                    <w:bottom w:val="single" w:color="auto" w:sz="6" w:space="0"/>
                    <w:right w:val="single" w:color="auto" w:sz="4" w:space="0"/>
                  </w:tcBorders>
                  <w:vAlign w:val="center"/>
                </w:tcPr>
                <w:p>
                  <w:pPr>
                    <w:pStyle w:val="77"/>
                  </w:pPr>
                  <w:r>
                    <w:t>0.001*</w:t>
                  </w:r>
                </w:p>
              </w:tc>
              <w:tc>
                <w:tcPr>
                  <w:tcW w:w="1370" w:type="dxa"/>
                  <w:tcBorders>
                    <w:top w:val="single" w:color="auto" w:sz="6" w:space="0"/>
                    <w:left w:val="single" w:color="auto" w:sz="4" w:space="0"/>
                    <w:bottom w:val="single" w:color="auto" w:sz="6" w:space="0"/>
                    <w:right w:val="single" w:color="auto" w:sz="4" w:space="0"/>
                  </w:tcBorders>
                  <w:vAlign w:val="center"/>
                </w:tcPr>
                <w:p>
                  <w:pPr>
                    <w:pStyle w:val="77"/>
                  </w:pPr>
                  <w:r>
                    <w:t>0.16</w:t>
                  </w:r>
                </w:p>
              </w:tc>
              <w:tc>
                <w:tcPr>
                  <w:tcW w:w="1370" w:type="dxa"/>
                  <w:tcBorders>
                    <w:top w:val="single" w:color="auto" w:sz="6" w:space="0"/>
                    <w:left w:val="single" w:color="auto" w:sz="4" w:space="0"/>
                    <w:bottom w:val="single" w:color="auto" w:sz="6" w:space="0"/>
                    <w:right w:val="single" w:color="auto" w:sz="12" w:space="0"/>
                  </w:tcBorders>
                  <w:vAlign w:val="center"/>
                </w:tcPr>
                <w:p>
                  <w:pPr>
                    <w:pStyle w:val="77"/>
                  </w:pPr>
                  <w:r>
                    <w:rPr>
                      <w:rFonts w:hint="eastAsia"/>
                    </w:rPr>
                    <w:t>＜</w:t>
                  </w: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88" w:type="dxa"/>
                  <w:gridSpan w:val="3"/>
                  <w:tcBorders>
                    <w:top w:val="single" w:color="auto" w:sz="6" w:space="0"/>
                    <w:left w:val="single" w:color="auto" w:sz="12" w:space="0"/>
                    <w:bottom w:val="single" w:color="auto" w:sz="6" w:space="0"/>
                    <w:right w:val="single" w:color="auto" w:sz="6" w:space="0"/>
                  </w:tcBorders>
                  <w:vAlign w:val="center"/>
                </w:tcPr>
                <w:p>
                  <w:pPr>
                    <w:pStyle w:val="77"/>
                  </w:pPr>
                  <w:r>
                    <w:rPr>
                      <w:rFonts w:hint="eastAsia"/>
                    </w:rPr>
                    <w:t>《城镇污水处理厂污染物排放标准》（</w:t>
                  </w:r>
                  <w:r>
                    <w:t>GB18918-2002</w:t>
                  </w:r>
                  <w:r>
                    <w:rPr>
                      <w:rFonts w:hint="eastAsia"/>
                    </w:rPr>
                    <w:t>）表</w:t>
                  </w:r>
                  <w:r>
                    <w:t>4</w:t>
                  </w:r>
                  <w:r>
                    <w:rPr>
                      <w:rFonts w:hint="eastAsia"/>
                    </w:rPr>
                    <w:t>二级标准</w:t>
                  </w:r>
                </w:p>
              </w:tc>
              <w:tc>
                <w:tcPr>
                  <w:tcW w:w="1370" w:type="dxa"/>
                  <w:tcBorders>
                    <w:top w:val="single" w:color="auto" w:sz="6" w:space="0"/>
                    <w:left w:val="single" w:color="auto" w:sz="6" w:space="0"/>
                    <w:bottom w:val="single" w:color="auto" w:sz="6" w:space="0"/>
                    <w:right w:val="single" w:color="auto" w:sz="4" w:space="0"/>
                  </w:tcBorders>
                  <w:vAlign w:val="center"/>
                </w:tcPr>
                <w:p>
                  <w:pPr>
                    <w:pStyle w:val="77"/>
                  </w:pPr>
                  <w:r>
                    <w:t>0.06</w:t>
                  </w:r>
                </w:p>
              </w:tc>
              <w:tc>
                <w:tcPr>
                  <w:tcW w:w="1370" w:type="dxa"/>
                  <w:tcBorders>
                    <w:top w:val="single" w:color="auto" w:sz="6" w:space="0"/>
                    <w:left w:val="single" w:color="auto" w:sz="4" w:space="0"/>
                    <w:bottom w:val="single" w:color="auto" w:sz="6" w:space="0"/>
                    <w:right w:val="single" w:color="auto" w:sz="4" w:space="0"/>
                  </w:tcBorders>
                  <w:vAlign w:val="center"/>
                </w:tcPr>
                <w:p>
                  <w:pPr>
                    <w:pStyle w:val="77"/>
                  </w:pPr>
                  <w:r>
                    <w:t>1.5</w:t>
                  </w:r>
                </w:p>
              </w:tc>
              <w:tc>
                <w:tcPr>
                  <w:tcW w:w="1370" w:type="dxa"/>
                  <w:tcBorders>
                    <w:top w:val="single" w:color="auto" w:sz="6" w:space="0"/>
                    <w:left w:val="single" w:color="auto" w:sz="4" w:space="0"/>
                    <w:bottom w:val="single" w:color="auto" w:sz="6" w:space="0"/>
                    <w:right w:val="single" w:color="auto" w:sz="12" w:space="0"/>
                  </w:tcBorders>
                  <w:vAlign w:val="center"/>
                </w:tcPr>
                <w:p>
                  <w:pPr>
                    <w:pStyle w:val="77"/>
                  </w:pPr>
                  <w: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88" w:type="dxa"/>
                  <w:gridSpan w:val="3"/>
                  <w:tcBorders>
                    <w:top w:val="single" w:color="auto" w:sz="6" w:space="0"/>
                    <w:left w:val="single" w:color="auto" w:sz="12" w:space="0"/>
                    <w:bottom w:val="single" w:color="auto" w:sz="6" w:space="0"/>
                    <w:right w:val="single" w:color="auto" w:sz="6" w:space="0"/>
                  </w:tcBorders>
                  <w:vAlign w:val="center"/>
                </w:tcPr>
                <w:p>
                  <w:pPr>
                    <w:pStyle w:val="77"/>
                  </w:pPr>
                  <w:r>
                    <w:rPr>
                      <w:rFonts w:hint="eastAsia"/>
                    </w:rPr>
                    <w:t>结果评价</w:t>
                  </w:r>
                </w:p>
              </w:tc>
              <w:tc>
                <w:tcPr>
                  <w:tcW w:w="1370" w:type="dxa"/>
                  <w:tcBorders>
                    <w:top w:val="single" w:color="auto" w:sz="6" w:space="0"/>
                    <w:left w:val="single" w:color="auto" w:sz="6" w:space="0"/>
                    <w:bottom w:val="single" w:color="auto" w:sz="6" w:space="0"/>
                    <w:right w:val="single" w:color="auto" w:sz="4" w:space="0"/>
                  </w:tcBorders>
                  <w:vAlign w:val="center"/>
                </w:tcPr>
                <w:p>
                  <w:pPr>
                    <w:pStyle w:val="77"/>
                  </w:pPr>
                  <w:r>
                    <w:rPr>
                      <w:rFonts w:hint="eastAsia"/>
                    </w:rPr>
                    <w:t>达标</w:t>
                  </w:r>
                </w:p>
              </w:tc>
              <w:tc>
                <w:tcPr>
                  <w:tcW w:w="1370" w:type="dxa"/>
                  <w:tcBorders>
                    <w:top w:val="single" w:color="auto" w:sz="6" w:space="0"/>
                    <w:left w:val="single" w:color="auto" w:sz="4" w:space="0"/>
                    <w:bottom w:val="single" w:color="auto" w:sz="6" w:space="0"/>
                    <w:right w:val="single" w:color="auto" w:sz="4" w:space="0"/>
                  </w:tcBorders>
                  <w:vAlign w:val="center"/>
                </w:tcPr>
                <w:p>
                  <w:pPr>
                    <w:pStyle w:val="77"/>
                  </w:pPr>
                  <w:r>
                    <w:rPr>
                      <w:rFonts w:hint="eastAsia"/>
                    </w:rPr>
                    <w:t>达标</w:t>
                  </w:r>
                </w:p>
              </w:tc>
              <w:tc>
                <w:tcPr>
                  <w:tcW w:w="1370" w:type="dxa"/>
                  <w:tcBorders>
                    <w:top w:val="single" w:color="auto" w:sz="6" w:space="0"/>
                    <w:left w:val="single" w:color="auto" w:sz="4" w:space="0"/>
                    <w:bottom w:val="single" w:color="auto" w:sz="6" w:space="0"/>
                    <w:right w:val="single" w:color="auto" w:sz="12" w:space="0"/>
                  </w:tcBorders>
                  <w:vAlign w:val="center"/>
                </w:tcPr>
                <w:p>
                  <w:pPr>
                    <w:pStyle w:val="77"/>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098" w:type="dxa"/>
                  <w:gridSpan w:val="6"/>
                  <w:tcBorders>
                    <w:top w:val="single" w:color="auto" w:sz="6" w:space="0"/>
                    <w:left w:val="single" w:color="auto" w:sz="12" w:space="0"/>
                    <w:bottom w:val="single" w:color="auto" w:sz="12" w:space="0"/>
                    <w:right w:val="single" w:color="auto" w:sz="12" w:space="0"/>
                  </w:tcBorders>
                  <w:vAlign w:val="center"/>
                </w:tcPr>
                <w:p>
                  <w:pPr>
                    <w:autoSpaceDE w:val="0"/>
                    <w:autoSpaceDN w:val="0"/>
                    <w:adjustRightInd w:val="0"/>
                    <w:snapToGrid w:val="0"/>
                    <w:spacing w:line="360" w:lineRule="auto"/>
                    <w:ind w:firstLine="480" w:firstLineChars="200"/>
                  </w:pPr>
                  <w:r>
                    <w:rPr>
                      <w:rFonts w:hint="eastAsia" w:ascii="Times New Roman" w:hAnsi="Times New Roman"/>
                      <w:sz w:val="24"/>
                      <w:szCs w:val="24"/>
                    </w:rPr>
                    <w:t>备注：监测结果低于检出限的测试结果时，用“最低检出限（数值）</w:t>
                  </w:r>
                  <w:r>
                    <w:rPr>
                      <w:rFonts w:ascii="Times New Roman" w:hAnsi="Times New Roman"/>
                      <w:sz w:val="24"/>
                      <w:szCs w:val="24"/>
                    </w:rPr>
                    <w:t>+*</w:t>
                  </w:r>
                  <w:r>
                    <w:rPr>
                      <w:rFonts w:hint="eastAsia" w:ascii="Times New Roman" w:hAnsi="Times New Roman"/>
                      <w:sz w:val="24"/>
                      <w:szCs w:val="24"/>
                    </w:rPr>
                    <w:t>”表示。</w:t>
                  </w:r>
                </w:p>
              </w:tc>
            </w:tr>
          </w:tbl>
          <w:p>
            <w:pPr>
              <w:autoSpaceDE w:val="0"/>
              <w:autoSpaceDN w:val="0"/>
              <w:adjustRightInd w:val="0"/>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据表</w:t>
            </w:r>
            <w:r>
              <w:rPr>
                <w:rFonts w:ascii="Times New Roman" w:hAnsi="Times New Roman"/>
                <w:sz w:val="24"/>
                <w:szCs w:val="24"/>
              </w:rPr>
              <w:t>1-21</w:t>
            </w:r>
            <w:r>
              <w:rPr>
                <w:rFonts w:hint="eastAsia" w:ascii="Times New Roman" w:hAnsi="Times New Roman"/>
                <w:sz w:val="24"/>
                <w:szCs w:val="24"/>
              </w:rPr>
              <w:t>检测结果可知</w:t>
            </w:r>
            <w:r>
              <w:rPr>
                <w:rStyle w:val="116"/>
                <w:rFonts w:hint="eastAsia"/>
                <w:sz w:val="24"/>
              </w:rPr>
              <w:t>，厂界无组织废气中，各检测点</w:t>
            </w:r>
            <w:r>
              <w:rPr>
                <w:rStyle w:val="116"/>
                <w:sz w:val="24"/>
              </w:rPr>
              <w:t>H</w:t>
            </w:r>
            <w:r>
              <w:rPr>
                <w:rStyle w:val="116"/>
                <w:sz w:val="24"/>
                <w:vertAlign w:val="subscript"/>
              </w:rPr>
              <w:t>2</w:t>
            </w:r>
            <w:r>
              <w:rPr>
                <w:rStyle w:val="116"/>
                <w:sz w:val="24"/>
              </w:rPr>
              <w:t>S</w:t>
            </w:r>
            <w:r>
              <w:rPr>
                <w:rStyle w:val="116"/>
                <w:rFonts w:hint="eastAsia"/>
                <w:sz w:val="24"/>
              </w:rPr>
              <w:t>监测结果均低于检出限，</w:t>
            </w:r>
            <w:r>
              <w:rPr>
                <w:rStyle w:val="116"/>
                <w:sz w:val="24"/>
              </w:rPr>
              <w:t>NH</w:t>
            </w:r>
            <w:r>
              <w:rPr>
                <w:rStyle w:val="116"/>
                <w:sz w:val="24"/>
                <w:vertAlign w:val="subscript"/>
              </w:rPr>
              <w:t>3</w:t>
            </w:r>
            <w:r>
              <w:rPr>
                <w:rStyle w:val="116"/>
                <w:rFonts w:hint="eastAsia"/>
                <w:sz w:val="24"/>
              </w:rPr>
              <w:t>及臭气浓度均可达</w:t>
            </w:r>
            <w:r>
              <w:rPr>
                <w:rFonts w:hint="eastAsia" w:ascii="Times New Roman" w:hAnsi="Times New Roman"/>
                <w:bCs/>
                <w:sz w:val="24"/>
                <w:szCs w:val="28"/>
              </w:rPr>
              <w:t>《城镇污水处理厂污染物排放标准》（</w:t>
            </w:r>
            <w:r>
              <w:rPr>
                <w:rFonts w:ascii="Times New Roman" w:hAnsi="Times New Roman"/>
                <w:bCs/>
                <w:sz w:val="24"/>
                <w:szCs w:val="28"/>
              </w:rPr>
              <w:t>GB18918-2002</w:t>
            </w:r>
            <w:r>
              <w:rPr>
                <w:rFonts w:hint="eastAsia" w:ascii="Times New Roman" w:hAnsi="Times New Roman"/>
                <w:bCs/>
                <w:sz w:val="24"/>
                <w:szCs w:val="28"/>
              </w:rPr>
              <w:t>）表</w:t>
            </w:r>
            <w:r>
              <w:rPr>
                <w:rFonts w:ascii="Times New Roman" w:hAnsi="Times New Roman"/>
                <w:bCs/>
                <w:sz w:val="24"/>
                <w:szCs w:val="28"/>
              </w:rPr>
              <w:t>4</w:t>
            </w:r>
            <w:r>
              <w:rPr>
                <w:rFonts w:hint="eastAsia" w:ascii="Times New Roman" w:hAnsi="Times New Roman"/>
                <w:bCs/>
                <w:sz w:val="24"/>
                <w:szCs w:val="28"/>
              </w:rPr>
              <w:t>二级标准限值要求</w:t>
            </w:r>
            <w:r>
              <w:rPr>
                <w:rFonts w:hint="eastAsia" w:ascii="Times New Roman" w:hAnsi="Times New Roman"/>
                <w:sz w:val="24"/>
                <w:szCs w:val="24"/>
              </w:rPr>
              <w:t>。</w:t>
            </w:r>
          </w:p>
          <w:p>
            <w:pPr>
              <w:autoSpaceDE w:val="0"/>
              <w:autoSpaceDN w:val="0"/>
              <w:adjustRightInd w:val="0"/>
              <w:snapToGrid w:val="0"/>
              <w:spacing w:line="360" w:lineRule="auto"/>
              <w:ind w:firstLine="482" w:firstLineChars="200"/>
              <w:rPr>
                <w:rFonts w:ascii="Times New Roman" w:hAnsi="Times New Roman"/>
                <w:b/>
                <w:bCs/>
                <w:sz w:val="24"/>
              </w:rPr>
            </w:pPr>
            <w:r>
              <w:rPr>
                <w:rFonts w:hint="eastAsia" w:ascii="Times New Roman" w:hAnsi="Times New Roman"/>
                <w:b/>
                <w:bCs/>
                <w:sz w:val="24"/>
              </w:rPr>
              <w:t>（</w:t>
            </w:r>
            <w:r>
              <w:rPr>
                <w:rFonts w:ascii="Times New Roman" w:hAnsi="Times New Roman"/>
                <w:b/>
                <w:bCs/>
                <w:sz w:val="24"/>
              </w:rPr>
              <w:t>2</w:t>
            </w:r>
            <w:r>
              <w:rPr>
                <w:rFonts w:hint="eastAsia" w:ascii="Times New Roman" w:hAnsi="Times New Roman"/>
                <w:b/>
                <w:bCs/>
                <w:sz w:val="24"/>
              </w:rPr>
              <w:t>）水污染源</w:t>
            </w:r>
          </w:p>
          <w:p>
            <w:pPr>
              <w:pStyle w:val="114"/>
            </w:pPr>
            <w:r>
              <w:rPr>
                <w:rFonts w:hint="eastAsia"/>
              </w:rPr>
              <w:t>一期工程现有员工</w:t>
            </w:r>
            <w:r>
              <w:t>24</w:t>
            </w:r>
            <w:r>
              <w:rPr>
                <w:rFonts w:hint="eastAsia"/>
              </w:rPr>
              <w:t>人，生活污水产生量约</w:t>
            </w:r>
            <w:r>
              <w:t>3.84t/d</w:t>
            </w:r>
            <w:r>
              <w:rPr>
                <w:rFonts w:hint="eastAsia"/>
              </w:rPr>
              <w:t>，全部进入污水处理系统处理。水质污染纳入一期工程设计的进、出水水质水量，不单独进行核算。</w:t>
            </w:r>
          </w:p>
          <w:p>
            <w:pPr>
              <w:pStyle w:val="114"/>
            </w:pPr>
            <w:r>
              <w:rPr>
                <w:rFonts w:hint="eastAsia"/>
              </w:rPr>
              <w:t>一期工程进出水水质、污水处理工艺及达标判定情况详见上文。经过厂内处理设施的升级改造，根据</w:t>
            </w:r>
            <w:r>
              <w:t>2019</w:t>
            </w:r>
            <w:r>
              <w:rPr>
                <w:rFonts w:hint="eastAsia"/>
              </w:rPr>
              <w:t>年</w:t>
            </w:r>
            <w:r>
              <w:t>9-12</w:t>
            </w:r>
            <w:r>
              <w:rPr>
                <w:rFonts w:hint="eastAsia"/>
              </w:rPr>
              <w:t>月环保日台账数据可知：出水其他各项因子均可实现稳定达标排放。根据企业排污许可证，一期项目许可年排放量限值</w:t>
            </w:r>
            <w:r>
              <w:t>COD180.5t/a</w:t>
            </w:r>
            <w:r>
              <w:rPr>
                <w:rFonts w:hint="eastAsia"/>
              </w:rPr>
              <w:t>，氨氮</w:t>
            </w:r>
            <w:r>
              <w:t>18.05t/a</w:t>
            </w:r>
            <w:r>
              <w:rPr>
                <w:rFonts w:hint="eastAsia"/>
              </w:rPr>
              <w:t>，总氮</w:t>
            </w:r>
            <w:r>
              <w:t>54.15t/a</w:t>
            </w:r>
            <w:r>
              <w:rPr>
                <w:rFonts w:hint="eastAsia"/>
              </w:rPr>
              <w:t>，总磷</w:t>
            </w:r>
            <w:r>
              <w:t>1.805t/a</w:t>
            </w:r>
            <w:r>
              <w:rPr>
                <w:rFonts w:hint="eastAsia"/>
              </w:rPr>
              <w:t>。</w:t>
            </w:r>
          </w:p>
          <w:p>
            <w:pPr>
              <w:autoSpaceDE w:val="0"/>
              <w:autoSpaceDN w:val="0"/>
              <w:adjustRightInd w:val="0"/>
              <w:snapToGrid w:val="0"/>
              <w:spacing w:line="360" w:lineRule="auto"/>
              <w:ind w:firstLine="482" w:firstLineChars="200"/>
              <w:rPr>
                <w:rFonts w:ascii="Times New Roman" w:hAnsi="Times New Roman"/>
                <w:b/>
                <w:bCs/>
                <w:sz w:val="24"/>
              </w:rPr>
            </w:pPr>
            <w:r>
              <w:rPr>
                <w:rFonts w:hint="eastAsia" w:ascii="Times New Roman" w:hAnsi="Times New Roman"/>
                <w:b/>
                <w:bCs/>
                <w:sz w:val="24"/>
              </w:rPr>
              <w:t>（</w:t>
            </w:r>
            <w:r>
              <w:rPr>
                <w:rFonts w:ascii="Times New Roman" w:hAnsi="Times New Roman"/>
                <w:b/>
                <w:bCs/>
                <w:sz w:val="24"/>
              </w:rPr>
              <w:t>3</w:t>
            </w:r>
            <w:r>
              <w:rPr>
                <w:rFonts w:hint="eastAsia" w:ascii="Times New Roman" w:hAnsi="Times New Roman"/>
                <w:b/>
                <w:bCs/>
                <w:sz w:val="24"/>
              </w:rPr>
              <w:t>）噪声污染源</w:t>
            </w:r>
          </w:p>
          <w:p>
            <w:pPr>
              <w:keepNext/>
              <w:keepLines/>
              <w:spacing w:line="360" w:lineRule="auto"/>
              <w:ind w:firstLine="482" w:firstLineChars="200"/>
              <w:outlineLvl w:val="3"/>
              <w:rPr>
                <w:rFonts w:ascii="Times New Roman" w:hAnsi="Times New Roman"/>
                <w:b/>
                <w:bCs/>
                <w:sz w:val="24"/>
                <w:szCs w:val="28"/>
              </w:rPr>
            </w:pPr>
            <w:r>
              <w:rPr>
                <w:rFonts w:hint="eastAsia" w:ascii="Times New Roman" w:hAnsi="Times New Roman"/>
                <w:b/>
                <w:bCs/>
                <w:sz w:val="24"/>
                <w:szCs w:val="28"/>
              </w:rPr>
              <w:t>①污染源项</w:t>
            </w:r>
          </w:p>
          <w:p>
            <w:pPr>
              <w:pStyle w:val="114"/>
              <w:rPr>
                <w:u w:color="FF0000"/>
              </w:rPr>
            </w:pPr>
            <w:r>
              <w:rPr>
                <w:rFonts w:hint="eastAsia"/>
                <w:u w:color="FF0000"/>
              </w:rPr>
              <w:t>一期工程运营期主要噪声源为离心机和鼓风机及污水厂其他各机械运行产生的机械噪声，噪声源强为</w:t>
            </w:r>
            <w:r>
              <w:rPr>
                <w:szCs w:val="24"/>
              </w:rPr>
              <w:t>75-93dB(A)</w:t>
            </w:r>
            <w:r>
              <w:rPr>
                <w:rFonts w:hint="eastAsia"/>
                <w:u w:color="FF0000"/>
              </w:rPr>
              <w:t>。</w:t>
            </w:r>
          </w:p>
          <w:p>
            <w:pPr>
              <w:keepNext/>
              <w:keepLines/>
              <w:spacing w:line="360" w:lineRule="auto"/>
              <w:ind w:firstLine="482" w:firstLineChars="200"/>
              <w:outlineLvl w:val="3"/>
              <w:rPr>
                <w:rFonts w:ascii="Times New Roman" w:hAnsi="Times New Roman"/>
                <w:b/>
                <w:bCs/>
                <w:sz w:val="24"/>
                <w:szCs w:val="28"/>
              </w:rPr>
            </w:pPr>
            <w:r>
              <w:rPr>
                <w:rFonts w:hint="eastAsia" w:ascii="Times New Roman" w:hAnsi="Times New Roman"/>
                <w:b/>
                <w:bCs/>
                <w:sz w:val="24"/>
                <w:szCs w:val="28"/>
              </w:rPr>
              <w:t>②噪声治理措施</w:t>
            </w:r>
          </w:p>
          <w:p>
            <w:pPr>
              <w:pStyle w:val="114"/>
              <w:rPr>
                <w:szCs w:val="24"/>
              </w:rPr>
            </w:pPr>
            <w:r>
              <w:rPr>
                <w:rFonts w:hint="eastAsia"/>
                <w:szCs w:val="24"/>
              </w:rPr>
              <w:t>一期工程优先选用低噪声设备、泵一般均采用潜水泵，电机和水泵一同浸入水中，声功率亦会被水吸收。鼓风机置于风机房内，并采取了相应的隔振、减振等消声措施。同时通过合理布局、绿化等措施，可有效减轻噪声对周围声环境的影响。</w:t>
            </w:r>
          </w:p>
          <w:p>
            <w:pPr>
              <w:keepNext/>
              <w:keepLines/>
              <w:spacing w:line="360" w:lineRule="auto"/>
              <w:ind w:firstLine="482" w:firstLineChars="200"/>
              <w:outlineLvl w:val="3"/>
              <w:rPr>
                <w:rFonts w:ascii="Times New Roman" w:hAnsi="Times New Roman"/>
                <w:b/>
                <w:bCs/>
                <w:sz w:val="24"/>
                <w:szCs w:val="28"/>
              </w:rPr>
            </w:pPr>
            <w:r>
              <w:rPr>
                <w:rFonts w:hint="eastAsia" w:ascii="Times New Roman" w:hAnsi="Times New Roman"/>
                <w:b/>
                <w:bCs/>
                <w:sz w:val="24"/>
                <w:szCs w:val="28"/>
              </w:rPr>
              <w:t>③噪声达标分析</w:t>
            </w:r>
          </w:p>
          <w:p>
            <w:pPr>
              <w:pStyle w:val="114"/>
            </w:pPr>
            <w:bookmarkStart w:id="14" w:name="_Toc38293828"/>
            <w:r>
              <w:rPr>
                <w:rFonts w:hint="eastAsia"/>
              </w:rPr>
              <w:t>《定安县定城镇环城北路污水处理厂环境监测检测报告》（报告编号</w:t>
            </w:r>
            <w:r>
              <w:t>HQT-201910045</w:t>
            </w:r>
            <w:r>
              <w:rPr>
                <w:rFonts w:hint="eastAsia"/>
              </w:rPr>
              <w:t>）中噪声检测监测情况结果统计详见表</w:t>
            </w:r>
            <w:r>
              <w:t>1-</w:t>
            </w:r>
            <w:bookmarkEnd w:id="14"/>
            <w:r>
              <w:t>22</w:t>
            </w:r>
            <w:r>
              <w:rPr>
                <w:rFonts w:hint="eastAsia"/>
              </w:rPr>
              <w:t>。</w:t>
            </w:r>
          </w:p>
          <w:p>
            <w:pPr>
              <w:pStyle w:val="122"/>
            </w:pPr>
            <w:r>
              <w:rPr>
                <w:rFonts w:hint="eastAsia"/>
              </w:rPr>
              <w:t>表</w:t>
            </w:r>
            <w:r>
              <w:t xml:space="preserve">1-22    </w:t>
            </w:r>
            <w:r>
              <w:rPr>
                <w:rFonts w:hint="eastAsia"/>
              </w:rPr>
              <w:t>噪声监测结果统计</w:t>
            </w:r>
          </w:p>
          <w:p>
            <w:pPr>
              <w:pStyle w:val="77"/>
              <w:jc w:val="right"/>
              <w:rPr>
                <w:bCs/>
              </w:rPr>
            </w:pPr>
            <w:r>
              <w:rPr>
                <w:rFonts w:hint="eastAsia"/>
              </w:rPr>
              <w:t>监测日期：</w:t>
            </w:r>
            <w:r>
              <w:t>2019</w:t>
            </w:r>
            <w:r>
              <w:rPr>
                <w:rFonts w:hint="eastAsia"/>
              </w:rPr>
              <w:t>年</w:t>
            </w:r>
            <w:r>
              <w:t>10</w:t>
            </w:r>
            <w:r>
              <w:rPr>
                <w:rFonts w:hint="eastAsia"/>
              </w:rPr>
              <w:t>月</w:t>
            </w:r>
            <w:r>
              <w:t>22</w:t>
            </w:r>
            <w:r>
              <w:rPr>
                <w:rFonts w:hint="eastAsia"/>
              </w:rPr>
              <w:t>日</w:t>
            </w:r>
            <w:r>
              <w:t xml:space="preserve">  </w:t>
            </w:r>
            <w:r>
              <w:rPr>
                <w:rFonts w:hint="eastAsia"/>
                <w:bCs/>
              </w:rPr>
              <w:t>单位：</w:t>
            </w:r>
            <w:r>
              <w:rPr>
                <w:bCs/>
              </w:rPr>
              <w:t>dB(A)</w:t>
            </w:r>
          </w:p>
          <w:tbl>
            <w:tblPr>
              <w:tblStyle w:val="37"/>
              <w:tblW w:w="90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4136"/>
              <w:gridCol w:w="2351"/>
              <w:gridCol w:w="2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340" w:hRule="exact"/>
              </w:trPr>
              <w:tc>
                <w:tcPr>
                  <w:tcW w:w="4136" w:type="dxa"/>
                  <w:vMerge w:val="restart"/>
                  <w:tcBorders>
                    <w:top w:val="single" w:color="auto" w:sz="12" w:space="0"/>
                    <w:left w:val="single" w:color="auto" w:sz="12" w:space="0"/>
                    <w:bottom w:val="single" w:color="auto" w:sz="6" w:space="0"/>
                    <w:right w:val="single" w:color="auto" w:sz="4" w:space="0"/>
                    <w:tl2br w:val="single" w:color="auto" w:sz="4" w:space="0"/>
                  </w:tcBorders>
                  <w:vAlign w:val="center"/>
                </w:tcPr>
                <w:p>
                  <w:pPr>
                    <w:jc w:val="center"/>
                    <w:rPr>
                      <w:rFonts w:ascii="Times New Roman" w:hAnsi="Times New Roman"/>
                      <w:szCs w:val="21"/>
                    </w:rPr>
                  </w:pPr>
                  <w:r>
                    <w:rPr>
                      <w:rFonts w:hint="eastAsia" w:ascii="Times New Roman" w:hAnsi="Times New Roman"/>
                      <w:szCs w:val="21"/>
                    </w:rPr>
                    <w:t>监测时间</w:t>
                  </w:r>
                </w:p>
                <w:p>
                  <w:pPr>
                    <w:jc w:val="center"/>
                    <w:rPr>
                      <w:rFonts w:ascii="Times New Roman" w:hAnsi="Times New Roman"/>
                      <w:szCs w:val="21"/>
                    </w:rPr>
                  </w:pPr>
                  <w:r>
                    <w:rPr>
                      <w:rFonts w:hint="eastAsia" w:ascii="Times New Roman" w:hAnsi="Times New Roman"/>
                      <w:szCs w:val="21"/>
                    </w:rPr>
                    <w:t>监测点位</w:t>
                  </w:r>
                </w:p>
              </w:tc>
              <w:tc>
                <w:tcPr>
                  <w:tcW w:w="4962" w:type="dxa"/>
                  <w:gridSpan w:val="2"/>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szCs w:val="21"/>
                    </w:rPr>
                  </w:pPr>
                  <w:r>
                    <w:rPr>
                      <w:rFonts w:ascii="Times New Roman" w:hAnsi="Times New Roman"/>
                      <w:szCs w:val="21"/>
                    </w:rPr>
                    <w:t>2019-10-22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340" w:hRule="exact"/>
              </w:trPr>
              <w:tc>
                <w:tcPr>
                  <w:tcW w:w="4136" w:type="dxa"/>
                  <w:vMerge w:val="continue"/>
                  <w:tcBorders>
                    <w:top w:val="single" w:color="auto" w:sz="6" w:space="0"/>
                    <w:left w:val="single" w:color="auto" w:sz="12" w:space="0"/>
                    <w:bottom w:val="double" w:color="auto" w:sz="4" w:space="0"/>
                    <w:right w:val="single" w:color="auto" w:sz="4" w:space="0"/>
                  </w:tcBorders>
                  <w:vAlign w:val="center"/>
                </w:tcPr>
                <w:p>
                  <w:pPr>
                    <w:jc w:val="center"/>
                    <w:rPr>
                      <w:rFonts w:ascii="Times New Roman" w:hAnsi="Times New Roman"/>
                      <w:szCs w:val="21"/>
                    </w:rPr>
                  </w:pPr>
                </w:p>
              </w:tc>
              <w:tc>
                <w:tcPr>
                  <w:tcW w:w="2351" w:type="dxa"/>
                  <w:tcBorders>
                    <w:top w:val="single" w:color="auto" w:sz="4" w:space="0"/>
                    <w:left w:val="single" w:color="auto" w:sz="4" w:space="0"/>
                    <w:bottom w:val="doub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昼间</w:t>
                  </w:r>
                </w:p>
              </w:tc>
              <w:tc>
                <w:tcPr>
                  <w:tcW w:w="2611" w:type="dxa"/>
                  <w:tcBorders>
                    <w:top w:val="single" w:color="auto" w:sz="4" w:space="0"/>
                    <w:left w:val="single" w:color="auto" w:sz="4" w:space="0"/>
                    <w:bottom w:val="double" w:color="auto" w:sz="4" w:space="0"/>
                    <w:right w:val="single" w:color="auto" w:sz="12" w:space="0"/>
                  </w:tcBorders>
                  <w:vAlign w:val="center"/>
                </w:tcPr>
                <w:p>
                  <w:pPr>
                    <w:jc w:val="center"/>
                    <w:rPr>
                      <w:rFonts w:ascii="Times New Roman" w:hAnsi="Times New Roman"/>
                      <w:szCs w:val="21"/>
                    </w:rPr>
                  </w:pPr>
                  <w:r>
                    <w:rPr>
                      <w:rFonts w:hint="eastAsia" w:ascii="Times New Roman" w:hAnsi="Times New Roman"/>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284" w:hRule="exact"/>
              </w:trPr>
              <w:tc>
                <w:tcPr>
                  <w:tcW w:w="4136" w:type="dxa"/>
                  <w:tcBorders>
                    <w:top w:val="single" w:color="auto" w:sz="4" w:space="0"/>
                    <w:left w:val="single" w:color="auto" w:sz="12" w:space="0"/>
                    <w:bottom w:val="single" w:color="auto" w:sz="4"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项目厂界东侧</w:t>
                  </w:r>
                </w:p>
              </w:tc>
              <w:tc>
                <w:tcPr>
                  <w:tcW w:w="2351" w:type="dxa"/>
                  <w:tcBorders>
                    <w:top w:val="single" w:color="auto" w:sz="6" w:space="0"/>
                    <w:left w:val="single" w:color="auto" w:sz="6" w:space="0"/>
                    <w:bottom w:val="single" w:color="auto" w:sz="6" w:space="0"/>
                    <w:right w:val="single" w:color="auto" w:sz="6" w:space="0"/>
                  </w:tcBorders>
                  <w:tcMar>
                    <w:left w:w="0" w:type="dxa"/>
                    <w:right w:w="0" w:type="dxa"/>
                  </w:tcMar>
                </w:tcPr>
                <w:p>
                  <w:pPr>
                    <w:jc w:val="center"/>
                    <w:rPr>
                      <w:rFonts w:ascii="Times New Roman" w:hAnsi="Times New Roman"/>
                      <w:szCs w:val="21"/>
                    </w:rPr>
                  </w:pPr>
                  <w:r>
                    <w:rPr>
                      <w:rFonts w:ascii="Times New Roman" w:hAnsi="Times New Roman"/>
                      <w:szCs w:val="21"/>
                    </w:rPr>
                    <w:t>54.5</w:t>
                  </w:r>
                </w:p>
              </w:tc>
              <w:tc>
                <w:tcPr>
                  <w:tcW w:w="2611" w:type="dxa"/>
                  <w:tcBorders>
                    <w:top w:val="single" w:color="auto" w:sz="6" w:space="0"/>
                    <w:left w:val="single" w:color="auto" w:sz="6" w:space="0"/>
                    <w:bottom w:val="single" w:color="auto" w:sz="6" w:space="0"/>
                    <w:right w:val="single" w:color="auto" w:sz="12" w:space="0"/>
                  </w:tcBorders>
                </w:tcPr>
                <w:p>
                  <w:pPr>
                    <w:jc w:val="center"/>
                    <w:rPr>
                      <w:rFonts w:ascii="Times New Roman" w:hAnsi="Times New Roman"/>
                      <w:szCs w:val="21"/>
                    </w:rPr>
                  </w:pPr>
                  <w:r>
                    <w:rPr>
                      <w:rFonts w:ascii="Times New Roman" w:hAnsi="Times New Roman"/>
                      <w:szCs w:val="21"/>
                    </w:rPr>
                    <w:t>49.3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284" w:hRule="exact"/>
              </w:trPr>
              <w:tc>
                <w:tcPr>
                  <w:tcW w:w="4136" w:type="dxa"/>
                  <w:tcBorders>
                    <w:top w:val="single" w:color="auto" w:sz="4" w:space="0"/>
                    <w:left w:val="single" w:color="auto" w:sz="12" w:space="0"/>
                    <w:bottom w:val="single" w:color="auto" w:sz="4"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项目厂界南侧</w:t>
                  </w:r>
                </w:p>
              </w:tc>
              <w:tc>
                <w:tcPr>
                  <w:tcW w:w="2351" w:type="dxa"/>
                  <w:tcBorders>
                    <w:top w:val="single" w:color="auto" w:sz="6" w:space="0"/>
                    <w:left w:val="single" w:color="auto" w:sz="6" w:space="0"/>
                    <w:bottom w:val="single" w:color="auto" w:sz="6" w:space="0"/>
                    <w:right w:val="single" w:color="auto" w:sz="6" w:space="0"/>
                  </w:tcBorders>
                  <w:tcMar>
                    <w:left w:w="0" w:type="dxa"/>
                    <w:right w:w="0" w:type="dxa"/>
                  </w:tcMar>
                </w:tcPr>
                <w:p>
                  <w:pPr>
                    <w:jc w:val="center"/>
                    <w:rPr>
                      <w:rFonts w:ascii="Times New Roman" w:hAnsi="Times New Roman"/>
                      <w:szCs w:val="21"/>
                    </w:rPr>
                  </w:pPr>
                  <w:r>
                    <w:rPr>
                      <w:rFonts w:ascii="Times New Roman" w:hAnsi="Times New Roman"/>
                      <w:szCs w:val="21"/>
                    </w:rPr>
                    <w:t>47.0</w:t>
                  </w:r>
                </w:p>
              </w:tc>
              <w:tc>
                <w:tcPr>
                  <w:tcW w:w="2611" w:type="dxa"/>
                  <w:tcBorders>
                    <w:top w:val="single" w:color="auto" w:sz="6" w:space="0"/>
                    <w:left w:val="single" w:color="auto" w:sz="6" w:space="0"/>
                    <w:bottom w:val="single" w:color="auto" w:sz="6" w:space="0"/>
                    <w:right w:val="single" w:color="auto" w:sz="12" w:space="0"/>
                  </w:tcBorders>
                </w:tcPr>
                <w:p>
                  <w:pPr>
                    <w:jc w:val="center"/>
                    <w:rPr>
                      <w:rFonts w:ascii="Times New Roman" w:hAnsi="Times New Roman"/>
                      <w:szCs w:val="21"/>
                    </w:rPr>
                  </w:pPr>
                  <w:r>
                    <w:rPr>
                      <w:rFonts w:ascii="Times New Roman" w:hAnsi="Times New Roman"/>
                      <w:szCs w:val="21"/>
                    </w:rPr>
                    <w:t>46.5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284" w:hRule="exact"/>
              </w:trPr>
              <w:tc>
                <w:tcPr>
                  <w:tcW w:w="4136" w:type="dxa"/>
                  <w:tcBorders>
                    <w:top w:val="single" w:color="auto" w:sz="4" w:space="0"/>
                    <w:left w:val="single" w:color="auto" w:sz="12" w:space="0"/>
                    <w:bottom w:val="single" w:color="auto" w:sz="4"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项目厂界西侧</w:t>
                  </w:r>
                </w:p>
              </w:tc>
              <w:tc>
                <w:tcPr>
                  <w:tcW w:w="2351" w:type="dxa"/>
                  <w:tcBorders>
                    <w:top w:val="single" w:color="auto" w:sz="6" w:space="0"/>
                    <w:left w:val="single" w:color="auto" w:sz="6" w:space="0"/>
                    <w:bottom w:val="single" w:color="auto" w:sz="6" w:space="0"/>
                    <w:right w:val="single" w:color="auto" w:sz="6" w:space="0"/>
                  </w:tcBorders>
                  <w:tcMar>
                    <w:left w:w="0" w:type="dxa"/>
                    <w:right w:w="0" w:type="dxa"/>
                  </w:tcMar>
                </w:tcPr>
                <w:p>
                  <w:pPr>
                    <w:jc w:val="center"/>
                    <w:rPr>
                      <w:rFonts w:ascii="Times New Roman" w:hAnsi="Times New Roman"/>
                      <w:szCs w:val="21"/>
                    </w:rPr>
                  </w:pPr>
                  <w:r>
                    <w:rPr>
                      <w:rFonts w:ascii="Times New Roman" w:hAnsi="Times New Roman"/>
                      <w:szCs w:val="21"/>
                    </w:rPr>
                    <w:t>40.9</w:t>
                  </w:r>
                </w:p>
              </w:tc>
              <w:tc>
                <w:tcPr>
                  <w:tcW w:w="2611" w:type="dxa"/>
                  <w:tcBorders>
                    <w:top w:val="single" w:color="auto" w:sz="6" w:space="0"/>
                    <w:left w:val="single" w:color="auto" w:sz="6" w:space="0"/>
                    <w:bottom w:val="single" w:color="auto" w:sz="6" w:space="0"/>
                    <w:right w:val="single" w:color="auto" w:sz="12" w:space="0"/>
                  </w:tcBorders>
                </w:tcPr>
                <w:p>
                  <w:pPr>
                    <w:jc w:val="center"/>
                    <w:rPr>
                      <w:rFonts w:ascii="Times New Roman" w:hAnsi="Times New Roman"/>
                      <w:szCs w:val="21"/>
                    </w:rPr>
                  </w:pPr>
                  <w:r>
                    <w:rPr>
                      <w:rFonts w:ascii="Times New Roman" w:hAnsi="Times New Roman"/>
                      <w:szCs w:val="21"/>
                    </w:rPr>
                    <w:t>40.2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284" w:hRule="exact"/>
              </w:trPr>
              <w:tc>
                <w:tcPr>
                  <w:tcW w:w="4136" w:type="dxa"/>
                  <w:tcBorders>
                    <w:top w:val="single" w:color="auto" w:sz="4" w:space="0"/>
                    <w:left w:val="single" w:color="auto" w:sz="12" w:space="0"/>
                    <w:bottom w:val="single" w:color="auto" w:sz="4"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项目厂界北侧</w:t>
                  </w:r>
                </w:p>
              </w:tc>
              <w:tc>
                <w:tcPr>
                  <w:tcW w:w="2351" w:type="dxa"/>
                  <w:tcBorders>
                    <w:top w:val="single" w:color="auto" w:sz="6" w:space="0"/>
                    <w:left w:val="single" w:color="auto" w:sz="6" w:space="0"/>
                    <w:bottom w:val="single" w:color="auto" w:sz="6" w:space="0"/>
                    <w:right w:val="single" w:color="auto" w:sz="6" w:space="0"/>
                  </w:tcBorders>
                  <w:tcMar>
                    <w:left w:w="0" w:type="dxa"/>
                    <w:right w:w="0" w:type="dxa"/>
                  </w:tcMar>
                </w:tcPr>
                <w:p>
                  <w:pPr>
                    <w:jc w:val="center"/>
                    <w:rPr>
                      <w:rFonts w:ascii="Times New Roman" w:hAnsi="Times New Roman"/>
                      <w:szCs w:val="21"/>
                    </w:rPr>
                  </w:pPr>
                  <w:r>
                    <w:rPr>
                      <w:rFonts w:ascii="Times New Roman" w:hAnsi="Times New Roman"/>
                      <w:szCs w:val="21"/>
                    </w:rPr>
                    <w:t>47.7</w:t>
                  </w:r>
                </w:p>
              </w:tc>
              <w:tc>
                <w:tcPr>
                  <w:tcW w:w="2611" w:type="dxa"/>
                  <w:tcBorders>
                    <w:top w:val="single" w:color="auto" w:sz="6" w:space="0"/>
                    <w:left w:val="single" w:color="auto" w:sz="6" w:space="0"/>
                    <w:bottom w:val="single" w:color="auto" w:sz="6" w:space="0"/>
                    <w:right w:val="single" w:color="auto" w:sz="12" w:space="0"/>
                  </w:tcBorders>
                </w:tcPr>
                <w:p>
                  <w:pPr>
                    <w:jc w:val="center"/>
                    <w:rPr>
                      <w:rFonts w:ascii="Times New Roman" w:hAnsi="Times New Roman"/>
                      <w:szCs w:val="21"/>
                    </w:rPr>
                  </w:pPr>
                  <w:r>
                    <w:rPr>
                      <w:rFonts w:ascii="Times New Roman" w:hAnsi="Times New Roman"/>
                      <w:szCs w:val="21"/>
                    </w:rPr>
                    <w:t>45.6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284" w:hRule="exact"/>
              </w:trPr>
              <w:tc>
                <w:tcPr>
                  <w:tcW w:w="4136" w:type="dxa"/>
                  <w:tcBorders>
                    <w:top w:val="single" w:color="auto" w:sz="4" w:space="0"/>
                    <w:left w:val="single" w:color="auto" w:sz="12" w:space="0"/>
                    <w:bottom w:val="single" w:color="auto" w:sz="4" w:space="0"/>
                    <w:right w:val="single" w:color="auto" w:sz="6" w:space="0"/>
                  </w:tcBorders>
                  <w:vAlign w:val="center"/>
                </w:tcPr>
                <w:p>
                  <w:pPr>
                    <w:jc w:val="center"/>
                    <w:rPr>
                      <w:rFonts w:ascii="Times New Roman" w:hAnsi="Times New Roman"/>
                      <w:szCs w:val="21"/>
                    </w:rPr>
                  </w:pPr>
                  <w:r>
                    <w:rPr>
                      <w:rFonts w:ascii="Times New Roman" w:hAnsi="Times New Roman"/>
                      <w:szCs w:val="21"/>
                    </w:rPr>
                    <w:t>GB3096-2008</w:t>
                  </w:r>
                  <w:r>
                    <w:rPr>
                      <w:rFonts w:hint="eastAsia" w:ascii="Times New Roman" w:hAnsi="Times New Roman"/>
                      <w:szCs w:val="21"/>
                    </w:rPr>
                    <w:t>中</w:t>
                  </w:r>
                  <w:r>
                    <w:rPr>
                      <w:rFonts w:ascii="Times New Roman" w:hAnsi="Times New Roman"/>
                      <w:szCs w:val="21"/>
                    </w:rPr>
                    <w:t>2</w:t>
                  </w:r>
                  <w:r>
                    <w:rPr>
                      <w:rFonts w:hint="eastAsia" w:ascii="Times New Roman" w:hAnsi="Times New Roman"/>
                      <w:szCs w:val="21"/>
                    </w:rPr>
                    <w:t>类标准限值</w:t>
                  </w:r>
                </w:p>
              </w:tc>
              <w:tc>
                <w:tcPr>
                  <w:tcW w:w="2351" w:type="dxa"/>
                  <w:tcBorders>
                    <w:top w:val="single" w:color="auto" w:sz="6" w:space="0"/>
                    <w:left w:val="single" w:color="auto" w:sz="6" w:space="0"/>
                    <w:bottom w:val="single" w:color="auto" w:sz="6" w:space="0"/>
                    <w:right w:val="single" w:color="auto" w:sz="6" w:space="0"/>
                  </w:tcBorders>
                  <w:tcMar>
                    <w:left w:w="0" w:type="dxa"/>
                    <w:right w:w="0" w:type="dxa"/>
                  </w:tcMar>
                  <w:vAlign w:val="center"/>
                </w:tcPr>
                <w:p>
                  <w:pPr>
                    <w:jc w:val="center"/>
                    <w:rPr>
                      <w:rFonts w:ascii="Times New Roman" w:hAnsi="Times New Roman"/>
                      <w:szCs w:val="21"/>
                    </w:rPr>
                  </w:pPr>
                  <w:r>
                    <w:rPr>
                      <w:rFonts w:ascii="Times New Roman" w:hAnsi="Times New Roman"/>
                      <w:szCs w:val="21"/>
                    </w:rPr>
                    <w:t>60</w:t>
                  </w:r>
                </w:p>
              </w:tc>
              <w:tc>
                <w:tcPr>
                  <w:tcW w:w="2611"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cantSplit/>
                <w:trHeight w:val="284" w:hRule="exact"/>
              </w:trPr>
              <w:tc>
                <w:tcPr>
                  <w:tcW w:w="4136" w:type="dxa"/>
                  <w:tcBorders>
                    <w:top w:val="single" w:color="auto" w:sz="4" w:space="0"/>
                    <w:left w:val="single" w:color="auto" w:sz="12" w:space="0"/>
                    <w:bottom w:val="single" w:color="auto" w:sz="12"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达标分析</w:t>
                  </w:r>
                </w:p>
              </w:tc>
              <w:tc>
                <w:tcPr>
                  <w:tcW w:w="2351" w:type="dxa"/>
                  <w:tcBorders>
                    <w:top w:val="single" w:color="auto" w:sz="6" w:space="0"/>
                    <w:left w:val="single" w:color="auto" w:sz="6" w:space="0"/>
                    <w:bottom w:val="single" w:color="auto" w:sz="12" w:space="0"/>
                    <w:right w:val="single" w:color="auto" w:sz="6" w:space="0"/>
                  </w:tcBorders>
                  <w:tcMar>
                    <w:left w:w="0" w:type="dxa"/>
                    <w:right w:w="0" w:type="dxa"/>
                  </w:tcMar>
                  <w:vAlign w:val="center"/>
                </w:tcPr>
                <w:p>
                  <w:pPr>
                    <w:jc w:val="center"/>
                    <w:rPr>
                      <w:rFonts w:ascii="Times New Roman" w:hAnsi="Times New Roman"/>
                      <w:szCs w:val="21"/>
                    </w:rPr>
                  </w:pPr>
                  <w:r>
                    <w:rPr>
                      <w:rFonts w:hint="eastAsia" w:ascii="Times New Roman" w:hAnsi="Times New Roman"/>
                      <w:szCs w:val="21"/>
                    </w:rPr>
                    <w:t>达标</w:t>
                  </w:r>
                </w:p>
              </w:tc>
              <w:tc>
                <w:tcPr>
                  <w:tcW w:w="2611" w:type="dxa"/>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szCs w:val="21"/>
                    </w:rPr>
                  </w:pPr>
                  <w:r>
                    <w:rPr>
                      <w:rFonts w:hint="eastAsia" w:ascii="Times New Roman" w:hAnsi="Times New Roman"/>
                      <w:szCs w:val="21"/>
                    </w:rPr>
                    <w:t>达标</w:t>
                  </w:r>
                </w:p>
              </w:tc>
            </w:tr>
          </w:tbl>
          <w:p>
            <w:pPr>
              <w:pStyle w:val="114"/>
              <w:rPr>
                <w:b/>
              </w:rPr>
            </w:pPr>
            <w:r>
              <w:rPr>
                <w:rFonts w:hint="eastAsia"/>
              </w:rPr>
              <w:t>噪声排放结果分析：根据表</w:t>
            </w:r>
            <w:r>
              <w:t>1-22</w:t>
            </w:r>
            <w:r>
              <w:rPr>
                <w:rFonts w:hint="eastAsia"/>
              </w:rPr>
              <w:t>可知，一期工程正常工况时，项目厂界噪声均可满足《工业企业厂界环境噪声排放标准》（</w:t>
            </w:r>
            <w:r>
              <w:t>GB12348-2008</w:t>
            </w:r>
            <w:r>
              <w:rPr>
                <w:rFonts w:hint="eastAsia"/>
              </w:rPr>
              <w:t>）表</w:t>
            </w:r>
            <w:r>
              <w:t>1</w:t>
            </w:r>
            <w:r>
              <w:rPr>
                <w:rFonts w:hint="eastAsia"/>
              </w:rPr>
              <w:t>中</w:t>
            </w:r>
            <w:r>
              <w:t>2</w:t>
            </w:r>
            <w:r>
              <w:rPr>
                <w:rFonts w:hint="eastAsia"/>
              </w:rPr>
              <w:t>类标准要求。</w:t>
            </w:r>
            <w:bookmarkStart w:id="15" w:name="_Hlk17193026"/>
          </w:p>
          <w:p>
            <w:pPr>
              <w:autoSpaceDE w:val="0"/>
              <w:autoSpaceDN w:val="0"/>
              <w:adjustRightInd w:val="0"/>
              <w:snapToGrid w:val="0"/>
              <w:spacing w:line="360" w:lineRule="auto"/>
              <w:ind w:firstLine="482" w:firstLineChars="200"/>
              <w:rPr>
                <w:rFonts w:ascii="Times New Roman" w:hAnsi="Times New Roman"/>
                <w:b/>
                <w:bCs/>
                <w:sz w:val="24"/>
              </w:rPr>
            </w:pPr>
            <w:bookmarkStart w:id="16" w:name="_Toc104047524"/>
            <w:r>
              <w:rPr>
                <w:rFonts w:hint="eastAsia" w:ascii="Times New Roman" w:hAnsi="Times New Roman"/>
                <w:b/>
                <w:bCs/>
                <w:sz w:val="24"/>
              </w:rPr>
              <w:t>（</w:t>
            </w:r>
            <w:r>
              <w:rPr>
                <w:rFonts w:ascii="Times New Roman" w:hAnsi="Times New Roman"/>
                <w:b/>
                <w:bCs/>
                <w:sz w:val="24"/>
              </w:rPr>
              <w:t>4</w:t>
            </w:r>
            <w:r>
              <w:rPr>
                <w:rFonts w:hint="eastAsia" w:ascii="Times New Roman" w:hAnsi="Times New Roman"/>
                <w:b/>
                <w:bCs/>
                <w:sz w:val="24"/>
              </w:rPr>
              <w:t>）固体废物污染</w:t>
            </w:r>
            <w:bookmarkEnd w:id="16"/>
          </w:p>
          <w:p>
            <w:pPr>
              <w:pStyle w:val="114"/>
            </w:pPr>
            <w:r>
              <w:rPr>
                <w:rFonts w:hint="eastAsia"/>
              </w:rPr>
              <w:t>根据企业排污许可证等相关资料及现场调查，一期工程产生的固体废物主要包括危险废物、一般固体废物和生活垃圾。</w:t>
            </w:r>
          </w:p>
          <w:p>
            <w:pPr>
              <w:pStyle w:val="114"/>
            </w:pPr>
            <w:r>
              <w:rPr>
                <w:rFonts w:hint="eastAsia"/>
              </w:rPr>
              <w:t>①危险废物</w:t>
            </w:r>
          </w:p>
          <w:p>
            <w:pPr>
              <w:pStyle w:val="114"/>
            </w:pPr>
            <w:r>
              <w:rPr>
                <w:rFonts w:hint="eastAsia"/>
              </w:rPr>
              <w:t>现有工程危险废物类型见下表</w:t>
            </w:r>
            <w:r>
              <w:t>1-23</w:t>
            </w:r>
            <w:r>
              <w:rPr>
                <w:rFonts w:hint="eastAsia"/>
              </w:rPr>
              <w:t>。</w:t>
            </w:r>
          </w:p>
          <w:p>
            <w:pPr>
              <w:pStyle w:val="122"/>
            </w:pPr>
            <w:bookmarkStart w:id="17" w:name="_Hlk33692263"/>
            <w:r>
              <w:rPr>
                <w:rFonts w:hint="eastAsia"/>
              </w:rPr>
              <w:t>表</w:t>
            </w:r>
            <w:r>
              <w:t xml:space="preserve">1-23 </w:t>
            </w:r>
            <w:r>
              <w:rPr>
                <w:rFonts w:hint="eastAsia"/>
              </w:rPr>
              <w:t>现有工程危险废物一览表</w:t>
            </w:r>
          </w:p>
          <w:bookmarkEnd w:id="17"/>
          <w:tbl>
            <w:tblPr>
              <w:tblStyle w:val="37"/>
              <w:tblpPr w:leftFromText="180" w:rightFromText="180" w:vertAnchor="text" w:tblpXSpec="center" w:tblpY="1"/>
              <w:tblOverlap w:val="never"/>
              <w:tblW w:w="90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938"/>
              <w:gridCol w:w="1219"/>
              <w:gridCol w:w="1336"/>
              <w:gridCol w:w="1712"/>
              <w:gridCol w:w="1135"/>
              <w:gridCol w:w="1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623" w:type="dxa"/>
                  <w:tcBorders>
                    <w:top w:val="single" w:color="auto" w:sz="12" w:space="0"/>
                    <w:left w:val="single" w:color="auto" w:sz="12" w:space="0"/>
                    <w:bottom w:val="double" w:color="auto" w:sz="4" w:space="0"/>
                    <w:right w:val="single" w:color="auto" w:sz="4" w:space="0"/>
                  </w:tcBorders>
                  <w:vAlign w:val="center"/>
                </w:tcPr>
                <w:p>
                  <w:pPr>
                    <w:pStyle w:val="124"/>
                    <w:rPr>
                      <w:szCs w:val="21"/>
                    </w:rPr>
                  </w:pPr>
                  <w:r>
                    <w:rPr>
                      <w:rFonts w:hint="eastAsia"/>
                      <w:szCs w:val="21"/>
                    </w:rPr>
                    <w:t>序号</w:t>
                  </w:r>
                </w:p>
              </w:tc>
              <w:tc>
                <w:tcPr>
                  <w:tcW w:w="1938" w:type="dxa"/>
                  <w:tcBorders>
                    <w:top w:val="single" w:color="auto" w:sz="12" w:space="0"/>
                    <w:left w:val="single" w:color="auto" w:sz="4" w:space="0"/>
                    <w:bottom w:val="double" w:color="auto" w:sz="4" w:space="0"/>
                    <w:right w:val="single" w:color="auto" w:sz="4" w:space="0"/>
                  </w:tcBorders>
                  <w:vAlign w:val="center"/>
                </w:tcPr>
                <w:p>
                  <w:pPr>
                    <w:pStyle w:val="124"/>
                    <w:rPr>
                      <w:szCs w:val="21"/>
                    </w:rPr>
                  </w:pPr>
                  <w:r>
                    <w:rPr>
                      <w:rFonts w:hint="eastAsia"/>
                      <w:szCs w:val="21"/>
                    </w:rPr>
                    <w:t>名称</w:t>
                  </w:r>
                </w:p>
              </w:tc>
              <w:tc>
                <w:tcPr>
                  <w:tcW w:w="1219" w:type="dxa"/>
                  <w:tcBorders>
                    <w:top w:val="single" w:color="auto" w:sz="12" w:space="0"/>
                    <w:left w:val="single" w:color="auto" w:sz="4" w:space="0"/>
                    <w:bottom w:val="double" w:color="auto" w:sz="4" w:space="0"/>
                    <w:right w:val="single" w:color="auto" w:sz="4" w:space="0"/>
                  </w:tcBorders>
                  <w:vAlign w:val="center"/>
                </w:tcPr>
                <w:p>
                  <w:pPr>
                    <w:pStyle w:val="124"/>
                    <w:rPr>
                      <w:szCs w:val="21"/>
                    </w:rPr>
                  </w:pPr>
                  <w:r>
                    <w:rPr>
                      <w:rFonts w:hint="eastAsia"/>
                      <w:szCs w:val="21"/>
                    </w:rPr>
                    <w:t>废物类别</w:t>
                  </w:r>
                </w:p>
              </w:tc>
              <w:tc>
                <w:tcPr>
                  <w:tcW w:w="1336" w:type="dxa"/>
                  <w:tcBorders>
                    <w:top w:val="single" w:color="auto" w:sz="12" w:space="0"/>
                    <w:left w:val="single" w:color="auto" w:sz="4" w:space="0"/>
                    <w:bottom w:val="double" w:color="auto" w:sz="4" w:space="0"/>
                    <w:right w:val="single" w:color="auto" w:sz="4" w:space="0"/>
                  </w:tcBorders>
                  <w:vAlign w:val="center"/>
                </w:tcPr>
                <w:p>
                  <w:pPr>
                    <w:pStyle w:val="124"/>
                    <w:rPr>
                      <w:szCs w:val="21"/>
                    </w:rPr>
                  </w:pPr>
                  <w:r>
                    <w:rPr>
                      <w:rFonts w:hint="eastAsia"/>
                      <w:szCs w:val="21"/>
                    </w:rPr>
                    <w:t>危废代码</w:t>
                  </w:r>
                </w:p>
              </w:tc>
              <w:tc>
                <w:tcPr>
                  <w:tcW w:w="1712" w:type="dxa"/>
                  <w:tcBorders>
                    <w:top w:val="single" w:color="auto" w:sz="12" w:space="0"/>
                    <w:left w:val="single" w:color="auto" w:sz="4" w:space="0"/>
                    <w:bottom w:val="double" w:color="auto" w:sz="4" w:space="0"/>
                    <w:right w:val="single" w:color="auto" w:sz="4" w:space="0"/>
                  </w:tcBorders>
                  <w:vAlign w:val="center"/>
                </w:tcPr>
                <w:p>
                  <w:pPr>
                    <w:pStyle w:val="124"/>
                    <w:rPr>
                      <w:szCs w:val="21"/>
                    </w:rPr>
                  </w:pPr>
                  <w:r>
                    <w:rPr>
                      <w:rFonts w:hint="eastAsia"/>
                      <w:szCs w:val="21"/>
                    </w:rPr>
                    <w:t>产生工序</w:t>
                  </w:r>
                </w:p>
              </w:tc>
              <w:tc>
                <w:tcPr>
                  <w:tcW w:w="1135" w:type="dxa"/>
                  <w:tcBorders>
                    <w:top w:val="single" w:color="auto" w:sz="12" w:space="0"/>
                    <w:left w:val="single" w:color="auto" w:sz="4" w:space="0"/>
                    <w:bottom w:val="double" w:color="auto" w:sz="4" w:space="0"/>
                    <w:right w:val="single" w:color="auto" w:sz="4" w:space="0"/>
                  </w:tcBorders>
                  <w:vAlign w:val="center"/>
                </w:tcPr>
                <w:p>
                  <w:pPr>
                    <w:pStyle w:val="124"/>
                    <w:rPr>
                      <w:szCs w:val="21"/>
                    </w:rPr>
                  </w:pPr>
                  <w:r>
                    <w:rPr>
                      <w:rFonts w:hint="eastAsia"/>
                      <w:szCs w:val="21"/>
                    </w:rPr>
                    <w:t>处置量</w:t>
                  </w:r>
                  <w:r>
                    <w:rPr>
                      <w:szCs w:val="21"/>
                    </w:rPr>
                    <w:t>(t/a)</w:t>
                  </w:r>
                </w:p>
              </w:tc>
              <w:tc>
                <w:tcPr>
                  <w:tcW w:w="1135" w:type="dxa"/>
                  <w:tcBorders>
                    <w:top w:val="single" w:color="auto" w:sz="12" w:space="0"/>
                    <w:left w:val="single" w:color="auto" w:sz="4" w:space="0"/>
                    <w:bottom w:val="double" w:color="auto" w:sz="4" w:space="0"/>
                    <w:right w:val="single" w:color="auto" w:sz="12" w:space="0"/>
                  </w:tcBorders>
                  <w:vAlign w:val="center"/>
                </w:tcPr>
                <w:p>
                  <w:pPr>
                    <w:pStyle w:val="124"/>
                    <w:rPr>
                      <w:szCs w:val="21"/>
                    </w:rPr>
                  </w:pPr>
                  <w:r>
                    <w:rPr>
                      <w:rFonts w:hint="eastAsia"/>
                      <w:szCs w:val="21"/>
                    </w:rPr>
                    <w:t>危害特性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623" w:type="dxa"/>
                  <w:tcBorders>
                    <w:top w:val="double" w:color="auto" w:sz="4" w:space="0"/>
                    <w:left w:val="single" w:color="auto" w:sz="12" w:space="0"/>
                    <w:bottom w:val="single" w:color="auto" w:sz="4" w:space="0"/>
                    <w:right w:val="single" w:color="auto" w:sz="4" w:space="0"/>
                  </w:tcBorders>
                  <w:vAlign w:val="center"/>
                </w:tcPr>
                <w:p>
                  <w:pPr>
                    <w:pStyle w:val="77"/>
                  </w:pPr>
                  <w:r>
                    <w:t>1</w:t>
                  </w:r>
                </w:p>
              </w:tc>
              <w:tc>
                <w:tcPr>
                  <w:tcW w:w="1938" w:type="dxa"/>
                  <w:tcBorders>
                    <w:top w:val="double" w:color="auto" w:sz="4" w:space="0"/>
                    <w:left w:val="single" w:color="auto" w:sz="4" w:space="0"/>
                    <w:bottom w:val="single" w:color="auto" w:sz="4" w:space="0"/>
                    <w:right w:val="single" w:color="auto" w:sz="4" w:space="0"/>
                  </w:tcBorders>
                  <w:vAlign w:val="center"/>
                </w:tcPr>
                <w:p>
                  <w:pPr>
                    <w:pStyle w:val="77"/>
                  </w:pPr>
                  <w:r>
                    <w:rPr>
                      <w:rFonts w:hint="eastAsia"/>
                    </w:rPr>
                    <w:t>废油漆桶</w:t>
                  </w:r>
                </w:p>
              </w:tc>
              <w:tc>
                <w:tcPr>
                  <w:tcW w:w="1219" w:type="dxa"/>
                  <w:tcBorders>
                    <w:top w:val="double" w:color="auto" w:sz="4" w:space="0"/>
                    <w:left w:val="single" w:color="auto" w:sz="4" w:space="0"/>
                    <w:bottom w:val="single" w:color="auto" w:sz="4" w:space="0"/>
                    <w:right w:val="single" w:color="auto" w:sz="4" w:space="0"/>
                  </w:tcBorders>
                  <w:vAlign w:val="center"/>
                </w:tcPr>
                <w:p>
                  <w:pPr>
                    <w:pStyle w:val="77"/>
                  </w:pPr>
                  <w:r>
                    <w:t>HW49</w:t>
                  </w:r>
                </w:p>
              </w:tc>
              <w:tc>
                <w:tcPr>
                  <w:tcW w:w="1336" w:type="dxa"/>
                  <w:tcBorders>
                    <w:top w:val="double" w:color="auto" w:sz="4" w:space="0"/>
                    <w:left w:val="single" w:color="auto" w:sz="4" w:space="0"/>
                    <w:bottom w:val="single" w:color="auto" w:sz="4" w:space="0"/>
                    <w:right w:val="single" w:color="auto" w:sz="4" w:space="0"/>
                  </w:tcBorders>
                  <w:vAlign w:val="center"/>
                </w:tcPr>
                <w:p>
                  <w:pPr>
                    <w:pStyle w:val="77"/>
                  </w:pPr>
                  <w:r>
                    <w:t>900-041-49</w:t>
                  </w:r>
                </w:p>
              </w:tc>
              <w:tc>
                <w:tcPr>
                  <w:tcW w:w="1712" w:type="dxa"/>
                  <w:vMerge w:val="restart"/>
                  <w:tcBorders>
                    <w:top w:val="double" w:color="auto" w:sz="4" w:space="0"/>
                    <w:left w:val="single" w:color="auto" w:sz="4" w:space="0"/>
                    <w:bottom w:val="single" w:color="auto" w:sz="4" w:space="0"/>
                    <w:right w:val="single" w:color="auto" w:sz="4" w:space="0"/>
                  </w:tcBorders>
                  <w:vAlign w:val="center"/>
                </w:tcPr>
                <w:p>
                  <w:pPr>
                    <w:pStyle w:val="77"/>
                  </w:pPr>
                  <w:r>
                    <w:rPr>
                      <w:rFonts w:hint="eastAsia"/>
                    </w:rPr>
                    <w:t>设备维修</w:t>
                  </w:r>
                </w:p>
              </w:tc>
              <w:tc>
                <w:tcPr>
                  <w:tcW w:w="1135" w:type="dxa"/>
                  <w:tcBorders>
                    <w:top w:val="double" w:color="auto" w:sz="4" w:space="0"/>
                    <w:left w:val="single" w:color="auto" w:sz="4" w:space="0"/>
                    <w:bottom w:val="single" w:color="auto" w:sz="4" w:space="0"/>
                    <w:right w:val="single" w:color="auto" w:sz="4" w:space="0"/>
                  </w:tcBorders>
                  <w:vAlign w:val="center"/>
                </w:tcPr>
                <w:p>
                  <w:pPr>
                    <w:pStyle w:val="77"/>
                  </w:pPr>
                  <w:r>
                    <w:t>0.02</w:t>
                  </w:r>
                </w:p>
              </w:tc>
              <w:tc>
                <w:tcPr>
                  <w:tcW w:w="1135" w:type="dxa"/>
                  <w:tcBorders>
                    <w:top w:val="double" w:color="auto" w:sz="4" w:space="0"/>
                    <w:left w:val="single" w:color="auto" w:sz="4" w:space="0"/>
                    <w:bottom w:val="single" w:color="auto" w:sz="4" w:space="0"/>
                    <w:right w:val="single" w:color="auto" w:sz="12" w:space="0"/>
                  </w:tcBorders>
                  <w:vAlign w:val="center"/>
                </w:tcPr>
                <w:p>
                  <w:pPr>
                    <w:pStyle w:val="77"/>
                  </w:pPr>
                  <w:r>
                    <w:t>T/In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623" w:type="dxa"/>
                  <w:tcBorders>
                    <w:top w:val="single" w:color="auto" w:sz="4" w:space="0"/>
                    <w:left w:val="single" w:color="auto" w:sz="12" w:space="0"/>
                    <w:bottom w:val="single" w:color="auto" w:sz="4" w:space="0"/>
                    <w:right w:val="single" w:color="auto" w:sz="4" w:space="0"/>
                  </w:tcBorders>
                  <w:vAlign w:val="center"/>
                </w:tcPr>
                <w:p>
                  <w:pPr>
                    <w:pStyle w:val="77"/>
                  </w:pPr>
                  <w:r>
                    <w:t>3</w:t>
                  </w:r>
                </w:p>
              </w:tc>
              <w:tc>
                <w:tcPr>
                  <w:tcW w:w="1938"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废机油</w:t>
                  </w:r>
                </w:p>
              </w:tc>
              <w:tc>
                <w:tcPr>
                  <w:tcW w:w="1219" w:type="dxa"/>
                  <w:tcBorders>
                    <w:top w:val="single" w:color="auto" w:sz="4" w:space="0"/>
                    <w:left w:val="single" w:color="auto" w:sz="4" w:space="0"/>
                    <w:bottom w:val="single" w:color="auto" w:sz="4" w:space="0"/>
                    <w:right w:val="single" w:color="auto" w:sz="4" w:space="0"/>
                  </w:tcBorders>
                  <w:vAlign w:val="center"/>
                </w:tcPr>
                <w:p>
                  <w:pPr>
                    <w:pStyle w:val="77"/>
                  </w:pPr>
                  <w:r>
                    <w:t>HW08</w:t>
                  </w:r>
                </w:p>
              </w:tc>
              <w:tc>
                <w:tcPr>
                  <w:tcW w:w="1336" w:type="dxa"/>
                  <w:tcBorders>
                    <w:top w:val="single" w:color="auto" w:sz="4" w:space="0"/>
                    <w:left w:val="single" w:color="auto" w:sz="4" w:space="0"/>
                    <w:bottom w:val="single" w:color="auto" w:sz="4" w:space="0"/>
                    <w:right w:val="single" w:color="auto" w:sz="4" w:space="0"/>
                  </w:tcBorders>
                  <w:vAlign w:val="center"/>
                </w:tcPr>
                <w:p>
                  <w:pPr>
                    <w:pStyle w:val="77"/>
                  </w:pPr>
                  <w:r>
                    <w:t>900-214-08</w:t>
                  </w:r>
                </w:p>
              </w:tc>
              <w:tc>
                <w:tcPr>
                  <w:tcW w:w="171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135" w:type="dxa"/>
                  <w:tcBorders>
                    <w:top w:val="single" w:color="auto" w:sz="4" w:space="0"/>
                    <w:left w:val="single" w:color="auto" w:sz="4" w:space="0"/>
                    <w:bottom w:val="single" w:color="auto" w:sz="4" w:space="0"/>
                    <w:right w:val="single" w:color="auto" w:sz="4" w:space="0"/>
                  </w:tcBorders>
                  <w:vAlign w:val="center"/>
                </w:tcPr>
                <w:p>
                  <w:pPr>
                    <w:pStyle w:val="77"/>
                  </w:pPr>
                  <w:r>
                    <w:t>0.08</w:t>
                  </w:r>
                </w:p>
              </w:tc>
              <w:tc>
                <w:tcPr>
                  <w:tcW w:w="1135" w:type="dxa"/>
                  <w:tcBorders>
                    <w:top w:val="single" w:color="auto" w:sz="4" w:space="0"/>
                    <w:left w:val="single" w:color="auto" w:sz="4" w:space="0"/>
                    <w:bottom w:val="single" w:color="auto" w:sz="4" w:space="0"/>
                    <w:right w:val="single" w:color="auto" w:sz="12" w:space="0"/>
                  </w:tcBorders>
                  <w:vAlign w:val="center"/>
                </w:tcPr>
                <w:p>
                  <w:pPr>
                    <w:pStyle w:val="77"/>
                  </w:pPr>
                  <w:r>
                    <w:t>T</w:t>
                  </w:r>
                  <w:r>
                    <w:rPr>
                      <w:rFonts w:hint="eastAsia"/>
                    </w:rPr>
                    <w:t>，</w:t>
                  </w:r>
                  <w: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623" w:type="dxa"/>
                  <w:tcBorders>
                    <w:top w:val="single" w:color="auto" w:sz="4" w:space="0"/>
                    <w:left w:val="single" w:color="auto" w:sz="12" w:space="0"/>
                    <w:bottom w:val="single" w:color="auto" w:sz="12" w:space="0"/>
                    <w:right w:val="single" w:color="auto" w:sz="4" w:space="0"/>
                  </w:tcBorders>
                  <w:vAlign w:val="center"/>
                </w:tcPr>
                <w:p>
                  <w:pPr>
                    <w:pStyle w:val="77"/>
                  </w:pPr>
                  <w:r>
                    <w:t>2</w:t>
                  </w:r>
                </w:p>
              </w:tc>
              <w:tc>
                <w:tcPr>
                  <w:tcW w:w="1938"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实验室废液</w:t>
                  </w:r>
                </w:p>
              </w:tc>
              <w:tc>
                <w:tcPr>
                  <w:tcW w:w="1219" w:type="dxa"/>
                  <w:tcBorders>
                    <w:top w:val="single" w:color="auto" w:sz="4" w:space="0"/>
                    <w:left w:val="single" w:color="auto" w:sz="4" w:space="0"/>
                    <w:bottom w:val="single" w:color="auto" w:sz="12" w:space="0"/>
                    <w:right w:val="single" w:color="auto" w:sz="4" w:space="0"/>
                  </w:tcBorders>
                  <w:vAlign w:val="center"/>
                </w:tcPr>
                <w:p>
                  <w:pPr>
                    <w:pStyle w:val="77"/>
                  </w:pPr>
                  <w:r>
                    <w:t>HW49</w:t>
                  </w:r>
                </w:p>
              </w:tc>
              <w:tc>
                <w:tcPr>
                  <w:tcW w:w="1336" w:type="dxa"/>
                  <w:tcBorders>
                    <w:top w:val="single" w:color="auto" w:sz="4" w:space="0"/>
                    <w:left w:val="single" w:color="auto" w:sz="4" w:space="0"/>
                    <w:bottom w:val="single" w:color="auto" w:sz="12" w:space="0"/>
                    <w:right w:val="single" w:color="auto" w:sz="4" w:space="0"/>
                  </w:tcBorders>
                  <w:vAlign w:val="center"/>
                </w:tcPr>
                <w:p>
                  <w:pPr>
                    <w:pStyle w:val="77"/>
                  </w:pPr>
                  <w:r>
                    <w:t>900-047-49</w:t>
                  </w:r>
                </w:p>
              </w:tc>
              <w:tc>
                <w:tcPr>
                  <w:tcW w:w="1712"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实验室</w:t>
                  </w:r>
                </w:p>
              </w:tc>
              <w:tc>
                <w:tcPr>
                  <w:tcW w:w="1135" w:type="dxa"/>
                  <w:tcBorders>
                    <w:top w:val="single" w:color="auto" w:sz="4" w:space="0"/>
                    <w:left w:val="single" w:color="auto" w:sz="4" w:space="0"/>
                    <w:bottom w:val="single" w:color="auto" w:sz="12" w:space="0"/>
                    <w:right w:val="single" w:color="auto" w:sz="4" w:space="0"/>
                  </w:tcBorders>
                  <w:vAlign w:val="center"/>
                </w:tcPr>
                <w:p>
                  <w:pPr>
                    <w:pStyle w:val="77"/>
                  </w:pPr>
                  <w:r>
                    <w:t>0.15</w:t>
                  </w:r>
                </w:p>
              </w:tc>
              <w:tc>
                <w:tcPr>
                  <w:tcW w:w="1135" w:type="dxa"/>
                  <w:tcBorders>
                    <w:top w:val="single" w:color="auto" w:sz="4" w:space="0"/>
                    <w:left w:val="single" w:color="auto" w:sz="4" w:space="0"/>
                    <w:bottom w:val="single" w:color="auto" w:sz="12" w:space="0"/>
                    <w:right w:val="single" w:color="auto" w:sz="12" w:space="0"/>
                  </w:tcBorders>
                  <w:vAlign w:val="center"/>
                </w:tcPr>
                <w:p>
                  <w:pPr>
                    <w:pStyle w:val="77"/>
                  </w:pPr>
                  <w:r>
                    <w:t>T/C/I/R</w:t>
                  </w:r>
                </w:p>
              </w:tc>
            </w:tr>
          </w:tbl>
          <w:p>
            <w:pPr>
              <w:pStyle w:val="114"/>
            </w:pPr>
            <w:r>
              <w:rPr>
                <w:rFonts w:hint="eastAsia"/>
              </w:rPr>
              <w:t>危险废物收集暂存在危险废物暂存间，产生量为</w:t>
            </w:r>
            <w:r>
              <w:t>0.25t/a</w:t>
            </w:r>
            <w:r>
              <w:rPr>
                <w:rFonts w:hint="eastAsia"/>
              </w:rPr>
              <w:t>，委托海南宝来工贸有限公司处理，危险废物处置服务合同书详见附件</w:t>
            </w:r>
            <w:r>
              <w:t>6</w:t>
            </w:r>
            <w:r>
              <w:rPr>
                <w:rFonts w:hint="eastAsia"/>
              </w:rPr>
              <w:t>。</w:t>
            </w:r>
          </w:p>
          <w:p>
            <w:pPr>
              <w:pStyle w:val="114"/>
            </w:pPr>
            <w:r>
              <w:rPr>
                <w:rFonts w:hint="eastAsia"/>
              </w:rPr>
              <w:t>②一般固体废弃物</w:t>
            </w:r>
          </w:p>
          <w:p>
            <w:pPr>
              <w:pStyle w:val="114"/>
            </w:pPr>
            <w:r>
              <w:rPr>
                <w:rFonts w:hint="eastAsia"/>
              </w:rPr>
              <w:t>一期工程产生的一般固废主要为沉砂</w:t>
            </w:r>
            <w:r>
              <w:t>3.65t/a</w:t>
            </w:r>
            <w:r>
              <w:rPr>
                <w:rFonts w:hint="eastAsia"/>
              </w:rPr>
              <w:t>、栅渣</w:t>
            </w:r>
            <w:r>
              <w:t>36.5t/a</w:t>
            </w:r>
            <w:r>
              <w:rPr>
                <w:rFonts w:hint="eastAsia"/>
              </w:rPr>
              <w:t>、脱水污泥</w:t>
            </w:r>
            <w:r>
              <w:t>3162t/a</w:t>
            </w:r>
            <w:r>
              <w:rPr>
                <w:rFonts w:hint="eastAsia"/>
              </w:rPr>
              <w:t>。沉砂及栅渣收集后，由环卫部门统一清运，污泥脱水后满足《生活垃圾填埋场污染控制标准》（</w:t>
            </w:r>
            <w:r>
              <w:t>GB16889-2008</w:t>
            </w:r>
            <w:r>
              <w:rPr>
                <w:rFonts w:hint="eastAsia"/>
              </w:rPr>
              <w:t>）要求的生活污水处理厂污泥经处理后含水率小于</w:t>
            </w:r>
            <w:r>
              <w:t>60%</w:t>
            </w:r>
            <w:r>
              <w:rPr>
                <w:rFonts w:hint="eastAsia"/>
              </w:rPr>
              <w:t>，运至定安县垃圾填埋场填埋处置。</w:t>
            </w:r>
          </w:p>
          <w:p>
            <w:pPr>
              <w:pStyle w:val="114"/>
            </w:pPr>
            <w:r>
              <w:rPr>
                <w:rFonts w:hint="eastAsia"/>
              </w:rPr>
              <w:t>③生活垃圾</w:t>
            </w:r>
          </w:p>
          <w:p>
            <w:pPr>
              <w:pStyle w:val="114"/>
            </w:pPr>
            <w:r>
              <w:rPr>
                <w:rFonts w:hint="eastAsia"/>
              </w:rPr>
              <w:t>一期工程生活垃圾产生量为约</w:t>
            </w:r>
            <w:r>
              <w:t>8.76t/a</w:t>
            </w:r>
            <w:r>
              <w:rPr>
                <w:rFonts w:hint="eastAsia"/>
              </w:rPr>
              <w:t>。生活垃圾分类收集，对废旧塑料、金属、玻璃等可回收利用的送往废品收购站回收利用，不可回收利用的生活垃圾运往垃圾处理场处理。</w:t>
            </w:r>
          </w:p>
          <w:p>
            <w:pPr>
              <w:pStyle w:val="114"/>
            </w:pPr>
            <w:r>
              <w:rPr>
                <w:rFonts w:hint="eastAsia"/>
              </w:rPr>
              <w:t>一期工程固体废物产生和处置概况见表</w:t>
            </w:r>
            <w:r>
              <w:t>1-24</w:t>
            </w:r>
            <w:r>
              <w:rPr>
                <w:rFonts w:hint="eastAsia"/>
              </w:rPr>
              <w:t>。</w:t>
            </w:r>
          </w:p>
          <w:p>
            <w:pPr>
              <w:pStyle w:val="122"/>
            </w:pPr>
            <w:r>
              <w:rPr>
                <w:rFonts w:hint="eastAsia"/>
              </w:rPr>
              <w:t>表</w:t>
            </w:r>
            <w:r>
              <w:t xml:space="preserve">1-24   </w:t>
            </w:r>
            <w:r>
              <w:rPr>
                <w:rFonts w:hint="eastAsia"/>
              </w:rPr>
              <w:t>现有项目固体废物一览表</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905"/>
              <w:gridCol w:w="1960"/>
              <w:gridCol w:w="1347"/>
              <w:gridCol w:w="23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533" w:type="dxa"/>
                  <w:tcBorders>
                    <w:top w:val="single" w:color="auto" w:sz="12" w:space="0"/>
                    <w:left w:val="single" w:color="auto" w:sz="12" w:space="0"/>
                    <w:bottom w:val="double" w:color="auto" w:sz="4" w:space="0"/>
                    <w:right w:val="single" w:color="auto" w:sz="4" w:space="0"/>
                  </w:tcBorders>
                  <w:vAlign w:val="center"/>
                </w:tcPr>
                <w:p>
                  <w:pPr>
                    <w:pStyle w:val="124"/>
                    <w:rPr>
                      <w:szCs w:val="21"/>
                    </w:rPr>
                  </w:pPr>
                  <w:r>
                    <w:rPr>
                      <w:rFonts w:hint="eastAsia"/>
                      <w:szCs w:val="21"/>
                    </w:rPr>
                    <w:t>固体废物分类</w:t>
                  </w:r>
                </w:p>
              </w:tc>
              <w:tc>
                <w:tcPr>
                  <w:tcW w:w="1905" w:type="dxa"/>
                  <w:tcBorders>
                    <w:top w:val="single" w:color="auto" w:sz="12" w:space="0"/>
                    <w:left w:val="single" w:color="auto" w:sz="4" w:space="0"/>
                    <w:bottom w:val="double" w:color="auto" w:sz="4" w:space="0"/>
                    <w:right w:val="single" w:color="auto" w:sz="4" w:space="0"/>
                  </w:tcBorders>
                  <w:vAlign w:val="center"/>
                </w:tcPr>
                <w:p>
                  <w:pPr>
                    <w:pStyle w:val="124"/>
                    <w:rPr>
                      <w:szCs w:val="21"/>
                    </w:rPr>
                  </w:pPr>
                  <w:r>
                    <w:rPr>
                      <w:rFonts w:hint="eastAsia"/>
                      <w:szCs w:val="21"/>
                    </w:rPr>
                    <w:t>种类成分</w:t>
                  </w:r>
                </w:p>
              </w:tc>
              <w:tc>
                <w:tcPr>
                  <w:tcW w:w="1960" w:type="dxa"/>
                  <w:tcBorders>
                    <w:top w:val="single" w:color="auto" w:sz="12" w:space="0"/>
                    <w:left w:val="single" w:color="auto" w:sz="4" w:space="0"/>
                    <w:bottom w:val="double" w:color="auto" w:sz="4" w:space="0"/>
                    <w:right w:val="single" w:color="auto" w:sz="4" w:space="0"/>
                  </w:tcBorders>
                  <w:vAlign w:val="center"/>
                </w:tcPr>
                <w:p>
                  <w:pPr>
                    <w:pStyle w:val="124"/>
                    <w:rPr>
                      <w:szCs w:val="21"/>
                    </w:rPr>
                  </w:pPr>
                  <w:r>
                    <w:rPr>
                      <w:rFonts w:hint="eastAsia"/>
                      <w:szCs w:val="21"/>
                    </w:rPr>
                    <w:t>类别编号</w:t>
                  </w:r>
                </w:p>
              </w:tc>
              <w:tc>
                <w:tcPr>
                  <w:tcW w:w="1347" w:type="dxa"/>
                  <w:tcBorders>
                    <w:top w:val="single" w:color="auto" w:sz="12" w:space="0"/>
                    <w:left w:val="single" w:color="auto" w:sz="4" w:space="0"/>
                    <w:bottom w:val="double" w:color="auto" w:sz="4" w:space="0"/>
                    <w:right w:val="single" w:color="auto" w:sz="4" w:space="0"/>
                  </w:tcBorders>
                  <w:vAlign w:val="center"/>
                </w:tcPr>
                <w:p>
                  <w:pPr>
                    <w:pStyle w:val="124"/>
                    <w:rPr>
                      <w:szCs w:val="21"/>
                    </w:rPr>
                  </w:pPr>
                  <w:r>
                    <w:rPr>
                      <w:rFonts w:hint="eastAsia"/>
                      <w:szCs w:val="21"/>
                    </w:rPr>
                    <w:t>数量</w:t>
                  </w:r>
                </w:p>
                <w:p>
                  <w:pPr>
                    <w:pStyle w:val="124"/>
                    <w:rPr>
                      <w:szCs w:val="21"/>
                    </w:rPr>
                  </w:pPr>
                  <w:r>
                    <w:rPr>
                      <w:szCs w:val="21"/>
                    </w:rPr>
                    <w:t>(t/a)</w:t>
                  </w:r>
                </w:p>
              </w:tc>
              <w:tc>
                <w:tcPr>
                  <w:tcW w:w="2353" w:type="dxa"/>
                  <w:tcBorders>
                    <w:top w:val="single" w:color="auto" w:sz="12" w:space="0"/>
                    <w:left w:val="single" w:color="auto" w:sz="4" w:space="0"/>
                    <w:bottom w:val="double" w:color="auto" w:sz="4" w:space="0"/>
                    <w:right w:val="single" w:color="auto" w:sz="12" w:space="0"/>
                  </w:tcBorders>
                  <w:vAlign w:val="center"/>
                </w:tcPr>
                <w:p>
                  <w:pPr>
                    <w:pStyle w:val="124"/>
                    <w:rPr>
                      <w:szCs w:val="21"/>
                    </w:rPr>
                  </w:pPr>
                  <w:r>
                    <w:rPr>
                      <w:rFonts w:hint="eastAsia"/>
                      <w:szCs w:val="21"/>
                    </w:rPr>
                    <w:t>处置去向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533" w:type="dxa"/>
                  <w:tcBorders>
                    <w:top w:val="double" w:color="auto" w:sz="4" w:space="0"/>
                    <w:left w:val="single" w:color="auto" w:sz="12" w:space="0"/>
                    <w:bottom w:val="single" w:color="auto" w:sz="4" w:space="0"/>
                    <w:right w:val="single" w:color="auto" w:sz="4" w:space="0"/>
                  </w:tcBorders>
                  <w:vAlign w:val="center"/>
                </w:tcPr>
                <w:p>
                  <w:pPr>
                    <w:pStyle w:val="77"/>
                  </w:pPr>
                  <w:r>
                    <w:rPr>
                      <w:rFonts w:hint="eastAsia"/>
                    </w:rPr>
                    <w:t>生活垃圾</w:t>
                  </w:r>
                </w:p>
              </w:tc>
              <w:tc>
                <w:tcPr>
                  <w:tcW w:w="1905" w:type="dxa"/>
                  <w:tcBorders>
                    <w:top w:val="double" w:color="auto" w:sz="4" w:space="0"/>
                    <w:left w:val="single" w:color="auto" w:sz="4" w:space="0"/>
                    <w:bottom w:val="single" w:color="auto" w:sz="4" w:space="0"/>
                    <w:right w:val="single" w:color="auto" w:sz="4" w:space="0"/>
                  </w:tcBorders>
                  <w:vAlign w:val="center"/>
                </w:tcPr>
                <w:p>
                  <w:pPr>
                    <w:pStyle w:val="77"/>
                  </w:pPr>
                  <w:r>
                    <w:rPr>
                      <w:rFonts w:hint="eastAsia"/>
                    </w:rPr>
                    <w:t>生活垃圾</w:t>
                  </w:r>
                </w:p>
              </w:tc>
              <w:tc>
                <w:tcPr>
                  <w:tcW w:w="1960" w:type="dxa"/>
                  <w:tcBorders>
                    <w:top w:val="double" w:color="auto" w:sz="4" w:space="0"/>
                    <w:left w:val="single" w:color="auto" w:sz="4" w:space="0"/>
                    <w:bottom w:val="single" w:color="auto" w:sz="4" w:space="0"/>
                    <w:right w:val="single" w:color="auto" w:sz="4" w:space="0"/>
                  </w:tcBorders>
                  <w:vAlign w:val="center"/>
                </w:tcPr>
                <w:p>
                  <w:pPr>
                    <w:pStyle w:val="77"/>
                  </w:pPr>
                  <w:r>
                    <w:t>/</w:t>
                  </w:r>
                </w:p>
              </w:tc>
              <w:tc>
                <w:tcPr>
                  <w:tcW w:w="1347" w:type="dxa"/>
                  <w:tcBorders>
                    <w:top w:val="double" w:color="auto" w:sz="4" w:space="0"/>
                    <w:left w:val="single" w:color="auto" w:sz="4" w:space="0"/>
                    <w:bottom w:val="single" w:color="auto" w:sz="4" w:space="0"/>
                    <w:right w:val="single" w:color="auto" w:sz="4" w:space="0"/>
                  </w:tcBorders>
                  <w:vAlign w:val="center"/>
                </w:tcPr>
                <w:p>
                  <w:pPr>
                    <w:pStyle w:val="77"/>
                  </w:pPr>
                  <w:r>
                    <w:t>8.76</w:t>
                  </w:r>
                </w:p>
              </w:tc>
              <w:tc>
                <w:tcPr>
                  <w:tcW w:w="2353" w:type="dxa"/>
                  <w:tcBorders>
                    <w:top w:val="double" w:color="auto" w:sz="4" w:space="0"/>
                    <w:left w:val="single" w:color="auto" w:sz="4" w:space="0"/>
                    <w:bottom w:val="single" w:color="auto" w:sz="4" w:space="0"/>
                    <w:right w:val="single" w:color="auto" w:sz="12" w:space="0"/>
                  </w:tcBorders>
                  <w:vAlign w:val="center"/>
                </w:tcPr>
                <w:p>
                  <w:pPr>
                    <w:pStyle w:val="77"/>
                  </w:pPr>
                  <w:r>
                    <w:rPr>
                      <w:rFonts w:hint="eastAsia"/>
                    </w:rPr>
                    <w:t>定安县环卫部门运走处理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533" w:type="dxa"/>
                  <w:vMerge w:val="restart"/>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一般固体废物</w:t>
                  </w:r>
                </w:p>
              </w:tc>
              <w:tc>
                <w:tcPr>
                  <w:tcW w:w="1905"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沉砂</w:t>
                  </w:r>
                </w:p>
              </w:tc>
              <w:tc>
                <w:tcPr>
                  <w:tcW w:w="1960" w:type="dxa"/>
                  <w:tcBorders>
                    <w:top w:val="single" w:color="auto" w:sz="4" w:space="0"/>
                    <w:left w:val="single" w:color="auto" w:sz="4" w:space="0"/>
                    <w:bottom w:val="single" w:color="auto" w:sz="4" w:space="0"/>
                    <w:right w:val="single" w:color="auto" w:sz="4" w:space="0"/>
                  </w:tcBorders>
                  <w:vAlign w:val="center"/>
                </w:tcPr>
                <w:p>
                  <w:pPr>
                    <w:pStyle w:val="77"/>
                  </w:pPr>
                  <w:r>
                    <w:t>/</w:t>
                  </w:r>
                </w:p>
              </w:tc>
              <w:tc>
                <w:tcPr>
                  <w:tcW w:w="1347" w:type="dxa"/>
                  <w:tcBorders>
                    <w:top w:val="single" w:color="auto" w:sz="4" w:space="0"/>
                    <w:left w:val="single" w:color="auto" w:sz="4" w:space="0"/>
                    <w:bottom w:val="single" w:color="auto" w:sz="4" w:space="0"/>
                    <w:right w:val="single" w:color="auto" w:sz="4" w:space="0"/>
                  </w:tcBorders>
                  <w:vAlign w:val="center"/>
                </w:tcPr>
                <w:p>
                  <w:pPr>
                    <w:pStyle w:val="77"/>
                  </w:pPr>
                  <w:r>
                    <w:t>3.65</w:t>
                  </w:r>
                </w:p>
              </w:tc>
              <w:tc>
                <w:tcPr>
                  <w:tcW w:w="2353" w:type="dxa"/>
                  <w:vMerge w:val="restart"/>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定安县环卫部门运走处理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1533"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905"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栅渣</w:t>
                  </w:r>
                </w:p>
              </w:tc>
              <w:tc>
                <w:tcPr>
                  <w:tcW w:w="1960" w:type="dxa"/>
                  <w:tcBorders>
                    <w:top w:val="single" w:color="auto" w:sz="4" w:space="0"/>
                    <w:left w:val="single" w:color="auto" w:sz="4" w:space="0"/>
                    <w:bottom w:val="single" w:color="auto" w:sz="4" w:space="0"/>
                    <w:right w:val="single" w:color="auto" w:sz="4" w:space="0"/>
                  </w:tcBorders>
                  <w:vAlign w:val="center"/>
                </w:tcPr>
                <w:p>
                  <w:pPr>
                    <w:pStyle w:val="77"/>
                  </w:pPr>
                  <w:r>
                    <w:t>/</w:t>
                  </w:r>
                </w:p>
              </w:tc>
              <w:tc>
                <w:tcPr>
                  <w:tcW w:w="1347" w:type="dxa"/>
                  <w:tcBorders>
                    <w:top w:val="single" w:color="auto" w:sz="4" w:space="0"/>
                    <w:left w:val="single" w:color="auto" w:sz="4" w:space="0"/>
                    <w:bottom w:val="single" w:color="auto" w:sz="4" w:space="0"/>
                    <w:right w:val="single" w:color="auto" w:sz="4" w:space="0"/>
                  </w:tcBorders>
                  <w:vAlign w:val="center"/>
                </w:tcPr>
                <w:p>
                  <w:pPr>
                    <w:pStyle w:val="77"/>
                  </w:pPr>
                  <w:r>
                    <w:t>36.5</w:t>
                  </w:r>
                </w:p>
              </w:tc>
              <w:tc>
                <w:tcPr>
                  <w:tcW w:w="2353"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533"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905"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脱水污泥</w:t>
                  </w:r>
                </w:p>
              </w:tc>
              <w:tc>
                <w:tcPr>
                  <w:tcW w:w="1960" w:type="dxa"/>
                  <w:tcBorders>
                    <w:top w:val="single" w:color="auto" w:sz="4" w:space="0"/>
                    <w:left w:val="single" w:color="auto" w:sz="4" w:space="0"/>
                    <w:bottom w:val="single" w:color="auto" w:sz="4" w:space="0"/>
                    <w:right w:val="single" w:color="auto" w:sz="4" w:space="0"/>
                  </w:tcBorders>
                  <w:vAlign w:val="center"/>
                </w:tcPr>
                <w:p>
                  <w:pPr>
                    <w:pStyle w:val="77"/>
                  </w:pPr>
                  <w:r>
                    <w:t>/</w:t>
                  </w:r>
                </w:p>
              </w:tc>
              <w:tc>
                <w:tcPr>
                  <w:tcW w:w="1347" w:type="dxa"/>
                  <w:tcBorders>
                    <w:top w:val="single" w:color="auto" w:sz="4" w:space="0"/>
                    <w:left w:val="single" w:color="auto" w:sz="4" w:space="0"/>
                    <w:bottom w:val="single" w:color="auto" w:sz="4" w:space="0"/>
                    <w:right w:val="single" w:color="auto" w:sz="4" w:space="0"/>
                  </w:tcBorders>
                  <w:vAlign w:val="center"/>
                </w:tcPr>
                <w:p>
                  <w:pPr>
                    <w:pStyle w:val="77"/>
                  </w:pPr>
                  <w:r>
                    <w:t>3162</w:t>
                  </w:r>
                </w:p>
              </w:tc>
              <w:tc>
                <w:tcPr>
                  <w:tcW w:w="2353"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定安县垃圾填埋场填埋处置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533" w:type="dxa"/>
                  <w:vMerge w:val="restart"/>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危险废物</w:t>
                  </w:r>
                </w:p>
              </w:tc>
              <w:tc>
                <w:tcPr>
                  <w:tcW w:w="1905"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废油漆桶</w:t>
                  </w:r>
                </w:p>
              </w:tc>
              <w:tc>
                <w:tcPr>
                  <w:tcW w:w="1960" w:type="dxa"/>
                  <w:tcBorders>
                    <w:top w:val="single" w:color="auto" w:sz="4" w:space="0"/>
                    <w:left w:val="single" w:color="auto" w:sz="4" w:space="0"/>
                    <w:bottom w:val="single" w:color="auto" w:sz="4" w:space="0"/>
                    <w:right w:val="single" w:color="auto" w:sz="4" w:space="0"/>
                  </w:tcBorders>
                  <w:vAlign w:val="center"/>
                </w:tcPr>
                <w:p>
                  <w:pPr>
                    <w:pStyle w:val="77"/>
                  </w:pPr>
                  <w:r>
                    <w:t>HW49-900-041-49</w:t>
                  </w:r>
                </w:p>
              </w:tc>
              <w:tc>
                <w:tcPr>
                  <w:tcW w:w="1347" w:type="dxa"/>
                  <w:tcBorders>
                    <w:top w:val="single" w:color="auto" w:sz="4" w:space="0"/>
                    <w:left w:val="single" w:color="auto" w:sz="4" w:space="0"/>
                    <w:bottom w:val="single" w:color="auto" w:sz="4" w:space="0"/>
                    <w:right w:val="single" w:color="auto" w:sz="4" w:space="0"/>
                  </w:tcBorders>
                  <w:vAlign w:val="center"/>
                </w:tcPr>
                <w:p>
                  <w:pPr>
                    <w:pStyle w:val="77"/>
                  </w:pPr>
                  <w:r>
                    <w:t>0.02</w:t>
                  </w:r>
                </w:p>
              </w:tc>
              <w:tc>
                <w:tcPr>
                  <w:tcW w:w="2353" w:type="dxa"/>
                  <w:vMerge w:val="restart"/>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交由海南宝来工贸有限公司定期处置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533"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905"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废机油</w:t>
                  </w:r>
                </w:p>
              </w:tc>
              <w:tc>
                <w:tcPr>
                  <w:tcW w:w="1960" w:type="dxa"/>
                  <w:tcBorders>
                    <w:top w:val="single" w:color="auto" w:sz="4" w:space="0"/>
                    <w:left w:val="single" w:color="auto" w:sz="4" w:space="0"/>
                    <w:bottom w:val="single" w:color="auto" w:sz="4" w:space="0"/>
                    <w:right w:val="single" w:color="auto" w:sz="4" w:space="0"/>
                  </w:tcBorders>
                  <w:vAlign w:val="center"/>
                </w:tcPr>
                <w:p>
                  <w:pPr>
                    <w:pStyle w:val="77"/>
                  </w:pPr>
                  <w:r>
                    <w:t>HW49-900214-08</w:t>
                  </w:r>
                </w:p>
              </w:tc>
              <w:tc>
                <w:tcPr>
                  <w:tcW w:w="1347" w:type="dxa"/>
                  <w:tcBorders>
                    <w:top w:val="single" w:color="auto" w:sz="4" w:space="0"/>
                    <w:left w:val="single" w:color="auto" w:sz="4" w:space="0"/>
                    <w:bottom w:val="single" w:color="auto" w:sz="4" w:space="0"/>
                    <w:right w:val="single" w:color="auto" w:sz="4" w:space="0"/>
                  </w:tcBorders>
                  <w:vAlign w:val="center"/>
                </w:tcPr>
                <w:p>
                  <w:pPr>
                    <w:pStyle w:val="77"/>
                  </w:pPr>
                  <w:r>
                    <w:t>0.08</w:t>
                  </w:r>
                </w:p>
              </w:tc>
              <w:tc>
                <w:tcPr>
                  <w:tcW w:w="2353"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533" w:type="dxa"/>
                  <w:vMerge w:val="continue"/>
                  <w:tcBorders>
                    <w:top w:val="single" w:color="auto" w:sz="4" w:space="0"/>
                    <w:left w:val="single" w:color="auto" w:sz="12" w:space="0"/>
                    <w:bottom w:val="single" w:color="auto" w:sz="12" w:space="0"/>
                    <w:right w:val="single" w:color="auto" w:sz="4" w:space="0"/>
                  </w:tcBorders>
                  <w:vAlign w:val="center"/>
                </w:tcPr>
                <w:p>
                  <w:pPr>
                    <w:pStyle w:val="77"/>
                  </w:pPr>
                </w:p>
              </w:tc>
              <w:tc>
                <w:tcPr>
                  <w:tcW w:w="1905"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实验室废液</w:t>
                  </w:r>
                </w:p>
              </w:tc>
              <w:tc>
                <w:tcPr>
                  <w:tcW w:w="1960" w:type="dxa"/>
                  <w:tcBorders>
                    <w:top w:val="single" w:color="auto" w:sz="4" w:space="0"/>
                    <w:left w:val="single" w:color="auto" w:sz="4" w:space="0"/>
                    <w:bottom w:val="single" w:color="auto" w:sz="12" w:space="0"/>
                    <w:right w:val="single" w:color="auto" w:sz="4" w:space="0"/>
                  </w:tcBorders>
                  <w:vAlign w:val="center"/>
                </w:tcPr>
                <w:p>
                  <w:pPr>
                    <w:pStyle w:val="77"/>
                  </w:pPr>
                  <w:r>
                    <w:t>HW49-900-047-49</w:t>
                  </w:r>
                </w:p>
              </w:tc>
              <w:tc>
                <w:tcPr>
                  <w:tcW w:w="1347" w:type="dxa"/>
                  <w:tcBorders>
                    <w:top w:val="single" w:color="auto" w:sz="4" w:space="0"/>
                    <w:left w:val="single" w:color="auto" w:sz="4" w:space="0"/>
                    <w:bottom w:val="single" w:color="auto" w:sz="12" w:space="0"/>
                    <w:right w:val="single" w:color="auto" w:sz="4" w:space="0"/>
                  </w:tcBorders>
                  <w:vAlign w:val="center"/>
                </w:tcPr>
                <w:p>
                  <w:pPr>
                    <w:pStyle w:val="77"/>
                  </w:pPr>
                  <w:r>
                    <w:t>0.15</w:t>
                  </w:r>
                </w:p>
              </w:tc>
              <w:tc>
                <w:tcPr>
                  <w:tcW w:w="2353" w:type="dxa"/>
                  <w:vMerge w:val="continue"/>
                  <w:tcBorders>
                    <w:top w:val="single" w:color="auto" w:sz="4" w:space="0"/>
                    <w:left w:val="single" w:color="auto" w:sz="4" w:space="0"/>
                    <w:bottom w:val="single" w:color="auto" w:sz="12" w:space="0"/>
                    <w:right w:val="single" w:color="auto" w:sz="12" w:space="0"/>
                  </w:tcBorders>
                  <w:vAlign w:val="center"/>
                </w:tcPr>
                <w:p>
                  <w:pPr>
                    <w:pStyle w:val="77"/>
                  </w:pPr>
                </w:p>
              </w:tc>
            </w:tr>
            <w:bookmarkEnd w:id="15"/>
          </w:tbl>
          <w:p>
            <w:pPr>
              <w:pStyle w:val="114"/>
              <w:rPr>
                <w:b/>
                <w:bCs w:val="0"/>
                <w:szCs w:val="24"/>
              </w:rPr>
            </w:pPr>
            <w:r>
              <w:rPr>
                <w:rFonts w:hint="eastAsia"/>
              </w:rPr>
              <w:t>根据现场核查，一期工程现有</w:t>
            </w:r>
            <w:r>
              <w:t>15m</w:t>
            </w:r>
            <w:r>
              <w:rPr>
                <w:vertAlign w:val="superscript"/>
              </w:rPr>
              <w:t>2</w:t>
            </w:r>
            <w:r>
              <w:rPr>
                <w:rFonts w:hint="eastAsia"/>
              </w:rPr>
              <w:t>危废暂存间</w:t>
            </w:r>
            <w:r>
              <w:t>1</w:t>
            </w:r>
            <w:r>
              <w:rPr>
                <w:rFonts w:hint="eastAsia"/>
              </w:rPr>
              <w:t>座，主要用于暂存废油漆桶、废机油以及实验室废液。三种危险废物之间均不属于不相容废物，其中废机油及实验室废液均采用塑料桶收集。</w:t>
            </w:r>
          </w:p>
          <w:p>
            <w:pPr>
              <w:autoSpaceDE w:val="0"/>
              <w:autoSpaceDN w:val="0"/>
              <w:adjustRightInd w:val="0"/>
              <w:snapToGrid w:val="0"/>
              <w:spacing w:line="360" w:lineRule="auto"/>
              <w:ind w:firstLine="482" w:firstLineChars="200"/>
              <w:rPr>
                <w:rFonts w:ascii="Times New Roman" w:hAnsi="Times New Roman"/>
                <w:b/>
                <w:bCs/>
                <w:sz w:val="24"/>
              </w:rPr>
            </w:pPr>
            <w:r>
              <w:rPr>
                <w:rFonts w:hint="eastAsia" w:ascii="Times New Roman" w:hAnsi="Times New Roman"/>
                <w:b/>
                <w:bCs/>
                <w:sz w:val="24"/>
              </w:rPr>
              <w:t>（</w:t>
            </w:r>
            <w:r>
              <w:rPr>
                <w:rFonts w:ascii="Times New Roman" w:hAnsi="Times New Roman"/>
                <w:b/>
                <w:bCs/>
                <w:sz w:val="24"/>
              </w:rPr>
              <w:t>5</w:t>
            </w:r>
            <w:r>
              <w:rPr>
                <w:rFonts w:hint="eastAsia" w:ascii="Times New Roman" w:hAnsi="Times New Roman"/>
                <w:b/>
                <w:bCs/>
                <w:sz w:val="24"/>
              </w:rPr>
              <w:t>）一期工程污染物排放量汇总</w:t>
            </w:r>
          </w:p>
          <w:p>
            <w:pPr>
              <w:pStyle w:val="2"/>
              <w:spacing w:line="360" w:lineRule="auto"/>
              <w:ind w:firstLine="480" w:firstLineChars="200"/>
              <w:rPr>
                <w:szCs w:val="24"/>
              </w:rPr>
            </w:pPr>
            <w:r>
              <w:rPr>
                <w:rFonts w:hint="eastAsia"/>
                <w:szCs w:val="24"/>
              </w:rPr>
              <w:t>定安污水处理厂一期工程产排污情况详见表</w:t>
            </w:r>
            <w:r>
              <w:rPr>
                <w:szCs w:val="24"/>
              </w:rPr>
              <w:t>1-25</w:t>
            </w:r>
            <w:r>
              <w:rPr>
                <w:rFonts w:hint="eastAsia"/>
                <w:szCs w:val="24"/>
              </w:rPr>
              <w:t>。</w:t>
            </w:r>
          </w:p>
          <w:p>
            <w:pPr>
              <w:pStyle w:val="111"/>
            </w:pPr>
            <w:r>
              <w:rPr>
                <w:rFonts w:hint="eastAsia"/>
              </w:rPr>
              <w:t>表</w:t>
            </w:r>
            <w:r>
              <w:t>1-25</w:t>
            </w:r>
            <w:r>
              <w:rPr>
                <w:rFonts w:hint="eastAsia"/>
              </w:rPr>
              <w:t>污水处理厂一期工程产排污情况一览表</w:t>
            </w:r>
          </w:p>
          <w:tbl>
            <w:tblPr>
              <w:tblStyle w:val="37"/>
              <w:tblW w:w="90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738"/>
              <w:gridCol w:w="1659"/>
              <w:gridCol w:w="2491"/>
              <w:gridCol w:w="2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92" w:type="dxa"/>
                  <w:gridSpan w:val="2"/>
                  <w:tcBorders>
                    <w:top w:val="single" w:color="auto" w:sz="12" w:space="0"/>
                    <w:left w:val="single" w:color="auto" w:sz="12" w:space="0"/>
                    <w:bottom w:val="double" w:color="auto" w:sz="4" w:space="0"/>
                    <w:right w:val="single" w:color="auto" w:sz="4" w:space="0"/>
                  </w:tcBorders>
                  <w:vAlign w:val="center"/>
                </w:tcPr>
                <w:p>
                  <w:pPr>
                    <w:pStyle w:val="77"/>
                  </w:pPr>
                  <w:r>
                    <w:rPr>
                      <w:rFonts w:hint="eastAsia"/>
                    </w:rPr>
                    <w:t>类别</w:t>
                  </w:r>
                </w:p>
              </w:tc>
              <w:tc>
                <w:tcPr>
                  <w:tcW w:w="1659"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产生量</w:t>
                  </w:r>
                </w:p>
              </w:tc>
              <w:tc>
                <w:tcPr>
                  <w:tcW w:w="2491"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排放量</w:t>
                  </w:r>
                </w:p>
              </w:tc>
              <w:tc>
                <w:tcPr>
                  <w:tcW w:w="2056" w:type="dxa"/>
                  <w:tcBorders>
                    <w:top w:val="single" w:color="auto" w:sz="12" w:space="0"/>
                    <w:left w:val="single" w:color="auto" w:sz="4" w:space="0"/>
                    <w:bottom w:val="single" w:color="auto" w:sz="4" w:space="0"/>
                    <w:right w:val="single" w:color="auto" w:sz="12" w:space="0"/>
                  </w:tcBorders>
                  <w:vAlign w:val="center"/>
                </w:tcPr>
                <w:p>
                  <w:pPr>
                    <w:pStyle w:val="77"/>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restart"/>
                  <w:tcBorders>
                    <w:top w:val="double" w:color="auto" w:sz="4" w:space="0"/>
                    <w:left w:val="single" w:color="auto" w:sz="12" w:space="0"/>
                    <w:bottom w:val="single" w:color="auto" w:sz="4" w:space="0"/>
                    <w:right w:val="single" w:color="auto" w:sz="4" w:space="0"/>
                  </w:tcBorders>
                  <w:vAlign w:val="center"/>
                </w:tcPr>
                <w:p>
                  <w:pPr>
                    <w:pStyle w:val="77"/>
                  </w:pPr>
                  <w:r>
                    <w:rPr>
                      <w:rFonts w:hint="eastAsia"/>
                    </w:rPr>
                    <w:t>废水</w:t>
                  </w:r>
                </w:p>
              </w:tc>
              <w:tc>
                <w:tcPr>
                  <w:tcW w:w="1738" w:type="dxa"/>
                  <w:tcBorders>
                    <w:top w:val="double" w:color="auto" w:sz="4" w:space="0"/>
                    <w:left w:val="single" w:color="auto" w:sz="4" w:space="0"/>
                    <w:bottom w:val="single" w:color="auto" w:sz="4" w:space="0"/>
                    <w:right w:val="single" w:color="auto" w:sz="4" w:space="0"/>
                  </w:tcBorders>
                  <w:vAlign w:val="center"/>
                </w:tcPr>
                <w:p>
                  <w:pPr>
                    <w:pStyle w:val="77"/>
                  </w:pPr>
                  <w:r>
                    <w:rPr>
                      <w:rFonts w:hint="eastAsia"/>
                    </w:rPr>
                    <w:t>废水量</w:t>
                  </w:r>
                </w:p>
              </w:tc>
              <w:tc>
                <w:tcPr>
                  <w:tcW w:w="1659" w:type="dxa"/>
                  <w:tcBorders>
                    <w:top w:val="double" w:color="auto" w:sz="4" w:space="0"/>
                    <w:left w:val="single" w:color="auto" w:sz="4" w:space="0"/>
                    <w:bottom w:val="single" w:color="auto" w:sz="4" w:space="0"/>
                    <w:right w:val="single" w:color="auto" w:sz="4" w:space="0"/>
                  </w:tcBorders>
                  <w:vAlign w:val="center"/>
                </w:tcPr>
                <w:p>
                  <w:pPr>
                    <w:pStyle w:val="77"/>
                  </w:pPr>
                  <w:r>
                    <w:t>/</w:t>
                  </w:r>
                </w:p>
              </w:tc>
              <w:tc>
                <w:tcPr>
                  <w:tcW w:w="2491" w:type="dxa"/>
                  <w:tcBorders>
                    <w:top w:val="double" w:color="auto" w:sz="4" w:space="0"/>
                    <w:left w:val="single" w:color="auto" w:sz="4" w:space="0"/>
                    <w:bottom w:val="single" w:color="auto" w:sz="4" w:space="0"/>
                    <w:right w:val="single" w:color="auto" w:sz="4" w:space="0"/>
                  </w:tcBorders>
                  <w:vAlign w:val="center"/>
                </w:tcPr>
                <w:p>
                  <w:pPr>
                    <w:pStyle w:val="77"/>
                  </w:pPr>
                  <w:r>
                    <w:t>547.5</w:t>
                  </w:r>
                  <w:r>
                    <w:rPr>
                      <w:rFonts w:hint="eastAsia"/>
                    </w:rPr>
                    <w:t>万</w:t>
                  </w:r>
                  <w:r>
                    <w:t>t/a</w:t>
                  </w:r>
                </w:p>
              </w:tc>
              <w:tc>
                <w:tcPr>
                  <w:tcW w:w="2056" w:type="dxa"/>
                  <w:vMerge w:val="restart"/>
                  <w:tcBorders>
                    <w:top w:val="single" w:color="auto" w:sz="4" w:space="0"/>
                    <w:left w:val="single" w:color="auto" w:sz="4" w:space="0"/>
                    <w:bottom w:val="single" w:color="auto" w:sz="4" w:space="0"/>
                    <w:right w:val="single" w:color="auto" w:sz="12" w:space="0"/>
                  </w:tcBorders>
                  <w:vAlign w:val="center"/>
                </w:tcPr>
                <w:p>
                  <w:pPr>
                    <w:pStyle w:val="77"/>
                    <w:rPr>
                      <w:bCs/>
                    </w:rPr>
                  </w:pPr>
                  <w:r>
                    <w:rPr>
                      <w:rFonts w:hint="eastAsia"/>
                    </w:rPr>
                    <w:t>数据来源于《企业排污许可证》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t>COD</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180.5t/a</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t>NH</w:t>
                  </w:r>
                  <w:r>
                    <w:rPr>
                      <w:vertAlign w:val="subscript"/>
                    </w:rPr>
                    <w:t>3</w:t>
                  </w:r>
                  <w:r>
                    <w:t>-N</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18.05t/a</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t>TN</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54.15t/a</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t>TP</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1.805t/a</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restart"/>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废气</w:t>
                  </w: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rPr>
                      <w:bCs/>
                    </w:rPr>
                    <w:t>H</w:t>
                  </w:r>
                  <w:r>
                    <w:rPr>
                      <w:bCs/>
                      <w:vertAlign w:val="subscript"/>
                    </w:rPr>
                    <w:t>2</w:t>
                  </w:r>
                  <w:r>
                    <w:rPr>
                      <w:bCs/>
                    </w:rPr>
                    <w:t>S</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0.53</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0.53</w:t>
                  </w:r>
                </w:p>
              </w:tc>
              <w:tc>
                <w:tcPr>
                  <w:tcW w:w="2056" w:type="dxa"/>
                  <w:vMerge w:val="restart"/>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rPr>
                      <w:bCs/>
                    </w:rPr>
                    <w:t>NH</w:t>
                  </w:r>
                  <w:r>
                    <w:rPr>
                      <w:bCs/>
                      <w:vertAlign w:val="subscript"/>
                    </w:rPr>
                    <w:t>3</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5.9</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5.9</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restart"/>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固体废物</w:t>
                  </w: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栅渣</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36.5</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0</w:t>
                  </w:r>
                </w:p>
              </w:tc>
              <w:tc>
                <w:tcPr>
                  <w:tcW w:w="2056" w:type="dxa"/>
                  <w:vMerge w:val="restart"/>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数据来源于《企业排污许可证》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沉砂</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3.65</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0</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污泥</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3162</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0</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实验室废液</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0.15</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0</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生活垃圾</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8.76</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0</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废油漆桶</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0.02</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0</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738"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实验室废液</w:t>
                  </w:r>
                </w:p>
              </w:tc>
              <w:tc>
                <w:tcPr>
                  <w:tcW w:w="1659" w:type="dxa"/>
                  <w:tcBorders>
                    <w:top w:val="single" w:color="auto" w:sz="4" w:space="0"/>
                    <w:left w:val="single" w:color="auto" w:sz="4" w:space="0"/>
                    <w:bottom w:val="single" w:color="auto" w:sz="4" w:space="0"/>
                    <w:right w:val="single" w:color="auto" w:sz="4" w:space="0"/>
                  </w:tcBorders>
                  <w:vAlign w:val="center"/>
                </w:tcPr>
                <w:p>
                  <w:pPr>
                    <w:pStyle w:val="77"/>
                  </w:pPr>
                  <w:r>
                    <w:t>0.15</w:t>
                  </w:r>
                </w:p>
              </w:tc>
              <w:tc>
                <w:tcPr>
                  <w:tcW w:w="2491" w:type="dxa"/>
                  <w:tcBorders>
                    <w:top w:val="single" w:color="auto" w:sz="4" w:space="0"/>
                    <w:left w:val="single" w:color="auto" w:sz="4" w:space="0"/>
                    <w:bottom w:val="single" w:color="auto" w:sz="4" w:space="0"/>
                    <w:right w:val="single" w:color="auto" w:sz="4" w:space="0"/>
                  </w:tcBorders>
                  <w:vAlign w:val="center"/>
                </w:tcPr>
                <w:p>
                  <w:pPr>
                    <w:pStyle w:val="77"/>
                  </w:pPr>
                  <w:r>
                    <w:t>0</w:t>
                  </w:r>
                </w:p>
              </w:tc>
              <w:tc>
                <w:tcPr>
                  <w:tcW w:w="2056"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54" w:type="dxa"/>
                  <w:vMerge w:val="continue"/>
                  <w:tcBorders>
                    <w:top w:val="single" w:color="auto" w:sz="4" w:space="0"/>
                    <w:left w:val="single" w:color="auto" w:sz="12" w:space="0"/>
                    <w:bottom w:val="single" w:color="auto" w:sz="12" w:space="0"/>
                    <w:right w:val="single" w:color="auto" w:sz="4" w:space="0"/>
                  </w:tcBorders>
                  <w:vAlign w:val="center"/>
                </w:tcPr>
                <w:p>
                  <w:pPr>
                    <w:pStyle w:val="77"/>
                  </w:pPr>
                </w:p>
              </w:tc>
              <w:tc>
                <w:tcPr>
                  <w:tcW w:w="1738"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废机油</w:t>
                  </w:r>
                </w:p>
              </w:tc>
              <w:tc>
                <w:tcPr>
                  <w:tcW w:w="1659" w:type="dxa"/>
                  <w:tcBorders>
                    <w:top w:val="single" w:color="auto" w:sz="4" w:space="0"/>
                    <w:left w:val="single" w:color="auto" w:sz="4" w:space="0"/>
                    <w:bottom w:val="single" w:color="auto" w:sz="12" w:space="0"/>
                    <w:right w:val="single" w:color="auto" w:sz="4" w:space="0"/>
                  </w:tcBorders>
                  <w:vAlign w:val="center"/>
                </w:tcPr>
                <w:p>
                  <w:pPr>
                    <w:pStyle w:val="77"/>
                  </w:pPr>
                  <w:r>
                    <w:t>0.08</w:t>
                  </w:r>
                </w:p>
              </w:tc>
              <w:tc>
                <w:tcPr>
                  <w:tcW w:w="2491" w:type="dxa"/>
                  <w:tcBorders>
                    <w:top w:val="single" w:color="auto" w:sz="4" w:space="0"/>
                    <w:left w:val="single" w:color="auto" w:sz="4" w:space="0"/>
                    <w:bottom w:val="single" w:color="auto" w:sz="12" w:space="0"/>
                    <w:right w:val="single" w:color="auto" w:sz="4" w:space="0"/>
                  </w:tcBorders>
                  <w:vAlign w:val="center"/>
                </w:tcPr>
                <w:p>
                  <w:pPr>
                    <w:pStyle w:val="77"/>
                  </w:pPr>
                  <w:r>
                    <w:t>0</w:t>
                  </w:r>
                </w:p>
              </w:tc>
              <w:tc>
                <w:tcPr>
                  <w:tcW w:w="2056" w:type="dxa"/>
                  <w:vMerge w:val="continue"/>
                  <w:tcBorders>
                    <w:top w:val="single" w:color="auto" w:sz="4" w:space="0"/>
                    <w:left w:val="single" w:color="auto" w:sz="4" w:space="0"/>
                    <w:bottom w:val="single" w:color="auto" w:sz="12" w:space="0"/>
                    <w:right w:val="single" w:color="auto" w:sz="12" w:space="0"/>
                  </w:tcBorders>
                  <w:vAlign w:val="center"/>
                </w:tcPr>
                <w:p>
                  <w:pPr>
                    <w:pStyle w:val="77"/>
                  </w:pPr>
                </w:p>
              </w:tc>
            </w:tr>
          </w:tbl>
          <w:p>
            <w:pPr>
              <w:spacing w:line="360" w:lineRule="auto"/>
              <w:ind w:firstLine="482" w:firstLineChars="200"/>
              <w:rPr>
                <w:rFonts w:ascii="Times New Roman" w:hAnsi="Times New Roman"/>
                <w:b/>
                <w:bCs/>
                <w:sz w:val="24"/>
                <w:szCs w:val="24"/>
              </w:rPr>
            </w:pPr>
            <w:r>
              <w:rPr>
                <w:rFonts w:hint="eastAsia" w:ascii="Times New Roman" w:hAnsi="Times New Roman"/>
                <w:b/>
                <w:bCs/>
                <w:sz w:val="24"/>
                <w:szCs w:val="24"/>
              </w:rPr>
              <w:t>四、一期工程环境保护措施</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一期工程环境保护措施情况见表</w:t>
            </w:r>
            <w:r>
              <w:rPr>
                <w:rFonts w:ascii="Times New Roman" w:hAnsi="Times New Roman"/>
                <w:sz w:val="24"/>
                <w:szCs w:val="24"/>
              </w:rPr>
              <w:t>1-26</w:t>
            </w:r>
            <w:r>
              <w:rPr>
                <w:rFonts w:hint="eastAsia" w:ascii="Times New Roman" w:hAnsi="Times New Roman"/>
                <w:sz w:val="24"/>
                <w:szCs w:val="24"/>
              </w:rPr>
              <w:t>。</w:t>
            </w:r>
          </w:p>
          <w:p>
            <w:pPr>
              <w:jc w:val="center"/>
              <w:rPr>
                <w:rFonts w:ascii="Times New Roman" w:hAnsi="Times New Roman"/>
                <w:sz w:val="24"/>
                <w:szCs w:val="24"/>
              </w:rPr>
            </w:pPr>
            <w:r>
              <w:rPr>
                <w:rFonts w:hint="eastAsia" w:ascii="Times New Roman" w:hAnsi="Times New Roman"/>
                <w:b/>
                <w:bCs/>
                <w:sz w:val="24"/>
                <w:szCs w:val="24"/>
              </w:rPr>
              <w:t>表</w:t>
            </w:r>
            <w:r>
              <w:rPr>
                <w:rFonts w:ascii="Times New Roman" w:hAnsi="Times New Roman"/>
                <w:b/>
                <w:bCs/>
                <w:sz w:val="24"/>
                <w:szCs w:val="24"/>
              </w:rPr>
              <w:t xml:space="preserve">1-26  </w:t>
            </w:r>
            <w:r>
              <w:rPr>
                <w:rFonts w:hint="eastAsia" w:ascii="Times New Roman" w:hAnsi="Times New Roman"/>
                <w:b/>
                <w:bCs/>
                <w:sz w:val="24"/>
                <w:szCs w:val="24"/>
              </w:rPr>
              <w:t>环保措施落实情况一览表</w:t>
            </w:r>
          </w:p>
          <w:tbl>
            <w:tblPr>
              <w:tblStyle w:val="37"/>
              <w:tblW w:w="924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08"/>
              <w:gridCol w:w="3741"/>
              <w:gridCol w:w="7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4" w:hRule="atLeast"/>
                <w:jc w:val="center"/>
              </w:trPr>
              <w:tc>
                <w:tcPr>
                  <w:tcW w:w="4708" w:type="dxa"/>
                  <w:tcBorders>
                    <w:top w:val="single" w:color="auto" w:sz="12" w:space="0"/>
                    <w:left w:val="single" w:color="auto" w:sz="12" w:space="0"/>
                    <w:bottom w:val="double" w:color="auto" w:sz="4" w:space="0"/>
                    <w:right w:val="single" w:color="auto" w:sz="6" w:space="0"/>
                  </w:tcBorders>
                  <w:vAlign w:val="center"/>
                </w:tcPr>
                <w:p>
                  <w:pPr>
                    <w:pStyle w:val="124"/>
                    <w:spacing w:line="240" w:lineRule="auto"/>
                    <w:rPr>
                      <w:szCs w:val="21"/>
                    </w:rPr>
                  </w:pPr>
                  <w:r>
                    <w:rPr>
                      <w:rFonts w:hint="eastAsia"/>
                      <w:szCs w:val="21"/>
                    </w:rPr>
                    <w:t>环保措施要求</w:t>
                  </w:r>
                </w:p>
              </w:tc>
              <w:tc>
                <w:tcPr>
                  <w:tcW w:w="3741" w:type="dxa"/>
                  <w:tcBorders>
                    <w:top w:val="single" w:color="auto" w:sz="12" w:space="0"/>
                    <w:left w:val="single" w:color="auto" w:sz="6" w:space="0"/>
                    <w:bottom w:val="double" w:color="auto" w:sz="4" w:space="0"/>
                    <w:right w:val="single" w:color="auto" w:sz="6" w:space="0"/>
                  </w:tcBorders>
                  <w:vAlign w:val="center"/>
                </w:tcPr>
                <w:p>
                  <w:pPr>
                    <w:pStyle w:val="124"/>
                    <w:spacing w:line="240" w:lineRule="auto"/>
                    <w:rPr>
                      <w:szCs w:val="21"/>
                    </w:rPr>
                  </w:pPr>
                  <w:r>
                    <w:rPr>
                      <w:rFonts w:hint="eastAsia"/>
                      <w:szCs w:val="21"/>
                    </w:rPr>
                    <w:t>实际建设情况</w:t>
                  </w:r>
                </w:p>
              </w:tc>
              <w:tc>
                <w:tcPr>
                  <w:tcW w:w="793" w:type="dxa"/>
                  <w:tcBorders>
                    <w:top w:val="single" w:color="auto" w:sz="12" w:space="0"/>
                    <w:left w:val="single" w:color="auto" w:sz="6" w:space="0"/>
                    <w:bottom w:val="double" w:color="auto" w:sz="4" w:space="0"/>
                    <w:right w:val="single" w:color="auto" w:sz="12" w:space="0"/>
                  </w:tcBorders>
                  <w:vAlign w:val="center"/>
                </w:tcPr>
                <w:p>
                  <w:pPr>
                    <w:pStyle w:val="124"/>
                    <w:spacing w:line="240" w:lineRule="auto"/>
                    <w:rPr>
                      <w:szCs w:val="21"/>
                    </w:rPr>
                  </w:pPr>
                  <w:r>
                    <w:rPr>
                      <w:rFonts w:hint="eastAsia"/>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13" w:hRule="atLeast"/>
                <w:jc w:val="center"/>
              </w:trPr>
              <w:tc>
                <w:tcPr>
                  <w:tcW w:w="4708" w:type="dxa"/>
                  <w:tcBorders>
                    <w:top w:val="double" w:color="auto" w:sz="4" w:space="0"/>
                    <w:left w:val="single" w:color="auto" w:sz="12" w:space="0"/>
                    <w:bottom w:val="single" w:color="auto" w:sz="6" w:space="0"/>
                    <w:right w:val="single" w:color="auto" w:sz="6" w:space="0"/>
                  </w:tcBorders>
                  <w:vAlign w:val="center"/>
                </w:tcPr>
                <w:p>
                  <w:pPr>
                    <w:pStyle w:val="77"/>
                    <w:spacing w:line="240" w:lineRule="auto"/>
                  </w:pPr>
                  <w:r>
                    <w:rPr>
                      <w:rFonts w:hint="eastAsia"/>
                    </w:rPr>
                    <w:t>严格按规范进行工程设计和施工，选用可靠的材料和设备，提高处理效率及抗负荷能力。要合理布局污水处理厂区平面，生产区与辅助生产区应分区布置。厂区周边须留有足够的卫生防护距离，合理安排厂区周边用地规划，防止对周边环境造成污染影响。</w:t>
                  </w:r>
                </w:p>
              </w:tc>
              <w:tc>
                <w:tcPr>
                  <w:tcW w:w="3741" w:type="dxa"/>
                  <w:tcBorders>
                    <w:top w:val="double" w:color="auto" w:sz="4" w:space="0"/>
                    <w:left w:val="single" w:color="auto" w:sz="6" w:space="0"/>
                    <w:bottom w:val="single" w:color="auto" w:sz="6" w:space="0"/>
                    <w:right w:val="single" w:color="auto" w:sz="6" w:space="0"/>
                  </w:tcBorders>
                  <w:vAlign w:val="center"/>
                </w:tcPr>
                <w:p>
                  <w:pPr>
                    <w:pStyle w:val="77"/>
                    <w:spacing w:line="240" w:lineRule="auto"/>
                    <w:rPr>
                      <w:kern w:val="0"/>
                    </w:rPr>
                  </w:pPr>
                  <w:r>
                    <w:rPr>
                      <w:rFonts w:hint="eastAsia"/>
                      <w:kern w:val="0"/>
                    </w:rPr>
                    <w:t>厂区布局合理，</w:t>
                  </w:r>
                  <w:r>
                    <w:rPr>
                      <w:rFonts w:hint="eastAsia"/>
                    </w:rPr>
                    <w:t>生产区与辅助生产区分区布置，办公区位于上风向，一期工程设置了</w:t>
                  </w:r>
                  <w:r>
                    <w:t>150m</w:t>
                  </w:r>
                  <w:r>
                    <w:rPr>
                      <w:rFonts w:hint="eastAsia"/>
                    </w:rPr>
                    <w:t>卫生防护距离，防护距离内无环境敏感点分布。</w:t>
                  </w:r>
                </w:p>
              </w:tc>
              <w:tc>
                <w:tcPr>
                  <w:tcW w:w="793" w:type="dxa"/>
                  <w:tcBorders>
                    <w:top w:val="double" w:color="auto" w:sz="4" w:space="0"/>
                    <w:left w:val="single" w:color="auto" w:sz="6" w:space="0"/>
                    <w:bottom w:val="single" w:color="auto" w:sz="6" w:space="0"/>
                    <w:right w:val="single" w:color="auto" w:sz="12" w:space="0"/>
                  </w:tcBorders>
                  <w:vAlign w:val="center"/>
                </w:tcPr>
                <w:p>
                  <w:pPr>
                    <w:pStyle w:val="77"/>
                    <w:spacing w:line="240" w:lineRule="auto"/>
                  </w:pPr>
                  <w:r>
                    <w:rPr>
                      <w:rFonts w:hint="eastAsia"/>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26" w:hRule="atLeast"/>
                <w:jc w:val="center"/>
              </w:trPr>
              <w:tc>
                <w:tcPr>
                  <w:tcW w:w="4708" w:type="dxa"/>
                  <w:tcBorders>
                    <w:top w:val="single" w:color="auto" w:sz="6" w:space="0"/>
                    <w:left w:val="single" w:color="auto" w:sz="12" w:space="0"/>
                    <w:bottom w:val="single" w:color="auto" w:sz="6" w:space="0"/>
                    <w:right w:val="single" w:color="auto" w:sz="6" w:space="0"/>
                  </w:tcBorders>
                  <w:vAlign w:val="center"/>
                </w:tcPr>
                <w:p>
                  <w:pPr>
                    <w:pStyle w:val="77"/>
                    <w:spacing w:line="240" w:lineRule="auto"/>
                  </w:pPr>
                  <w:r>
                    <w:rPr>
                      <w:rFonts w:hint="eastAsia"/>
                    </w:rPr>
                    <w:t>科学制定施工计划，按“雨污分流、清污分流</w:t>
                  </w:r>
                  <w:r>
                    <w:t>"</w:t>
                  </w:r>
                  <w:r>
                    <w:rPr>
                      <w:rFonts w:hint="eastAsia"/>
                    </w:rPr>
                    <w:t>的原则建设排水管网，保证服务区内废水收集管网与本项目主体工程同时投入运行，确保服务区内生活废水有效接入污水处理厂进行集中处理。在污水处理厂及其管网建设中要采取防渗漏措施，避免污染地下水。</w:t>
                  </w:r>
                </w:p>
              </w:tc>
              <w:tc>
                <w:tcPr>
                  <w:tcW w:w="3741" w:type="dxa"/>
                  <w:tcBorders>
                    <w:top w:val="single" w:color="auto" w:sz="6" w:space="0"/>
                    <w:left w:val="single" w:color="auto" w:sz="6" w:space="0"/>
                    <w:bottom w:val="single" w:color="auto" w:sz="6" w:space="0"/>
                    <w:right w:val="single" w:color="auto" w:sz="6" w:space="0"/>
                  </w:tcBorders>
                  <w:vAlign w:val="center"/>
                </w:tcPr>
                <w:p>
                  <w:pPr>
                    <w:pStyle w:val="77"/>
                    <w:spacing w:line="240" w:lineRule="auto"/>
                  </w:pPr>
                  <w:r>
                    <w:rPr>
                      <w:rFonts w:hint="eastAsia"/>
                    </w:rPr>
                    <w:t>已按照雨污分流、清污分流的原则，布设厂区雨、污排水管网。生活及生产废水全部由污水管网收集进入粗格栅前，雨水由道路上雨水口收集，通过雨水管道排入潭榄溪。</w:t>
                  </w:r>
                </w:p>
              </w:tc>
              <w:tc>
                <w:tcPr>
                  <w:tcW w:w="793" w:type="dxa"/>
                  <w:tcBorders>
                    <w:top w:val="single" w:color="auto" w:sz="6" w:space="0"/>
                    <w:left w:val="single" w:color="auto" w:sz="6" w:space="0"/>
                    <w:bottom w:val="single" w:color="auto" w:sz="6" w:space="0"/>
                    <w:right w:val="single" w:color="auto" w:sz="12" w:space="0"/>
                  </w:tcBorders>
                  <w:vAlign w:val="center"/>
                </w:tcPr>
                <w:p>
                  <w:pPr>
                    <w:pStyle w:val="77"/>
                    <w:spacing w:line="240" w:lineRule="auto"/>
                  </w:pPr>
                  <w:r>
                    <w:rPr>
                      <w:rFonts w:hint="eastAsia"/>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34" w:hRule="atLeast"/>
                <w:jc w:val="center"/>
              </w:trPr>
              <w:tc>
                <w:tcPr>
                  <w:tcW w:w="4708" w:type="dxa"/>
                  <w:tcBorders>
                    <w:top w:val="single" w:color="auto" w:sz="6" w:space="0"/>
                    <w:left w:val="single" w:color="auto" w:sz="12" w:space="0"/>
                    <w:bottom w:val="single" w:color="auto" w:sz="6" w:space="0"/>
                    <w:right w:val="single" w:color="auto" w:sz="6" w:space="0"/>
                  </w:tcBorders>
                  <w:vAlign w:val="center"/>
                </w:tcPr>
                <w:p>
                  <w:pPr>
                    <w:pStyle w:val="77"/>
                    <w:spacing w:line="240" w:lineRule="auto"/>
                  </w:pPr>
                  <w:r>
                    <w:rPr>
                      <w:rFonts w:hint="eastAsia"/>
                    </w:rPr>
                    <w:t>产生的污泥经浓缩脱水后及时送垃圾处理厂填埋。须按相关要求设生活垃圾和废水处理污泥暂存场并建设防雨防滲设施，避免二次污染。</w:t>
                  </w:r>
                </w:p>
              </w:tc>
              <w:tc>
                <w:tcPr>
                  <w:tcW w:w="3741" w:type="dxa"/>
                  <w:tcBorders>
                    <w:top w:val="single" w:color="auto" w:sz="6" w:space="0"/>
                    <w:left w:val="single" w:color="auto" w:sz="6" w:space="0"/>
                    <w:bottom w:val="single" w:color="auto" w:sz="6" w:space="0"/>
                    <w:right w:val="single" w:color="auto" w:sz="6" w:space="0"/>
                  </w:tcBorders>
                  <w:vAlign w:val="center"/>
                </w:tcPr>
                <w:p>
                  <w:pPr>
                    <w:pStyle w:val="77"/>
                    <w:spacing w:line="240" w:lineRule="auto"/>
                  </w:pPr>
                  <w:r>
                    <w:rPr>
                      <w:rFonts w:hint="eastAsia"/>
                    </w:rPr>
                    <w:t>一期工程设有防雨防渗的封闭式贮泥池一座，污泥浓缩脱水后，泥饼即时运往垃圾处理厂填埋处置，不在场内暂存。生活垃圾采用封闭式垃圾桶统一收集后，由环卫部门统一清运，日产日清。</w:t>
                  </w:r>
                </w:p>
              </w:tc>
              <w:tc>
                <w:tcPr>
                  <w:tcW w:w="793" w:type="dxa"/>
                  <w:tcBorders>
                    <w:top w:val="single" w:color="auto" w:sz="6" w:space="0"/>
                    <w:left w:val="single" w:color="auto" w:sz="6" w:space="0"/>
                    <w:bottom w:val="single" w:color="auto" w:sz="6" w:space="0"/>
                    <w:right w:val="single" w:color="auto" w:sz="12" w:space="0"/>
                  </w:tcBorders>
                  <w:vAlign w:val="center"/>
                </w:tcPr>
                <w:p>
                  <w:pPr>
                    <w:pStyle w:val="77"/>
                    <w:spacing w:line="240" w:lineRule="auto"/>
                  </w:pPr>
                  <w:r>
                    <w:rPr>
                      <w:rFonts w:hint="eastAsia"/>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0" w:hRule="atLeast"/>
                <w:jc w:val="center"/>
              </w:trPr>
              <w:tc>
                <w:tcPr>
                  <w:tcW w:w="4708" w:type="dxa"/>
                  <w:tcBorders>
                    <w:top w:val="single" w:color="auto" w:sz="6" w:space="0"/>
                    <w:left w:val="single" w:color="auto" w:sz="12" w:space="0"/>
                    <w:bottom w:val="single" w:color="auto" w:sz="6" w:space="0"/>
                    <w:right w:val="single" w:color="auto" w:sz="6" w:space="0"/>
                  </w:tcBorders>
                  <w:vAlign w:val="center"/>
                </w:tcPr>
                <w:p>
                  <w:pPr>
                    <w:pStyle w:val="77"/>
                    <w:spacing w:line="240" w:lineRule="auto"/>
                  </w:pPr>
                  <w:r>
                    <w:rPr>
                      <w:rFonts w:hint="eastAsia"/>
                    </w:rPr>
                    <w:t>采取有效措施控制恶臭气体的排放，防止恶臭气体污染环境。污水处理厂和泵站须选用低噪声设备，并合理布局，高噪声设备须置于车间内并远离厂界，确保厂界噪声达标。</w:t>
                  </w:r>
                </w:p>
              </w:tc>
              <w:tc>
                <w:tcPr>
                  <w:tcW w:w="3741" w:type="dxa"/>
                  <w:tcBorders>
                    <w:top w:val="single" w:color="auto" w:sz="6" w:space="0"/>
                    <w:left w:val="single" w:color="auto" w:sz="6" w:space="0"/>
                    <w:bottom w:val="single" w:color="auto" w:sz="6" w:space="0"/>
                    <w:right w:val="single" w:color="auto" w:sz="6" w:space="0"/>
                  </w:tcBorders>
                  <w:vAlign w:val="center"/>
                </w:tcPr>
                <w:p>
                  <w:pPr>
                    <w:pStyle w:val="77"/>
                    <w:spacing w:line="240" w:lineRule="auto"/>
                  </w:pPr>
                  <w:r>
                    <w:rPr>
                      <w:rFonts w:hint="eastAsia"/>
                    </w:rPr>
                    <w:t>一期工程布局合理，高噪声设备安装位置远离厂界，水泵多为水下安装，风机等高噪声设备多安置在风机房内。恶臭气体未设置收集除臭设施，目前主要通过厂区绿化控制恶臭气体排放，根据企业自行委托检测结果，一期工程厂界噪声及无组织废气均可实现达标排放。</w:t>
                  </w:r>
                </w:p>
              </w:tc>
              <w:tc>
                <w:tcPr>
                  <w:tcW w:w="793" w:type="dxa"/>
                  <w:tcBorders>
                    <w:top w:val="single" w:color="auto" w:sz="6" w:space="0"/>
                    <w:left w:val="single" w:color="auto" w:sz="6" w:space="0"/>
                    <w:bottom w:val="single" w:color="auto" w:sz="6" w:space="0"/>
                    <w:right w:val="single" w:color="auto" w:sz="12" w:space="0"/>
                  </w:tcBorders>
                  <w:vAlign w:val="center"/>
                </w:tcPr>
                <w:p>
                  <w:pPr>
                    <w:pStyle w:val="77"/>
                    <w:spacing w:line="240" w:lineRule="auto"/>
                  </w:pPr>
                  <w:r>
                    <w:rPr>
                      <w:rFonts w:hint="eastAsia"/>
                    </w:rPr>
                    <w:t>基本符合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67" w:hRule="atLeast"/>
                <w:jc w:val="center"/>
              </w:trPr>
              <w:tc>
                <w:tcPr>
                  <w:tcW w:w="4708" w:type="dxa"/>
                  <w:tcBorders>
                    <w:top w:val="single" w:color="auto" w:sz="6" w:space="0"/>
                    <w:left w:val="single" w:color="auto" w:sz="12" w:space="0"/>
                    <w:bottom w:val="single" w:color="auto" w:sz="6" w:space="0"/>
                    <w:right w:val="single" w:color="auto" w:sz="6" w:space="0"/>
                  </w:tcBorders>
                  <w:vAlign w:val="center"/>
                </w:tcPr>
                <w:p>
                  <w:pPr>
                    <w:pStyle w:val="77"/>
                    <w:spacing w:line="240" w:lineRule="auto"/>
                  </w:pPr>
                  <w:r>
                    <w:rPr>
                      <w:rFonts w:hint="eastAsia"/>
                    </w:rPr>
                    <w:t>重视厂区绿化、美化工作，合理配置树种，种植隔音、吸附效果较好的常绿阔叶树种，控制异味、噪声的影响。</w:t>
                  </w:r>
                </w:p>
              </w:tc>
              <w:tc>
                <w:tcPr>
                  <w:tcW w:w="3741" w:type="dxa"/>
                  <w:tcBorders>
                    <w:top w:val="single" w:color="auto" w:sz="6" w:space="0"/>
                    <w:left w:val="single" w:color="auto" w:sz="6" w:space="0"/>
                    <w:bottom w:val="single" w:color="auto" w:sz="6" w:space="0"/>
                    <w:right w:val="single" w:color="auto" w:sz="6" w:space="0"/>
                  </w:tcBorders>
                  <w:vAlign w:val="center"/>
                </w:tcPr>
                <w:p>
                  <w:pPr>
                    <w:pStyle w:val="77"/>
                    <w:spacing w:line="240" w:lineRule="auto"/>
                  </w:pPr>
                  <w:r>
                    <w:rPr>
                      <w:rFonts w:hint="eastAsia"/>
                    </w:rPr>
                    <w:t>厂区绿化配置合理，主要植被类型为隔音、吸附效果较好的常绿阔叶树种。</w:t>
                  </w:r>
                </w:p>
              </w:tc>
              <w:tc>
                <w:tcPr>
                  <w:tcW w:w="793" w:type="dxa"/>
                  <w:tcBorders>
                    <w:top w:val="single" w:color="auto" w:sz="6" w:space="0"/>
                    <w:left w:val="single" w:color="auto" w:sz="6" w:space="0"/>
                    <w:bottom w:val="single" w:color="auto" w:sz="6" w:space="0"/>
                    <w:right w:val="single" w:color="auto" w:sz="12" w:space="0"/>
                  </w:tcBorders>
                  <w:vAlign w:val="center"/>
                </w:tcPr>
                <w:p>
                  <w:pPr>
                    <w:pStyle w:val="77"/>
                    <w:spacing w:line="240" w:lineRule="auto"/>
                  </w:pPr>
                  <w:r>
                    <w:rPr>
                      <w:rFonts w:hint="eastAsia"/>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59" w:hRule="atLeast"/>
                <w:jc w:val="center"/>
              </w:trPr>
              <w:tc>
                <w:tcPr>
                  <w:tcW w:w="4708" w:type="dxa"/>
                  <w:tcBorders>
                    <w:top w:val="single" w:color="auto" w:sz="6" w:space="0"/>
                    <w:left w:val="single" w:color="auto" w:sz="12" w:space="0"/>
                    <w:bottom w:val="single" w:color="auto" w:sz="6" w:space="0"/>
                    <w:right w:val="single" w:color="auto" w:sz="6" w:space="0"/>
                  </w:tcBorders>
                  <w:vAlign w:val="center"/>
                </w:tcPr>
                <w:p>
                  <w:pPr>
                    <w:pStyle w:val="77"/>
                    <w:spacing w:line="240" w:lineRule="auto"/>
                  </w:pPr>
                  <w:r>
                    <w:rPr>
                      <w:rFonts w:hint="eastAsia"/>
                    </w:rPr>
                    <w:t>建立、健全生产管理制度，重视污水处理设施的运行维护和保养，确保污水处理设施正常运行。要按规范设置污水排放口，安装污染物浓度和治理设施运行在线监控系统，并与省环境保护部门联网．加强环境风险事故防范，制定并落实事故防范措施和应急预案。</w:t>
                  </w:r>
                </w:p>
              </w:tc>
              <w:tc>
                <w:tcPr>
                  <w:tcW w:w="3741" w:type="dxa"/>
                  <w:tcBorders>
                    <w:top w:val="single" w:color="auto" w:sz="6" w:space="0"/>
                    <w:left w:val="single" w:color="auto" w:sz="6" w:space="0"/>
                    <w:bottom w:val="single" w:color="auto" w:sz="6" w:space="0"/>
                    <w:right w:val="single" w:color="auto" w:sz="6" w:space="0"/>
                  </w:tcBorders>
                  <w:vAlign w:val="center"/>
                </w:tcPr>
                <w:p>
                  <w:pPr>
                    <w:pStyle w:val="77"/>
                    <w:spacing w:line="240" w:lineRule="auto"/>
                  </w:pPr>
                  <w:r>
                    <w:rPr>
                      <w:rFonts w:hint="eastAsia"/>
                    </w:rPr>
                    <w:t>一期工程已建立、健全生产管理制度，但前期由于设备老化等原因导致污水超标排放，现已整改完毕，设备运营良好，已实现污水达标排放。污水排放口设置规范，并已安装在线监测系统并与省环境保护部门联网。建设单位已制定突发环境事件应急预案，并在定安县环境保护和城乡综合管理委员会完成备案。</w:t>
                  </w:r>
                </w:p>
              </w:tc>
              <w:tc>
                <w:tcPr>
                  <w:tcW w:w="793" w:type="dxa"/>
                  <w:tcBorders>
                    <w:top w:val="single" w:color="auto" w:sz="6" w:space="0"/>
                    <w:left w:val="single" w:color="auto" w:sz="6" w:space="0"/>
                    <w:bottom w:val="single" w:color="auto" w:sz="6" w:space="0"/>
                    <w:right w:val="single" w:color="auto" w:sz="12" w:space="0"/>
                  </w:tcBorders>
                  <w:vAlign w:val="center"/>
                </w:tcPr>
                <w:p>
                  <w:pPr>
                    <w:pStyle w:val="77"/>
                    <w:spacing w:line="240" w:lineRule="auto"/>
                  </w:pPr>
                  <w:r>
                    <w:rPr>
                      <w:rFonts w:hint="eastAsia"/>
                    </w:rPr>
                    <w:t>基本符合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4708" w:type="dxa"/>
                  <w:tcBorders>
                    <w:top w:val="single" w:color="auto" w:sz="6" w:space="0"/>
                    <w:left w:val="single" w:color="auto" w:sz="12" w:space="0"/>
                    <w:bottom w:val="single" w:color="auto" w:sz="6" w:space="0"/>
                    <w:right w:val="single" w:color="auto" w:sz="6" w:space="0"/>
                  </w:tcBorders>
                  <w:vAlign w:val="center"/>
                </w:tcPr>
                <w:p>
                  <w:pPr>
                    <w:pStyle w:val="77"/>
                    <w:spacing w:line="240" w:lineRule="auto"/>
                  </w:pPr>
                  <w:r>
                    <w:rPr>
                      <w:rFonts w:hint="eastAsia"/>
                    </w:rPr>
                    <w:t>重视施工期间的环境保护。加强对配套的污水管网工程的施工监管，防止水土流失和生态破坏，笮道施工采取合适的方式，防止大开大挖，施工应避免大面积土地裸露，沟槽下管后，要及时回填土方和恢复植被。产生的施工垃圾应妥善处置。</w:t>
                  </w:r>
                </w:p>
              </w:tc>
              <w:tc>
                <w:tcPr>
                  <w:tcW w:w="3741" w:type="dxa"/>
                  <w:tcBorders>
                    <w:top w:val="single" w:color="auto" w:sz="6" w:space="0"/>
                    <w:left w:val="single" w:color="auto" w:sz="6" w:space="0"/>
                    <w:bottom w:val="single" w:color="auto" w:sz="6" w:space="0"/>
                    <w:right w:val="single" w:color="auto" w:sz="6" w:space="0"/>
                  </w:tcBorders>
                  <w:vAlign w:val="center"/>
                </w:tcPr>
                <w:p>
                  <w:pPr>
                    <w:pStyle w:val="77"/>
                    <w:spacing w:line="240" w:lineRule="auto"/>
                  </w:pPr>
                  <w:r>
                    <w:rPr>
                      <w:rFonts w:hint="eastAsia"/>
                    </w:rPr>
                    <w:t>厂区内植被恢复良好，无水土流失及生态破坏等环境问题，厂内无施工垃圾堆存。</w:t>
                  </w:r>
                </w:p>
              </w:tc>
              <w:tc>
                <w:tcPr>
                  <w:tcW w:w="793" w:type="dxa"/>
                  <w:tcBorders>
                    <w:top w:val="single" w:color="auto" w:sz="6" w:space="0"/>
                    <w:left w:val="single" w:color="auto" w:sz="6" w:space="0"/>
                    <w:bottom w:val="single" w:color="auto" w:sz="6" w:space="0"/>
                    <w:right w:val="single" w:color="auto" w:sz="12" w:space="0"/>
                  </w:tcBorders>
                  <w:vAlign w:val="center"/>
                </w:tcPr>
                <w:p>
                  <w:pPr>
                    <w:pStyle w:val="77"/>
                    <w:spacing w:line="240" w:lineRule="auto"/>
                  </w:pPr>
                  <w:r>
                    <w:rPr>
                      <w:rFonts w:hint="eastAsia"/>
                    </w:rPr>
                    <w:t>基本符合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4708" w:type="dxa"/>
                  <w:tcBorders>
                    <w:top w:val="single" w:color="auto" w:sz="6" w:space="0"/>
                    <w:left w:val="single" w:color="auto" w:sz="12" w:space="0"/>
                    <w:bottom w:val="single" w:color="auto" w:sz="6" w:space="0"/>
                    <w:right w:val="single" w:color="auto" w:sz="6" w:space="0"/>
                  </w:tcBorders>
                  <w:vAlign w:val="center"/>
                </w:tcPr>
                <w:p>
                  <w:pPr>
                    <w:pStyle w:val="77"/>
                    <w:spacing w:line="240" w:lineRule="auto"/>
                  </w:pPr>
                  <w:r>
                    <w:rPr>
                      <w:rFonts w:hint="eastAsia"/>
                    </w:rPr>
                    <w:t>危险废物贮存设施（仓库式）设计原则：地面与裙角要用坚固、防渗的材料建造，建筑材料必须与危险废物相容。必须有泄漏液体收集装置、气体导出口及气体净化装置。设施内要有安全照明设施和观察窗口。用以存放装载液体、半固体危险废物容器的地方，必须有耐腐蚀的硬化地面，且表面无裂隙。应设计堵截泄漏的裙脚，地面与裙脚所围建的容积不低于堵截最大容器的最大储量或总储量的。不相容的危险废物必须分开存放，并设有隔离间隔断。</w:t>
                  </w:r>
                </w:p>
              </w:tc>
              <w:tc>
                <w:tcPr>
                  <w:tcW w:w="3741" w:type="dxa"/>
                  <w:tcBorders>
                    <w:top w:val="single" w:color="auto" w:sz="6" w:space="0"/>
                    <w:left w:val="single" w:color="auto" w:sz="6" w:space="0"/>
                    <w:bottom w:val="single" w:color="auto" w:sz="6" w:space="0"/>
                    <w:right w:val="single" w:color="auto" w:sz="6" w:space="0"/>
                  </w:tcBorders>
                  <w:vAlign w:val="center"/>
                </w:tcPr>
                <w:p>
                  <w:pPr>
                    <w:pStyle w:val="77"/>
                    <w:spacing w:line="240" w:lineRule="auto"/>
                  </w:pPr>
                  <w:r>
                    <w:rPr>
                      <w:rFonts w:hint="eastAsia"/>
                    </w:rPr>
                    <w:t>危废暂存间内地面采用水泥硬化，未做防渗措施且地面破损严重，裙角高度较矮，且裙角与地面衔接处有裂痕。暂存间内未设置泄漏液体收集装置、气体导出口及气体净化装置。</w:t>
                  </w:r>
                </w:p>
              </w:tc>
              <w:tc>
                <w:tcPr>
                  <w:tcW w:w="793" w:type="dxa"/>
                  <w:tcBorders>
                    <w:top w:val="single" w:color="auto" w:sz="6" w:space="0"/>
                    <w:left w:val="single" w:color="auto" w:sz="6" w:space="0"/>
                    <w:bottom w:val="single" w:color="auto" w:sz="6" w:space="0"/>
                    <w:right w:val="single" w:color="auto" w:sz="12" w:space="0"/>
                  </w:tcBorders>
                  <w:vAlign w:val="center"/>
                </w:tcPr>
                <w:p>
                  <w:pPr>
                    <w:pStyle w:val="77"/>
                    <w:spacing w:line="240" w:lineRule="auto"/>
                  </w:pPr>
                  <w:r>
                    <w:rPr>
                      <w:rFonts w:hint="eastAsia"/>
                    </w:rPr>
                    <w:t>需整改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4708" w:type="dxa"/>
                  <w:tcBorders>
                    <w:top w:val="single" w:color="auto" w:sz="6" w:space="0"/>
                    <w:left w:val="single" w:color="auto" w:sz="12" w:space="0"/>
                    <w:bottom w:val="single" w:color="auto" w:sz="12" w:space="0"/>
                    <w:right w:val="single" w:color="auto" w:sz="6" w:space="0"/>
                  </w:tcBorders>
                  <w:vAlign w:val="center"/>
                </w:tcPr>
                <w:p>
                  <w:pPr>
                    <w:pStyle w:val="77"/>
                    <w:spacing w:line="240" w:lineRule="auto"/>
                  </w:pPr>
                  <w:r>
                    <w:rPr>
                      <w:rFonts w:hint="eastAsia"/>
                    </w:rPr>
                    <w:t>危险废物贮存容器要求：应当使用符合标准的容器盛装危险废物。装载危险废物的容器及材质要满足相应的强度要求。装载危险废物的容器必须完好无损。盛装危险废物的容器材质和衬里要与危险废物相容（不相互反应）。液体危险废物可注人开孔直径不超过</w:t>
                  </w:r>
                  <w:r>
                    <w:t>70 mm</w:t>
                  </w:r>
                  <w:r>
                    <w:rPr>
                      <w:rFonts w:hint="eastAsia"/>
                    </w:rPr>
                    <w:t>并有放气孔的桶中。</w:t>
                  </w:r>
                </w:p>
              </w:tc>
              <w:tc>
                <w:tcPr>
                  <w:tcW w:w="3741" w:type="dxa"/>
                  <w:tcBorders>
                    <w:top w:val="single" w:color="auto" w:sz="6" w:space="0"/>
                    <w:left w:val="single" w:color="auto" w:sz="6" w:space="0"/>
                    <w:bottom w:val="single" w:color="auto" w:sz="12" w:space="0"/>
                    <w:right w:val="single" w:color="auto" w:sz="6" w:space="0"/>
                  </w:tcBorders>
                  <w:vAlign w:val="center"/>
                </w:tcPr>
                <w:p>
                  <w:pPr>
                    <w:pStyle w:val="77"/>
                    <w:spacing w:line="240" w:lineRule="auto"/>
                  </w:pPr>
                  <w:r>
                    <w:rPr>
                      <w:rFonts w:hint="eastAsia"/>
                    </w:rPr>
                    <w:t>实验室废液贮存容器为广口塑料桶，不满足危险废物贮存容器要求</w:t>
                  </w:r>
                </w:p>
              </w:tc>
              <w:tc>
                <w:tcPr>
                  <w:tcW w:w="793" w:type="dxa"/>
                  <w:tcBorders>
                    <w:top w:val="single" w:color="auto" w:sz="6" w:space="0"/>
                    <w:left w:val="single" w:color="auto" w:sz="6" w:space="0"/>
                    <w:bottom w:val="single" w:color="auto" w:sz="12" w:space="0"/>
                    <w:right w:val="single" w:color="auto" w:sz="12" w:space="0"/>
                  </w:tcBorders>
                  <w:vAlign w:val="center"/>
                </w:tcPr>
                <w:p>
                  <w:pPr>
                    <w:pStyle w:val="77"/>
                    <w:spacing w:line="240" w:lineRule="auto"/>
                  </w:pPr>
                  <w:r>
                    <w:rPr>
                      <w:rFonts w:hint="eastAsia"/>
                    </w:rPr>
                    <w:t>需整改</w:t>
                  </w:r>
                </w:p>
              </w:tc>
            </w:tr>
          </w:tbl>
          <w:p>
            <w:pPr>
              <w:spacing w:line="360" w:lineRule="auto"/>
              <w:ind w:firstLine="482" w:firstLineChars="200"/>
              <w:rPr>
                <w:rFonts w:ascii="Times New Roman" w:hAnsi="Times New Roman"/>
                <w:b/>
                <w:bCs/>
                <w:sz w:val="24"/>
                <w:szCs w:val="24"/>
              </w:rPr>
            </w:pPr>
            <w:r>
              <w:rPr>
                <w:rFonts w:hint="eastAsia" w:ascii="Times New Roman" w:hAnsi="Times New Roman"/>
                <w:b/>
                <w:bCs/>
                <w:sz w:val="24"/>
                <w:szCs w:val="24"/>
              </w:rPr>
              <w:t>五、目前存在问题、整改方案及“以新带老”措施</w:t>
            </w:r>
          </w:p>
          <w:p>
            <w:pPr>
              <w:pStyle w:val="114"/>
            </w:pPr>
            <w:r>
              <w:t>1</w:t>
            </w:r>
            <w:r>
              <w:rPr>
                <w:rFonts w:hint="eastAsia"/>
              </w:rPr>
              <w:t>、存在的问题</w:t>
            </w:r>
          </w:p>
          <w:p>
            <w:pPr>
              <w:pStyle w:val="114"/>
            </w:pPr>
            <w:r>
              <w:rPr>
                <w:rFonts w:hint="eastAsia"/>
                <w:szCs w:val="24"/>
              </w:rPr>
              <w:t>（</w:t>
            </w:r>
            <w:r>
              <w:rPr>
                <w:szCs w:val="24"/>
              </w:rPr>
              <w:t>1</w:t>
            </w:r>
            <w:r>
              <w:rPr>
                <w:rFonts w:hint="eastAsia"/>
                <w:szCs w:val="24"/>
              </w:rPr>
              <w:t>）</w:t>
            </w:r>
            <w:r>
              <w:rPr>
                <w:rFonts w:hint="eastAsia"/>
              </w:rPr>
              <w:t>恶臭气体无组织排放。</w:t>
            </w:r>
          </w:p>
          <w:p>
            <w:pPr>
              <w:pStyle w:val="114"/>
            </w:pPr>
            <w:r>
              <w:rPr>
                <w:rFonts w:hint="eastAsia"/>
              </w:rPr>
              <w:t>（</w:t>
            </w:r>
            <w:r>
              <w:t>2</w:t>
            </w:r>
            <w:r>
              <w:rPr>
                <w:rFonts w:hint="eastAsia"/>
              </w:rPr>
              <w:t>）现有危废暂存间内地面采用水泥硬化，未做防渗措施且地面破损严重，裙角高度较矮，且裙角与地面衔接处有裂痕。暂存间内未设置泄漏液体收集装置、气体导出口及气体净化装置。危险废物暂存间设置不满足《危险废物贮存污染控制标准》（</w:t>
            </w:r>
            <w:r>
              <w:t>GB18597-2001</w:t>
            </w:r>
            <w:r>
              <w:rPr>
                <w:rFonts w:hint="eastAsia"/>
              </w:rPr>
              <w:t>）（及</w:t>
            </w:r>
            <w:r>
              <w:t>2013</w:t>
            </w:r>
            <w:r>
              <w:rPr>
                <w:rFonts w:hint="eastAsia"/>
              </w:rPr>
              <w:t>年修改单）关于危险废物贮存设施（仓库式）设计原则要求</w:t>
            </w:r>
            <w:r>
              <w:t>——</w:t>
            </w:r>
            <w:r>
              <w:rPr>
                <w:rFonts w:hint="eastAsia"/>
              </w:rPr>
              <w:t>地面与裙角要用坚固、防渗的材料建造，建筑材料必须与危险废物相容。必须有泄漏液体收集装置、气体导出口及气体净化装置。</w:t>
            </w:r>
          </w:p>
          <w:p>
            <w:pPr>
              <w:pStyle w:val="114"/>
            </w:pPr>
            <w:r>
              <w:rPr>
                <w:rFonts w:hint="eastAsia"/>
              </w:rPr>
              <w:t>（</w:t>
            </w:r>
            <w:r>
              <w:t>3</w:t>
            </w:r>
            <w:r>
              <w:rPr>
                <w:rFonts w:hint="eastAsia"/>
              </w:rPr>
              <w:t>）实验室废液贮存容器为广口塑料桶，不满足《危险废物贮存污染控制标准》（</w:t>
            </w:r>
            <w:r>
              <w:t>GB18597-2001</w:t>
            </w:r>
            <w:r>
              <w:rPr>
                <w:rFonts w:hint="eastAsia"/>
              </w:rPr>
              <w:t>）（及</w:t>
            </w:r>
            <w:r>
              <w:t>2013</w:t>
            </w:r>
            <w:r>
              <w:rPr>
                <w:rFonts w:hint="eastAsia"/>
              </w:rPr>
              <w:t>年修改单）关于危险废物贮存容器要求。</w:t>
            </w:r>
          </w:p>
          <w:p>
            <w:pPr>
              <w:pStyle w:val="114"/>
            </w:pPr>
            <w:r>
              <w:rPr>
                <w:rFonts w:hint="eastAsia"/>
              </w:rPr>
              <w:t>（</w:t>
            </w:r>
            <w:r>
              <w:t>4</w:t>
            </w:r>
            <w:r>
              <w:rPr>
                <w:rFonts w:hint="eastAsia"/>
              </w:rPr>
              <w:t>）进水总管未安装在线监测系统，不符合《排污许可证申请与核发技术规范</w:t>
            </w:r>
            <w:r>
              <w:t xml:space="preserve"> </w:t>
            </w:r>
            <w:r>
              <w:rPr>
                <w:rFonts w:hint="eastAsia"/>
              </w:rPr>
              <w:t>水处理（试行）》（</w:t>
            </w:r>
            <w:r>
              <w:t>HJ978-2018</w:t>
            </w:r>
            <w:r>
              <w:rPr>
                <w:rFonts w:hint="eastAsia"/>
              </w:rPr>
              <w:t>）中</w:t>
            </w:r>
            <w:r>
              <w:t>7.3</w:t>
            </w:r>
            <w:r>
              <w:rPr>
                <w:rFonts w:hint="eastAsia"/>
              </w:rPr>
              <w:t>自行监测中要求城镇污水处理厂需自动监测进水总管的流量、化学需氧量和氨氮。</w:t>
            </w:r>
          </w:p>
          <w:p>
            <w:pPr>
              <w:pStyle w:val="114"/>
            </w:pPr>
            <w:r>
              <w:t>2</w:t>
            </w:r>
            <w:r>
              <w:rPr>
                <w:rFonts w:hint="eastAsia"/>
              </w:rPr>
              <w:t>、整改方案</w:t>
            </w:r>
          </w:p>
          <w:p>
            <w:pPr>
              <w:pStyle w:val="114"/>
            </w:pPr>
            <w:r>
              <w:rPr>
                <w:rFonts w:hint="eastAsia"/>
              </w:rPr>
              <w:t>（</w:t>
            </w:r>
            <w:r>
              <w:t>1</w:t>
            </w:r>
            <w:r>
              <w:rPr>
                <w:rFonts w:hint="eastAsia"/>
              </w:rPr>
              <w:t>）对危废暂存间进行地面防渗改造，加高裙角，采用坚固、防渗的材料建造，建筑材料必须与危险废物相容。必须有耐腐蚀的硬化地面，且表面无裂隙。应设计堵截泄漏的裙脚，地面与裙脚所围建的容积不低于堵截最大容器的最大储量或总储量的。不相容的危险废物必须分开存放，并设有隔离间隔断。增设泄漏液体收集装置。</w:t>
            </w:r>
          </w:p>
          <w:p>
            <w:pPr>
              <w:pStyle w:val="114"/>
            </w:pPr>
            <w:r>
              <w:rPr>
                <w:rFonts w:hint="eastAsia"/>
              </w:rPr>
              <w:t>（</w:t>
            </w:r>
            <w:r>
              <w:t>2</w:t>
            </w:r>
            <w:r>
              <w:rPr>
                <w:rFonts w:hint="eastAsia"/>
              </w:rPr>
              <w:t>）采用开孔直径不超过</w:t>
            </w:r>
            <w:r>
              <w:t>70 mm</w:t>
            </w:r>
            <w:r>
              <w:rPr>
                <w:rFonts w:hint="eastAsia"/>
              </w:rPr>
              <w:t>并有放气孔的塑料桶收集实验室废液等液体危险废物，贮存容器须满足《危险废物贮存污染控制标准》（</w:t>
            </w:r>
            <w:r>
              <w:t>GB18597-2001</w:t>
            </w:r>
            <w:r>
              <w:rPr>
                <w:rFonts w:hint="eastAsia"/>
              </w:rPr>
              <w:t>）（及</w:t>
            </w:r>
            <w:r>
              <w:t>2013</w:t>
            </w:r>
            <w:r>
              <w:rPr>
                <w:rFonts w:hint="eastAsia"/>
              </w:rPr>
              <w:t>年修改单）关于危险废物贮存容器要求。</w:t>
            </w:r>
          </w:p>
          <w:p>
            <w:pPr>
              <w:pStyle w:val="114"/>
            </w:pPr>
            <w:r>
              <w:rPr>
                <w:rFonts w:hint="eastAsia"/>
              </w:rPr>
              <w:t>（</w:t>
            </w:r>
            <w:r>
              <w:t>3</w:t>
            </w:r>
            <w:r>
              <w:rPr>
                <w:rFonts w:hint="eastAsia"/>
              </w:rPr>
              <w:t>）进水总管安装自动在线监测系统并与海南省生态环境主管部门污染源自动监控监控系统平台联网。</w:t>
            </w:r>
          </w:p>
          <w:p>
            <w:pPr>
              <w:pStyle w:val="114"/>
            </w:pPr>
            <w:r>
              <w:rPr>
                <w:rFonts w:hint="eastAsia"/>
              </w:rPr>
              <w:t>三、“以新带老”措施</w:t>
            </w:r>
          </w:p>
          <w:p>
            <w:pPr>
              <w:pStyle w:val="114"/>
            </w:pPr>
            <w:r>
              <w:rPr>
                <w:rFonts w:hint="eastAsia"/>
              </w:rPr>
              <w:t>对一期主要恶臭气体产生源粗格栅、细格栅、沉砂池、</w:t>
            </w:r>
            <w:r>
              <w:t>AAO</w:t>
            </w:r>
            <w:r>
              <w:rPr>
                <w:rFonts w:hint="eastAsia"/>
              </w:rPr>
              <w:t>进行加罩收集后，通过生物滤池除臭处理后，通过</w:t>
            </w:r>
            <w:r>
              <w:t>15m</w:t>
            </w:r>
            <w:r>
              <w:rPr>
                <w:rFonts w:hint="eastAsia"/>
              </w:rPr>
              <w:t>高排气筒排放。</w:t>
            </w:r>
          </w:p>
          <w:p>
            <w:pPr>
              <w:pStyle w:val="114"/>
              <w:rPr>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2" w:hRule="atLeast"/>
          <w:jc w:val="center"/>
        </w:trPr>
        <w:tc>
          <w:tcPr>
            <w:tcW w:w="9344" w:type="dxa"/>
            <w:gridSpan w:val="9"/>
          </w:tcPr>
          <w:p>
            <w:pPr>
              <w:snapToGrid w:val="0"/>
              <w:spacing w:line="360" w:lineRule="auto"/>
              <w:contextualSpacing/>
              <w:rPr>
                <w:rFonts w:ascii="Times New Roman" w:hAnsi="Times New Roman"/>
                <w:sz w:val="24"/>
                <w:szCs w:val="24"/>
              </w:rPr>
            </w:pPr>
            <w:r>
              <w:rPr>
                <w:rStyle w:val="33"/>
                <w:rFonts w:hint="eastAsia" w:ascii="Times New Roman" w:hAnsi="Times New Roman"/>
                <w:bCs/>
                <w:sz w:val="24"/>
                <w:szCs w:val="24"/>
              </w:rPr>
              <w:t>自然环境简况（地理位置、气象、水文特征等）：</w:t>
            </w:r>
            <w:r>
              <w:rPr>
                <w:rFonts w:ascii="Times New Roman" w:hAnsi="Times New Roman"/>
                <w:sz w:val="24"/>
                <w:szCs w:val="24"/>
              </w:rPr>
              <w:tab/>
            </w:r>
          </w:p>
          <w:p>
            <w:pPr>
              <w:adjustRightInd w:val="0"/>
              <w:snapToGrid w:val="0"/>
              <w:spacing w:line="360" w:lineRule="auto"/>
              <w:ind w:firstLine="573"/>
              <w:contextualSpacing/>
              <w:rPr>
                <w:rFonts w:ascii="Times New Roman" w:hAnsi="Times New Roman"/>
                <w:b/>
                <w:sz w:val="24"/>
                <w:szCs w:val="24"/>
              </w:rPr>
            </w:pPr>
            <w:r>
              <w:rPr>
                <w:rFonts w:ascii="Times New Roman" w:hAnsi="Times New Roman"/>
                <w:b/>
                <w:sz w:val="24"/>
                <w:szCs w:val="24"/>
              </w:rPr>
              <w:t>1</w:t>
            </w:r>
            <w:r>
              <w:rPr>
                <w:rFonts w:hint="eastAsia" w:ascii="Times New Roman" w:hAnsi="Times New Roman"/>
                <w:b/>
                <w:sz w:val="24"/>
                <w:szCs w:val="24"/>
              </w:rPr>
              <w:t>、地理位置</w:t>
            </w:r>
          </w:p>
          <w:p>
            <w:pPr>
              <w:pStyle w:val="114"/>
            </w:pPr>
            <w:r>
              <w:rPr>
                <w:rFonts w:hint="eastAsia"/>
              </w:rPr>
              <w:t>定安县位于海南岛的中部偏东北，东经</w:t>
            </w:r>
            <w:r>
              <w:t>110°7′~110°31′</w:t>
            </w:r>
            <w:r>
              <w:rPr>
                <w:rFonts w:hint="eastAsia"/>
              </w:rPr>
              <w:t>，北纬</w:t>
            </w:r>
            <w:r>
              <w:t>19°13′~19°44′</w:t>
            </w:r>
            <w:r>
              <w:rPr>
                <w:rFonts w:hint="eastAsia"/>
              </w:rPr>
              <w:t>。东临文昌市，西接澄迈县，东南与琼海市毗邻，西南与屯昌县接壤，北隔南渡江与海口市琼山区相望；东西宽</w:t>
            </w:r>
            <w:r>
              <w:t>45.50</w:t>
            </w:r>
            <w:r>
              <w:rPr>
                <w:rFonts w:hint="eastAsia"/>
              </w:rPr>
              <w:t>公里，南北长</w:t>
            </w:r>
            <w:r>
              <w:t>68</w:t>
            </w:r>
            <w:r>
              <w:rPr>
                <w:rFonts w:hint="eastAsia"/>
              </w:rPr>
              <w:t>公里，疆界长</w:t>
            </w:r>
            <w:r>
              <w:t>251.50</w:t>
            </w:r>
            <w:r>
              <w:rPr>
                <w:rFonts w:hint="eastAsia"/>
              </w:rPr>
              <w:t>公里，全县面积</w:t>
            </w:r>
            <w:r>
              <w:t>1177.70km</w:t>
            </w:r>
            <w:r>
              <w:rPr>
                <w:vertAlign w:val="superscript"/>
              </w:rPr>
              <w:t>2</w:t>
            </w:r>
            <w:r>
              <w:rPr>
                <w:rFonts w:hint="eastAsia"/>
              </w:rPr>
              <w:t>。</w:t>
            </w:r>
          </w:p>
          <w:p>
            <w:pPr>
              <w:pStyle w:val="114"/>
            </w:pPr>
            <w:r>
              <w:rPr>
                <w:rFonts w:hint="eastAsia"/>
              </w:rPr>
              <w:t>本项目位于定安县环城北路，地理坐标为东经</w:t>
            </w:r>
            <w:r>
              <w:t>110°20′51.01′′</w:t>
            </w:r>
            <w:r>
              <w:rPr>
                <w:rFonts w:hint="eastAsia"/>
              </w:rPr>
              <w:t>，北纬</w:t>
            </w:r>
            <w:r>
              <w:t>19°42′0.87′′</w:t>
            </w:r>
            <w:r>
              <w:rPr>
                <w:rFonts w:hint="eastAsia"/>
              </w:rPr>
              <w:t>，具体地理位置见附图</w:t>
            </w:r>
            <w:r>
              <w:t>1</w:t>
            </w:r>
            <w:r>
              <w:rPr>
                <w:rFonts w:hint="eastAsia"/>
              </w:rPr>
              <w:t>。</w:t>
            </w:r>
          </w:p>
          <w:p>
            <w:pPr>
              <w:adjustRightInd w:val="0"/>
              <w:snapToGrid w:val="0"/>
              <w:spacing w:line="360" w:lineRule="auto"/>
              <w:ind w:firstLine="573"/>
              <w:contextualSpacing/>
              <w:rPr>
                <w:rFonts w:ascii="Times New Roman" w:hAnsi="Times New Roman"/>
                <w:b/>
                <w:sz w:val="24"/>
                <w:szCs w:val="24"/>
              </w:rPr>
            </w:pPr>
            <w:r>
              <w:rPr>
                <w:rFonts w:ascii="Times New Roman" w:hAnsi="Times New Roman"/>
                <w:b/>
                <w:sz w:val="24"/>
                <w:szCs w:val="24"/>
              </w:rPr>
              <w:t>2</w:t>
            </w:r>
            <w:r>
              <w:rPr>
                <w:rFonts w:hint="eastAsia" w:ascii="Times New Roman" w:hAnsi="Times New Roman"/>
                <w:b/>
                <w:sz w:val="24"/>
                <w:szCs w:val="24"/>
              </w:rPr>
              <w:t>、地形地貌：</w:t>
            </w:r>
          </w:p>
          <w:p>
            <w:pPr>
              <w:pStyle w:val="114"/>
            </w:pPr>
            <w:r>
              <w:rPr>
                <w:rFonts w:hint="eastAsia"/>
              </w:rPr>
              <w:t>定安县位于海南省东北部，地形南北长东西狭，南高北低，南部为丘陵山地，北部为平缓的台阶地。定安县地质主要由砂页岩、玄武岩、火山灰岩、花岗岩等岩石构成。定安县总面积</w:t>
            </w:r>
            <w:r>
              <w:t>1189km</w:t>
            </w:r>
            <w:r>
              <w:rPr>
                <w:vertAlign w:val="superscript"/>
              </w:rPr>
              <w:t>2</w:t>
            </w:r>
            <w:r>
              <w:rPr>
                <w:rFonts w:hint="eastAsia"/>
              </w:rPr>
              <w:t>，全县可利用土地面积</w:t>
            </w:r>
            <w:r>
              <w:t>178.1</w:t>
            </w:r>
            <w:r>
              <w:rPr>
                <w:rFonts w:hint="eastAsia"/>
              </w:rPr>
              <w:t>万亩，其中耕地面积</w:t>
            </w:r>
            <w:r>
              <w:t>72.24</w:t>
            </w:r>
            <w:r>
              <w:rPr>
                <w:rFonts w:hint="eastAsia"/>
              </w:rPr>
              <w:t>万亩，可开发的坡地、荒地</w:t>
            </w:r>
            <w:r>
              <w:t>60</w:t>
            </w:r>
            <w:r>
              <w:rPr>
                <w:rFonts w:hint="eastAsia"/>
              </w:rPr>
              <w:t>万亩，土地资源丰富，土地肥沃。土壤主要分三类型：南部地区以火山喷发的玄武岩和砾岩风化壤土及砂质粘土为主；中部地区属棕色粘土和沙质壤土；北部地区属南渡江冲积平原。定安县南部边界的南牛岭海拔</w:t>
            </w:r>
            <w:r>
              <w:t>513m</w:t>
            </w:r>
            <w:r>
              <w:rPr>
                <w:rFonts w:hint="eastAsia"/>
              </w:rPr>
              <w:t>，为全县最高点。</w:t>
            </w:r>
          </w:p>
          <w:p>
            <w:pPr>
              <w:adjustRightInd w:val="0"/>
              <w:snapToGrid w:val="0"/>
              <w:spacing w:line="360" w:lineRule="auto"/>
              <w:ind w:firstLine="573"/>
              <w:contextualSpacing/>
              <w:rPr>
                <w:rFonts w:ascii="Times New Roman" w:hAnsi="Times New Roman"/>
                <w:b/>
                <w:sz w:val="24"/>
                <w:szCs w:val="24"/>
              </w:rPr>
            </w:pPr>
            <w:r>
              <w:rPr>
                <w:rFonts w:ascii="Times New Roman" w:hAnsi="Times New Roman"/>
                <w:b/>
                <w:sz w:val="24"/>
                <w:szCs w:val="24"/>
              </w:rPr>
              <w:t>3</w:t>
            </w:r>
            <w:r>
              <w:rPr>
                <w:rFonts w:hint="eastAsia" w:ascii="Times New Roman" w:hAnsi="Times New Roman"/>
                <w:b/>
                <w:sz w:val="24"/>
                <w:szCs w:val="24"/>
              </w:rPr>
              <w:t>、气候、气象：</w:t>
            </w:r>
          </w:p>
          <w:p>
            <w:pPr>
              <w:pStyle w:val="114"/>
            </w:pPr>
            <w:r>
              <w:rPr>
                <w:rFonts w:hint="eastAsia"/>
              </w:rPr>
              <w:t>定安县属热带季风海洋性气候，气候特点为：气候温和，热量丰富，阳光充足，雨量充沛，冬春雨水少，夏秋多风雨，干湿季分明，且雨热同季。年平均温度</w:t>
            </w:r>
            <w:r>
              <w:t>23.1</w:t>
            </w:r>
            <w:r>
              <w:rPr>
                <w:rFonts w:hint="eastAsia"/>
              </w:rPr>
              <w:t>至</w:t>
            </w:r>
            <w:r>
              <w:t>23.9</w:t>
            </w:r>
            <w:r>
              <w:rPr>
                <w:rFonts w:hint="eastAsia" w:ascii="宋体" w:hAnsi="宋体" w:cs="宋体"/>
              </w:rPr>
              <w:t>℃</w:t>
            </w:r>
            <w:r>
              <w:rPr>
                <w:rFonts w:hint="eastAsia"/>
              </w:rPr>
              <w:t>，年平均日照时数</w:t>
            </w:r>
            <w:r>
              <w:t>1972</w:t>
            </w:r>
            <w:r>
              <w:rPr>
                <w:rFonts w:hint="eastAsia"/>
              </w:rPr>
              <w:t>小时，年降水量达</w:t>
            </w:r>
            <w:r>
              <w:t>1965.6</w:t>
            </w:r>
            <w:r>
              <w:rPr>
                <w:rFonts w:hint="eastAsia"/>
              </w:rPr>
              <w:t>至</w:t>
            </w:r>
            <w:r>
              <w:t>2498mm</w:t>
            </w:r>
            <w:r>
              <w:rPr>
                <w:rFonts w:hint="eastAsia"/>
              </w:rPr>
              <w:t>。常年主要受干旱、非台暴雨、热带气旋、低温阴雨和雷雨大风等灾害天气影响。</w:t>
            </w:r>
          </w:p>
          <w:p>
            <w:pPr>
              <w:adjustRightInd w:val="0"/>
              <w:snapToGrid w:val="0"/>
              <w:spacing w:line="360" w:lineRule="auto"/>
              <w:ind w:firstLine="573"/>
              <w:contextualSpacing/>
              <w:rPr>
                <w:rFonts w:ascii="Times New Roman" w:hAnsi="Times New Roman"/>
                <w:b/>
                <w:sz w:val="24"/>
                <w:szCs w:val="24"/>
              </w:rPr>
            </w:pPr>
            <w:r>
              <w:rPr>
                <w:rFonts w:ascii="Times New Roman" w:hAnsi="Times New Roman"/>
                <w:b/>
                <w:sz w:val="24"/>
                <w:szCs w:val="24"/>
              </w:rPr>
              <w:t>4</w:t>
            </w:r>
            <w:r>
              <w:rPr>
                <w:rFonts w:hint="eastAsia" w:ascii="Times New Roman" w:hAnsi="Times New Roman"/>
                <w:b/>
                <w:sz w:val="24"/>
                <w:szCs w:val="24"/>
              </w:rPr>
              <w:t>、河流水系</w:t>
            </w:r>
          </w:p>
          <w:p>
            <w:pPr>
              <w:pStyle w:val="114"/>
            </w:pPr>
            <w:r>
              <w:rPr>
                <w:rFonts w:hint="eastAsia"/>
              </w:rPr>
              <w:t>定安境内的河流水系主要有潭榄溪，俗称仙屯溪、潭榄溪、温村水，是南渡江一级支流，发源于雷鸣的北斗岭，向北流经南曲、南九、新安和仙沟的排坡、桐卷坡，以及定城的春内、田洋、后山、莫村、仙屯等地，在仙屯北部汇入南渡江。干流长</w:t>
            </w:r>
            <w:r>
              <w:t>28.80</w:t>
            </w:r>
            <w:r>
              <w:rPr>
                <w:rFonts w:hint="eastAsia"/>
              </w:rPr>
              <w:t>公里，流域面积</w:t>
            </w:r>
            <w:r>
              <w:t>123.85</w:t>
            </w:r>
            <w:r>
              <w:rPr>
                <w:rFonts w:hint="eastAsia"/>
              </w:rPr>
              <w:t>平方公里，年均流量为</w:t>
            </w:r>
            <w:r>
              <w:t>3.56</w:t>
            </w:r>
            <w:r>
              <w:rPr>
                <w:rFonts w:hint="eastAsia"/>
              </w:rPr>
              <w:t>亿立方米，河道平均坡降</w:t>
            </w:r>
            <w:r>
              <w:t>0.00182</w:t>
            </w:r>
            <w:r>
              <w:rPr>
                <w:rFonts w:hint="eastAsia"/>
              </w:rPr>
              <w:t>。下游地面较为平坦，耕地海拔</w:t>
            </w:r>
            <w:r>
              <w:t>10-14.50</w:t>
            </w:r>
            <w:r>
              <w:rPr>
                <w:rFonts w:hint="eastAsia"/>
              </w:rPr>
              <w:t>米，常因南渡江洪水顶托倒灌，泛滥成灾。解放以后，上游建有纵公塘、半箕湾等小型水库</w:t>
            </w:r>
            <w:r>
              <w:t>12</w:t>
            </w:r>
            <w:r>
              <w:rPr>
                <w:rFonts w:hint="eastAsia"/>
              </w:rPr>
              <w:t>宗，控制集雨面积</w:t>
            </w:r>
            <w:r>
              <w:t>13.89</w:t>
            </w:r>
            <w:r>
              <w:rPr>
                <w:rFonts w:hint="eastAsia"/>
              </w:rPr>
              <w:t>平方公里，总库容</w:t>
            </w:r>
            <w:r>
              <w:t>706.40</w:t>
            </w:r>
            <w:r>
              <w:rPr>
                <w:rFonts w:hint="eastAsia"/>
              </w:rPr>
              <w:t>万立方米。潭榄溪在定安南九村附近从南往北流，经高石村、田洋村、南山村，最后流入南渡江。</w:t>
            </w:r>
          </w:p>
          <w:p>
            <w:pPr>
              <w:widowControl/>
              <w:snapToGrid w:val="0"/>
              <w:spacing w:line="360" w:lineRule="auto"/>
              <w:ind w:firstLine="482" w:firstLineChars="200"/>
              <w:contextualSpacing/>
              <w:rPr>
                <w:rFonts w:ascii="Times New Roman" w:hAnsi="Times New Roman"/>
                <w:kern w:val="0"/>
                <w:sz w:val="24"/>
                <w:szCs w:val="24"/>
              </w:rPr>
            </w:pPr>
            <w:r>
              <w:rPr>
                <w:rFonts w:ascii="Times New Roman" w:hAnsi="Times New Roman"/>
                <w:b/>
                <w:sz w:val="24"/>
                <w:szCs w:val="24"/>
              </w:rPr>
              <w:t>5</w:t>
            </w:r>
            <w:r>
              <w:rPr>
                <w:rFonts w:hint="eastAsia" w:ascii="Times New Roman" w:hAnsi="Times New Roman"/>
                <w:b/>
                <w:sz w:val="24"/>
                <w:szCs w:val="24"/>
              </w:rPr>
              <w:t>、植被、生物多样性</w:t>
            </w:r>
          </w:p>
          <w:p>
            <w:pPr>
              <w:pStyle w:val="114"/>
            </w:pPr>
            <w:r>
              <w:rPr>
                <w:rFonts w:hint="eastAsia"/>
              </w:rPr>
              <w:t>项目用地周边植被主要为桉树与草本植物等，植被种类单一，生物多样性不高。</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13" w:hRule="atLeast"/>
          <w:jc w:val="center"/>
        </w:trPr>
        <w:tc>
          <w:tcPr>
            <w:tcW w:w="9344" w:type="dxa"/>
            <w:gridSpan w:val="9"/>
          </w:tcPr>
          <w:p>
            <w:pPr>
              <w:adjustRightInd w:val="0"/>
              <w:snapToGrid w:val="0"/>
              <w:spacing w:line="460" w:lineRule="exact"/>
              <w:rPr>
                <w:rFonts w:ascii="Times New Roman" w:hAnsi="Times New Roman"/>
                <w:b/>
                <w:sz w:val="24"/>
              </w:rPr>
            </w:pPr>
            <w:r>
              <w:rPr>
                <w:rFonts w:hint="eastAsia" w:ascii="Times New Roman" w:hAnsi="Times New Roman"/>
                <w:b/>
                <w:sz w:val="24"/>
              </w:rPr>
              <w:t>区域环境功能区划</w:t>
            </w:r>
          </w:p>
          <w:p>
            <w:pPr>
              <w:pStyle w:val="114"/>
              <w:rPr>
                <w:b/>
              </w:rPr>
            </w:pPr>
            <w:r>
              <w:rPr>
                <w:rFonts w:hint="eastAsia"/>
              </w:rPr>
              <w:t>本项目所在地环境功能属性见表</w:t>
            </w:r>
            <w:r>
              <w:t>2-1</w:t>
            </w:r>
            <w:r>
              <w:rPr>
                <w:rFonts w:hint="eastAsia"/>
              </w:rPr>
              <w:t>：</w:t>
            </w:r>
          </w:p>
          <w:p>
            <w:pPr>
              <w:pStyle w:val="111"/>
            </w:pPr>
            <w:r>
              <w:rPr>
                <w:rFonts w:hint="eastAsia"/>
              </w:rPr>
              <w:t>表</w:t>
            </w:r>
            <w:r>
              <w:t>2-1</w:t>
            </w:r>
            <w:r>
              <w:rPr>
                <w:rFonts w:hint="eastAsia"/>
              </w:rPr>
              <w:t>区域环境功能区划</w:t>
            </w:r>
          </w:p>
          <w:tbl>
            <w:tblPr>
              <w:tblStyle w:val="37"/>
              <w:tblW w:w="8814"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90"/>
              <w:gridCol w:w="2815"/>
              <w:gridCol w:w="52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435" w:hRule="atLeast"/>
              </w:trPr>
              <w:tc>
                <w:tcPr>
                  <w:tcW w:w="790" w:type="dxa"/>
                  <w:tcBorders>
                    <w:top w:val="single" w:color="000000" w:sz="12" w:space="0"/>
                    <w:left w:val="single" w:color="000000" w:sz="12" w:space="0"/>
                    <w:bottom w:val="double" w:color="auto" w:sz="4" w:space="0"/>
                    <w:right w:val="single" w:color="000000" w:sz="6" w:space="0"/>
                  </w:tcBorders>
                  <w:vAlign w:val="center"/>
                </w:tcPr>
                <w:p>
                  <w:pPr>
                    <w:adjustRightInd w:val="0"/>
                    <w:snapToGrid w:val="0"/>
                    <w:jc w:val="center"/>
                    <w:rPr>
                      <w:rFonts w:ascii="Times New Roman" w:hAnsi="Times New Roman"/>
                      <w:b/>
                      <w:szCs w:val="21"/>
                    </w:rPr>
                  </w:pPr>
                  <w:r>
                    <w:rPr>
                      <w:rFonts w:hint="eastAsia" w:ascii="Times New Roman" w:hAnsi="Times New Roman"/>
                      <w:b/>
                      <w:szCs w:val="21"/>
                    </w:rPr>
                    <w:t>编号</w:t>
                  </w:r>
                </w:p>
              </w:tc>
              <w:tc>
                <w:tcPr>
                  <w:tcW w:w="2815" w:type="dxa"/>
                  <w:tcBorders>
                    <w:top w:val="single" w:color="000000" w:sz="12" w:space="0"/>
                    <w:left w:val="single" w:color="000000" w:sz="6" w:space="0"/>
                    <w:bottom w:val="double" w:color="auto" w:sz="4" w:space="0"/>
                    <w:right w:val="single" w:color="000000" w:sz="6" w:space="0"/>
                  </w:tcBorders>
                  <w:vAlign w:val="center"/>
                </w:tcPr>
                <w:p>
                  <w:pPr>
                    <w:adjustRightInd w:val="0"/>
                    <w:snapToGrid w:val="0"/>
                    <w:jc w:val="center"/>
                    <w:rPr>
                      <w:rFonts w:ascii="Times New Roman" w:hAnsi="Times New Roman"/>
                      <w:b/>
                      <w:szCs w:val="21"/>
                    </w:rPr>
                  </w:pPr>
                  <w:r>
                    <w:rPr>
                      <w:rFonts w:hint="eastAsia" w:ascii="Times New Roman" w:hAnsi="Times New Roman"/>
                      <w:b/>
                      <w:szCs w:val="21"/>
                    </w:rPr>
                    <w:t>项目</w:t>
                  </w:r>
                </w:p>
              </w:tc>
              <w:tc>
                <w:tcPr>
                  <w:tcW w:w="5209" w:type="dxa"/>
                  <w:tcBorders>
                    <w:top w:val="single" w:color="000000" w:sz="12" w:space="0"/>
                    <w:left w:val="single" w:color="000000" w:sz="6" w:space="0"/>
                    <w:bottom w:val="double" w:color="auto" w:sz="4" w:space="0"/>
                    <w:right w:val="single" w:color="000000" w:sz="12" w:space="0"/>
                  </w:tcBorders>
                  <w:vAlign w:val="center"/>
                </w:tcPr>
                <w:p>
                  <w:pPr>
                    <w:adjustRightInd w:val="0"/>
                    <w:snapToGrid w:val="0"/>
                    <w:jc w:val="center"/>
                    <w:rPr>
                      <w:rFonts w:ascii="Times New Roman" w:hAnsi="Times New Roman"/>
                      <w:b/>
                      <w:szCs w:val="21"/>
                    </w:rPr>
                  </w:pPr>
                  <w:r>
                    <w:rPr>
                      <w:rFonts w:hint="eastAsia" w:ascii="Times New Roman" w:hAnsi="Times New Roman"/>
                      <w:b/>
                      <w:szCs w:val="21"/>
                    </w:rPr>
                    <w:t>功能属性及执行标准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double" w:color="auto" w:sz="4"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1</w:t>
                  </w:r>
                </w:p>
              </w:tc>
              <w:tc>
                <w:tcPr>
                  <w:tcW w:w="2815" w:type="dxa"/>
                  <w:tcBorders>
                    <w:top w:val="double" w:color="auto" w:sz="4"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环境空气质量功能区</w:t>
                  </w:r>
                </w:p>
              </w:tc>
              <w:tc>
                <w:tcPr>
                  <w:tcW w:w="5209" w:type="dxa"/>
                  <w:tcBorders>
                    <w:top w:val="double" w:color="auto" w:sz="4" w:space="0"/>
                    <w:left w:val="single" w:color="000000" w:sz="6" w:space="0"/>
                    <w:bottom w:val="single" w:color="000000" w:sz="6" w:space="0"/>
                    <w:right w:val="single" w:color="000000" w:sz="12" w:space="0"/>
                  </w:tcBorders>
                  <w:vAlign w:val="center"/>
                </w:tcPr>
                <w:p>
                  <w:pPr>
                    <w:pStyle w:val="77"/>
                    <w:rPr>
                      <w:szCs w:val="21"/>
                    </w:rPr>
                  </w:pPr>
                  <w:r>
                    <w:rPr>
                      <w:rFonts w:hint="eastAsia"/>
                      <w:szCs w:val="21"/>
                    </w:rPr>
                    <w:t>二类区，环境空气质量执行《环境空气质量标准》</w:t>
                  </w:r>
                </w:p>
                <w:p>
                  <w:pPr>
                    <w:pStyle w:val="77"/>
                    <w:rPr>
                      <w:szCs w:val="21"/>
                    </w:rPr>
                  </w:pPr>
                  <w:r>
                    <w:rPr>
                      <w:rFonts w:hint="eastAsia"/>
                      <w:szCs w:val="21"/>
                    </w:rPr>
                    <w:t>（</w:t>
                  </w:r>
                  <w:r>
                    <w:rPr>
                      <w:szCs w:val="21"/>
                    </w:rPr>
                    <w:t>GB3095-2012</w:t>
                  </w:r>
                  <w:r>
                    <w:rPr>
                      <w:rFonts w:hint="eastAsia"/>
                      <w:szCs w:val="21"/>
                    </w:rPr>
                    <w:t>）二级标准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17"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2</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声环境功能区</w:t>
                  </w:r>
                </w:p>
              </w:tc>
              <w:tc>
                <w:tcPr>
                  <w:tcW w:w="5209" w:type="dxa"/>
                  <w:tcBorders>
                    <w:top w:val="single" w:color="000000" w:sz="6" w:space="0"/>
                    <w:left w:val="single" w:color="000000" w:sz="6" w:space="0"/>
                    <w:bottom w:val="single" w:color="000000" w:sz="6" w:space="0"/>
                    <w:right w:val="single" w:color="000000" w:sz="12" w:space="0"/>
                  </w:tcBorders>
                  <w:vAlign w:val="center"/>
                </w:tcPr>
                <w:p>
                  <w:pPr>
                    <w:pStyle w:val="77"/>
                    <w:rPr>
                      <w:szCs w:val="21"/>
                    </w:rPr>
                  </w:pPr>
                  <w:r>
                    <w:rPr>
                      <w:rFonts w:hint="eastAsia"/>
                      <w:szCs w:val="21"/>
                    </w:rPr>
                    <w:t>执行《声环境质量标准》（</w:t>
                  </w:r>
                  <w:r>
                    <w:rPr>
                      <w:szCs w:val="21"/>
                    </w:rPr>
                    <w:t>GB3096-2008</w:t>
                  </w:r>
                  <w:r>
                    <w:rPr>
                      <w:rFonts w:hint="eastAsia"/>
                      <w:szCs w:val="21"/>
                    </w:rPr>
                    <w:t>）</w:t>
                  </w:r>
                  <w:r>
                    <w:rPr>
                      <w:szCs w:val="21"/>
                    </w:rPr>
                    <w:t>2</w:t>
                  </w:r>
                  <w:r>
                    <w:rPr>
                      <w:rFonts w:hint="eastAsia"/>
                      <w:szCs w:val="21"/>
                    </w:rPr>
                    <w:t>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3</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水环境功能区</w:t>
                  </w:r>
                </w:p>
              </w:tc>
              <w:tc>
                <w:tcPr>
                  <w:tcW w:w="5209" w:type="dxa"/>
                  <w:tcBorders>
                    <w:top w:val="single" w:color="000000" w:sz="6" w:space="0"/>
                    <w:left w:val="single" w:color="000000" w:sz="6" w:space="0"/>
                    <w:bottom w:val="single" w:color="000000" w:sz="6" w:space="0"/>
                    <w:right w:val="single" w:color="000000" w:sz="12" w:space="0"/>
                  </w:tcBorders>
                  <w:vAlign w:val="center"/>
                </w:tcPr>
                <w:p>
                  <w:pPr>
                    <w:pStyle w:val="22"/>
                    <w:spacing w:line="240" w:lineRule="auto"/>
                    <w:ind w:firstLine="0" w:firstLineChars="0"/>
                    <w:rPr>
                      <w:rFonts w:ascii="Times New Roman" w:hAnsi="Times New Roman" w:cs="Times New Roman"/>
                      <w:sz w:val="21"/>
                    </w:rPr>
                  </w:pPr>
                  <w:r>
                    <w:rPr>
                      <w:rFonts w:hint="eastAsia" w:ascii="Times New Roman" w:hAnsi="Times New Roman" w:eastAsia="宋体" w:cs="Times New Roman"/>
                      <w:bCs/>
                      <w:sz w:val="21"/>
                    </w:rPr>
                    <w:t>《地表水环境质量标准》（</w:t>
                  </w:r>
                  <w:r>
                    <w:rPr>
                      <w:rFonts w:ascii="Times New Roman" w:hAnsi="Times New Roman" w:eastAsia="宋体" w:cs="Times New Roman"/>
                      <w:bCs/>
                      <w:sz w:val="21"/>
                    </w:rPr>
                    <w:t>GB3838-2002</w:t>
                  </w:r>
                  <w:r>
                    <w:rPr>
                      <w:rFonts w:hint="eastAsia" w:ascii="Times New Roman" w:hAnsi="Times New Roman" w:eastAsia="宋体" w:cs="Times New Roman"/>
                      <w:bCs/>
                      <w:sz w:val="21"/>
                    </w:rPr>
                    <w:t>）Ⅲ类标准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4</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是否基本农田保护区</w:t>
                  </w:r>
                </w:p>
              </w:tc>
              <w:tc>
                <w:tcPr>
                  <w:tcW w:w="5209" w:type="dxa"/>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5</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是否森林公园</w:t>
                  </w:r>
                </w:p>
              </w:tc>
              <w:tc>
                <w:tcPr>
                  <w:tcW w:w="5209" w:type="dxa"/>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6</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是否生态功能保护区</w:t>
                  </w:r>
                </w:p>
              </w:tc>
              <w:tc>
                <w:tcPr>
                  <w:tcW w:w="5209" w:type="dxa"/>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7</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是否水土流失重点防治区</w:t>
                  </w:r>
                </w:p>
              </w:tc>
              <w:tc>
                <w:tcPr>
                  <w:tcW w:w="5209" w:type="dxa"/>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8</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是否人口密集区</w:t>
                  </w:r>
                </w:p>
              </w:tc>
              <w:tc>
                <w:tcPr>
                  <w:tcW w:w="5209" w:type="dxa"/>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9</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是否重点文物保护单位</w:t>
                  </w:r>
                </w:p>
              </w:tc>
              <w:tc>
                <w:tcPr>
                  <w:tcW w:w="5209" w:type="dxa"/>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10</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是否三河、三湖、两控区</w:t>
                  </w:r>
                </w:p>
              </w:tc>
              <w:tc>
                <w:tcPr>
                  <w:tcW w:w="5209" w:type="dxa"/>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11</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是否水库库区</w:t>
                  </w:r>
                </w:p>
              </w:tc>
              <w:tc>
                <w:tcPr>
                  <w:tcW w:w="5209" w:type="dxa"/>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12</w:t>
                  </w:r>
                </w:p>
              </w:tc>
              <w:tc>
                <w:tcPr>
                  <w:tcW w:w="2815"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是否污水处理厂集水范围</w:t>
                  </w:r>
                </w:p>
              </w:tc>
              <w:tc>
                <w:tcPr>
                  <w:tcW w:w="5209" w:type="dxa"/>
                  <w:tcBorders>
                    <w:top w:val="single" w:color="000000" w:sz="6" w:space="0"/>
                    <w:left w:val="single" w:color="000000" w:sz="6" w:space="0"/>
                    <w:bottom w:val="single" w:color="000000" w:sz="6"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是，定城污水处理厂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69" w:hRule="atLeast"/>
              </w:trPr>
              <w:tc>
                <w:tcPr>
                  <w:tcW w:w="790" w:type="dxa"/>
                  <w:tcBorders>
                    <w:top w:val="single" w:color="000000" w:sz="6" w:space="0"/>
                    <w:left w:val="single" w:color="000000" w:sz="12" w:space="0"/>
                    <w:bottom w:val="single" w:color="000000" w:sz="12" w:space="0"/>
                    <w:right w:val="single" w:color="000000" w:sz="6" w:space="0"/>
                  </w:tcBorders>
                  <w:vAlign w:val="center"/>
                </w:tcPr>
                <w:p>
                  <w:pPr>
                    <w:adjustRightInd w:val="0"/>
                    <w:snapToGrid w:val="0"/>
                    <w:jc w:val="center"/>
                    <w:rPr>
                      <w:rFonts w:ascii="Times New Roman" w:hAnsi="Times New Roman"/>
                      <w:szCs w:val="21"/>
                    </w:rPr>
                  </w:pPr>
                  <w:r>
                    <w:rPr>
                      <w:rFonts w:ascii="Times New Roman" w:hAnsi="Times New Roman"/>
                      <w:szCs w:val="21"/>
                    </w:rPr>
                    <w:t>13</w:t>
                  </w:r>
                </w:p>
              </w:tc>
              <w:tc>
                <w:tcPr>
                  <w:tcW w:w="2815" w:type="dxa"/>
                  <w:tcBorders>
                    <w:top w:val="single" w:color="000000" w:sz="6" w:space="0"/>
                    <w:left w:val="single" w:color="000000" w:sz="6" w:space="0"/>
                    <w:bottom w:val="single" w:color="000000" w:sz="12" w:space="0"/>
                    <w:right w:val="single" w:color="000000"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是否属于生态敏感与脆弱区</w:t>
                  </w:r>
                </w:p>
              </w:tc>
              <w:tc>
                <w:tcPr>
                  <w:tcW w:w="5209" w:type="dxa"/>
                  <w:tcBorders>
                    <w:top w:val="single" w:color="000000" w:sz="6" w:space="0"/>
                    <w:left w:val="single" w:color="000000" w:sz="6" w:space="0"/>
                    <w:bottom w:val="single" w:color="000000" w:sz="12" w:space="0"/>
                    <w:right w:val="single" w:color="000000"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否</w:t>
                  </w:r>
                </w:p>
              </w:tc>
            </w:tr>
          </w:tbl>
          <w:p>
            <w:pPr>
              <w:pStyle w:val="67"/>
              <w:spacing w:line="540" w:lineRule="exact"/>
              <w:jc w:val="left"/>
              <w:rPr>
                <w:kern w:val="0"/>
                <w:sz w:val="24"/>
                <w:szCs w:val="24"/>
              </w:rPr>
            </w:pPr>
          </w:p>
        </w:tc>
      </w:tr>
    </w:tbl>
    <w:p>
      <w:pPr>
        <w:spacing w:before="240" w:after="60"/>
        <w:jc w:val="left"/>
        <w:outlineLvl w:val="0"/>
        <w:rPr>
          <w:rFonts w:ascii="Times New Roman" w:hAnsi="Times New Roman"/>
          <w:b/>
          <w:bCs/>
          <w:sz w:val="32"/>
          <w:szCs w:val="32"/>
        </w:rPr>
      </w:pPr>
      <w:bookmarkStart w:id="18" w:name="_Toc354673213"/>
      <w:bookmarkStart w:id="19" w:name="_Toc404248792"/>
      <w:r>
        <w:rPr>
          <w:rFonts w:hint="eastAsia" w:ascii="Times New Roman" w:hAnsi="Times New Roman"/>
          <w:b/>
          <w:bCs/>
          <w:sz w:val="32"/>
          <w:szCs w:val="32"/>
        </w:rPr>
        <w:t>环境质量状况</w:t>
      </w:r>
      <w:bookmarkEnd w:id="18"/>
      <w:bookmarkEnd w:id="19"/>
    </w:p>
    <w:tbl>
      <w:tblPr>
        <w:tblStyle w:val="37"/>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6" w:hRule="atLeast"/>
        </w:trPr>
        <w:tc>
          <w:tcPr>
            <w:tcW w:w="9344" w:type="dxa"/>
          </w:tcPr>
          <w:p>
            <w:pPr>
              <w:spacing w:line="520" w:lineRule="exact"/>
              <w:jc w:val="left"/>
              <w:rPr>
                <w:rFonts w:ascii="Times New Roman" w:hAnsi="Times New Roman"/>
                <w:bCs/>
                <w:sz w:val="24"/>
                <w:szCs w:val="24"/>
              </w:rPr>
            </w:pPr>
            <w:r>
              <w:rPr>
                <w:rFonts w:hint="eastAsia" w:ascii="Times New Roman" w:hAnsi="Times New Roman"/>
                <w:b/>
                <w:sz w:val="24"/>
                <w:szCs w:val="24"/>
              </w:rPr>
              <w:t>建设项目所在地区域环境质量现状及主要问题</w:t>
            </w:r>
            <w:r>
              <w:rPr>
                <w:rFonts w:hint="eastAsia" w:ascii="Times New Roman" w:hAnsi="Times New Roman"/>
                <w:bCs/>
                <w:sz w:val="24"/>
                <w:szCs w:val="24"/>
              </w:rPr>
              <w:t>（环境空气、地面水、地下水、声环境、生态环境）</w:t>
            </w:r>
          </w:p>
          <w:p>
            <w:pPr>
              <w:spacing w:line="520" w:lineRule="exact"/>
              <w:rPr>
                <w:rFonts w:ascii="Times New Roman" w:hAnsi="Times New Roman"/>
                <w:b/>
                <w:bCs/>
                <w:sz w:val="24"/>
                <w:szCs w:val="24"/>
              </w:rPr>
            </w:pPr>
            <w:r>
              <w:rPr>
                <w:rFonts w:hint="eastAsia" w:ascii="Times New Roman" w:hAnsi="Times New Roman"/>
                <w:b/>
                <w:bCs/>
                <w:sz w:val="24"/>
                <w:szCs w:val="24"/>
              </w:rPr>
              <w:t>一、大气环境质量</w:t>
            </w:r>
          </w:p>
          <w:p>
            <w:pPr>
              <w:pStyle w:val="114"/>
              <w:rPr>
                <w:lang w:val="zh-CN"/>
              </w:rPr>
            </w:pPr>
            <w:r>
              <w:rPr>
                <w:lang w:val="zh-CN"/>
              </w:rPr>
              <w:t>1</w:t>
            </w:r>
            <w:r>
              <w:rPr>
                <w:rFonts w:hint="eastAsia"/>
                <w:lang w:val="zh-CN"/>
              </w:rPr>
              <w:t>、基本污染物</w:t>
            </w:r>
          </w:p>
          <w:p>
            <w:pPr>
              <w:pStyle w:val="114"/>
            </w:pPr>
            <w:r>
              <w:rPr>
                <w:rFonts w:hint="eastAsia"/>
                <w:lang w:val="zh-CN"/>
              </w:rPr>
              <w:t>本项目</w:t>
            </w:r>
            <w:r>
              <w:rPr>
                <w:rFonts w:hint="eastAsia"/>
              </w:rPr>
              <w:t>位于定安县，为了解项目所在区域的环境空气质量现状，按照《环境影响评价技术导则大气环境》（</w:t>
            </w:r>
            <w:r>
              <w:t>HJ2.2-2018</w:t>
            </w:r>
            <w:r>
              <w:rPr>
                <w:rFonts w:hint="eastAsia"/>
              </w:rPr>
              <w:t>）要求，本次评价基本污染物引用定安县环境监测站自动站（定安环境资源监察大队站）</w:t>
            </w:r>
            <w:r>
              <w:t>2018</w:t>
            </w:r>
            <w:r>
              <w:rPr>
                <w:rFonts w:hint="eastAsia"/>
              </w:rPr>
              <w:t>年环境空气质量监测数据，见表</w:t>
            </w:r>
            <w:r>
              <w:t>3-1</w:t>
            </w:r>
            <w:r>
              <w:rPr>
                <w:rFonts w:hint="eastAsia"/>
              </w:rPr>
              <w:t>。</w:t>
            </w:r>
          </w:p>
          <w:p>
            <w:pPr>
              <w:pStyle w:val="111"/>
            </w:pPr>
            <w:r>
              <w:rPr>
                <w:rFonts w:hint="eastAsia"/>
              </w:rPr>
              <w:t>表</w:t>
            </w:r>
            <w:r>
              <w:t>3-1</w:t>
            </w:r>
            <w:r>
              <w:rPr>
                <w:rFonts w:hint="eastAsia"/>
              </w:rPr>
              <w:t>基本污染物环境空气质量监测结果一览表</w:t>
            </w:r>
            <w:r>
              <w:t>µg/m</w:t>
            </w:r>
            <w:r>
              <w:rPr>
                <w:vertAlign w:val="superscript"/>
              </w:rPr>
              <w:t>3</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6"/>
              <w:gridCol w:w="2211"/>
              <w:gridCol w:w="1610"/>
              <w:gridCol w:w="1685"/>
              <w:gridCol w:w="846"/>
              <w:gridCol w:w="846"/>
              <w:gridCol w:w="10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tcBorders>
                    <w:top w:val="single" w:color="auto" w:sz="12" w:space="0"/>
                    <w:left w:val="single" w:color="auto" w:sz="12"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bCs/>
                      <w:szCs w:val="21"/>
                    </w:rPr>
                  </w:pPr>
                  <w:r>
                    <w:rPr>
                      <w:rFonts w:hint="eastAsia" w:ascii="Times New Roman" w:hAnsi="Times New Roman"/>
                      <w:bCs/>
                      <w:szCs w:val="21"/>
                    </w:rPr>
                    <w:t>污染物</w:t>
                  </w:r>
                </w:p>
              </w:tc>
              <w:tc>
                <w:tcPr>
                  <w:tcW w:w="2211"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bCs/>
                      <w:szCs w:val="21"/>
                    </w:rPr>
                  </w:pPr>
                  <w:r>
                    <w:rPr>
                      <w:rFonts w:hint="eastAsia" w:ascii="Times New Roman" w:hAnsi="Times New Roman"/>
                      <w:bCs/>
                      <w:szCs w:val="21"/>
                    </w:rPr>
                    <w:t>年评价指标</w:t>
                  </w:r>
                </w:p>
              </w:tc>
              <w:tc>
                <w:tcPr>
                  <w:tcW w:w="1610"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bCs/>
                      <w:szCs w:val="21"/>
                    </w:rPr>
                  </w:pPr>
                  <w:r>
                    <w:rPr>
                      <w:rFonts w:hint="eastAsia" w:ascii="Times New Roman" w:hAnsi="Times New Roman"/>
                      <w:bCs/>
                      <w:szCs w:val="21"/>
                    </w:rPr>
                    <w:t>现状浓度</w:t>
                  </w:r>
                  <w:r>
                    <w:rPr>
                      <w:rFonts w:ascii="Times New Roman" w:hAnsi="Times New Roman"/>
                      <w:bCs/>
                      <w:szCs w:val="21"/>
                    </w:rPr>
                    <w:t>ug/m</w:t>
                  </w:r>
                  <w:r>
                    <w:rPr>
                      <w:rFonts w:ascii="Times New Roman" w:hAnsi="Times New Roman"/>
                      <w:bCs/>
                      <w:szCs w:val="21"/>
                      <w:vertAlign w:val="superscript"/>
                    </w:rPr>
                    <w:t>3</w:t>
                  </w:r>
                </w:p>
              </w:tc>
              <w:tc>
                <w:tcPr>
                  <w:tcW w:w="1685"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bCs/>
                      <w:szCs w:val="21"/>
                    </w:rPr>
                  </w:pPr>
                  <w:r>
                    <w:rPr>
                      <w:rFonts w:hint="eastAsia" w:ascii="Times New Roman" w:hAnsi="Times New Roman"/>
                      <w:bCs/>
                      <w:szCs w:val="21"/>
                    </w:rPr>
                    <w:t>标准值（二级）</w:t>
                  </w:r>
                </w:p>
                <w:p>
                  <w:pPr>
                    <w:adjustRightInd w:val="0"/>
                    <w:snapToGrid w:val="0"/>
                    <w:spacing w:line="240" w:lineRule="atLeast"/>
                    <w:jc w:val="center"/>
                    <w:rPr>
                      <w:rFonts w:ascii="Times New Roman" w:hAnsi="Times New Roman"/>
                      <w:bCs/>
                      <w:szCs w:val="21"/>
                    </w:rPr>
                  </w:pPr>
                  <w:r>
                    <w:rPr>
                      <w:rFonts w:ascii="Times New Roman" w:hAnsi="Times New Roman"/>
                      <w:bCs/>
                      <w:szCs w:val="21"/>
                    </w:rPr>
                    <w:t>ug/m</w:t>
                  </w:r>
                  <w:r>
                    <w:rPr>
                      <w:rFonts w:ascii="Times New Roman" w:hAnsi="Times New Roman"/>
                      <w:bCs/>
                      <w:szCs w:val="21"/>
                      <w:vertAlign w:val="superscript"/>
                    </w:rPr>
                    <w:t>3</w:t>
                  </w:r>
                </w:p>
              </w:tc>
              <w:tc>
                <w:tcPr>
                  <w:tcW w:w="846"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bCs/>
                      <w:szCs w:val="21"/>
                    </w:rPr>
                  </w:pPr>
                  <w:r>
                    <w:rPr>
                      <w:rFonts w:hint="eastAsia" w:ascii="Times New Roman" w:hAnsi="Times New Roman"/>
                      <w:bCs/>
                      <w:szCs w:val="21"/>
                    </w:rPr>
                    <w:t>占标率</w:t>
                  </w:r>
                </w:p>
                <w:p>
                  <w:pPr>
                    <w:adjustRightInd w:val="0"/>
                    <w:snapToGrid w:val="0"/>
                    <w:spacing w:line="240" w:lineRule="atLeast"/>
                    <w:jc w:val="center"/>
                    <w:rPr>
                      <w:rFonts w:ascii="Times New Roman" w:hAnsi="Times New Roman"/>
                      <w:bCs/>
                      <w:szCs w:val="21"/>
                    </w:rPr>
                  </w:pPr>
                  <w:r>
                    <w:rPr>
                      <w:rFonts w:ascii="Times New Roman" w:hAnsi="Times New Roman"/>
                      <w:bCs/>
                      <w:szCs w:val="21"/>
                    </w:rPr>
                    <w:t>%</w:t>
                  </w:r>
                </w:p>
              </w:tc>
              <w:tc>
                <w:tcPr>
                  <w:tcW w:w="846"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bCs/>
                      <w:szCs w:val="21"/>
                    </w:rPr>
                  </w:pPr>
                  <w:r>
                    <w:rPr>
                      <w:rFonts w:hint="eastAsia" w:ascii="Times New Roman" w:hAnsi="Times New Roman"/>
                      <w:bCs/>
                      <w:szCs w:val="21"/>
                    </w:rPr>
                    <w:t>超标率</w:t>
                  </w:r>
                </w:p>
              </w:tc>
              <w:tc>
                <w:tcPr>
                  <w:tcW w:w="1054" w:type="dxa"/>
                  <w:tcBorders>
                    <w:top w:val="single" w:color="auto" w:sz="12" w:space="0"/>
                    <w:left w:val="single" w:color="auto" w:sz="6" w:space="0"/>
                    <w:bottom w:val="double" w:color="auto" w:sz="4" w:space="0"/>
                    <w:right w:val="single" w:color="auto" w:sz="12" w:space="0"/>
                  </w:tcBorders>
                  <w:vAlign w:val="center"/>
                </w:tcPr>
                <w:p>
                  <w:pPr>
                    <w:adjustRightInd w:val="0"/>
                    <w:snapToGrid w:val="0"/>
                    <w:spacing w:line="240" w:lineRule="atLeast"/>
                    <w:jc w:val="center"/>
                    <w:rPr>
                      <w:rFonts w:ascii="Times New Roman" w:hAnsi="Times New Roman"/>
                      <w:bCs/>
                      <w:szCs w:val="21"/>
                    </w:rPr>
                  </w:pPr>
                  <w:r>
                    <w:rPr>
                      <w:rFonts w:hint="eastAsia" w:ascii="Times New Roman" w:hAnsi="Times New Roman"/>
                      <w:bCs/>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vMerge w:val="restart"/>
                  <w:tcBorders>
                    <w:top w:val="double" w:color="auto" w:sz="4"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2211" w:type="dxa"/>
                  <w:tcBorders>
                    <w:top w:val="doub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年平均质量浓度</w:t>
                  </w:r>
                </w:p>
              </w:tc>
              <w:tc>
                <w:tcPr>
                  <w:tcW w:w="1610" w:type="dxa"/>
                  <w:tcBorders>
                    <w:top w:val="doub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5</w:t>
                  </w:r>
                </w:p>
              </w:tc>
              <w:tc>
                <w:tcPr>
                  <w:tcW w:w="1685" w:type="dxa"/>
                  <w:tcBorders>
                    <w:top w:val="doub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60</w:t>
                  </w:r>
                </w:p>
              </w:tc>
              <w:tc>
                <w:tcPr>
                  <w:tcW w:w="846" w:type="dxa"/>
                  <w:tcBorders>
                    <w:top w:val="doub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8.3</w:t>
                  </w:r>
                </w:p>
              </w:tc>
              <w:tc>
                <w:tcPr>
                  <w:tcW w:w="846" w:type="dxa"/>
                  <w:tcBorders>
                    <w:top w:val="doub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double" w:color="auto" w:sz="4"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widowControl/>
                    <w:adjustRightInd w:val="0"/>
                    <w:snapToGrid w:val="0"/>
                    <w:spacing w:line="240" w:lineRule="atLeast"/>
                    <w:jc w:val="center"/>
                    <w:rPr>
                      <w:rFonts w:ascii="Times New Roman" w:hAnsi="Times New Roman"/>
                      <w:szCs w:val="21"/>
                    </w:rPr>
                  </w:pPr>
                </w:p>
              </w:tc>
              <w:tc>
                <w:tcPr>
                  <w:tcW w:w="221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第</w:t>
                  </w:r>
                  <w:r>
                    <w:rPr>
                      <w:rFonts w:ascii="Times New Roman" w:hAnsi="Times New Roman"/>
                      <w:szCs w:val="21"/>
                    </w:rPr>
                    <w:t>98</w:t>
                  </w:r>
                  <w:r>
                    <w:rPr>
                      <w:rFonts w:hint="eastAsia" w:ascii="Times New Roman" w:hAnsi="Times New Roman"/>
                      <w:szCs w:val="21"/>
                    </w:rPr>
                    <w:t>百分位数日平均</w:t>
                  </w:r>
                </w:p>
              </w:tc>
              <w:tc>
                <w:tcPr>
                  <w:tcW w:w="16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8</w:t>
                  </w:r>
                </w:p>
              </w:tc>
              <w:tc>
                <w:tcPr>
                  <w:tcW w:w="16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150</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5.3</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single" w:color="auto" w:sz="6" w:space="0"/>
                    <w:left w:val="single" w:color="auto" w:sz="6" w:space="0"/>
                    <w:bottom w:val="single" w:color="auto" w:sz="6" w:space="0"/>
                    <w:right w:val="single" w:color="auto" w:sz="12" w:space="0"/>
                  </w:tcBorders>
                  <w:vAlign w:val="center"/>
                </w:tcPr>
                <w:p>
                  <w:pPr>
                    <w:widowControl/>
                    <w:adjustRightInd w:val="0"/>
                    <w:snapToGrid w:val="0"/>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221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年平均质量浓度</w:t>
                  </w:r>
                </w:p>
              </w:tc>
              <w:tc>
                <w:tcPr>
                  <w:tcW w:w="16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10</w:t>
                  </w:r>
                </w:p>
              </w:tc>
              <w:tc>
                <w:tcPr>
                  <w:tcW w:w="16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40</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25.0</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widowControl/>
                    <w:adjustRightInd w:val="0"/>
                    <w:snapToGrid w:val="0"/>
                    <w:spacing w:line="240" w:lineRule="atLeast"/>
                    <w:jc w:val="center"/>
                    <w:rPr>
                      <w:rFonts w:ascii="Times New Roman" w:hAnsi="Times New Roman"/>
                      <w:szCs w:val="21"/>
                    </w:rPr>
                  </w:pPr>
                </w:p>
              </w:tc>
              <w:tc>
                <w:tcPr>
                  <w:tcW w:w="221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第</w:t>
                  </w:r>
                  <w:r>
                    <w:rPr>
                      <w:rFonts w:ascii="Times New Roman" w:hAnsi="Times New Roman"/>
                      <w:szCs w:val="21"/>
                    </w:rPr>
                    <w:t>98</w:t>
                  </w:r>
                  <w:r>
                    <w:rPr>
                      <w:rFonts w:hint="eastAsia" w:ascii="Times New Roman" w:hAnsi="Times New Roman"/>
                      <w:szCs w:val="21"/>
                    </w:rPr>
                    <w:t>百分位数日平均</w:t>
                  </w:r>
                </w:p>
              </w:tc>
              <w:tc>
                <w:tcPr>
                  <w:tcW w:w="16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19</w:t>
                  </w:r>
                </w:p>
              </w:tc>
              <w:tc>
                <w:tcPr>
                  <w:tcW w:w="16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80</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23.8</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single" w:color="auto" w:sz="6" w:space="0"/>
                    <w:left w:val="single" w:color="auto" w:sz="6" w:space="0"/>
                    <w:bottom w:val="single" w:color="auto" w:sz="6" w:space="0"/>
                    <w:right w:val="single" w:color="auto" w:sz="12" w:space="0"/>
                  </w:tcBorders>
                  <w:vAlign w:val="center"/>
                </w:tcPr>
                <w:p>
                  <w:pPr>
                    <w:widowControl/>
                    <w:adjustRightInd w:val="0"/>
                    <w:snapToGrid w:val="0"/>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221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年平均质量浓度</w:t>
                  </w:r>
                </w:p>
              </w:tc>
              <w:tc>
                <w:tcPr>
                  <w:tcW w:w="16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32</w:t>
                  </w:r>
                </w:p>
              </w:tc>
              <w:tc>
                <w:tcPr>
                  <w:tcW w:w="16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70</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45.7</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widowControl/>
                    <w:adjustRightInd w:val="0"/>
                    <w:snapToGrid w:val="0"/>
                    <w:spacing w:line="240" w:lineRule="atLeast"/>
                    <w:jc w:val="center"/>
                    <w:rPr>
                      <w:rFonts w:ascii="Times New Roman" w:hAnsi="Times New Roman"/>
                      <w:szCs w:val="21"/>
                    </w:rPr>
                  </w:pPr>
                </w:p>
              </w:tc>
              <w:tc>
                <w:tcPr>
                  <w:tcW w:w="221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第</w:t>
                  </w:r>
                  <w:r>
                    <w:rPr>
                      <w:rFonts w:ascii="Times New Roman" w:hAnsi="Times New Roman"/>
                      <w:szCs w:val="21"/>
                    </w:rPr>
                    <w:t>95</w:t>
                  </w:r>
                  <w:r>
                    <w:rPr>
                      <w:rFonts w:hint="eastAsia" w:ascii="Times New Roman" w:hAnsi="Times New Roman"/>
                      <w:szCs w:val="21"/>
                    </w:rPr>
                    <w:t>百分位数日平均</w:t>
                  </w:r>
                </w:p>
              </w:tc>
              <w:tc>
                <w:tcPr>
                  <w:tcW w:w="16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63</w:t>
                  </w:r>
                </w:p>
              </w:tc>
              <w:tc>
                <w:tcPr>
                  <w:tcW w:w="16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150</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42.0</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single" w:color="auto" w:sz="6" w:space="0"/>
                    <w:left w:val="single" w:color="auto" w:sz="6" w:space="0"/>
                    <w:bottom w:val="single" w:color="auto" w:sz="6" w:space="0"/>
                    <w:right w:val="single" w:color="auto" w:sz="12" w:space="0"/>
                  </w:tcBorders>
                  <w:vAlign w:val="center"/>
                </w:tcPr>
                <w:p>
                  <w:pPr>
                    <w:widowControl/>
                    <w:adjustRightInd w:val="0"/>
                    <w:snapToGrid w:val="0"/>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2.5</w:t>
                  </w:r>
                </w:p>
              </w:tc>
              <w:tc>
                <w:tcPr>
                  <w:tcW w:w="221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年平均质质量浓度</w:t>
                  </w:r>
                </w:p>
              </w:tc>
              <w:tc>
                <w:tcPr>
                  <w:tcW w:w="16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18</w:t>
                  </w:r>
                </w:p>
              </w:tc>
              <w:tc>
                <w:tcPr>
                  <w:tcW w:w="16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35</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51.4</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vMerge w:val="continue"/>
                  <w:tcBorders>
                    <w:top w:val="single" w:color="auto" w:sz="6" w:space="0"/>
                    <w:left w:val="single" w:color="auto" w:sz="12" w:space="0"/>
                    <w:bottom w:val="single" w:color="auto" w:sz="6" w:space="0"/>
                    <w:right w:val="single" w:color="auto" w:sz="6" w:space="0"/>
                  </w:tcBorders>
                  <w:vAlign w:val="center"/>
                </w:tcPr>
                <w:p>
                  <w:pPr>
                    <w:widowControl/>
                    <w:adjustRightInd w:val="0"/>
                    <w:snapToGrid w:val="0"/>
                    <w:spacing w:line="240" w:lineRule="atLeast"/>
                    <w:jc w:val="center"/>
                    <w:rPr>
                      <w:rFonts w:ascii="Times New Roman" w:hAnsi="Times New Roman"/>
                      <w:szCs w:val="21"/>
                    </w:rPr>
                  </w:pPr>
                </w:p>
              </w:tc>
              <w:tc>
                <w:tcPr>
                  <w:tcW w:w="221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第</w:t>
                  </w:r>
                  <w:r>
                    <w:rPr>
                      <w:rFonts w:ascii="Times New Roman" w:hAnsi="Times New Roman"/>
                      <w:szCs w:val="21"/>
                    </w:rPr>
                    <w:t>95</w:t>
                  </w:r>
                  <w:r>
                    <w:rPr>
                      <w:rFonts w:hint="eastAsia" w:ascii="Times New Roman" w:hAnsi="Times New Roman"/>
                      <w:szCs w:val="21"/>
                    </w:rPr>
                    <w:t>百分位数日平均</w:t>
                  </w:r>
                </w:p>
              </w:tc>
              <w:tc>
                <w:tcPr>
                  <w:tcW w:w="16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40</w:t>
                  </w:r>
                </w:p>
              </w:tc>
              <w:tc>
                <w:tcPr>
                  <w:tcW w:w="16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75</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53.3</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single" w:color="auto" w:sz="6" w:space="0"/>
                    <w:left w:val="single" w:color="auto" w:sz="6" w:space="0"/>
                    <w:bottom w:val="single" w:color="auto" w:sz="6" w:space="0"/>
                    <w:right w:val="single" w:color="auto" w:sz="12" w:space="0"/>
                  </w:tcBorders>
                  <w:vAlign w:val="center"/>
                </w:tcPr>
                <w:p>
                  <w:pPr>
                    <w:widowControl/>
                    <w:adjustRightInd w:val="0"/>
                    <w:snapToGrid w:val="0"/>
                    <w:spacing w:line="240" w:lineRule="atLeast"/>
                    <w:jc w:val="center"/>
                    <w:rPr>
                      <w:rFonts w:ascii="Times New Roman" w:hAnsi="Times New Roman"/>
                      <w:szCs w:val="21"/>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CO</w:t>
                  </w:r>
                </w:p>
              </w:tc>
              <w:tc>
                <w:tcPr>
                  <w:tcW w:w="221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0"/>
                    </w:rPr>
                  </w:pPr>
                  <w:r>
                    <w:rPr>
                      <w:rFonts w:hint="eastAsia" w:ascii="Times New Roman" w:hAnsi="Times New Roman"/>
                      <w:szCs w:val="21"/>
                    </w:rPr>
                    <w:t>第</w:t>
                  </w:r>
                  <w:r>
                    <w:rPr>
                      <w:rFonts w:ascii="Times New Roman" w:hAnsi="Times New Roman"/>
                      <w:szCs w:val="21"/>
                    </w:rPr>
                    <w:t>95</w:t>
                  </w:r>
                  <w:r>
                    <w:rPr>
                      <w:rFonts w:hint="eastAsia" w:ascii="Times New Roman" w:hAnsi="Times New Roman"/>
                      <w:szCs w:val="21"/>
                    </w:rPr>
                    <w:t>百分位数日平均</w:t>
                  </w:r>
                </w:p>
              </w:tc>
              <w:tc>
                <w:tcPr>
                  <w:tcW w:w="1610"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848</w:t>
                  </w:r>
                </w:p>
              </w:tc>
              <w:tc>
                <w:tcPr>
                  <w:tcW w:w="1685"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4000</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21.2</w:t>
                  </w:r>
                </w:p>
              </w:tc>
              <w:tc>
                <w:tcPr>
                  <w:tcW w:w="846"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hint="eastAsia"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46" w:type="dxa"/>
                  <w:tcBorders>
                    <w:top w:val="single" w:color="auto" w:sz="6" w:space="0"/>
                    <w:left w:val="single" w:color="auto" w:sz="12" w:space="0"/>
                    <w:bottom w:val="single" w:color="auto" w:sz="12"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O</w:t>
                  </w:r>
                  <w:r>
                    <w:rPr>
                      <w:rFonts w:ascii="Times New Roman" w:hAnsi="Times New Roman"/>
                      <w:szCs w:val="21"/>
                      <w:vertAlign w:val="subscript"/>
                    </w:rPr>
                    <w:t>3</w:t>
                  </w:r>
                </w:p>
              </w:tc>
              <w:tc>
                <w:tcPr>
                  <w:tcW w:w="2211" w:type="dxa"/>
                  <w:tcBorders>
                    <w:top w:val="single" w:color="auto" w:sz="6" w:space="0"/>
                    <w:left w:val="single" w:color="auto" w:sz="6" w:space="0"/>
                    <w:bottom w:val="single" w:color="auto" w:sz="12"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第</w:t>
                  </w:r>
                  <w:r>
                    <w:rPr>
                      <w:rFonts w:ascii="Times New Roman" w:hAnsi="Times New Roman"/>
                      <w:szCs w:val="21"/>
                    </w:rPr>
                    <w:t>90</w:t>
                  </w:r>
                  <w:r>
                    <w:rPr>
                      <w:rFonts w:hint="eastAsia" w:ascii="Times New Roman" w:hAnsi="Times New Roman"/>
                      <w:szCs w:val="21"/>
                    </w:rPr>
                    <w:t>百分位数</w:t>
                  </w:r>
                </w:p>
                <w:p>
                  <w:pPr>
                    <w:adjustRightInd w:val="0"/>
                    <w:snapToGrid w:val="0"/>
                    <w:spacing w:line="240" w:lineRule="atLeast"/>
                    <w:jc w:val="center"/>
                    <w:rPr>
                      <w:rFonts w:ascii="Times New Roman" w:hAnsi="Times New Roman"/>
                      <w:szCs w:val="20"/>
                    </w:rPr>
                  </w:pPr>
                  <w:r>
                    <w:rPr>
                      <w:rFonts w:ascii="Times New Roman" w:hAnsi="Times New Roman"/>
                      <w:szCs w:val="21"/>
                    </w:rPr>
                    <w:t>8h</w:t>
                  </w:r>
                  <w:r>
                    <w:rPr>
                      <w:rFonts w:hint="eastAsia" w:ascii="Times New Roman" w:hAnsi="Times New Roman"/>
                      <w:szCs w:val="21"/>
                    </w:rPr>
                    <w:t>平均质量浓度</w:t>
                  </w:r>
                </w:p>
              </w:tc>
              <w:tc>
                <w:tcPr>
                  <w:tcW w:w="1610" w:type="dxa"/>
                  <w:tcBorders>
                    <w:top w:val="single" w:color="auto" w:sz="6" w:space="0"/>
                    <w:left w:val="single" w:color="auto" w:sz="6" w:space="0"/>
                    <w:bottom w:val="single" w:color="auto" w:sz="12"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76</w:t>
                  </w:r>
                </w:p>
              </w:tc>
              <w:tc>
                <w:tcPr>
                  <w:tcW w:w="1685" w:type="dxa"/>
                  <w:tcBorders>
                    <w:top w:val="single" w:color="auto" w:sz="6" w:space="0"/>
                    <w:left w:val="single" w:color="auto" w:sz="6" w:space="0"/>
                    <w:bottom w:val="single" w:color="auto" w:sz="12"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160</w:t>
                  </w:r>
                </w:p>
              </w:tc>
              <w:tc>
                <w:tcPr>
                  <w:tcW w:w="846" w:type="dxa"/>
                  <w:tcBorders>
                    <w:top w:val="single" w:color="auto" w:sz="6" w:space="0"/>
                    <w:left w:val="single" w:color="auto" w:sz="6" w:space="0"/>
                    <w:bottom w:val="single" w:color="auto" w:sz="12"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47.5</w:t>
                  </w:r>
                </w:p>
              </w:tc>
              <w:tc>
                <w:tcPr>
                  <w:tcW w:w="846" w:type="dxa"/>
                  <w:tcBorders>
                    <w:top w:val="single" w:color="auto" w:sz="6" w:space="0"/>
                    <w:left w:val="single" w:color="auto" w:sz="6" w:space="0"/>
                    <w:bottom w:val="single" w:color="auto" w:sz="12" w:space="0"/>
                    <w:right w:val="single" w:color="auto" w:sz="6"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zCs w:val="21"/>
                    </w:rPr>
                    <w:t>0%</w:t>
                  </w:r>
                </w:p>
              </w:tc>
              <w:tc>
                <w:tcPr>
                  <w:tcW w:w="1054" w:type="dxa"/>
                  <w:tcBorders>
                    <w:top w:val="single" w:color="auto" w:sz="6" w:space="0"/>
                    <w:left w:val="single" w:color="auto" w:sz="6" w:space="0"/>
                    <w:bottom w:val="single" w:color="auto" w:sz="12" w:space="0"/>
                    <w:right w:val="single" w:color="auto" w:sz="12" w:space="0"/>
                  </w:tcBorders>
                  <w:vAlign w:val="center"/>
                </w:tcPr>
                <w:p>
                  <w:pPr>
                    <w:spacing w:line="240" w:lineRule="atLeast"/>
                    <w:jc w:val="center"/>
                    <w:rPr>
                      <w:rFonts w:ascii="Times New Roman" w:hAnsi="Times New Roman"/>
                    </w:rPr>
                  </w:pPr>
                  <w:r>
                    <w:rPr>
                      <w:rFonts w:hint="eastAsia" w:ascii="Times New Roman" w:hAnsi="Times New Roman"/>
                      <w:szCs w:val="21"/>
                    </w:rPr>
                    <w:t>达标</w:t>
                  </w:r>
                </w:p>
              </w:tc>
            </w:tr>
          </w:tbl>
          <w:p>
            <w:pPr>
              <w:spacing w:line="360" w:lineRule="auto"/>
              <w:ind w:firstLine="480" w:firstLineChars="200"/>
              <w:textAlignment w:val="center"/>
              <w:rPr>
                <w:rFonts w:ascii="Times New Roman" w:hAnsi="Times New Roman"/>
                <w:bCs/>
                <w:sz w:val="24"/>
                <w:szCs w:val="28"/>
                <w:lang w:val="zh-CN"/>
              </w:rPr>
            </w:pPr>
            <w:r>
              <w:rPr>
                <w:rFonts w:hint="eastAsia" w:ascii="Times New Roman" w:hAnsi="Times New Roman"/>
                <w:bCs/>
                <w:sz w:val="24"/>
                <w:szCs w:val="28"/>
                <w:lang w:val="zh-CN"/>
              </w:rPr>
              <w:t>由表</w:t>
            </w:r>
            <w:r>
              <w:rPr>
                <w:rFonts w:ascii="Times New Roman" w:hAnsi="Times New Roman"/>
                <w:bCs/>
                <w:sz w:val="24"/>
                <w:szCs w:val="28"/>
                <w:lang w:val="zh-CN"/>
              </w:rPr>
              <w:t>3-1</w:t>
            </w:r>
            <w:r>
              <w:rPr>
                <w:rFonts w:hint="eastAsia" w:ascii="Times New Roman" w:hAnsi="Times New Roman"/>
                <w:bCs/>
                <w:sz w:val="24"/>
                <w:szCs w:val="28"/>
                <w:lang w:val="zh-CN"/>
              </w:rPr>
              <w:t>可知</w:t>
            </w:r>
            <w:r>
              <w:rPr>
                <w:rFonts w:hint="eastAsia" w:ascii="Times New Roman" w:hAnsi="Times New Roman"/>
                <w:bCs/>
                <w:sz w:val="24"/>
                <w:szCs w:val="28"/>
              </w:rPr>
              <w:t>，本项目所在区域大气环境中</w:t>
            </w:r>
            <w:r>
              <w:rPr>
                <w:rFonts w:ascii="Times New Roman" w:hAnsi="Times New Roman"/>
                <w:bCs/>
                <w:sz w:val="24"/>
                <w:szCs w:val="28"/>
              </w:rPr>
              <w:t xml:space="preserve"> SO</w:t>
            </w:r>
            <w:r>
              <w:rPr>
                <w:rFonts w:ascii="Times New Roman" w:hAnsi="Times New Roman"/>
                <w:bCs/>
                <w:sz w:val="24"/>
                <w:szCs w:val="28"/>
                <w:vertAlign w:val="subscript"/>
              </w:rPr>
              <w:t>2</w:t>
            </w:r>
            <w:r>
              <w:rPr>
                <w:rFonts w:hint="eastAsia" w:ascii="Times New Roman" w:hAnsi="Times New Roman"/>
                <w:bCs/>
                <w:sz w:val="24"/>
                <w:szCs w:val="28"/>
              </w:rPr>
              <w:t>、</w:t>
            </w:r>
            <w:r>
              <w:rPr>
                <w:rFonts w:ascii="Times New Roman" w:hAnsi="Times New Roman"/>
                <w:bCs/>
                <w:sz w:val="24"/>
                <w:szCs w:val="28"/>
              </w:rPr>
              <w:t>NO</w:t>
            </w:r>
            <w:r>
              <w:rPr>
                <w:rFonts w:ascii="Times New Roman" w:hAnsi="Times New Roman"/>
                <w:bCs/>
                <w:sz w:val="24"/>
                <w:szCs w:val="28"/>
                <w:vertAlign w:val="subscript"/>
              </w:rPr>
              <w:t>2</w:t>
            </w:r>
            <w:r>
              <w:rPr>
                <w:rFonts w:hint="eastAsia" w:ascii="Times New Roman" w:hAnsi="Times New Roman"/>
                <w:bCs/>
                <w:sz w:val="24"/>
                <w:szCs w:val="28"/>
              </w:rPr>
              <w:t>、</w:t>
            </w:r>
            <w:r>
              <w:rPr>
                <w:rFonts w:ascii="Times New Roman" w:hAnsi="Times New Roman"/>
                <w:bCs/>
                <w:sz w:val="24"/>
                <w:szCs w:val="28"/>
              </w:rPr>
              <w:t>CO</w:t>
            </w:r>
            <w:r>
              <w:rPr>
                <w:rFonts w:hint="eastAsia" w:ascii="Times New Roman" w:hAnsi="Times New Roman"/>
                <w:bCs/>
                <w:sz w:val="24"/>
                <w:szCs w:val="28"/>
              </w:rPr>
              <w:t>、</w:t>
            </w:r>
            <w:r>
              <w:rPr>
                <w:rFonts w:ascii="Times New Roman" w:hAnsi="Times New Roman"/>
                <w:bCs/>
                <w:sz w:val="24"/>
                <w:szCs w:val="28"/>
              </w:rPr>
              <w:t>PM</w:t>
            </w:r>
            <w:r>
              <w:rPr>
                <w:rFonts w:ascii="Times New Roman" w:hAnsi="Times New Roman"/>
                <w:bCs/>
                <w:sz w:val="24"/>
                <w:szCs w:val="28"/>
                <w:vertAlign w:val="subscript"/>
              </w:rPr>
              <w:t>10</w:t>
            </w:r>
            <w:r>
              <w:rPr>
                <w:rFonts w:hint="eastAsia" w:ascii="Times New Roman" w:hAnsi="Times New Roman"/>
                <w:bCs/>
                <w:sz w:val="24"/>
                <w:szCs w:val="28"/>
              </w:rPr>
              <w:t>、</w:t>
            </w:r>
            <w:r>
              <w:rPr>
                <w:rFonts w:ascii="Times New Roman" w:hAnsi="Times New Roman"/>
                <w:bCs/>
                <w:sz w:val="24"/>
                <w:szCs w:val="28"/>
              </w:rPr>
              <w:t>PM</w:t>
            </w:r>
            <w:r>
              <w:rPr>
                <w:rFonts w:ascii="Times New Roman" w:hAnsi="Times New Roman"/>
                <w:bCs/>
                <w:sz w:val="24"/>
                <w:szCs w:val="28"/>
                <w:vertAlign w:val="subscript"/>
              </w:rPr>
              <w:t>2.5</w:t>
            </w:r>
            <w:r>
              <w:rPr>
                <w:rFonts w:hint="eastAsia" w:ascii="Times New Roman" w:hAnsi="Times New Roman"/>
                <w:bCs/>
                <w:sz w:val="24"/>
                <w:szCs w:val="28"/>
              </w:rPr>
              <w:t>、</w:t>
            </w:r>
            <w:r>
              <w:rPr>
                <w:rFonts w:ascii="Times New Roman" w:hAnsi="Times New Roman"/>
                <w:bCs/>
                <w:sz w:val="24"/>
                <w:szCs w:val="28"/>
              </w:rPr>
              <w:t>O</w:t>
            </w:r>
            <w:r>
              <w:rPr>
                <w:rFonts w:ascii="Times New Roman" w:hAnsi="Times New Roman"/>
                <w:bCs/>
                <w:sz w:val="24"/>
                <w:szCs w:val="28"/>
                <w:vertAlign w:val="subscript"/>
              </w:rPr>
              <w:t>3</w:t>
            </w:r>
            <w:r>
              <w:rPr>
                <w:rFonts w:hint="eastAsia" w:ascii="Times New Roman" w:hAnsi="Times New Roman"/>
                <w:bCs/>
                <w:sz w:val="24"/>
                <w:szCs w:val="28"/>
              </w:rPr>
              <w:t>浓度均满足《环境空气质量标准》（</w:t>
            </w:r>
            <w:r>
              <w:rPr>
                <w:rFonts w:ascii="Times New Roman" w:hAnsi="Times New Roman"/>
                <w:bCs/>
                <w:sz w:val="24"/>
                <w:szCs w:val="28"/>
              </w:rPr>
              <w:t>GB3095-2012</w:t>
            </w:r>
            <w:r>
              <w:rPr>
                <w:rFonts w:hint="eastAsia" w:ascii="Times New Roman" w:hAnsi="Times New Roman"/>
                <w:bCs/>
                <w:sz w:val="24"/>
                <w:szCs w:val="28"/>
              </w:rPr>
              <w:t>）二级标准，项目所在区域属于达标区</w:t>
            </w:r>
            <w:r>
              <w:rPr>
                <w:rFonts w:hint="eastAsia" w:ascii="Times New Roman" w:hAnsi="Times New Roman"/>
                <w:bCs/>
                <w:sz w:val="24"/>
                <w:szCs w:val="28"/>
                <w:lang w:val="zh-CN"/>
              </w:rPr>
              <w:t>。</w:t>
            </w:r>
          </w:p>
          <w:p>
            <w:pPr>
              <w:widowControl/>
              <w:snapToGrid w:val="0"/>
              <w:spacing w:line="360" w:lineRule="auto"/>
              <w:ind w:firstLine="480" w:firstLineChars="20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、特征污染物补充监测</w:t>
            </w:r>
          </w:p>
          <w:p>
            <w:pPr>
              <w:widowControl/>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本次评价委托海南中环能检测技术有限公司于</w:t>
            </w:r>
            <w:r>
              <w:rPr>
                <w:rFonts w:ascii="Times New Roman" w:hAnsi="Times New Roman"/>
                <w:sz w:val="24"/>
                <w:szCs w:val="24"/>
              </w:rPr>
              <w:t>2019</w:t>
            </w:r>
            <w:r>
              <w:rPr>
                <w:rFonts w:hint="eastAsia" w:ascii="Times New Roman" w:hAnsi="Times New Roman"/>
                <w:sz w:val="24"/>
                <w:szCs w:val="24"/>
              </w:rPr>
              <w:t>年</w:t>
            </w:r>
            <w:r>
              <w:rPr>
                <w:rFonts w:ascii="Times New Roman" w:hAnsi="Times New Roman"/>
                <w:sz w:val="24"/>
                <w:szCs w:val="24"/>
              </w:rPr>
              <w:t>5</w:t>
            </w:r>
            <w:r>
              <w:rPr>
                <w:rFonts w:hint="eastAsia" w:ascii="Times New Roman" w:hAnsi="Times New Roman"/>
                <w:sz w:val="24"/>
                <w:szCs w:val="24"/>
              </w:rPr>
              <w:t>月</w:t>
            </w:r>
            <w:r>
              <w:rPr>
                <w:rFonts w:ascii="Times New Roman" w:hAnsi="Times New Roman"/>
                <w:sz w:val="24"/>
                <w:szCs w:val="24"/>
              </w:rPr>
              <w:t>23~29</w:t>
            </w:r>
            <w:r>
              <w:rPr>
                <w:rFonts w:hint="eastAsia" w:ascii="Times New Roman" w:hAnsi="Times New Roman"/>
                <w:sz w:val="24"/>
                <w:szCs w:val="24"/>
              </w:rPr>
              <w:t>日对评价范围大气环境质量特征因子进行了现状监测。根据项目特点及周边环境敏感目标分布，确定项目补充监测方案如下：</w:t>
            </w:r>
          </w:p>
          <w:p>
            <w:pPr>
              <w:widowControl/>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）监测点位：莫村</w:t>
            </w:r>
          </w:p>
          <w:p>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）监测因子：</w:t>
            </w:r>
            <w:bookmarkStart w:id="20" w:name="_Hlk8145179"/>
            <w:r>
              <w:rPr>
                <w:rFonts w:ascii="Times New Roman" w:hAnsi="Times New Roman"/>
                <w:sz w:val="24"/>
                <w:szCs w:val="24"/>
              </w:rPr>
              <w:t>NH</w:t>
            </w:r>
            <w:r>
              <w:rPr>
                <w:rFonts w:ascii="Times New Roman" w:hAnsi="Times New Roman"/>
                <w:sz w:val="24"/>
                <w:szCs w:val="24"/>
                <w:vertAlign w:val="subscript"/>
              </w:rPr>
              <w:t>3</w:t>
            </w:r>
            <w:r>
              <w:rPr>
                <w:rFonts w:hint="eastAsia" w:ascii="Times New Roman" w:hAnsi="Times New Roman"/>
                <w:sz w:val="24"/>
                <w:szCs w:val="24"/>
              </w:rPr>
              <w:t>、</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S</w:t>
            </w:r>
            <w:bookmarkEnd w:id="20"/>
          </w:p>
          <w:p>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）监测频率：</w:t>
            </w:r>
            <w:r>
              <w:rPr>
                <w:rFonts w:hint="eastAsia" w:ascii="Times New Roman" w:hAnsi="Times New Roman"/>
                <w:bCs/>
                <w:sz w:val="24"/>
                <w:szCs w:val="24"/>
              </w:rPr>
              <w:t>连续监测</w:t>
            </w:r>
            <w:r>
              <w:rPr>
                <w:rFonts w:ascii="Times New Roman" w:hAnsi="Times New Roman"/>
                <w:bCs/>
                <w:sz w:val="24"/>
                <w:szCs w:val="24"/>
              </w:rPr>
              <w:t>7</w:t>
            </w:r>
            <w:r>
              <w:rPr>
                <w:rFonts w:hint="eastAsia" w:ascii="Times New Roman" w:hAnsi="Times New Roman"/>
                <w:bCs/>
                <w:sz w:val="24"/>
                <w:szCs w:val="24"/>
              </w:rPr>
              <w:t>天；每天测</w:t>
            </w:r>
            <w:r>
              <w:rPr>
                <w:rFonts w:ascii="Times New Roman" w:hAnsi="Times New Roman"/>
                <w:bCs/>
                <w:sz w:val="24"/>
                <w:szCs w:val="24"/>
              </w:rPr>
              <w:t>4</w:t>
            </w:r>
            <w:r>
              <w:rPr>
                <w:rFonts w:hint="eastAsia" w:ascii="Times New Roman" w:hAnsi="Times New Roman"/>
                <w:bCs/>
                <w:sz w:val="24"/>
                <w:szCs w:val="24"/>
              </w:rPr>
              <w:t>次</w:t>
            </w:r>
            <w:r>
              <w:rPr>
                <w:rFonts w:ascii="Times New Roman" w:hAnsi="Times New Roman"/>
                <w:bCs/>
                <w:sz w:val="24"/>
                <w:szCs w:val="24"/>
              </w:rPr>
              <w:t>1h</w:t>
            </w:r>
            <w:r>
              <w:rPr>
                <w:rFonts w:hint="eastAsia" w:ascii="Times New Roman" w:hAnsi="Times New Roman"/>
                <w:bCs/>
                <w:sz w:val="24"/>
                <w:szCs w:val="24"/>
              </w:rPr>
              <w:t>平均浓度。</w:t>
            </w:r>
            <w:r>
              <w:rPr>
                <w:rFonts w:hint="eastAsia" w:ascii="Times New Roman" w:hAnsi="Times New Roman"/>
                <w:sz w:val="24"/>
                <w:szCs w:val="24"/>
              </w:rPr>
              <w:t>监测小时均值采样至少有</w:t>
            </w:r>
            <w:r>
              <w:rPr>
                <w:rFonts w:ascii="Times New Roman" w:hAnsi="Times New Roman"/>
                <w:sz w:val="24"/>
                <w:szCs w:val="24"/>
              </w:rPr>
              <w:t>45min/h</w:t>
            </w:r>
            <w:r>
              <w:rPr>
                <w:rFonts w:hint="eastAsia" w:ascii="Times New Roman" w:hAnsi="Times New Roman"/>
                <w:sz w:val="24"/>
                <w:szCs w:val="24"/>
              </w:rPr>
              <w:t>。</w:t>
            </w:r>
          </w:p>
          <w:p>
            <w:pPr>
              <w:widowControl/>
              <w:spacing w:line="360" w:lineRule="auto"/>
              <w:ind w:firstLine="480" w:firstLineChars="2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4</w:t>
            </w:r>
            <w:r>
              <w:rPr>
                <w:rFonts w:hint="eastAsia" w:ascii="Times New Roman" w:hAnsi="Times New Roman"/>
                <w:sz w:val="24"/>
                <w:szCs w:val="24"/>
              </w:rPr>
              <w:t>）监测方法</w:t>
            </w:r>
          </w:p>
          <w:p>
            <w:pPr>
              <w:widowControl/>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环境空气中各项污染物的监测方法详见表</w:t>
            </w:r>
            <w:r>
              <w:rPr>
                <w:rFonts w:ascii="Times New Roman" w:hAnsi="Times New Roman"/>
                <w:sz w:val="24"/>
                <w:szCs w:val="24"/>
              </w:rPr>
              <w:t>3-2</w:t>
            </w:r>
            <w:r>
              <w:rPr>
                <w:rFonts w:hint="eastAsia" w:ascii="Times New Roman" w:hAnsi="Times New Roman"/>
                <w:sz w:val="24"/>
                <w:szCs w:val="24"/>
              </w:rPr>
              <w:t>。</w:t>
            </w:r>
          </w:p>
          <w:p>
            <w:pPr>
              <w:pStyle w:val="2"/>
              <w:jc w:val="center"/>
              <w:rPr>
                <w:b/>
                <w:spacing w:val="6"/>
                <w:kern w:val="0"/>
              </w:rPr>
            </w:pPr>
          </w:p>
          <w:p>
            <w:pPr>
              <w:pStyle w:val="2"/>
              <w:jc w:val="center"/>
              <w:rPr>
                <w:b/>
                <w:spacing w:val="6"/>
                <w:kern w:val="0"/>
              </w:rPr>
            </w:pPr>
            <w:r>
              <w:rPr>
                <w:rFonts w:hint="eastAsia"/>
                <w:b/>
                <w:spacing w:val="6"/>
                <w:kern w:val="0"/>
              </w:rPr>
              <w:t>表</w:t>
            </w:r>
            <w:r>
              <w:rPr>
                <w:b/>
                <w:spacing w:val="6"/>
                <w:kern w:val="0"/>
              </w:rPr>
              <w:t xml:space="preserve">3-2  </w:t>
            </w:r>
            <w:r>
              <w:rPr>
                <w:rFonts w:hint="eastAsia"/>
                <w:b/>
                <w:spacing w:val="6"/>
                <w:kern w:val="0"/>
              </w:rPr>
              <w:t>环境空气监测方法一览表</w:t>
            </w:r>
          </w:p>
          <w:tbl>
            <w:tblPr>
              <w:tblStyle w:val="37"/>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336"/>
              <w:gridCol w:w="2740"/>
              <w:gridCol w:w="2209"/>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83" w:type="dxa"/>
                  <w:tcBorders>
                    <w:top w:val="single" w:color="auto" w:sz="12" w:space="0"/>
                    <w:left w:val="single" w:color="auto" w:sz="12" w:space="0"/>
                    <w:bottom w:val="double" w:color="auto" w:sz="4" w:space="0"/>
                    <w:right w:val="single" w:color="auto" w:sz="4" w:space="0"/>
                  </w:tcBorders>
                  <w:vAlign w:val="center"/>
                </w:tcPr>
                <w:p>
                  <w:pPr>
                    <w:pStyle w:val="77"/>
                  </w:pPr>
                  <w:r>
                    <w:rPr>
                      <w:rFonts w:hint="eastAsia"/>
                    </w:rPr>
                    <w:t>样品类型</w:t>
                  </w:r>
                </w:p>
              </w:tc>
              <w:tc>
                <w:tcPr>
                  <w:tcW w:w="1336"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检测项目</w:t>
                  </w:r>
                </w:p>
              </w:tc>
              <w:tc>
                <w:tcPr>
                  <w:tcW w:w="2740"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检测方法及标准号</w:t>
                  </w:r>
                </w:p>
              </w:tc>
              <w:tc>
                <w:tcPr>
                  <w:tcW w:w="2209"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主要仪器</w:t>
                  </w:r>
                </w:p>
              </w:tc>
              <w:tc>
                <w:tcPr>
                  <w:tcW w:w="1730" w:type="dxa"/>
                  <w:tcBorders>
                    <w:top w:val="single" w:color="auto" w:sz="12" w:space="0"/>
                    <w:left w:val="single" w:color="auto" w:sz="4" w:space="0"/>
                    <w:bottom w:val="double" w:color="auto" w:sz="4" w:space="0"/>
                    <w:right w:val="single" w:color="auto" w:sz="12" w:space="0"/>
                  </w:tcBorders>
                  <w:vAlign w:val="center"/>
                </w:tcPr>
                <w:p>
                  <w:pPr>
                    <w:pStyle w:val="77"/>
                  </w:pPr>
                  <w:r>
                    <w:rPr>
                      <w:rFonts w:hint="eastAsia"/>
                    </w:rPr>
                    <w:t>方法最低检出限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restart"/>
                  <w:tcBorders>
                    <w:top w:val="double" w:color="auto" w:sz="4" w:space="0"/>
                    <w:left w:val="single" w:color="auto" w:sz="12" w:space="0"/>
                    <w:bottom w:val="single" w:color="auto" w:sz="4" w:space="0"/>
                    <w:right w:val="single" w:color="auto" w:sz="4" w:space="0"/>
                  </w:tcBorders>
                  <w:vAlign w:val="center"/>
                </w:tcPr>
                <w:p>
                  <w:pPr>
                    <w:pStyle w:val="77"/>
                  </w:pPr>
                  <w:r>
                    <w:rPr>
                      <w:rFonts w:hint="eastAsia"/>
                    </w:rPr>
                    <w:t>环境</w:t>
                  </w:r>
                </w:p>
                <w:p>
                  <w:pPr>
                    <w:pStyle w:val="77"/>
                  </w:pPr>
                  <w:r>
                    <w:rPr>
                      <w:rFonts w:hint="eastAsia"/>
                    </w:rPr>
                    <w:t>空气</w:t>
                  </w:r>
                </w:p>
              </w:tc>
              <w:tc>
                <w:tcPr>
                  <w:tcW w:w="1336" w:type="dxa"/>
                  <w:tcBorders>
                    <w:top w:val="double" w:color="auto" w:sz="4" w:space="0"/>
                    <w:left w:val="single" w:color="auto" w:sz="4" w:space="0"/>
                    <w:bottom w:val="single" w:color="auto" w:sz="4" w:space="0"/>
                    <w:right w:val="single" w:color="auto" w:sz="4" w:space="0"/>
                  </w:tcBorders>
                  <w:vAlign w:val="center"/>
                </w:tcPr>
                <w:p>
                  <w:pPr>
                    <w:pStyle w:val="77"/>
                  </w:pPr>
                  <w:r>
                    <w:rPr>
                      <w:rFonts w:hint="eastAsia"/>
                    </w:rPr>
                    <w:t>氨</w:t>
                  </w:r>
                </w:p>
              </w:tc>
              <w:tc>
                <w:tcPr>
                  <w:tcW w:w="2740" w:type="dxa"/>
                  <w:tcBorders>
                    <w:top w:val="double" w:color="auto" w:sz="4" w:space="0"/>
                    <w:left w:val="single" w:color="auto" w:sz="4" w:space="0"/>
                    <w:bottom w:val="single" w:color="auto" w:sz="4" w:space="0"/>
                    <w:right w:val="single" w:color="auto" w:sz="4" w:space="0"/>
                  </w:tcBorders>
                  <w:vAlign w:val="center"/>
                </w:tcPr>
                <w:p>
                  <w:pPr>
                    <w:pStyle w:val="77"/>
                  </w:pPr>
                  <w:r>
                    <w:rPr>
                      <w:rFonts w:hint="eastAsia"/>
                    </w:rPr>
                    <w:t>纳氏试剂分光光度法</w:t>
                  </w:r>
                </w:p>
                <w:p>
                  <w:pPr>
                    <w:pStyle w:val="77"/>
                  </w:pPr>
                  <w:r>
                    <w:t>HJ 533-2009</w:t>
                  </w:r>
                </w:p>
              </w:tc>
              <w:tc>
                <w:tcPr>
                  <w:tcW w:w="2209" w:type="dxa"/>
                  <w:vMerge w:val="restart"/>
                  <w:tcBorders>
                    <w:top w:val="double" w:color="auto" w:sz="4" w:space="0"/>
                    <w:left w:val="single" w:color="auto" w:sz="4" w:space="0"/>
                    <w:bottom w:val="single" w:color="auto" w:sz="4" w:space="0"/>
                    <w:right w:val="single" w:color="auto" w:sz="4" w:space="0"/>
                  </w:tcBorders>
                  <w:vAlign w:val="center"/>
                </w:tcPr>
                <w:p>
                  <w:pPr>
                    <w:pStyle w:val="77"/>
                  </w:pPr>
                  <w:r>
                    <w:rPr>
                      <w:rFonts w:hint="eastAsia"/>
                    </w:rPr>
                    <w:t>紫外可见分光光度计</w:t>
                  </w:r>
                  <w:r>
                    <w:t>T6</w:t>
                  </w:r>
                </w:p>
                <w:p>
                  <w:pPr>
                    <w:pStyle w:val="77"/>
                  </w:pPr>
                  <w:r>
                    <w:t>CE-SB-062</w:t>
                  </w:r>
                </w:p>
              </w:tc>
              <w:tc>
                <w:tcPr>
                  <w:tcW w:w="1730" w:type="dxa"/>
                  <w:tcBorders>
                    <w:top w:val="double" w:color="auto" w:sz="4" w:space="0"/>
                    <w:left w:val="single" w:color="auto" w:sz="4" w:space="0"/>
                    <w:bottom w:val="single" w:color="auto" w:sz="4" w:space="0"/>
                    <w:right w:val="single" w:color="auto" w:sz="12" w:space="0"/>
                  </w:tcBorders>
                  <w:vAlign w:val="center"/>
                </w:tcPr>
                <w:p>
                  <w:pPr>
                    <w:pStyle w:val="77"/>
                  </w:pPr>
                  <w:r>
                    <w:t>0.01mg/m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op w:val="single" w:color="auto" w:sz="4" w:space="0"/>
                    <w:left w:val="single" w:color="auto" w:sz="12" w:space="0"/>
                    <w:bottom w:val="single" w:color="auto" w:sz="12" w:space="0"/>
                    <w:right w:val="single" w:color="auto" w:sz="4" w:space="0"/>
                  </w:tcBorders>
                  <w:vAlign w:val="center"/>
                </w:tcPr>
                <w:p>
                  <w:pPr>
                    <w:pStyle w:val="77"/>
                  </w:pPr>
                </w:p>
              </w:tc>
              <w:tc>
                <w:tcPr>
                  <w:tcW w:w="1336"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硫化氢</w:t>
                  </w:r>
                </w:p>
              </w:tc>
              <w:tc>
                <w:tcPr>
                  <w:tcW w:w="2740"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亚甲基蓝分光光度法《空气和废气监测分析方法》（第四版增补版）（</w:t>
                  </w:r>
                  <w:r>
                    <w:t xml:space="preserve">2003 </w:t>
                  </w:r>
                  <w:r>
                    <w:rPr>
                      <w:rFonts w:hint="eastAsia"/>
                    </w:rPr>
                    <w:t>年）</w:t>
                  </w:r>
                </w:p>
              </w:tc>
              <w:tc>
                <w:tcPr>
                  <w:tcW w:w="2209" w:type="dxa"/>
                  <w:vMerge w:val="continue"/>
                  <w:tcBorders>
                    <w:top w:val="single" w:color="auto" w:sz="4" w:space="0"/>
                    <w:left w:val="single" w:color="auto" w:sz="4" w:space="0"/>
                    <w:bottom w:val="single" w:color="auto" w:sz="12" w:space="0"/>
                    <w:right w:val="single" w:color="auto" w:sz="4" w:space="0"/>
                  </w:tcBorders>
                  <w:vAlign w:val="center"/>
                </w:tcPr>
                <w:p>
                  <w:pPr>
                    <w:pStyle w:val="77"/>
                  </w:pPr>
                </w:p>
              </w:tc>
              <w:tc>
                <w:tcPr>
                  <w:tcW w:w="1730" w:type="dxa"/>
                  <w:tcBorders>
                    <w:top w:val="single" w:color="auto" w:sz="4" w:space="0"/>
                    <w:left w:val="single" w:color="auto" w:sz="4" w:space="0"/>
                    <w:bottom w:val="single" w:color="auto" w:sz="12" w:space="0"/>
                    <w:right w:val="single" w:color="auto" w:sz="12" w:space="0"/>
                  </w:tcBorders>
                  <w:vAlign w:val="center"/>
                </w:tcPr>
                <w:p>
                  <w:pPr>
                    <w:pStyle w:val="77"/>
                  </w:pPr>
                  <w:r>
                    <w:t>0.001mg/m</w:t>
                  </w:r>
                  <w:r>
                    <w:rPr>
                      <w:vertAlign w:val="superscript"/>
                    </w:rPr>
                    <w:t>3</w:t>
                  </w:r>
                </w:p>
              </w:tc>
            </w:tr>
          </w:tbl>
          <w:p>
            <w:pPr>
              <w:pStyle w:val="2"/>
              <w:spacing w:line="360" w:lineRule="auto"/>
              <w:ind w:firstLine="480" w:firstLineChars="200"/>
            </w:pPr>
            <w:r>
              <w:rPr>
                <w:rFonts w:hint="eastAsia"/>
                <w:szCs w:val="24"/>
              </w:rPr>
              <w:t>（</w:t>
            </w:r>
            <w:r>
              <w:rPr>
                <w:szCs w:val="24"/>
              </w:rPr>
              <w:t>5</w:t>
            </w:r>
            <w:r>
              <w:rPr>
                <w:rFonts w:hint="eastAsia"/>
                <w:szCs w:val="24"/>
              </w:rPr>
              <w:t>）</w:t>
            </w:r>
            <w:r>
              <w:rPr>
                <w:rFonts w:hint="eastAsia"/>
              </w:rPr>
              <w:t>监测结果统计分析</w:t>
            </w:r>
          </w:p>
          <w:p>
            <w:pPr>
              <w:pStyle w:val="2"/>
              <w:spacing w:line="360" w:lineRule="auto"/>
              <w:ind w:firstLine="480" w:firstLineChars="200"/>
            </w:pPr>
            <w:r>
              <w:rPr>
                <w:rFonts w:hint="eastAsia"/>
              </w:rPr>
              <w:t>监测期间采样现场气象数据统计见表</w:t>
            </w:r>
            <w:r>
              <w:t>3-3</w:t>
            </w:r>
            <w:r>
              <w:rPr>
                <w:rFonts w:hint="eastAsia"/>
              </w:rPr>
              <w:t>，监测结果统计与分析见表</w:t>
            </w:r>
            <w:r>
              <w:t>3-4.</w:t>
            </w:r>
          </w:p>
          <w:p>
            <w:pPr>
              <w:spacing w:line="300" w:lineRule="auto"/>
              <w:jc w:val="center"/>
              <w:rPr>
                <w:rFonts w:ascii="Times New Roman" w:hAnsi="Times New Roman"/>
                <w:b/>
                <w:spacing w:val="6"/>
                <w:kern w:val="0"/>
                <w:sz w:val="24"/>
                <w:szCs w:val="20"/>
              </w:rPr>
            </w:pPr>
            <w:r>
              <w:rPr>
                <w:rFonts w:hint="eastAsia" w:ascii="Times New Roman" w:hAnsi="Times New Roman"/>
                <w:b/>
                <w:spacing w:val="6"/>
                <w:kern w:val="0"/>
                <w:sz w:val="24"/>
                <w:szCs w:val="20"/>
              </w:rPr>
              <w:t>表</w:t>
            </w:r>
            <w:r>
              <w:rPr>
                <w:rFonts w:ascii="Times New Roman" w:hAnsi="Times New Roman"/>
                <w:b/>
                <w:spacing w:val="6"/>
                <w:kern w:val="0"/>
                <w:sz w:val="24"/>
                <w:szCs w:val="20"/>
              </w:rPr>
              <w:t>3-3</w:t>
            </w:r>
            <w:r>
              <w:rPr>
                <w:rFonts w:hint="eastAsia" w:ascii="Times New Roman" w:hAnsi="Times New Roman"/>
                <w:b/>
                <w:spacing w:val="6"/>
                <w:kern w:val="0"/>
                <w:sz w:val="24"/>
                <w:szCs w:val="20"/>
              </w:rPr>
              <w:t>采样现场气象数据统计表</w:t>
            </w:r>
          </w:p>
          <w:tbl>
            <w:tblPr>
              <w:tblStyle w:val="37"/>
              <w:tblW w:w="90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5"/>
              <w:gridCol w:w="1150"/>
              <w:gridCol w:w="1563"/>
              <w:gridCol w:w="1563"/>
              <w:gridCol w:w="1563"/>
              <w:gridCol w:w="1077"/>
              <w:gridCol w:w="10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1" w:hRule="atLeast"/>
              </w:trPr>
              <w:tc>
                <w:tcPr>
                  <w:tcW w:w="1105" w:type="dxa"/>
                  <w:tcBorders>
                    <w:top w:val="single" w:color="auto" w:sz="12" w:space="0"/>
                    <w:left w:val="single" w:color="auto" w:sz="12" w:space="0"/>
                    <w:bottom w:val="double" w:color="auto" w:sz="4"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采样日期</w:t>
                  </w:r>
                </w:p>
              </w:tc>
              <w:tc>
                <w:tcPr>
                  <w:tcW w:w="1150" w:type="dxa"/>
                  <w:tcBorders>
                    <w:top w:val="single" w:color="auto" w:sz="12" w:space="0"/>
                    <w:left w:val="single" w:color="auto" w:sz="6" w:space="0"/>
                    <w:bottom w:val="double" w:color="auto" w:sz="4" w:space="0"/>
                    <w:right w:val="single" w:color="auto" w:sz="6" w:space="0"/>
                  </w:tcBorders>
                </w:tcPr>
                <w:p>
                  <w:pPr>
                    <w:jc w:val="center"/>
                    <w:rPr>
                      <w:rFonts w:ascii="Times New Roman" w:hAnsi="Times New Roman"/>
                      <w:szCs w:val="21"/>
                    </w:rPr>
                  </w:pPr>
                  <w:r>
                    <w:rPr>
                      <w:rFonts w:hint="eastAsia" w:ascii="Times New Roman" w:hAnsi="Times New Roman"/>
                      <w:szCs w:val="21"/>
                    </w:rPr>
                    <w:t>采样频次</w:t>
                  </w:r>
                </w:p>
              </w:tc>
              <w:tc>
                <w:tcPr>
                  <w:tcW w:w="1563" w:type="dxa"/>
                  <w:tcBorders>
                    <w:top w:val="single" w:color="auto" w:sz="12" w:space="0"/>
                    <w:left w:val="single" w:color="auto" w:sz="6" w:space="0"/>
                    <w:bottom w:val="double" w:color="auto" w:sz="4" w:space="0"/>
                    <w:right w:val="single" w:color="auto" w:sz="6" w:space="0"/>
                  </w:tcBorders>
                </w:tcPr>
                <w:p>
                  <w:pPr>
                    <w:jc w:val="center"/>
                    <w:rPr>
                      <w:rFonts w:ascii="Times New Roman" w:hAnsi="Times New Roman"/>
                      <w:szCs w:val="21"/>
                    </w:rPr>
                  </w:pPr>
                  <w:r>
                    <w:rPr>
                      <w:rFonts w:hint="eastAsia" w:ascii="Times New Roman" w:hAnsi="Times New Roman"/>
                      <w:szCs w:val="21"/>
                    </w:rPr>
                    <w:t>气温℃</w:t>
                  </w:r>
                </w:p>
              </w:tc>
              <w:tc>
                <w:tcPr>
                  <w:tcW w:w="1563" w:type="dxa"/>
                  <w:tcBorders>
                    <w:top w:val="single" w:color="auto" w:sz="12" w:space="0"/>
                    <w:left w:val="single" w:color="auto" w:sz="6" w:space="0"/>
                    <w:bottom w:val="double" w:color="auto" w:sz="4" w:space="0"/>
                    <w:right w:val="single" w:color="auto" w:sz="6" w:space="0"/>
                  </w:tcBorders>
                </w:tcPr>
                <w:p>
                  <w:pPr>
                    <w:jc w:val="center"/>
                    <w:rPr>
                      <w:rFonts w:ascii="Times New Roman" w:hAnsi="Times New Roman"/>
                      <w:szCs w:val="21"/>
                    </w:rPr>
                  </w:pPr>
                  <w:r>
                    <w:rPr>
                      <w:rFonts w:hint="eastAsia" w:ascii="Times New Roman" w:hAnsi="Times New Roman"/>
                      <w:szCs w:val="21"/>
                    </w:rPr>
                    <w:t>气压</w:t>
                  </w:r>
                  <w:r>
                    <w:rPr>
                      <w:rFonts w:ascii="Times New Roman" w:hAnsi="Times New Roman"/>
                      <w:szCs w:val="21"/>
                    </w:rPr>
                    <w:t>KPa</w:t>
                  </w:r>
                </w:p>
              </w:tc>
              <w:tc>
                <w:tcPr>
                  <w:tcW w:w="1563"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相对湿度</w:t>
                  </w:r>
                  <w:r>
                    <w:rPr>
                      <w:rFonts w:ascii="Times New Roman" w:hAnsi="Times New Roman"/>
                      <w:szCs w:val="21"/>
                    </w:rPr>
                    <w:t>%</w:t>
                  </w:r>
                </w:p>
              </w:tc>
              <w:tc>
                <w:tcPr>
                  <w:tcW w:w="1077"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风速</w:t>
                  </w:r>
                  <w:r>
                    <w:rPr>
                      <w:rFonts w:ascii="Times New Roman" w:hAnsi="Times New Roman"/>
                      <w:szCs w:val="21"/>
                    </w:rPr>
                    <w:t>m/s</w:t>
                  </w:r>
                </w:p>
              </w:tc>
              <w:tc>
                <w:tcPr>
                  <w:tcW w:w="1077" w:type="dxa"/>
                  <w:tcBorders>
                    <w:top w:val="single" w:color="auto" w:sz="12" w:space="0"/>
                    <w:left w:val="single" w:color="auto" w:sz="6" w:space="0"/>
                    <w:bottom w:val="double" w:color="auto" w:sz="4" w:space="0"/>
                    <w:right w:val="single" w:color="auto" w:sz="12" w:space="0"/>
                  </w:tcBorders>
                  <w:vAlign w:val="center"/>
                </w:tcPr>
                <w:p>
                  <w:pPr>
                    <w:jc w:val="center"/>
                    <w:rPr>
                      <w:rFonts w:ascii="Times New Roman" w:hAnsi="Times New Roman"/>
                      <w:szCs w:val="21"/>
                    </w:rPr>
                  </w:pPr>
                  <w:r>
                    <w:rPr>
                      <w:rFonts w:hint="eastAsia" w:ascii="Times New Roman" w:hAnsi="Times New Roman"/>
                      <w:szCs w:val="21"/>
                    </w:rPr>
                    <w:t>风向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restart"/>
                  <w:tcBorders>
                    <w:top w:val="double" w:color="auto" w:sz="4" w:space="0"/>
                    <w:left w:val="single" w:color="auto" w:sz="12" w:space="0"/>
                    <w:bottom w:val="single" w:color="auto" w:sz="6" w:space="0"/>
                    <w:right w:val="single" w:color="auto" w:sz="6" w:space="0"/>
                  </w:tcBorders>
                  <w:vAlign w:val="center"/>
                </w:tcPr>
                <w:p>
                  <w:pPr>
                    <w:jc w:val="center"/>
                    <w:rPr>
                      <w:rFonts w:ascii="Times New Roman" w:hAnsi="Times New Roman"/>
                      <w:kern w:val="0"/>
                      <w:szCs w:val="21"/>
                    </w:rPr>
                  </w:pPr>
                  <w:r>
                    <w:rPr>
                      <w:rFonts w:ascii="Times New Roman" w:hAnsi="Times New Roman"/>
                      <w:kern w:val="0"/>
                      <w:szCs w:val="21"/>
                    </w:rPr>
                    <w:t>2019.5.23</w:t>
                  </w:r>
                </w:p>
              </w:tc>
              <w:tc>
                <w:tcPr>
                  <w:tcW w:w="1150" w:type="dxa"/>
                  <w:tcBorders>
                    <w:top w:val="double" w:color="auto" w:sz="4"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第一次</w:t>
                  </w:r>
                </w:p>
              </w:tc>
              <w:tc>
                <w:tcPr>
                  <w:tcW w:w="1563" w:type="dxa"/>
                  <w:tcBorders>
                    <w:top w:val="double" w:color="auto" w:sz="4"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28.6</w:t>
                  </w:r>
                </w:p>
              </w:tc>
              <w:tc>
                <w:tcPr>
                  <w:tcW w:w="1563" w:type="dxa"/>
                  <w:tcBorders>
                    <w:top w:val="double" w:color="auto" w:sz="4"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100.63</w:t>
                  </w:r>
                </w:p>
              </w:tc>
              <w:tc>
                <w:tcPr>
                  <w:tcW w:w="1563"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58</w:t>
                  </w:r>
                </w:p>
              </w:tc>
              <w:tc>
                <w:tcPr>
                  <w:tcW w:w="1077"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1.2</w:t>
                  </w:r>
                </w:p>
              </w:tc>
              <w:tc>
                <w:tcPr>
                  <w:tcW w:w="1077" w:type="dxa"/>
                  <w:tcBorders>
                    <w:top w:val="double" w:color="auto" w:sz="4"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第二次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32.3</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100.45</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63</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1.3</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第三次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31.7</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100.50</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1.3</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第四次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29.1</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100.53</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1.1</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r>
                    <w:rPr>
                      <w:rFonts w:ascii="Times New Roman" w:hAnsi="Times New Roman"/>
                      <w:kern w:val="0"/>
                      <w:szCs w:val="21"/>
                    </w:rPr>
                    <w:t>2019.5.24</w:t>
                  </w: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第一次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27.5</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100.65</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58</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1.1</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第二次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29.8</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100.57</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1.3</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第三次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32.0</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100.49</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64</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1.4</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第四次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30.9</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100.51</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61</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1.5</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r>
                    <w:rPr>
                      <w:rFonts w:ascii="Times New Roman" w:hAnsi="Times New Roman"/>
                      <w:kern w:val="0"/>
                      <w:szCs w:val="21"/>
                    </w:rPr>
                    <w:t>2019.5.25</w:t>
                  </w: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第一次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28.3</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100.59</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1.4</w:t>
                  </w:r>
                </w:p>
              </w:tc>
              <w:tc>
                <w:tcPr>
                  <w:tcW w:w="1077"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第二次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31.8</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100.48</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65</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1.3</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第三次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31.1</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100.52</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62</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1.3</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第四次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29.2</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100.54</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61</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1.2</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r>
                    <w:rPr>
                      <w:rFonts w:ascii="Times New Roman" w:hAnsi="Times New Roman"/>
                      <w:kern w:val="0"/>
                      <w:szCs w:val="21"/>
                    </w:rPr>
                    <w:t>2019.5.26</w:t>
                  </w: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第一次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27.4</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100.60</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56</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第二次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29.8</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100.53</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58</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1.2</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第三次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31.5</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100.48</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61</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1.4</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第四次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30.6</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100.51</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1.2</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r>
                    <w:rPr>
                      <w:rFonts w:ascii="Times New Roman" w:hAnsi="Times New Roman"/>
                      <w:kern w:val="0"/>
                      <w:szCs w:val="21"/>
                    </w:rPr>
                    <w:t>2019.5.27</w:t>
                  </w: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第一次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27.8</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100.58</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1.2</w:t>
                  </w:r>
                </w:p>
              </w:tc>
              <w:tc>
                <w:tcPr>
                  <w:tcW w:w="1077"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第二次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30.2</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100.55</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63</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1.2</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第三次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32.5</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100.47</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67</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1.3</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第四次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30.9</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100.52</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61</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1.4</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r>
                    <w:rPr>
                      <w:rFonts w:ascii="Times New Roman" w:hAnsi="Times New Roman"/>
                      <w:kern w:val="0"/>
                      <w:szCs w:val="21"/>
                    </w:rPr>
                    <w:t>2019.5.28</w:t>
                  </w: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第一次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27.7</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100.56</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61</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1.1</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第二次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29.9</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100.54</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65</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1.3</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第三次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32.1</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100.47</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68</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1.4</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第四次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31.0</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100.50</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64</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1.5</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restart"/>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r>
                    <w:rPr>
                      <w:rFonts w:ascii="Times New Roman" w:hAnsi="Times New Roman"/>
                      <w:kern w:val="0"/>
                      <w:szCs w:val="21"/>
                    </w:rPr>
                    <w:t>2019.5.29</w:t>
                  </w: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第一次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28.4</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100.59</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65</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1.2</w:t>
                  </w:r>
                </w:p>
              </w:tc>
              <w:tc>
                <w:tcPr>
                  <w:tcW w:w="1077"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05" w:type="dxa"/>
                  <w:vMerge w:val="continue"/>
                  <w:tcBorders>
                    <w:top w:val="double" w:color="auto" w:sz="4"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第二次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30.2</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100.54</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67</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1.3</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hint="eastAsia" w:ascii="Times New Roman" w:hAnsi="Times New Roman"/>
                      <w:szCs w:val="21"/>
                    </w:rPr>
                    <w:t>第三次</w:t>
                  </w:r>
                </w:p>
              </w:tc>
              <w:tc>
                <w:tcPr>
                  <w:tcW w:w="1563" w:type="dxa"/>
                  <w:tcBorders>
                    <w:top w:val="single" w:color="auto" w:sz="6" w:space="0"/>
                    <w:left w:val="single" w:color="auto" w:sz="6" w:space="0"/>
                    <w:bottom w:val="single" w:color="auto" w:sz="6" w:space="0"/>
                    <w:right w:val="single" w:color="auto" w:sz="6" w:space="0"/>
                  </w:tcBorders>
                </w:tcPr>
                <w:p>
                  <w:pPr>
                    <w:jc w:val="center"/>
                    <w:rPr>
                      <w:rFonts w:ascii="Times New Roman" w:hAnsi="Times New Roman"/>
                      <w:szCs w:val="21"/>
                    </w:rPr>
                  </w:pPr>
                  <w:r>
                    <w:rPr>
                      <w:rFonts w:ascii="Times New Roman" w:hAnsi="Times New Roman"/>
                      <w:szCs w:val="21"/>
                    </w:rPr>
                    <w:t>32.3</w:t>
                  </w:r>
                </w:p>
              </w:tc>
              <w:tc>
                <w:tcPr>
                  <w:tcW w:w="1563"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100.48</w:t>
                  </w:r>
                </w:p>
              </w:tc>
              <w:tc>
                <w:tcPr>
                  <w:tcW w:w="156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67</w:t>
                  </w:r>
                </w:p>
              </w:tc>
              <w:tc>
                <w:tcPr>
                  <w:tcW w:w="1077" w:type="dxa"/>
                  <w:tcBorders>
                    <w:top w:val="single" w:color="auto" w:sz="6" w:space="0"/>
                    <w:left w:val="single" w:color="auto" w:sz="6" w:space="0"/>
                    <w:bottom w:val="single" w:color="auto" w:sz="6" w:space="0"/>
                    <w:right w:val="single" w:color="auto" w:sz="6" w:space="0"/>
                  </w:tcBorders>
                </w:tcPr>
                <w:p>
                  <w:pPr>
                    <w:jc w:val="center"/>
                  </w:pPr>
                  <w:r>
                    <w:rPr>
                      <w:rFonts w:ascii="Times New Roman" w:hAnsi="Times New Roman"/>
                      <w:szCs w:val="21"/>
                    </w:rPr>
                    <w:t>1.4</w:t>
                  </w:r>
                </w:p>
              </w:tc>
              <w:tc>
                <w:tcPr>
                  <w:tcW w:w="1077" w:type="dxa"/>
                  <w:tcBorders>
                    <w:top w:val="single" w:color="auto" w:sz="6" w:space="0"/>
                    <w:left w:val="single" w:color="auto" w:sz="6" w:space="0"/>
                    <w:bottom w:val="single" w:color="auto" w:sz="6" w:space="0"/>
                    <w:right w:val="single" w:color="auto" w:sz="12" w:space="0"/>
                  </w:tcBorders>
                </w:tcPr>
                <w:p>
                  <w:pPr>
                    <w:jc w:val="center"/>
                  </w:pPr>
                  <w:r>
                    <w:rPr>
                      <w:rFonts w:hint="eastAsia" w:ascii="Times New Roman" w:hAnsi="Times New Roman"/>
                      <w:szCs w:val="21"/>
                    </w:rPr>
                    <w:t>西南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05" w:type="dxa"/>
                  <w:vMerge w:val="continue"/>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Times New Roman"/>
                      <w:b/>
                      <w:szCs w:val="21"/>
                    </w:rPr>
                  </w:pPr>
                </w:p>
              </w:tc>
              <w:tc>
                <w:tcPr>
                  <w:tcW w:w="1150" w:type="dxa"/>
                  <w:tcBorders>
                    <w:top w:val="single" w:color="auto" w:sz="6" w:space="0"/>
                    <w:left w:val="single" w:color="auto" w:sz="6" w:space="0"/>
                    <w:bottom w:val="single" w:color="auto" w:sz="12" w:space="0"/>
                    <w:right w:val="single" w:color="auto" w:sz="6" w:space="0"/>
                  </w:tcBorders>
                </w:tcPr>
                <w:p>
                  <w:pPr>
                    <w:jc w:val="center"/>
                    <w:rPr>
                      <w:rFonts w:ascii="Times New Roman" w:hAnsi="Times New Roman"/>
                      <w:szCs w:val="21"/>
                    </w:rPr>
                  </w:pPr>
                  <w:r>
                    <w:rPr>
                      <w:rFonts w:hint="eastAsia" w:ascii="Times New Roman" w:hAnsi="Times New Roman"/>
                      <w:szCs w:val="21"/>
                    </w:rPr>
                    <w:t>第四次</w:t>
                  </w:r>
                </w:p>
              </w:tc>
              <w:tc>
                <w:tcPr>
                  <w:tcW w:w="1563" w:type="dxa"/>
                  <w:tcBorders>
                    <w:top w:val="single" w:color="auto" w:sz="6" w:space="0"/>
                    <w:left w:val="single" w:color="auto" w:sz="6" w:space="0"/>
                    <w:bottom w:val="single" w:color="auto" w:sz="12" w:space="0"/>
                    <w:right w:val="single" w:color="auto" w:sz="6" w:space="0"/>
                  </w:tcBorders>
                </w:tcPr>
                <w:p>
                  <w:pPr>
                    <w:jc w:val="center"/>
                    <w:rPr>
                      <w:rFonts w:ascii="Times New Roman" w:hAnsi="Times New Roman"/>
                      <w:szCs w:val="21"/>
                    </w:rPr>
                  </w:pPr>
                  <w:r>
                    <w:rPr>
                      <w:rFonts w:ascii="Times New Roman" w:hAnsi="Times New Roman"/>
                      <w:szCs w:val="21"/>
                    </w:rPr>
                    <w:t>31.0</w:t>
                  </w:r>
                </w:p>
              </w:tc>
              <w:tc>
                <w:tcPr>
                  <w:tcW w:w="1563" w:type="dxa"/>
                  <w:tcBorders>
                    <w:top w:val="single" w:color="auto" w:sz="6" w:space="0"/>
                    <w:left w:val="single" w:color="auto" w:sz="6" w:space="0"/>
                    <w:bottom w:val="single" w:color="auto" w:sz="12" w:space="0"/>
                    <w:right w:val="single" w:color="auto" w:sz="6" w:space="0"/>
                  </w:tcBorders>
                </w:tcPr>
                <w:p>
                  <w:pPr>
                    <w:jc w:val="center"/>
                  </w:pPr>
                  <w:r>
                    <w:rPr>
                      <w:rFonts w:ascii="Times New Roman" w:hAnsi="Times New Roman"/>
                      <w:szCs w:val="21"/>
                    </w:rPr>
                    <w:t>100.52</w:t>
                  </w:r>
                </w:p>
              </w:tc>
              <w:tc>
                <w:tcPr>
                  <w:tcW w:w="1563"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r>
                    <w:rPr>
                      <w:rFonts w:ascii="Times New Roman" w:hAnsi="Times New Roman"/>
                      <w:szCs w:val="21"/>
                    </w:rPr>
                    <w:t>63</w:t>
                  </w:r>
                </w:p>
              </w:tc>
              <w:tc>
                <w:tcPr>
                  <w:tcW w:w="1077" w:type="dxa"/>
                  <w:tcBorders>
                    <w:top w:val="single" w:color="auto" w:sz="6" w:space="0"/>
                    <w:left w:val="single" w:color="auto" w:sz="6" w:space="0"/>
                    <w:bottom w:val="single" w:color="auto" w:sz="12" w:space="0"/>
                    <w:right w:val="single" w:color="auto" w:sz="6" w:space="0"/>
                  </w:tcBorders>
                </w:tcPr>
                <w:p>
                  <w:pPr>
                    <w:jc w:val="center"/>
                  </w:pPr>
                  <w:r>
                    <w:rPr>
                      <w:rFonts w:ascii="Times New Roman" w:hAnsi="Times New Roman"/>
                      <w:szCs w:val="21"/>
                    </w:rPr>
                    <w:t>1.6</w:t>
                  </w:r>
                </w:p>
              </w:tc>
              <w:tc>
                <w:tcPr>
                  <w:tcW w:w="1077" w:type="dxa"/>
                  <w:tcBorders>
                    <w:top w:val="single" w:color="auto" w:sz="6" w:space="0"/>
                    <w:left w:val="single" w:color="auto" w:sz="6" w:space="0"/>
                    <w:bottom w:val="single" w:color="auto" w:sz="12" w:space="0"/>
                    <w:right w:val="single" w:color="auto" w:sz="12" w:space="0"/>
                  </w:tcBorders>
                </w:tcPr>
                <w:p>
                  <w:pPr>
                    <w:jc w:val="center"/>
                  </w:pPr>
                  <w:r>
                    <w:rPr>
                      <w:rFonts w:hint="eastAsia" w:ascii="Times New Roman" w:hAnsi="Times New Roman"/>
                      <w:szCs w:val="21"/>
                    </w:rPr>
                    <w:t>西南</w:t>
                  </w:r>
                </w:p>
              </w:tc>
            </w:tr>
          </w:tbl>
          <w:p>
            <w:pPr>
              <w:spacing w:line="300" w:lineRule="auto"/>
              <w:jc w:val="center"/>
              <w:rPr>
                <w:rFonts w:ascii="Times New Roman" w:hAnsi="Times New Roman"/>
                <w:b/>
                <w:spacing w:val="6"/>
                <w:kern w:val="0"/>
                <w:sz w:val="24"/>
                <w:szCs w:val="20"/>
              </w:rPr>
            </w:pPr>
          </w:p>
          <w:p>
            <w:pPr>
              <w:spacing w:line="300" w:lineRule="auto"/>
              <w:jc w:val="center"/>
              <w:rPr>
                <w:rFonts w:ascii="Times New Roman" w:hAnsi="Times New Roman"/>
                <w:b/>
                <w:spacing w:val="6"/>
                <w:kern w:val="0"/>
                <w:sz w:val="24"/>
                <w:szCs w:val="20"/>
              </w:rPr>
            </w:pPr>
          </w:p>
          <w:p>
            <w:pPr>
              <w:spacing w:line="300" w:lineRule="auto"/>
              <w:jc w:val="center"/>
              <w:rPr>
                <w:rFonts w:ascii="Times New Roman" w:hAnsi="Times New Roman"/>
                <w:b/>
                <w:spacing w:val="6"/>
                <w:kern w:val="0"/>
                <w:sz w:val="24"/>
                <w:szCs w:val="20"/>
              </w:rPr>
            </w:pPr>
          </w:p>
          <w:p>
            <w:pPr>
              <w:spacing w:line="300" w:lineRule="auto"/>
              <w:jc w:val="center"/>
              <w:rPr>
                <w:rFonts w:ascii="Times New Roman" w:hAnsi="Times New Roman"/>
                <w:b/>
                <w:spacing w:val="6"/>
                <w:kern w:val="0"/>
                <w:sz w:val="24"/>
                <w:szCs w:val="20"/>
              </w:rPr>
            </w:pPr>
            <w:r>
              <w:rPr>
                <w:rFonts w:hint="eastAsia" w:ascii="Times New Roman" w:hAnsi="Times New Roman"/>
                <w:b/>
                <w:spacing w:val="6"/>
                <w:kern w:val="0"/>
                <w:sz w:val="24"/>
                <w:szCs w:val="20"/>
              </w:rPr>
              <w:t>表</w:t>
            </w:r>
            <w:r>
              <w:rPr>
                <w:rFonts w:ascii="Times New Roman" w:hAnsi="Times New Roman"/>
                <w:b/>
                <w:spacing w:val="6"/>
                <w:kern w:val="0"/>
                <w:sz w:val="24"/>
                <w:szCs w:val="20"/>
              </w:rPr>
              <w:t>3-4</w:t>
            </w:r>
            <w:r>
              <w:rPr>
                <w:rFonts w:hint="eastAsia" w:ascii="Times New Roman" w:hAnsi="Times New Roman"/>
                <w:b/>
                <w:spacing w:val="6"/>
                <w:kern w:val="0"/>
                <w:sz w:val="24"/>
                <w:szCs w:val="20"/>
              </w:rPr>
              <w:t>各污染物监测结果统计与分析</w:t>
            </w:r>
            <w:r>
              <w:rPr>
                <w:rFonts w:ascii="Times New Roman" w:hAnsi="Times New Roman"/>
                <w:b/>
                <w:spacing w:val="6"/>
                <w:kern w:val="0"/>
                <w:sz w:val="24"/>
                <w:szCs w:val="20"/>
              </w:rPr>
              <w:t xml:space="preserve"> </w:t>
            </w:r>
          </w:p>
          <w:tbl>
            <w:tblPr>
              <w:tblStyle w:val="37"/>
              <w:tblW w:w="90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2"/>
              <w:gridCol w:w="1563"/>
              <w:gridCol w:w="2671"/>
              <w:gridCol w:w="1841"/>
              <w:gridCol w:w="18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1" w:hRule="atLeast"/>
              </w:trPr>
              <w:tc>
                <w:tcPr>
                  <w:tcW w:w="1182" w:type="dxa"/>
                  <w:tcBorders>
                    <w:top w:val="single" w:color="auto" w:sz="12" w:space="0"/>
                    <w:left w:val="single" w:color="auto" w:sz="12" w:space="0"/>
                    <w:bottom w:val="double" w:color="auto" w:sz="4" w:space="0"/>
                    <w:right w:val="single" w:color="auto" w:sz="6" w:space="0"/>
                  </w:tcBorders>
                  <w:vAlign w:val="center"/>
                </w:tcPr>
                <w:p>
                  <w:pPr>
                    <w:jc w:val="center"/>
                    <w:rPr>
                      <w:rFonts w:ascii="Times New Roman" w:hAnsi="Times New Roman"/>
                      <w:szCs w:val="21"/>
                    </w:rPr>
                  </w:pPr>
                  <w:bookmarkStart w:id="21" w:name="_Hlk13145087"/>
                  <w:r>
                    <w:rPr>
                      <w:rFonts w:hint="eastAsia" w:ascii="Times New Roman" w:hAnsi="Times New Roman"/>
                      <w:szCs w:val="21"/>
                    </w:rPr>
                    <w:t>点位</w:t>
                  </w:r>
                </w:p>
              </w:tc>
              <w:tc>
                <w:tcPr>
                  <w:tcW w:w="1563"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监测日期</w:t>
                  </w:r>
                </w:p>
              </w:tc>
              <w:tc>
                <w:tcPr>
                  <w:tcW w:w="2671"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项目</w:t>
                  </w:r>
                </w:p>
              </w:tc>
              <w:tc>
                <w:tcPr>
                  <w:tcW w:w="1841" w:type="dxa"/>
                  <w:tcBorders>
                    <w:top w:val="single" w:color="auto" w:sz="12" w:space="0"/>
                    <w:left w:val="single" w:color="auto" w:sz="6" w:space="0"/>
                    <w:bottom w:val="double" w:color="auto" w:sz="4" w:space="0"/>
                    <w:right w:val="single" w:color="auto" w:sz="6" w:space="0"/>
                  </w:tcBorders>
                  <w:vAlign w:val="center"/>
                </w:tcPr>
                <w:p>
                  <w:pPr>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p>
              </w:tc>
              <w:tc>
                <w:tcPr>
                  <w:tcW w:w="1841" w:type="dxa"/>
                  <w:tcBorders>
                    <w:top w:val="single" w:color="auto" w:sz="12" w:space="0"/>
                    <w:left w:val="single" w:color="auto" w:sz="6" w:space="0"/>
                    <w:bottom w:val="double" w:color="auto" w:sz="4" w:space="0"/>
                    <w:right w:val="single" w:color="auto" w:sz="12" w:space="0"/>
                  </w:tcBorders>
                  <w:vAlign w:val="center"/>
                </w:tcPr>
                <w:p>
                  <w:pPr>
                    <w:jc w:val="center"/>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82" w:type="dxa"/>
                  <w:vMerge w:val="restart"/>
                  <w:tcBorders>
                    <w:top w:val="double" w:color="auto" w:sz="4"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r>
                    <w:rPr>
                      <w:rFonts w:hint="eastAsia" w:ascii="Times New Roman" w:hAnsi="Times New Roman"/>
                      <w:b/>
                      <w:kern w:val="0"/>
                      <w:szCs w:val="21"/>
                    </w:rPr>
                    <w:t>莫村</w:t>
                  </w:r>
                </w:p>
              </w:tc>
              <w:tc>
                <w:tcPr>
                  <w:tcW w:w="1563" w:type="dxa"/>
                  <w:vMerge w:val="restart"/>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2019</w:t>
                  </w:r>
                  <w:r>
                    <w:rPr>
                      <w:rFonts w:hint="eastAsia" w:ascii="Times New Roman" w:hAnsi="Times New Roman"/>
                      <w:szCs w:val="21"/>
                    </w:rPr>
                    <w:t>年</w:t>
                  </w:r>
                  <w:r>
                    <w:rPr>
                      <w:rFonts w:ascii="Times New Roman" w:hAnsi="Times New Roman"/>
                      <w:szCs w:val="21"/>
                    </w:rPr>
                    <w:t>5</w:t>
                  </w:r>
                  <w:r>
                    <w:rPr>
                      <w:rFonts w:hint="eastAsia" w:ascii="Times New Roman" w:hAnsi="Times New Roman"/>
                      <w:szCs w:val="21"/>
                    </w:rPr>
                    <w:t>月</w:t>
                  </w:r>
                  <w:r>
                    <w:rPr>
                      <w:rFonts w:ascii="Times New Roman" w:hAnsi="Times New Roman"/>
                      <w:szCs w:val="21"/>
                    </w:rPr>
                    <w:t>23~29</w:t>
                  </w:r>
                  <w:r>
                    <w:rPr>
                      <w:rFonts w:hint="eastAsia" w:ascii="Times New Roman" w:hAnsi="Times New Roman"/>
                      <w:szCs w:val="21"/>
                    </w:rPr>
                    <w:t>日</w:t>
                  </w:r>
                </w:p>
              </w:tc>
              <w:tc>
                <w:tcPr>
                  <w:tcW w:w="2671"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1h</w:t>
                  </w:r>
                  <w:r>
                    <w:rPr>
                      <w:rFonts w:hint="eastAsia" w:ascii="Times New Roman" w:hAnsi="Times New Roman"/>
                      <w:szCs w:val="21"/>
                    </w:rPr>
                    <w:t>平均浓度范围</w:t>
                  </w:r>
                  <w:r>
                    <w:rPr>
                      <w:rFonts w:hint="eastAsia" w:ascii="Times New Roman"/>
                      <w:szCs w:val="21"/>
                    </w:rPr>
                    <w:t>（</w:t>
                  </w:r>
                  <w:r>
                    <w:rPr>
                      <w:rFonts w:ascii="Times New Roman" w:hAnsi="Times New Roman"/>
                      <w:spacing w:val="8"/>
                      <w:kern w:val="0"/>
                      <w:szCs w:val="21"/>
                    </w:rPr>
                    <w:t>μg/m</w:t>
                  </w:r>
                  <w:r>
                    <w:rPr>
                      <w:rFonts w:ascii="Times New Roman" w:hAnsi="Times New Roman"/>
                      <w:spacing w:val="8"/>
                      <w:kern w:val="0"/>
                      <w:szCs w:val="21"/>
                      <w:vertAlign w:val="superscript"/>
                    </w:rPr>
                    <w:t>3</w:t>
                  </w:r>
                  <w:r>
                    <w:rPr>
                      <w:rFonts w:hint="eastAsia" w:ascii="Times New Roman"/>
                      <w:szCs w:val="21"/>
                    </w:rPr>
                    <w:t>）</w:t>
                  </w:r>
                </w:p>
              </w:tc>
              <w:tc>
                <w:tcPr>
                  <w:tcW w:w="1841"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70-120</w:t>
                  </w:r>
                </w:p>
              </w:tc>
              <w:tc>
                <w:tcPr>
                  <w:tcW w:w="1841" w:type="dxa"/>
                  <w:tcBorders>
                    <w:top w:val="double" w:color="auto" w:sz="4"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5" w:hRule="atLeast"/>
              </w:trPr>
              <w:tc>
                <w:tcPr>
                  <w:tcW w:w="1182" w:type="dxa"/>
                  <w:vMerge w:val="continue"/>
                  <w:tcBorders>
                    <w:top w:val="double" w:color="auto" w:sz="4" w:space="0"/>
                    <w:left w:val="single" w:color="auto" w:sz="12" w:space="0"/>
                    <w:bottom w:val="single" w:color="auto" w:sz="6" w:space="0"/>
                    <w:right w:val="single" w:color="auto" w:sz="6" w:space="0"/>
                  </w:tcBorders>
                  <w:vAlign w:val="center"/>
                </w:tcPr>
                <w:p>
                  <w:pPr>
                    <w:jc w:val="center"/>
                    <w:rPr>
                      <w:rFonts w:ascii="Times New Roman" w:hAnsi="Times New Roman"/>
                      <w:b/>
                      <w:kern w:val="0"/>
                      <w:szCs w:val="21"/>
                    </w:rPr>
                  </w:pPr>
                </w:p>
              </w:tc>
              <w:tc>
                <w:tcPr>
                  <w:tcW w:w="1563" w:type="dxa"/>
                  <w:vMerge w:val="continue"/>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szCs w:val="21"/>
                    </w:rPr>
                  </w:pPr>
                </w:p>
              </w:tc>
              <w:tc>
                <w:tcPr>
                  <w:tcW w:w="267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最大浓度占标率（</w:t>
                  </w:r>
                  <w:r>
                    <w:rPr>
                      <w:rFonts w:ascii="Times New Roman" w:hAnsi="Times New Roman"/>
                      <w:szCs w:val="21"/>
                    </w:rPr>
                    <w:t>%</w:t>
                  </w:r>
                  <w:r>
                    <w:rPr>
                      <w:rFonts w:hint="eastAsia" w:ascii="Times New Roman" w:hAnsi="Times New Roman"/>
                      <w:szCs w:val="21"/>
                    </w:rPr>
                    <w:t>）</w:t>
                  </w:r>
                </w:p>
              </w:tc>
              <w:tc>
                <w:tcPr>
                  <w:tcW w:w="184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841"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82" w:type="dxa"/>
                  <w:vMerge w:val="continue"/>
                  <w:tcBorders>
                    <w:top w:val="single" w:color="auto" w:sz="6" w:space="0"/>
                    <w:left w:val="single" w:color="auto" w:sz="12" w:space="0"/>
                    <w:bottom w:val="single" w:color="auto" w:sz="6" w:space="0"/>
                    <w:right w:val="single" w:color="auto" w:sz="6" w:space="0"/>
                  </w:tcBorders>
                  <w:vAlign w:val="center"/>
                </w:tcPr>
                <w:p>
                  <w:pPr>
                    <w:jc w:val="center"/>
                    <w:rPr>
                      <w:rFonts w:ascii="Times New Roman" w:hAnsi="Times New Roman"/>
                      <w:b/>
                      <w:szCs w:val="21"/>
                    </w:rPr>
                  </w:pPr>
                </w:p>
              </w:tc>
              <w:tc>
                <w:tcPr>
                  <w:tcW w:w="1563"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p>
              </w:tc>
              <w:tc>
                <w:tcPr>
                  <w:tcW w:w="267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执行标准（</w:t>
                  </w:r>
                  <w:r>
                    <w:rPr>
                      <w:rFonts w:ascii="Times New Roman" w:hAnsi="Times New Roman"/>
                      <w:szCs w:val="21"/>
                    </w:rPr>
                    <w:t>HJ2.2-2018</w:t>
                  </w:r>
                  <w:r>
                    <w:rPr>
                      <w:rFonts w:hint="eastAsia" w:ascii="Times New Roman" w:hAnsi="Times New Roman"/>
                      <w:szCs w:val="21"/>
                    </w:rPr>
                    <w:t>）表</w:t>
                  </w:r>
                  <w:r>
                    <w:rPr>
                      <w:rFonts w:ascii="Times New Roman" w:hAnsi="Times New Roman"/>
                      <w:szCs w:val="21"/>
                    </w:rPr>
                    <w:t>D.1</w:t>
                  </w:r>
                  <w:r>
                    <w:rPr>
                      <w:rFonts w:hint="eastAsia" w:ascii="Times New Roman"/>
                      <w:szCs w:val="21"/>
                    </w:rPr>
                    <w:t>（</w:t>
                  </w:r>
                  <w:r>
                    <w:rPr>
                      <w:rFonts w:ascii="Times New Roman" w:hAnsi="Times New Roman"/>
                      <w:spacing w:val="8"/>
                      <w:kern w:val="0"/>
                      <w:szCs w:val="21"/>
                    </w:rPr>
                    <w:t>μg/m</w:t>
                  </w:r>
                  <w:r>
                    <w:rPr>
                      <w:rFonts w:ascii="Times New Roman" w:hAnsi="Times New Roman"/>
                      <w:spacing w:val="8"/>
                      <w:kern w:val="0"/>
                      <w:szCs w:val="21"/>
                      <w:vertAlign w:val="superscript"/>
                    </w:rPr>
                    <w:t>3</w:t>
                  </w:r>
                  <w:r>
                    <w:rPr>
                      <w:rFonts w:hint="eastAsia" w:ascii="Times New Roman"/>
                      <w:szCs w:val="21"/>
                    </w:rPr>
                    <w:t>）</w:t>
                  </w:r>
                </w:p>
              </w:tc>
              <w:tc>
                <w:tcPr>
                  <w:tcW w:w="184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200</w:t>
                  </w:r>
                </w:p>
              </w:tc>
              <w:tc>
                <w:tcPr>
                  <w:tcW w:w="1841"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1" w:hRule="atLeast"/>
              </w:trPr>
              <w:tc>
                <w:tcPr>
                  <w:tcW w:w="1182" w:type="dxa"/>
                  <w:vMerge w:val="continue"/>
                  <w:tcBorders>
                    <w:top w:val="single" w:color="auto" w:sz="6" w:space="0"/>
                    <w:left w:val="single" w:color="auto" w:sz="12" w:space="0"/>
                    <w:bottom w:val="single" w:color="auto" w:sz="12" w:space="0"/>
                    <w:right w:val="single" w:color="auto" w:sz="6" w:space="0"/>
                  </w:tcBorders>
                  <w:vAlign w:val="center"/>
                </w:tcPr>
                <w:p>
                  <w:pPr>
                    <w:jc w:val="center"/>
                    <w:rPr>
                      <w:rFonts w:ascii="Times New Roman" w:hAnsi="Times New Roman"/>
                      <w:b/>
                      <w:szCs w:val="21"/>
                    </w:rPr>
                  </w:pPr>
                </w:p>
              </w:tc>
              <w:tc>
                <w:tcPr>
                  <w:tcW w:w="1563" w:type="dxa"/>
                  <w:vMerge w:val="continue"/>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p>
              </w:tc>
              <w:tc>
                <w:tcPr>
                  <w:tcW w:w="2671"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达标情况</w:t>
                  </w:r>
                </w:p>
              </w:tc>
              <w:tc>
                <w:tcPr>
                  <w:tcW w:w="1841"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r>
                    <w:rPr>
                      <w:rFonts w:hint="eastAsia" w:ascii="Times New Roman" w:hAnsi="Times New Roman"/>
                      <w:szCs w:val="21"/>
                    </w:rPr>
                    <w:t>达标</w:t>
                  </w:r>
                </w:p>
              </w:tc>
              <w:tc>
                <w:tcPr>
                  <w:tcW w:w="1841" w:type="dxa"/>
                  <w:tcBorders>
                    <w:top w:val="single" w:color="auto" w:sz="6" w:space="0"/>
                    <w:left w:val="single" w:color="auto" w:sz="6" w:space="0"/>
                    <w:bottom w:val="single" w:color="auto" w:sz="12" w:space="0"/>
                    <w:right w:val="single" w:color="auto" w:sz="12" w:space="0"/>
                  </w:tcBorders>
                </w:tcPr>
                <w:p>
                  <w:pPr>
                    <w:jc w:val="center"/>
                    <w:rPr>
                      <w:rFonts w:ascii="Times New Roman" w:hAnsi="Times New Roman"/>
                      <w:szCs w:val="24"/>
                    </w:rPr>
                  </w:pPr>
                  <w:r>
                    <w:rPr>
                      <w:rFonts w:hint="eastAsia" w:ascii="Times New Roman" w:hAnsi="Times New Roman"/>
                      <w:szCs w:val="21"/>
                    </w:rPr>
                    <w:t>达标</w:t>
                  </w:r>
                </w:p>
              </w:tc>
            </w:tr>
            <w:bookmarkEnd w:id="21"/>
          </w:tbl>
          <w:p>
            <w:pPr>
              <w:pStyle w:val="114"/>
            </w:pPr>
            <w:r>
              <w:rPr>
                <w:rFonts w:hint="eastAsia"/>
              </w:rPr>
              <w:t>由表</w:t>
            </w:r>
            <w:r>
              <w:t>3-4</w:t>
            </w:r>
            <w:r>
              <w:rPr>
                <w:rFonts w:hint="eastAsia"/>
              </w:rPr>
              <w:t>可知，“莫村”现状监测点环境空气中</w:t>
            </w:r>
            <w:r>
              <w:t>NH</w:t>
            </w:r>
            <w:r>
              <w:rPr>
                <w:vertAlign w:val="subscript"/>
              </w:rPr>
              <w:t>3</w:t>
            </w:r>
            <w:r>
              <w:rPr>
                <w:rFonts w:hint="eastAsia"/>
              </w:rPr>
              <w:t>、</w:t>
            </w:r>
            <w:r>
              <w:t>H</w:t>
            </w:r>
            <w:r>
              <w:rPr>
                <w:vertAlign w:val="subscript"/>
              </w:rPr>
              <w:t>2</w:t>
            </w:r>
            <w:r>
              <w:t>S 1h</w:t>
            </w:r>
            <w:r>
              <w:rPr>
                <w:rFonts w:hint="eastAsia"/>
              </w:rPr>
              <w:t>平均浓度满足《环境影响评价技术导则大气环境》（</w:t>
            </w:r>
            <w:r>
              <w:t>HJ2.2—2018</w:t>
            </w:r>
            <w:r>
              <w:rPr>
                <w:rFonts w:hint="eastAsia"/>
              </w:rPr>
              <w:t>）附录</w:t>
            </w:r>
            <w:r>
              <w:t>D</w:t>
            </w:r>
            <w:r>
              <w:rPr>
                <w:rFonts w:hint="eastAsia"/>
              </w:rPr>
              <w:t>中质量浓度参考限值要求。</w:t>
            </w:r>
          </w:p>
          <w:p>
            <w:pPr>
              <w:snapToGrid w:val="0"/>
              <w:spacing w:line="360" w:lineRule="auto"/>
              <w:contextualSpacing/>
              <w:rPr>
                <w:rFonts w:ascii="Times New Roman" w:hAnsi="Times New Roman"/>
                <w:b/>
                <w:sz w:val="24"/>
              </w:rPr>
            </w:pPr>
            <w:r>
              <w:rPr>
                <w:rFonts w:hint="eastAsia" w:ascii="Times New Roman" w:hAnsi="Times New Roman"/>
                <w:b/>
                <w:sz w:val="24"/>
              </w:rPr>
              <w:t>二、地表水环境质量</w:t>
            </w:r>
          </w:p>
          <w:p>
            <w:pPr>
              <w:pStyle w:val="114"/>
            </w:pPr>
            <w:r>
              <w:t>1</w:t>
            </w:r>
            <w:r>
              <w:rPr>
                <w:rFonts w:hint="eastAsia"/>
              </w:rPr>
              <w:t>、水环境质量现状调查及其变化趋势</w:t>
            </w:r>
          </w:p>
          <w:p>
            <w:pPr>
              <w:pStyle w:val="114"/>
            </w:pPr>
            <w:r>
              <w:rPr>
                <w:rFonts w:hint="eastAsia"/>
              </w:rPr>
              <w:t>根据《环境影响评价技术导则地表水环境》（</w:t>
            </w:r>
            <w:r>
              <w:t>HJ 2.3-2018</w:t>
            </w:r>
            <w:r>
              <w:rPr>
                <w:rFonts w:hint="eastAsia"/>
              </w:rPr>
              <w:t>）要求，本次评价收集项目受纳水体潭榄溪</w:t>
            </w:r>
            <w:r>
              <w:rPr>
                <w:rStyle w:val="36"/>
                <w:rFonts w:hint="eastAsia" w:ascii="Calibri" w:hAnsi="Calibri"/>
                <w:bCs w:val="0"/>
              </w:rPr>
              <w:t>（</w:t>
            </w:r>
            <w:r>
              <w:rPr>
                <w:rFonts w:hint="eastAsia"/>
              </w:rPr>
              <w:t>潭榄桥断面</w:t>
            </w:r>
            <w:r>
              <w:rPr>
                <w:rStyle w:val="36"/>
                <w:rFonts w:hint="eastAsia" w:ascii="Calibri" w:hAnsi="Calibri"/>
                <w:bCs w:val="0"/>
              </w:rPr>
              <w:t>）</w:t>
            </w:r>
            <w:r>
              <w:rPr>
                <w:rFonts w:hint="eastAsia"/>
              </w:rPr>
              <w:t>近三年水环境质量数据。根据《定安县城镇内河（湖）水环境监测数据报表》统计</w:t>
            </w:r>
            <w:r>
              <w:t>2016-2019</w:t>
            </w:r>
            <w:r>
              <w:rPr>
                <w:rFonts w:hint="eastAsia"/>
              </w:rPr>
              <w:t>年潭榄溪各项水质因子变化曲线图，详见图</w:t>
            </w:r>
            <w:r>
              <w:t>20-25</w:t>
            </w:r>
            <w:r>
              <w:rPr>
                <w:rFonts w:hint="eastAsia"/>
              </w:rPr>
              <w:t>。</w:t>
            </w:r>
          </w:p>
          <w:p>
            <w:pPr>
              <w:pStyle w:val="114"/>
              <w:ind w:firstLine="506"/>
              <w:jc w:val="center"/>
            </w:pPr>
            <w:r>
              <w:rPr>
                <w:rFonts w:hint="eastAsia"/>
                <w:b/>
                <w:spacing w:val="6"/>
                <w:kern w:val="0"/>
                <w:szCs w:val="20"/>
              </w:rPr>
              <w:t>表</w:t>
            </w:r>
            <w:r>
              <w:rPr>
                <w:b/>
                <w:spacing w:val="6"/>
                <w:kern w:val="0"/>
                <w:szCs w:val="20"/>
              </w:rPr>
              <w:t>3-5</w:t>
            </w:r>
            <w:r>
              <w:rPr>
                <w:rFonts w:hint="eastAsia"/>
                <w:b/>
                <w:spacing w:val="6"/>
                <w:kern w:val="0"/>
                <w:szCs w:val="20"/>
              </w:rPr>
              <w:t>近三年水环境质量数据监测结果统计与分析</w:t>
            </w:r>
          </w:p>
          <w:tbl>
            <w:tblPr>
              <w:tblStyle w:val="37"/>
              <w:tblW w:w="9098"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26"/>
              <w:gridCol w:w="615"/>
              <w:gridCol w:w="937"/>
              <w:gridCol w:w="819"/>
              <w:gridCol w:w="1427"/>
              <w:gridCol w:w="1225"/>
              <w:gridCol w:w="819"/>
              <w:gridCol w:w="666"/>
              <w:gridCol w:w="6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1926" w:type="dxa"/>
                  <w:tcBorders>
                    <w:top w:val="single" w:color="000000" w:sz="12" w:space="0"/>
                    <w:left w:val="single" w:color="000000" w:sz="12" w:space="0"/>
                    <w:bottom w:val="double" w:color="auto" w:sz="4" w:space="0"/>
                    <w:right w:val="single" w:color="000000" w:sz="4" w:space="0"/>
                  </w:tcBorders>
                  <w:vAlign w:val="center"/>
                </w:tcPr>
                <w:p>
                  <w:pPr>
                    <w:widowControl/>
                    <w:jc w:val="center"/>
                    <w:rPr>
                      <w:rFonts w:ascii="Times New Roman" w:hAnsi="Times New Roman" w:eastAsia="等线"/>
                      <w:kern w:val="0"/>
                      <w:szCs w:val="21"/>
                    </w:rPr>
                  </w:pPr>
                  <w:r>
                    <w:rPr>
                      <w:rFonts w:hint="eastAsia" w:ascii="Times New Roman" w:hAnsi="宋体"/>
                      <w:kern w:val="0"/>
                      <w:szCs w:val="21"/>
                    </w:rPr>
                    <w:t>监测因子</w:t>
                  </w:r>
                </w:p>
              </w:tc>
              <w:tc>
                <w:tcPr>
                  <w:tcW w:w="615" w:type="dxa"/>
                  <w:tcBorders>
                    <w:top w:val="single" w:color="000000" w:sz="12" w:space="0"/>
                    <w:left w:val="single" w:color="000000" w:sz="4" w:space="0"/>
                    <w:bottom w:val="double" w:color="auto" w:sz="4" w:space="0"/>
                    <w:right w:val="single" w:color="000000" w:sz="4" w:space="0"/>
                  </w:tcBorders>
                  <w:vAlign w:val="center"/>
                </w:tcPr>
                <w:p>
                  <w:pPr>
                    <w:widowControl/>
                    <w:jc w:val="center"/>
                    <w:rPr>
                      <w:rFonts w:ascii="Times New Roman" w:hAnsi="Times New Roman" w:eastAsia="等线"/>
                      <w:kern w:val="0"/>
                      <w:szCs w:val="21"/>
                    </w:rPr>
                  </w:pPr>
                  <w:r>
                    <w:rPr>
                      <w:rFonts w:hint="eastAsia" w:ascii="Times New Roman" w:hAnsi="宋体"/>
                      <w:kern w:val="0"/>
                      <w:szCs w:val="21"/>
                    </w:rPr>
                    <w:t>水温</w:t>
                  </w:r>
                </w:p>
              </w:tc>
              <w:tc>
                <w:tcPr>
                  <w:tcW w:w="937" w:type="dxa"/>
                  <w:tcBorders>
                    <w:top w:val="single" w:color="000000" w:sz="12" w:space="0"/>
                    <w:left w:val="single" w:color="000000" w:sz="4" w:space="0"/>
                    <w:bottom w:val="double" w:color="auto" w:sz="4" w:space="0"/>
                    <w:right w:val="single" w:color="000000" w:sz="4" w:space="0"/>
                  </w:tcBorders>
                  <w:vAlign w:val="center"/>
                </w:tcPr>
                <w:p>
                  <w:pPr>
                    <w:widowControl/>
                    <w:jc w:val="center"/>
                    <w:rPr>
                      <w:rFonts w:ascii="Times New Roman" w:hAnsi="Times New Roman" w:eastAsia="等线"/>
                      <w:kern w:val="0"/>
                      <w:szCs w:val="21"/>
                    </w:rPr>
                  </w:pPr>
                  <w:r>
                    <w:rPr>
                      <w:rFonts w:ascii="Times New Roman" w:hAnsi="Times New Roman" w:eastAsia="等线"/>
                      <w:kern w:val="0"/>
                      <w:szCs w:val="21"/>
                    </w:rPr>
                    <w:t>pH</w:t>
                  </w:r>
                  <w:r>
                    <w:rPr>
                      <w:rFonts w:hint="eastAsia" w:ascii="Times New Roman" w:hAnsi="宋体"/>
                      <w:kern w:val="0"/>
                      <w:szCs w:val="21"/>
                    </w:rPr>
                    <w:t>值</w:t>
                  </w:r>
                </w:p>
              </w:tc>
              <w:tc>
                <w:tcPr>
                  <w:tcW w:w="819" w:type="dxa"/>
                  <w:tcBorders>
                    <w:top w:val="single" w:color="000000" w:sz="12" w:space="0"/>
                    <w:left w:val="single" w:color="000000" w:sz="4" w:space="0"/>
                    <w:bottom w:val="double" w:color="auto" w:sz="4" w:space="0"/>
                    <w:right w:val="single" w:color="000000" w:sz="4" w:space="0"/>
                  </w:tcBorders>
                  <w:vAlign w:val="center"/>
                </w:tcPr>
                <w:p>
                  <w:pPr>
                    <w:widowControl/>
                    <w:jc w:val="center"/>
                    <w:rPr>
                      <w:rFonts w:ascii="Times New Roman" w:hAnsi="Times New Roman" w:eastAsia="等线"/>
                      <w:kern w:val="0"/>
                      <w:szCs w:val="21"/>
                    </w:rPr>
                  </w:pPr>
                  <w:r>
                    <w:rPr>
                      <w:rFonts w:hint="eastAsia" w:ascii="Times New Roman" w:hAnsi="宋体"/>
                      <w:kern w:val="0"/>
                      <w:szCs w:val="21"/>
                    </w:rPr>
                    <w:t>溶解氧</w:t>
                  </w:r>
                </w:p>
              </w:tc>
              <w:tc>
                <w:tcPr>
                  <w:tcW w:w="1427" w:type="dxa"/>
                  <w:tcBorders>
                    <w:top w:val="single" w:color="000000" w:sz="12" w:space="0"/>
                    <w:left w:val="single" w:color="000000" w:sz="4" w:space="0"/>
                    <w:bottom w:val="double" w:color="auto" w:sz="4" w:space="0"/>
                    <w:right w:val="single" w:color="000000" w:sz="4" w:space="0"/>
                  </w:tcBorders>
                  <w:vAlign w:val="center"/>
                </w:tcPr>
                <w:p>
                  <w:pPr>
                    <w:widowControl/>
                    <w:jc w:val="center"/>
                    <w:rPr>
                      <w:rFonts w:ascii="Times New Roman" w:hAnsi="Times New Roman" w:eastAsia="等线"/>
                      <w:kern w:val="0"/>
                      <w:szCs w:val="21"/>
                    </w:rPr>
                  </w:pPr>
                  <w:r>
                    <w:rPr>
                      <w:rFonts w:hint="eastAsia" w:ascii="Times New Roman" w:hAnsi="宋体"/>
                      <w:kern w:val="0"/>
                      <w:szCs w:val="21"/>
                    </w:rPr>
                    <w:t>高锰酸盐指数</w:t>
                  </w:r>
                </w:p>
              </w:tc>
              <w:tc>
                <w:tcPr>
                  <w:tcW w:w="1225" w:type="dxa"/>
                  <w:tcBorders>
                    <w:top w:val="single" w:color="000000" w:sz="12" w:space="0"/>
                    <w:left w:val="single" w:color="000000" w:sz="4" w:space="0"/>
                    <w:bottom w:val="double" w:color="auto" w:sz="4" w:space="0"/>
                    <w:right w:val="single" w:color="000000" w:sz="4" w:space="0"/>
                  </w:tcBorders>
                  <w:vAlign w:val="center"/>
                </w:tcPr>
                <w:p>
                  <w:pPr>
                    <w:widowControl/>
                    <w:jc w:val="center"/>
                    <w:rPr>
                      <w:rFonts w:ascii="Times New Roman" w:hAnsi="Times New Roman" w:eastAsia="等线"/>
                      <w:kern w:val="0"/>
                      <w:szCs w:val="21"/>
                    </w:rPr>
                  </w:pPr>
                  <w:r>
                    <w:rPr>
                      <w:rFonts w:hint="eastAsia" w:ascii="Times New Roman" w:hAnsi="宋体"/>
                      <w:kern w:val="0"/>
                      <w:szCs w:val="21"/>
                    </w:rPr>
                    <w:t>化学需氧量</w:t>
                  </w:r>
                </w:p>
              </w:tc>
              <w:tc>
                <w:tcPr>
                  <w:tcW w:w="819" w:type="dxa"/>
                  <w:tcBorders>
                    <w:top w:val="single" w:color="000000" w:sz="12" w:space="0"/>
                    <w:left w:val="single" w:color="000000" w:sz="4" w:space="0"/>
                    <w:bottom w:val="double" w:color="auto" w:sz="4" w:space="0"/>
                    <w:right w:val="single" w:color="000000" w:sz="4" w:space="0"/>
                  </w:tcBorders>
                  <w:vAlign w:val="center"/>
                </w:tcPr>
                <w:p>
                  <w:pPr>
                    <w:widowControl/>
                    <w:jc w:val="center"/>
                    <w:rPr>
                      <w:rFonts w:ascii="Times New Roman" w:hAnsi="Times New Roman" w:eastAsia="等线"/>
                      <w:kern w:val="0"/>
                      <w:szCs w:val="21"/>
                    </w:rPr>
                  </w:pPr>
                  <w:r>
                    <w:rPr>
                      <w:rFonts w:hint="eastAsia" w:ascii="Times New Roman" w:hAnsi="宋体"/>
                      <w:kern w:val="0"/>
                      <w:szCs w:val="21"/>
                    </w:rPr>
                    <w:t>石油类</w:t>
                  </w:r>
                </w:p>
              </w:tc>
              <w:tc>
                <w:tcPr>
                  <w:tcW w:w="666" w:type="dxa"/>
                  <w:tcBorders>
                    <w:top w:val="single" w:color="000000" w:sz="12" w:space="0"/>
                    <w:left w:val="single" w:color="000000" w:sz="4" w:space="0"/>
                    <w:bottom w:val="double" w:color="auto" w:sz="4" w:space="0"/>
                    <w:right w:val="single" w:color="000000" w:sz="4" w:space="0"/>
                  </w:tcBorders>
                  <w:vAlign w:val="center"/>
                </w:tcPr>
                <w:p>
                  <w:pPr>
                    <w:widowControl/>
                    <w:jc w:val="center"/>
                    <w:rPr>
                      <w:rFonts w:ascii="Times New Roman" w:hAnsi="Times New Roman" w:eastAsia="等线"/>
                      <w:kern w:val="0"/>
                      <w:szCs w:val="21"/>
                    </w:rPr>
                  </w:pPr>
                  <w:r>
                    <w:rPr>
                      <w:rFonts w:hint="eastAsia" w:ascii="Times New Roman" w:hAnsi="宋体"/>
                      <w:kern w:val="0"/>
                      <w:szCs w:val="21"/>
                    </w:rPr>
                    <w:t>氨氮</w:t>
                  </w:r>
                </w:p>
              </w:tc>
              <w:tc>
                <w:tcPr>
                  <w:tcW w:w="664" w:type="dxa"/>
                  <w:tcBorders>
                    <w:top w:val="single" w:color="000000" w:sz="12" w:space="0"/>
                    <w:left w:val="single" w:color="000000" w:sz="4" w:space="0"/>
                    <w:bottom w:val="double" w:color="auto" w:sz="4" w:space="0"/>
                    <w:right w:val="single" w:color="000000" w:sz="12" w:space="0"/>
                  </w:tcBorders>
                  <w:vAlign w:val="center"/>
                </w:tcPr>
                <w:p>
                  <w:pPr>
                    <w:widowControl/>
                    <w:jc w:val="center"/>
                    <w:rPr>
                      <w:rFonts w:ascii="Times New Roman" w:hAnsi="Times New Roman" w:eastAsia="等线"/>
                      <w:kern w:val="0"/>
                      <w:szCs w:val="21"/>
                    </w:rPr>
                  </w:pPr>
                  <w:r>
                    <w:rPr>
                      <w:rFonts w:hint="eastAsia" w:ascii="Times New Roman" w:hAnsi="宋体"/>
                      <w:kern w:val="0"/>
                      <w:szCs w:val="21"/>
                    </w:rPr>
                    <w:t>总磷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1926" w:type="dxa"/>
                  <w:tcBorders>
                    <w:top w:val="double" w:color="auto"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Style w:val="128"/>
                      <w:rFonts w:hint="eastAsia"/>
                      <w:color w:val="auto"/>
                    </w:rPr>
                    <w:t>单位</w:t>
                  </w:r>
                </w:p>
              </w:tc>
              <w:tc>
                <w:tcPr>
                  <w:tcW w:w="615" w:type="dxa"/>
                  <w:tcBorders>
                    <w:top w:val="double" w:color="auto"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Style w:val="129"/>
                      <w:rFonts w:hint="eastAsia" w:hAnsi="Calibri"/>
                      <w:color w:val="auto"/>
                    </w:rPr>
                    <w:t>℃</w:t>
                  </w:r>
                </w:p>
              </w:tc>
              <w:tc>
                <w:tcPr>
                  <w:tcW w:w="937" w:type="dxa"/>
                  <w:tcBorders>
                    <w:top w:val="double" w:color="auto"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Style w:val="129"/>
                      <w:rFonts w:hint="eastAsia"/>
                      <w:color w:val="auto"/>
                    </w:rPr>
                    <w:t>无量纲</w:t>
                  </w:r>
                </w:p>
              </w:tc>
              <w:tc>
                <w:tcPr>
                  <w:tcW w:w="819" w:type="dxa"/>
                  <w:tcBorders>
                    <w:top w:val="double" w:color="auto"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Fonts w:ascii="Times New Roman" w:hAnsi="Times New Roman" w:eastAsia="等线"/>
                      <w:sz w:val="22"/>
                    </w:rPr>
                    <w:t>mg/L</w:t>
                  </w:r>
                </w:p>
              </w:tc>
              <w:tc>
                <w:tcPr>
                  <w:tcW w:w="1427" w:type="dxa"/>
                  <w:tcBorders>
                    <w:top w:val="double" w:color="auto"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Fonts w:ascii="Times New Roman" w:hAnsi="Times New Roman" w:eastAsia="等线"/>
                      <w:sz w:val="22"/>
                    </w:rPr>
                    <w:t>mg/L</w:t>
                  </w:r>
                </w:p>
              </w:tc>
              <w:tc>
                <w:tcPr>
                  <w:tcW w:w="1225" w:type="dxa"/>
                  <w:tcBorders>
                    <w:top w:val="double" w:color="auto"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Fonts w:ascii="Times New Roman" w:hAnsi="Times New Roman" w:eastAsia="等线"/>
                      <w:sz w:val="22"/>
                    </w:rPr>
                    <w:t>mg/L</w:t>
                  </w:r>
                </w:p>
              </w:tc>
              <w:tc>
                <w:tcPr>
                  <w:tcW w:w="819" w:type="dxa"/>
                  <w:tcBorders>
                    <w:top w:val="double" w:color="auto"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Fonts w:ascii="Times New Roman" w:hAnsi="Times New Roman" w:eastAsia="等线"/>
                      <w:sz w:val="22"/>
                    </w:rPr>
                    <w:t>mg/L</w:t>
                  </w:r>
                </w:p>
              </w:tc>
              <w:tc>
                <w:tcPr>
                  <w:tcW w:w="666" w:type="dxa"/>
                  <w:tcBorders>
                    <w:top w:val="double" w:color="auto"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Fonts w:ascii="Times New Roman" w:hAnsi="Times New Roman" w:eastAsia="等线"/>
                      <w:sz w:val="22"/>
                    </w:rPr>
                    <w:t>mg/L</w:t>
                  </w:r>
                </w:p>
              </w:tc>
              <w:tc>
                <w:tcPr>
                  <w:tcW w:w="664" w:type="dxa"/>
                  <w:tcBorders>
                    <w:top w:val="double" w:color="auto"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eastAsia="等线"/>
                      <w:sz w:val="22"/>
                    </w:rPr>
                  </w:pPr>
                  <w:r>
                    <w:rPr>
                      <w:rFonts w:ascii="Times New Roman" w:hAnsi="Times New Roman" w:eastAsia="等线"/>
                      <w:sz w:val="22"/>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1926" w:type="dxa"/>
                  <w:tcBorders>
                    <w:top w:val="single" w:color="000000" w:sz="4" w:space="0"/>
                    <w:left w:val="single" w:color="000000" w:sz="12"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Style w:val="128"/>
                      <w:rFonts w:hint="eastAsia"/>
                      <w:color w:val="auto"/>
                    </w:rPr>
                    <w:t>地表水</w:t>
                  </w:r>
                  <w:r>
                    <w:rPr>
                      <w:rStyle w:val="128"/>
                      <w:rFonts w:hint="eastAsia" w:hAnsi="Calibri"/>
                      <w:color w:val="auto"/>
                    </w:rPr>
                    <w:t>Ⅲ</w:t>
                  </w:r>
                  <w:r>
                    <w:rPr>
                      <w:rStyle w:val="128"/>
                      <w:rFonts w:hint="eastAsia"/>
                      <w:color w:val="auto"/>
                    </w:rPr>
                    <w:t>类水质标准值（</w:t>
                  </w:r>
                  <w:r>
                    <w:rPr>
                      <w:rStyle w:val="132"/>
                      <w:rFonts w:eastAsia="等线"/>
                      <w:color w:val="auto"/>
                    </w:rPr>
                    <w:t>mg/L)</w:t>
                  </w:r>
                </w:p>
              </w:tc>
              <w:tc>
                <w:tcPr>
                  <w:tcW w:w="61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p>
              </w:tc>
              <w:tc>
                <w:tcPr>
                  <w:tcW w:w="937"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Fonts w:ascii="Times New Roman" w:hAnsi="Times New Roman" w:eastAsia="等线"/>
                      <w:sz w:val="22"/>
                    </w:rPr>
                    <w:t>6~9</w:t>
                  </w:r>
                </w:p>
              </w:tc>
              <w:tc>
                <w:tcPr>
                  <w:tcW w:w="81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Style w:val="131"/>
                      <w:rFonts w:hAnsi="Times New Roman"/>
                      <w:color w:val="auto"/>
                    </w:rPr>
                    <w:t>≥</w:t>
                  </w:r>
                  <w:r>
                    <w:rPr>
                      <w:rStyle w:val="132"/>
                      <w:rFonts w:eastAsia="等线"/>
                      <w:color w:val="auto"/>
                    </w:rPr>
                    <w:t>5</w:t>
                  </w:r>
                </w:p>
              </w:tc>
              <w:tc>
                <w:tcPr>
                  <w:tcW w:w="1427"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Style w:val="131"/>
                      <w:rFonts w:hAnsi="Times New Roman"/>
                      <w:color w:val="auto"/>
                    </w:rPr>
                    <w:t>≤</w:t>
                  </w:r>
                  <w:r>
                    <w:rPr>
                      <w:rStyle w:val="132"/>
                      <w:rFonts w:eastAsia="等线"/>
                      <w:color w:val="auto"/>
                    </w:rPr>
                    <w:t>6</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Style w:val="131"/>
                      <w:rFonts w:hAnsi="Times New Roman"/>
                      <w:color w:val="auto"/>
                    </w:rPr>
                    <w:t>≤</w:t>
                  </w:r>
                  <w:r>
                    <w:rPr>
                      <w:rStyle w:val="132"/>
                      <w:rFonts w:eastAsia="等线"/>
                      <w:color w:val="auto"/>
                    </w:rPr>
                    <w:t>20</w:t>
                  </w:r>
                </w:p>
              </w:tc>
              <w:tc>
                <w:tcPr>
                  <w:tcW w:w="819"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Style w:val="131"/>
                      <w:rFonts w:hAnsi="Times New Roman"/>
                      <w:color w:val="auto"/>
                    </w:rPr>
                    <w:t>≤</w:t>
                  </w:r>
                  <w:r>
                    <w:rPr>
                      <w:rStyle w:val="132"/>
                      <w:rFonts w:eastAsia="等线"/>
                      <w:color w:val="auto"/>
                    </w:rPr>
                    <w:t>0.5</w:t>
                  </w:r>
                </w:p>
              </w:tc>
              <w:tc>
                <w:tcPr>
                  <w:tcW w:w="666" w:type="dxa"/>
                  <w:tcBorders>
                    <w:top w:val="single" w:color="000000" w:sz="4" w:space="0"/>
                    <w:left w:val="single" w:color="000000" w:sz="4" w:space="0"/>
                    <w:bottom w:val="single" w:color="000000" w:sz="4" w:space="0"/>
                    <w:right w:val="single" w:color="000000" w:sz="4" w:space="0"/>
                  </w:tcBorders>
                  <w:vAlign w:val="center"/>
                </w:tcPr>
                <w:p>
                  <w:pPr>
                    <w:spacing w:line="0" w:lineRule="atLeast"/>
                    <w:jc w:val="center"/>
                    <w:rPr>
                      <w:rFonts w:ascii="Times New Roman" w:hAnsi="Times New Roman" w:eastAsia="等线"/>
                      <w:sz w:val="22"/>
                    </w:rPr>
                  </w:pPr>
                  <w:r>
                    <w:rPr>
                      <w:rStyle w:val="131"/>
                      <w:rFonts w:hAnsi="Times New Roman"/>
                      <w:color w:val="auto"/>
                    </w:rPr>
                    <w:t>≤</w:t>
                  </w:r>
                  <w:r>
                    <w:rPr>
                      <w:rStyle w:val="132"/>
                      <w:rFonts w:eastAsia="等线"/>
                      <w:color w:val="auto"/>
                    </w:rPr>
                    <w:t>1</w:t>
                  </w:r>
                </w:p>
              </w:tc>
              <w:tc>
                <w:tcPr>
                  <w:tcW w:w="664" w:type="dxa"/>
                  <w:tcBorders>
                    <w:top w:val="single" w:color="000000" w:sz="4" w:space="0"/>
                    <w:left w:val="single" w:color="000000" w:sz="4" w:space="0"/>
                    <w:bottom w:val="single" w:color="000000" w:sz="4" w:space="0"/>
                    <w:right w:val="single" w:color="000000" w:sz="12" w:space="0"/>
                  </w:tcBorders>
                  <w:vAlign w:val="center"/>
                </w:tcPr>
                <w:p>
                  <w:pPr>
                    <w:spacing w:line="0" w:lineRule="atLeast"/>
                    <w:jc w:val="center"/>
                    <w:rPr>
                      <w:rFonts w:ascii="Times New Roman" w:hAnsi="Times New Roman" w:eastAsia="等线"/>
                      <w:sz w:val="22"/>
                    </w:rPr>
                  </w:pPr>
                  <w:r>
                    <w:rPr>
                      <w:rStyle w:val="131"/>
                      <w:rFonts w:hAnsi="Times New Roman"/>
                      <w:color w:val="auto"/>
                    </w:rPr>
                    <w:t>≤</w:t>
                  </w:r>
                  <w:r>
                    <w:rPr>
                      <w:rStyle w:val="132"/>
                      <w:rFonts w:eastAsia="等线"/>
                      <w:color w:val="auto"/>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824" w:hRule="atLeast"/>
                <w:jc w:val="center"/>
              </w:trPr>
              <w:tc>
                <w:tcPr>
                  <w:tcW w:w="1926" w:type="dxa"/>
                  <w:tcBorders>
                    <w:top w:val="single" w:color="000000" w:sz="4" w:space="0"/>
                    <w:left w:val="single" w:color="000000" w:sz="12"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hint="eastAsia" w:ascii="Times New Roman" w:hAnsi="宋体"/>
                      <w:kern w:val="0"/>
                      <w:szCs w:val="21"/>
                    </w:rPr>
                    <w:t>有效统计月数（月）</w:t>
                  </w:r>
                </w:p>
              </w:tc>
              <w:tc>
                <w:tcPr>
                  <w:tcW w:w="61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p>
              </w:tc>
              <w:tc>
                <w:tcPr>
                  <w:tcW w:w="93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1</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37</w:t>
                  </w:r>
                </w:p>
              </w:tc>
              <w:tc>
                <w:tcPr>
                  <w:tcW w:w="142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37</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37</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37</w:t>
                  </w:r>
                </w:p>
              </w:tc>
              <w:tc>
                <w:tcPr>
                  <w:tcW w:w="666"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37</w:t>
                  </w:r>
                </w:p>
              </w:tc>
              <w:tc>
                <w:tcPr>
                  <w:tcW w:w="664" w:type="dxa"/>
                  <w:tcBorders>
                    <w:top w:val="single" w:color="000000" w:sz="4" w:space="0"/>
                    <w:left w:val="single" w:color="000000" w:sz="4" w:space="0"/>
                    <w:bottom w:val="single" w:color="000000" w:sz="4" w:space="0"/>
                    <w:right w:val="single" w:color="000000" w:sz="12"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690" w:hRule="atLeast"/>
                <w:jc w:val="center"/>
              </w:trPr>
              <w:tc>
                <w:tcPr>
                  <w:tcW w:w="1926" w:type="dxa"/>
                  <w:tcBorders>
                    <w:top w:val="single" w:color="000000" w:sz="4" w:space="0"/>
                    <w:left w:val="single" w:color="000000" w:sz="12"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hint="eastAsia" w:ascii="Times New Roman" w:hAnsi="宋体"/>
                      <w:kern w:val="0"/>
                      <w:szCs w:val="21"/>
                    </w:rPr>
                    <w:t>达标月数（月）</w:t>
                  </w:r>
                </w:p>
              </w:tc>
              <w:tc>
                <w:tcPr>
                  <w:tcW w:w="61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p>
              </w:tc>
              <w:tc>
                <w:tcPr>
                  <w:tcW w:w="93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37</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29</w:t>
                  </w:r>
                </w:p>
              </w:tc>
              <w:tc>
                <w:tcPr>
                  <w:tcW w:w="142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31</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18</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37</w:t>
                  </w:r>
                </w:p>
              </w:tc>
              <w:tc>
                <w:tcPr>
                  <w:tcW w:w="666"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29</w:t>
                  </w:r>
                </w:p>
              </w:tc>
              <w:tc>
                <w:tcPr>
                  <w:tcW w:w="664" w:type="dxa"/>
                  <w:tcBorders>
                    <w:top w:val="single" w:color="000000" w:sz="4" w:space="0"/>
                    <w:left w:val="single" w:color="000000" w:sz="4" w:space="0"/>
                    <w:bottom w:val="single" w:color="000000" w:sz="4" w:space="0"/>
                    <w:right w:val="single" w:color="000000" w:sz="12"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726" w:hRule="atLeast"/>
                <w:jc w:val="center"/>
              </w:trPr>
              <w:tc>
                <w:tcPr>
                  <w:tcW w:w="1926" w:type="dxa"/>
                  <w:tcBorders>
                    <w:top w:val="single" w:color="000000" w:sz="4" w:space="0"/>
                    <w:left w:val="single" w:color="000000" w:sz="12"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hint="eastAsia" w:ascii="Times New Roman" w:hAnsi="宋体"/>
                      <w:kern w:val="0"/>
                      <w:szCs w:val="21"/>
                    </w:rPr>
                    <w:t>达标率（</w:t>
                  </w:r>
                  <w:r>
                    <w:rPr>
                      <w:rFonts w:ascii="Times New Roman" w:hAnsi="Times New Roman" w:eastAsia="等线"/>
                      <w:kern w:val="0"/>
                      <w:szCs w:val="21"/>
                    </w:rPr>
                    <w:t>%</w:t>
                  </w:r>
                  <w:r>
                    <w:rPr>
                      <w:rFonts w:hint="eastAsia" w:ascii="Times New Roman" w:hAnsi="宋体"/>
                      <w:kern w:val="0"/>
                      <w:szCs w:val="21"/>
                    </w:rPr>
                    <w:t>）</w:t>
                  </w:r>
                </w:p>
              </w:tc>
              <w:tc>
                <w:tcPr>
                  <w:tcW w:w="61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p>
              </w:tc>
              <w:tc>
                <w:tcPr>
                  <w:tcW w:w="93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3700.00</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78.38</w:t>
                  </w:r>
                </w:p>
              </w:tc>
              <w:tc>
                <w:tcPr>
                  <w:tcW w:w="142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83.78</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48.65</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100.00</w:t>
                  </w:r>
                </w:p>
              </w:tc>
              <w:tc>
                <w:tcPr>
                  <w:tcW w:w="666"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78.38</w:t>
                  </w:r>
                </w:p>
              </w:tc>
              <w:tc>
                <w:tcPr>
                  <w:tcW w:w="664" w:type="dxa"/>
                  <w:tcBorders>
                    <w:top w:val="single" w:color="000000" w:sz="4" w:space="0"/>
                    <w:left w:val="single" w:color="000000" w:sz="4" w:space="0"/>
                    <w:bottom w:val="single" w:color="000000" w:sz="4" w:space="0"/>
                    <w:right w:val="single" w:color="000000" w:sz="12"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75.68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692" w:hRule="atLeast"/>
                <w:jc w:val="center"/>
              </w:trPr>
              <w:tc>
                <w:tcPr>
                  <w:tcW w:w="1926" w:type="dxa"/>
                  <w:tcBorders>
                    <w:top w:val="single" w:color="000000" w:sz="4" w:space="0"/>
                    <w:left w:val="single" w:color="000000" w:sz="12"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hint="eastAsia" w:ascii="Times New Roman" w:hAnsi="宋体"/>
                      <w:kern w:val="0"/>
                      <w:szCs w:val="21"/>
                    </w:rPr>
                    <w:t>超标率（</w:t>
                  </w:r>
                  <w:r>
                    <w:rPr>
                      <w:rFonts w:ascii="Times New Roman" w:hAnsi="Times New Roman" w:eastAsia="等线"/>
                      <w:kern w:val="0"/>
                      <w:szCs w:val="21"/>
                    </w:rPr>
                    <w:t>%</w:t>
                  </w:r>
                  <w:r>
                    <w:rPr>
                      <w:rFonts w:hint="eastAsia" w:ascii="Times New Roman" w:hAnsi="宋体"/>
                      <w:kern w:val="0"/>
                      <w:szCs w:val="21"/>
                    </w:rPr>
                    <w:t>）</w:t>
                  </w:r>
                </w:p>
              </w:tc>
              <w:tc>
                <w:tcPr>
                  <w:tcW w:w="61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p>
              </w:tc>
              <w:tc>
                <w:tcPr>
                  <w:tcW w:w="93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 xml:space="preserve">-3600.00 </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 xml:space="preserve">21.62 </w:t>
                  </w:r>
                </w:p>
              </w:tc>
              <w:tc>
                <w:tcPr>
                  <w:tcW w:w="142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 xml:space="preserve">16.22 </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 xml:space="preserve">51.35 </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 xml:space="preserve">0.00 </w:t>
                  </w:r>
                </w:p>
              </w:tc>
              <w:tc>
                <w:tcPr>
                  <w:tcW w:w="666"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 xml:space="preserve">21.62 </w:t>
                  </w:r>
                </w:p>
              </w:tc>
              <w:tc>
                <w:tcPr>
                  <w:tcW w:w="664" w:type="dxa"/>
                  <w:tcBorders>
                    <w:top w:val="single" w:color="000000" w:sz="4" w:space="0"/>
                    <w:left w:val="single" w:color="000000" w:sz="4" w:space="0"/>
                    <w:bottom w:val="single" w:color="000000" w:sz="4" w:space="0"/>
                    <w:right w:val="single" w:color="000000" w:sz="12"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 xml:space="preserve">24.32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1926" w:type="dxa"/>
                  <w:tcBorders>
                    <w:top w:val="single" w:color="000000" w:sz="4" w:space="0"/>
                    <w:left w:val="single" w:color="000000" w:sz="12"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hint="eastAsia" w:ascii="Times New Roman" w:hAnsi="宋体"/>
                      <w:kern w:val="0"/>
                      <w:szCs w:val="21"/>
                    </w:rPr>
                    <w:t>现状监测水质月均最大值（</w:t>
                  </w:r>
                  <w:r>
                    <w:rPr>
                      <w:rFonts w:ascii="Times New Roman" w:hAnsi="Times New Roman" w:eastAsia="等线"/>
                      <w:kern w:val="0"/>
                      <w:szCs w:val="21"/>
                    </w:rPr>
                    <w:t>mg/L)</w:t>
                  </w:r>
                </w:p>
              </w:tc>
              <w:tc>
                <w:tcPr>
                  <w:tcW w:w="61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p>
              </w:tc>
              <w:tc>
                <w:tcPr>
                  <w:tcW w:w="93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8.35</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9.74</w:t>
                  </w:r>
                </w:p>
              </w:tc>
              <w:tc>
                <w:tcPr>
                  <w:tcW w:w="1427"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14.4</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38</w:t>
                  </w:r>
                </w:p>
              </w:tc>
              <w:tc>
                <w:tcPr>
                  <w:tcW w:w="81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0.23</w:t>
                  </w:r>
                </w:p>
              </w:tc>
              <w:tc>
                <w:tcPr>
                  <w:tcW w:w="666"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1.94</w:t>
                  </w:r>
                </w:p>
              </w:tc>
              <w:tc>
                <w:tcPr>
                  <w:tcW w:w="664" w:type="dxa"/>
                  <w:tcBorders>
                    <w:top w:val="single" w:color="000000" w:sz="4" w:space="0"/>
                    <w:left w:val="single" w:color="000000" w:sz="4" w:space="0"/>
                    <w:bottom w:val="single" w:color="000000" w:sz="4" w:space="0"/>
                    <w:right w:val="single" w:color="000000" w:sz="12"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0.38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1926" w:type="dxa"/>
                  <w:tcBorders>
                    <w:top w:val="single" w:color="000000" w:sz="4" w:space="0"/>
                    <w:left w:val="single" w:color="000000" w:sz="12" w:space="0"/>
                    <w:bottom w:val="single" w:color="000000" w:sz="12"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hint="eastAsia" w:ascii="Times New Roman" w:hAnsi="宋体"/>
                      <w:kern w:val="0"/>
                      <w:szCs w:val="21"/>
                    </w:rPr>
                    <w:t>现状监测水质月均最小值（</w:t>
                  </w:r>
                  <w:r>
                    <w:rPr>
                      <w:rFonts w:ascii="Times New Roman" w:hAnsi="Times New Roman" w:eastAsia="等线"/>
                      <w:kern w:val="0"/>
                      <w:szCs w:val="21"/>
                    </w:rPr>
                    <w:t>mg/L)</w:t>
                  </w:r>
                </w:p>
              </w:tc>
              <w:tc>
                <w:tcPr>
                  <w:tcW w:w="615" w:type="dxa"/>
                  <w:tcBorders>
                    <w:top w:val="single" w:color="000000" w:sz="4" w:space="0"/>
                    <w:left w:val="single" w:color="000000" w:sz="4" w:space="0"/>
                    <w:bottom w:val="single" w:color="000000" w:sz="12" w:space="0"/>
                    <w:right w:val="single" w:color="000000" w:sz="4" w:space="0"/>
                  </w:tcBorders>
                  <w:vAlign w:val="center"/>
                </w:tcPr>
                <w:p>
                  <w:pPr>
                    <w:widowControl/>
                    <w:spacing w:line="0" w:lineRule="atLeast"/>
                    <w:jc w:val="center"/>
                    <w:rPr>
                      <w:rFonts w:ascii="Times New Roman" w:hAnsi="Times New Roman" w:eastAsia="等线"/>
                      <w:kern w:val="0"/>
                      <w:szCs w:val="21"/>
                    </w:rPr>
                  </w:pPr>
                </w:p>
              </w:tc>
              <w:tc>
                <w:tcPr>
                  <w:tcW w:w="937" w:type="dxa"/>
                  <w:tcBorders>
                    <w:top w:val="single" w:color="000000" w:sz="4" w:space="0"/>
                    <w:left w:val="single" w:color="000000" w:sz="4" w:space="0"/>
                    <w:bottom w:val="single" w:color="000000" w:sz="12"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6.14</w:t>
                  </w:r>
                </w:p>
              </w:tc>
              <w:tc>
                <w:tcPr>
                  <w:tcW w:w="819" w:type="dxa"/>
                  <w:tcBorders>
                    <w:top w:val="single" w:color="000000" w:sz="4" w:space="0"/>
                    <w:left w:val="single" w:color="000000" w:sz="4" w:space="0"/>
                    <w:bottom w:val="single" w:color="000000" w:sz="12"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3.4</w:t>
                  </w:r>
                </w:p>
              </w:tc>
              <w:tc>
                <w:tcPr>
                  <w:tcW w:w="1427" w:type="dxa"/>
                  <w:tcBorders>
                    <w:top w:val="single" w:color="000000" w:sz="4" w:space="0"/>
                    <w:left w:val="single" w:color="000000" w:sz="4" w:space="0"/>
                    <w:bottom w:val="single" w:color="000000" w:sz="12"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2.52</w:t>
                  </w:r>
                </w:p>
              </w:tc>
              <w:tc>
                <w:tcPr>
                  <w:tcW w:w="1225" w:type="dxa"/>
                  <w:tcBorders>
                    <w:top w:val="single" w:color="000000" w:sz="4" w:space="0"/>
                    <w:left w:val="single" w:color="000000" w:sz="4" w:space="0"/>
                    <w:bottom w:val="single" w:color="000000" w:sz="12"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11</w:t>
                  </w:r>
                </w:p>
              </w:tc>
              <w:tc>
                <w:tcPr>
                  <w:tcW w:w="819" w:type="dxa"/>
                  <w:tcBorders>
                    <w:top w:val="single" w:color="000000" w:sz="4" w:space="0"/>
                    <w:left w:val="single" w:color="000000" w:sz="4" w:space="0"/>
                    <w:bottom w:val="single" w:color="000000" w:sz="12"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0.01</w:t>
                  </w:r>
                </w:p>
              </w:tc>
              <w:tc>
                <w:tcPr>
                  <w:tcW w:w="666" w:type="dxa"/>
                  <w:tcBorders>
                    <w:top w:val="single" w:color="000000" w:sz="4" w:space="0"/>
                    <w:left w:val="single" w:color="000000" w:sz="4" w:space="0"/>
                    <w:bottom w:val="single" w:color="000000" w:sz="12" w:space="0"/>
                    <w:right w:val="single" w:color="000000" w:sz="4"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0.15</w:t>
                  </w:r>
                </w:p>
              </w:tc>
              <w:tc>
                <w:tcPr>
                  <w:tcW w:w="664" w:type="dxa"/>
                  <w:tcBorders>
                    <w:top w:val="single" w:color="000000" w:sz="4" w:space="0"/>
                    <w:left w:val="single" w:color="000000" w:sz="4" w:space="0"/>
                    <w:bottom w:val="single" w:color="000000" w:sz="12" w:space="0"/>
                    <w:right w:val="single" w:color="000000" w:sz="12" w:space="0"/>
                  </w:tcBorders>
                  <w:vAlign w:val="center"/>
                </w:tcPr>
                <w:p>
                  <w:pPr>
                    <w:widowControl/>
                    <w:spacing w:line="0" w:lineRule="atLeast"/>
                    <w:jc w:val="center"/>
                    <w:rPr>
                      <w:rFonts w:ascii="Times New Roman" w:hAnsi="Times New Roman" w:eastAsia="等线"/>
                      <w:kern w:val="0"/>
                      <w:szCs w:val="21"/>
                    </w:rPr>
                  </w:pPr>
                  <w:r>
                    <w:rPr>
                      <w:rFonts w:ascii="Times New Roman" w:hAnsi="Times New Roman" w:eastAsia="等线"/>
                      <w:kern w:val="0"/>
                      <w:szCs w:val="21"/>
                    </w:rPr>
                    <w:t>0.08</w:t>
                  </w:r>
                </w:p>
              </w:tc>
            </w:tr>
          </w:tbl>
          <w:p>
            <w:pPr>
              <w:pStyle w:val="114"/>
            </w:pPr>
          </w:p>
          <w:p>
            <w:pPr>
              <w:pStyle w:val="2"/>
            </w:pPr>
          </w:p>
          <w:p>
            <w:pPr>
              <w:pStyle w:val="2"/>
              <w:jc w:val="center"/>
            </w:pPr>
            <w:r>
              <w:drawing>
                <wp:inline distT="0" distB="0" distL="0" distR="0">
                  <wp:extent cx="4890770" cy="3317240"/>
                  <wp:effectExtent l="0" t="0" r="0" b="0"/>
                  <wp:docPr id="20" name="图表 30"/>
                  <wp:cNvGraphicFramePr/>
                  <a:graphic xmlns:a="http://schemas.openxmlformats.org/drawingml/2006/main">
                    <a:graphicData uri="http://schemas.openxmlformats.org/drawingml/2006/picture">
                      <pic:pic xmlns:pic="http://schemas.openxmlformats.org/drawingml/2006/picture">
                        <pic:nvPicPr>
                          <pic:cNvPr id="20" name="图表 30"/>
                          <pic:cNvPicPr>
                            <a:picLocks noChangeArrowheads="1"/>
                          </pic:cNvPicPr>
                        </pic:nvPicPr>
                        <pic:blipFill>
                          <a:blip r:embed="rId26">
                            <a:extLst>
                              <a:ext uri="{28A0092B-C50C-407E-A947-70E740481C1C}">
                                <a14:useLocalDpi xmlns:a14="http://schemas.microsoft.com/office/drawing/2010/main" val="0"/>
                              </a:ext>
                            </a:extLst>
                          </a:blip>
                          <a:srcRect b="-38"/>
                          <a:stretch>
                            <a:fillRect/>
                          </a:stretch>
                        </pic:blipFill>
                        <pic:spPr>
                          <a:xfrm>
                            <a:off x="0" y="0"/>
                            <a:ext cx="4890770" cy="3317240"/>
                          </a:xfrm>
                          <a:prstGeom prst="rect">
                            <a:avLst/>
                          </a:prstGeom>
                          <a:noFill/>
                          <a:ln>
                            <a:noFill/>
                          </a:ln>
                        </pic:spPr>
                      </pic:pic>
                    </a:graphicData>
                  </a:graphic>
                </wp:inline>
              </w:drawing>
            </w:r>
          </w:p>
          <w:p>
            <w:pPr>
              <w:pStyle w:val="111"/>
            </w:pPr>
            <w:r>
              <w:rPr>
                <w:rFonts w:hint="eastAsia"/>
              </w:rPr>
              <w:t>图</w:t>
            </w:r>
            <w:r>
              <w:t xml:space="preserve">20 </w:t>
            </w:r>
            <w:r>
              <w:rPr>
                <w:rFonts w:hint="eastAsia"/>
              </w:rPr>
              <w:t>潭榄溪潭榄桥断面</w:t>
            </w:r>
            <w:r>
              <w:t>2016~2019</w:t>
            </w:r>
            <w:r>
              <w:rPr>
                <w:rFonts w:hint="eastAsia"/>
              </w:rPr>
              <w:t>年水环境监测数据统计图</w:t>
            </w:r>
            <w:r>
              <w:t>—DO</w:t>
            </w:r>
            <w:r>
              <w:rPr>
                <w:rFonts w:hint="eastAsia"/>
              </w:rPr>
              <w:t>（</w:t>
            </w:r>
            <w:r>
              <w:t>mg/L</w:t>
            </w:r>
            <w:r>
              <w:rPr>
                <w:rFonts w:hint="eastAsia"/>
              </w:rPr>
              <w:t>）</w:t>
            </w:r>
          </w:p>
          <w:p>
            <w:pPr>
              <w:pStyle w:val="2"/>
              <w:jc w:val="center"/>
            </w:pPr>
          </w:p>
          <w:p>
            <w:pPr>
              <w:pStyle w:val="2"/>
              <w:jc w:val="center"/>
            </w:pPr>
          </w:p>
          <w:p>
            <w:pPr>
              <w:pStyle w:val="2"/>
              <w:jc w:val="center"/>
            </w:pPr>
          </w:p>
          <w:p>
            <w:pPr>
              <w:pStyle w:val="2"/>
              <w:jc w:val="center"/>
            </w:pPr>
            <w:r>
              <w:drawing>
                <wp:inline distT="0" distB="0" distL="0" distR="0">
                  <wp:extent cx="5050155" cy="3359785"/>
                  <wp:effectExtent l="0" t="0" r="0" b="0"/>
                  <wp:docPr id="21" name="图表 31"/>
                  <wp:cNvGraphicFramePr/>
                  <a:graphic xmlns:a="http://schemas.openxmlformats.org/drawingml/2006/main">
                    <a:graphicData uri="http://schemas.openxmlformats.org/drawingml/2006/picture">
                      <pic:pic xmlns:pic="http://schemas.openxmlformats.org/drawingml/2006/picture">
                        <pic:nvPicPr>
                          <pic:cNvPr id="21" name="图表 3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50155" cy="3359785"/>
                          </a:xfrm>
                          <a:prstGeom prst="rect">
                            <a:avLst/>
                          </a:prstGeom>
                          <a:noFill/>
                          <a:ln>
                            <a:noFill/>
                          </a:ln>
                        </pic:spPr>
                      </pic:pic>
                    </a:graphicData>
                  </a:graphic>
                </wp:inline>
              </w:drawing>
            </w:r>
          </w:p>
          <w:p>
            <w:pPr>
              <w:pStyle w:val="111"/>
            </w:pPr>
            <w:r>
              <w:rPr>
                <w:rFonts w:hint="eastAsia"/>
              </w:rPr>
              <w:t>图</w:t>
            </w:r>
            <w:r>
              <w:t xml:space="preserve">21 </w:t>
            </w:r>
            <w:r>
              <w:rPr>
                <w:rFonts w:hint="eastAsia"/>
              </w:rPr>
              <w:t>潭榄溪潭榄桥断面</w:t>
            </w:r>
            <w:r>
              <w:t>2016~2019</w:t>
            </w:r>
            <w:r>
              <w:rPr>
                <w:rFonts w:hint="eastAsia"/>
              </w:rPr>
              <w:t>年水环境监测数据统计图</w:t>
            </w:r>
            <w:r>
              <w:t>—</w:t>
            </w:r>
            <w:r>
              <w:rPr>
                <w:rFonts w:hint="eastAsia"/>
              </w:rPr>
              <w:t>高锰酸盐指数（</w:t>
            </w:r>
            <w:r>
              <w:t>mg/L</w:t>
            </w:r>
            <w:r>
              <w:rPr>
                <w:rFonts w:hint="eastAsia"/>
              </w:rPr>
              <w:t>）</w:t>
            </w: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r>
              <w:drawing>
                <wp:inline distT="0" distB="0" distL="0" distR="0">
                  <wp:extent cx="5008245" cy="3359785"/>
                  <wp:effectExtent l="0" t="0" r="0" b="0"/>
                  <wp:docPr id="22" name="图表 33"/>
                  <wp:cNvGraphicFramePr/>
                  <a:graphic xmlns:a="http://schemas.openxmlformats.org/drawingml/2006/main">
                    <a:graphicData uri="http://schemas.openxmlformats.org/drawingml/2006/picture">
                      <pic:pic xmlns:pic="http://schemas.openxmlformats.org/drawingml/2006/picture">
                        <pic:nvPicPr>
                          <pic:cNvPr id="22" name="图表 3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008245" cy="3359785"/>
                          </a:xfrm>
                          <a:prstGeom prst="rect">
                            <a:avLst/>
                          </a:prstGeom>
                          <a:noFill/>
                          <a:ln>
                            <a:noFill/>
                          </a:ln>
                        </pic:spPr>
                      </pic:pic>
                    </a:graphicData>
                  </a:graphic>
                </wp:inline>
              </w:drawing>
            </w:r>
          </w:p>
          <w:p>
            <w:pPr>
              <w:pStyle w:val="111"/>
            </w:pPr>
            <w:r>
              <w:rPr>
                <w:rFonts w:hint="eastAsia"/>
              </w:rPr>
              <w:t>图</w:t>
            </w:r>
            <w:r>
              <w:t xml:space="preserve">22  </w:t>
            </w:r>
            <w:r>
              <w:rPr>
                <w:rFonts w:hint="eastAsia"/>
              </w:rPr>
              <w:t>潭榄溪潭榄桥断面</w:t>
            </w:r>
            <w:r>
              <w:t>2016~2019</w:t>
            </w:r>
            <w:r>
              <w:rPr>
                <w:rFonts w:hint="eastAsia"/>
              </w:rPr>
              <w:t>年水环境监测数据统计图</w:t>
            </w:r>
            <w:r>
              <w:t>—COD</w:t>
            </w:r>
            <w:r>
              <w:rPr>
                <w:rFonts w:hint="eastAsia"/>
              </w:rPr>
              <w:t>（</w:t>
            </w:r>
            <w:r>
              <w:t>mg/L</w:t>
            </w:r>
            <w:r>
              <w:rPr>
                <w:rFonts w:hint="eastAsia"/>
              </w:rPr>
              <w:t>）</w:t>
            </w:r>
          </w:p>
          <w:p>
            <w:pPr>
              <w:pStyle w:val="2"/>
              <w:jc w:val="center"/>
            </w:pPr>
          </w:p>
          <w:p>
            <w:pPr>
              <w:pStyle w:val="2"/>
              <w:jc w:val="center"/>
            </w:pPr>
            <w:r>
              <w:drawing>
                <wp:inline distT="0" distB="0" distL="0" distR="0">
                  <wp:extent cx="4997450" cy="3370580"/>
                  <wp:effectExtent l="0" t="0" r="0" b="0"/>
                  <wp:docPr id="23" name="图表 34"/>
                  <wp:cNvGraphicFramePr/>
                  <a:graphic xmlns:a="http://schemas.openxmlformats.org/drawingml/2006/main">
                    <a:graphicData uri="http://schemas.openxmlformats.org/drawingml/2006/picture">
                      <pic:pic xmlns:pic="http://schemas.openxmlformats.org/drawingml/2006/picture">
                        <pic:nvPicPr>
                          <pic:cNvPr id="23" name="图表 3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97450" cy="3370580"/>
                          </a:xfrm>
                          <a:prstGeom prst="rect">
                            <a:avLst/>
                          </a:prstGeom>
                          <a:noFill/>
                          <a:ln>
                            <a:noFill/>
                          </a:ln>
                        </pic:spPr>
                      </pic:pic>
                    </a:graphicData>
                  </a:graphic>
                </wp:inline>
              </w:drawing>
            </w:r>
          </w:p>
          <w:p>
            <w:pPr>
              <w:pStyle w:val="111"/>
            </w:pPr>
            <w:r>
              <w:rPr>
                <w:rFonts w:hint="eastAsia"/>
              </w:rPr>
              <w:t>图</w:t>
            </w:r>
            <w:r>
              <w:t xml:space="preserve">23  </w:t>
            </w:r>
            <w:r>
              <w:rPr>
                <w:rFonts w:hint="eastAsia"/>
              </w:rPr>
              <w:t>潭榄溪潭榄桥断面</w:t>
            </w:r>
            <w:r>
              <w:t>2016~2019</w:t>
            </w:r>
            <w:r>
              <w:rPr>
                <w:rFonts w:hint="eastAsia"/>
              </w:rPr>
              <w:t>年水环境监测数据统计图</w:t>
            </w:r>
            <w:r>
              <w:t>—</w:t>
            </w:r>
            <w:r>
              <w:rPr>
                <w:rFonts w:hint="eastAsia"/>
              </w:rPr>
              <w:t>石油类（</w:t>
            </w:r>
            <w:r>
              <w:t>mg/L</w:t>
            </w:r>
            <w:r>
              <w:rPr>
                <w:rFonts w:hint="eastAsia"/>
              </w:rPr>
              <w:t>）</w:t>
            </w: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r>
              <w:drawing>
                <wp:inline distT="0" distB="0" distL="0" distR="0">
                  <wp:extent cx="5082540" cy="3476625"/>
                  <wp:effectExtent l="0" t="0" r="0" b="0"/>
                  <wp:docPr id="24" name="图表 35"/>
                  <wp:cNvGraphicFramePr/>
                  <a:graphic xmlns:a="http://schemas.openxmlformats.org/drawingml/2006/main">
                    <a:graphicData uri="http://schemas.openxmlformats.org/drawingml/2006/picture">
                      <pic:pic xmlns:pic="http://schemas.openxmlformats.org/drawingml/2006/picture">
                        <pic:nvPicPr>
                          <pic:cNvPr id="24" name="图表 3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082540" cy="3476625"/>
                          </a:xfrm>
                          <a:prstGeom prst="rect">
                            <a:avLst/>
                          </a:prstGeom>
                          <a:noFill/>
                          <a:ln>
                            <a:noFill/>
                          </a:ln>
                        </pic:spPr>
                      </pic:pic>
                    </a:graphicData>
                  </a:graphic>
                </wp:inline>
              </w:drawing>
            </w:r>
          </w:p>
          <w:p>
            <w:pPr>
              <w:pStyle w:val="111"/>
            </w:pPr>
            <w:r>
              <w:rPr>
                <w:rFonts w:hint="eastAsia"/>
              </w:rPr>
              <w:t>图</w:t>
            </w:r>
            <w:r>
              <w:t xml:space="preserve">24 </w:t>
            </w:r>
            <w:r>
              <w:rPr>
                <w:rFonts w:hint="eastAsia"/>
              </w:rPr>
              <w:t>潭榄溪潭榄桥断面</w:t>
            </w:r>
            <w:r>
              <w:t>2016~2019</w:t>
            </w:r>
            <w:r>
              <w:rPr>
                <w:rFonts w:hint="eastAsia"/>
              </w:rPr>
              <w:t>年水环境监测数据统计图</w:t>
            </w:r>
            <w:r>
              <w:t>—</w:t>
            </w:r>
            <w:r>
              <w:rPr>
                <w:rFonts w:hint="eastAsia"/>
              </w:rPr>
              <w:t>氨氮（</w:t>
            </w:r>
            <w:r>
              <w:t>mg/L</w:t>
            </w:r>
            <w:r>
              <w:rPr>
                <w:rFonts w:hint="eastAsia"/>
              </w:rPr>
              <w:t>）</w:t>
            </w:r>
          </w:p>
          <w:p>
            <w:pPr>
              <w:pStyle w:val="2"/>
              <w:jc w:val="center"/>
            </w:pPr>
          </w:p>
          <w:p>
            <w:pPr>
              <w:pStyle w:val="2"/>
              <w:jc w:val="center"/>
            </w:pPr>
            <w:r>
              <w:drawing>
                <wp:inline distT="0" distB="0" distL="0" distR="0">
                  <wp:extent cx="4965700" cy="3434080"/>
                  <wp:effectExtent l="0" t="0" r="0" b="0"/>
                  <wp:docPr id="25" name="图表 36"/>
                  <wp:cNvGraphicFramePr/>
                  <a:graphic xmlns:a="http://schemas.openxmlformats.org/drawingml/2006/main">
                    <a:graphicData uri="http://schemas.openxmlformats.org/drawingml/2006/picture">
                      <pic:pic xmlns:pic="http://schemas.openxmlformats.org/drawingml/2006/picture">
                        <pic:nvPicPr>
                          <pic:cNvPr id="25" name="图表 3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65700" cy="3434080"/>
                          </a:xfrm>
                          <a:prstGeom prst="rect">
                            <a:avLst/>
                          </a:prstGeom>
                          <a:noFill/>
                          <a:ln>
                            <a:noFill/>
                          </a:ln>
                        </pic:spPr>
                      </pic:pic>
                    </a:graphicData>
                  </a:graphic>
                </wp:inline>
              </w:drawing>
            </w:r>
          </w:p>
          <w:p>
            <w:pPr>
              <w:pStyle w:val="111"/>
            </w:pPr>
            <w:r>
              <w:rPr>
                <w:rFonts w:hint="eastAsia"/>
              </w:rPr>
              <w:t>图</w:t>
            </w:r>
            <w:r>
              <w:t>25</w:t>
            </w:r>
            <w:r>
              <w:rPr>
                <w:rFonts w:hint="eastAsia"/>
              </w:rPr>
              <w:t>潭榄溪潭榄桥断面</w:t>
            </w:r>
            <w:r>
              <w:t>2016~2019</w:t>
            </w:r>
            <w:r>
              <w:rPr>
                <w:rFonts w:hint="eastAsia"/>
              </w:rPr>
              <w:t>年水环境监测数据统计图</w:t>
            </w:r>
            <w:r>
              <w:t>—TP</w:t>
            </w:r>
            <w:r>
              <w:rPr>
                <w:rFonts w:hint="eastAsia"/>
              </w:rPr>
              <w:t>（</w:t>
            </w:r>
            <w:r>
              <w:t>mg/L</w:t>
            </w:r>
            <w:r>
              <w:rPr>
                <w:rFonts w:hint="eastAsia"/>
              </w:rPr>
              <w:t>）</w:t>
            </w:r>
          </w:p>
          <w:p>
            <w:pPr>
              <w:pStyle w:val="114"/>
            </w:pPr>
            <w:r>
              <w:rPr>
                <w:rFonts w:hint="eastAsia"/>
              </w:rPr>
              <w:t>根据表</w:t>
            </w:r>
            <w:r>
              <w:t>3-5</w:t>
            </w:r>
            <w:r>
              <w:rPr>
                <w:rFonts w:hint="eastAsia"/>
              </w:rPr>
              <w:t>、图</w:t>
            </w:r>
            <w:r>
              <w:t>20-25</w:t>
            </w:r>
            <w:r>
              <w:rPr>
                <w:rFonts w:hint="eastAsia"/>
              </w:rPr>
              <w:t>可知：近三年，潭榄溪潭榄桥段水质不满足《地表水环境质量标准》</w:t>
            </w:r>
            <w:r>
              <w:t>GB3838-2002</w:t>
            </w:r>
            <w:r>
              <w:rPr>
                <w:rFonts w:hint="eastAsia"/>
              </w:rPr>
              <w:t>Ⅲ类标准要求；超标因子包括</w:t>
            </w:r>
            <w:r>
              <w:t xml:space="preserve"> DO</w:t>
            </w:r>
            <w:r>
              <w:rPr>
                <w:rFonts w:hint="eastAsia"/>
              </w:rPr>
              <w:t>、</w:t>
            </w:r>
            <w:r>
              <w:t>COD</w:t>
            </w:r>
            <w:r>
              <w:rPr>
                <w:rFonts w:hint="eastAsia"/>
              </w:rPr>
              <w:t>、氨氮、总磷、石油类，其原因可能是上游沿线农业污染源周期性排放导致。</w:t>
            </w:r>
          </w:p>
          <w:p>
            <w:pPr>
              <w:pStyle w:val="114"/>
            </w:pPr>
            <w:r>
              <w:t>2</w:t>
            </w:r>
            <w:r>
              <w:rPr>
                <w:rFonts w:hint="eastAsia"/>
              </w:rPr>
              <w:t>、补充监测；</w:t>
            </w:r>
          </w:p>
          <w:p>
            <w:pPr>
              <w:pStyle w:val="114"/>
            </w:pPr>
            <w:r>
              <w:rPr>
                <w:rFonts w:hint="eastAsia"/>
              </w:rPr>
              <w:t>本次评价委托海南中环能检测技术有限公司于</w:t>
            </w:r>
            <w:r>
              <w:t>2019</w:t>
            </w:r>
            <w:r>
              <w:rPr>
                <w:rFonts w:hint="eastAsia"/>
              </w:rPr>
              <w:t>年</w:t>
            </w:r>
            <w:r>
              <w:t>5</w:t>
            </w:r>
            <w:r>
              <w:rPr>
                <w:rFonts w:hint="eastAsia"/>
              </w:rPr>
              <w:t>月</w:t>
            </w:r>
            <w:r>
              <w:t>24~26</w:t>
            </w:r>
            <w:r>
              <w:rPr>
                <w:rFonts w:hint="eastAsia"/>
              </w:rPr>
              <w:t>日对项目纳污水体潭榄溪进行现场监测。</w:t>
            </w:r>
          </w:p>
          <w:p>
            <w:pPr>
              <w:pStyle w:val="114"/>
            </w:pPr>
            <w:r>
              <w:rPr>
                <w:rFonts w:hint="eastAsia"/>
              </w:rPr>
              <w:t>（</w:t>
            </w:r>
            <w:r>
              <w:t>1</w:t>
            </w:r>
            <w:r>
              <w:rPr>
                <w:rFonts w:hint="eastAsia"/>
              </w:rPr>
              <w:t>）监测布点</w:t>
            </w:r>
          </w:p>
          <w:p>
            <w:pPr>
              <w:pStyle w:val="114"/>
            </w:pPr>
            <w:r>
              <w:rPr>
                <w:rFonts w:hint="eastAsia"/>
              </w:rPr>
              <w:t>本次评价共设</w:t>
            </w:r>
            <w:r>
              <w:t>3</w:t>
            </w:r>
            <w:r>
              <w:rPr>
                <w:rFonts w:hint="eastAsia"/>
              </w:rPr>
              <w:t>个地表水环境监测断面，监测位置见表</w:t>
            </w:r>
            <w:r>
              <w:t>3-6</w:t>
            </w:r>
            <w:r>
              <w:rPr>
                <w:rFonts w:hint="eastAsia"/>
              </w:rPr>
              <w:t>，详见图</w:t>
            </w:r>
            <w:r>
              <w:t>20</w:t>
            </w:r>
            <w:r>
              <w:rPr>
                <w:rFonts w:hint="eastAsia"/>
              </w:rPr>
              <w:t>。</w:t>
            </w:r>
          </w:p>
          <w:p>
            <w:pPr>
              <w:pStyle w:val="111"/>
            </w:pPr>
            <w:r>
              <w:rPr>
                <w:rFonts w:hint="eastAsia"/>
              </w:rPr>
              <w:t>表</w:t>
            </w:r>
            <w:r>
              <w:t xml:space="preserve">3-6 </w:t>
            </w:r>
            <w:r>
              <w:rPr>
                <w:rFonts w:hint="eastAsia"/>
              </w:rPr>
              <w:t>地表水环境监测点</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7"/>
              <w:gridCol w:w="5825"/>
              <w:gridCol w:w="18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437" w:type="dxa"/>
                  <w:tcBorders>
                    <w:top w:val="single" w:color="auto" w:sz="12" w:space="0"/>
                    <w:left w:val="single" w:color="auto" w:sz="12" w:space="0"/>
                    <w:bottom w:val="double" w:color="auto" w:sz="4" w:space="0"/>
                    <w:right w:val="single" w:color="auto"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断面序号</w:t>
                  </w:r>
                </w:p>
              </w:tc>
              <w:tc>
                <w:tcPr>
                  <w:tcW w:w="5825" w:type="dxa"/>
                  <w:tcBorders>
                    <w:top w:val="single" w:color="auto" w:sz="12" w:space="0"/>
                    <w:left w:val="single" w:color="auto" w:sz="6" w:space="0"/>
                    <w:bottom w:val="double" w:color="auto" w:sz="4" w:space="0"/>
                    <w:right w:val="single" w:color="auto" w:sz="6"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断面位置</w:t>
                  </w:r>
                </w:p>
              </w:tc>
              <w:tc>
                <w:tcPr>
                  <w:tcW w:w="1836" w:type="dxa"/>
                  <w:tcBorders>
                    <w:top w:val="single" w:color="auto" w:sz="12" w:space="0"/>
                    <w:left w:val="single" w:color="auto" w:sz="6" w:space="0"/>
                    <w:bottom w:val="double" w:color="auto" w:sz="4" w:space="0"/>
                    <w:right w:val="single" w:color="auto"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断面功能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437" w:type="dxa"/>
                  <w:tcBorders>
                    <w:top w:val="double" w:color="auto" w:sz="4" w:space="0"/>
                    <w:left w:val="single" w:color="auto" w:sz="12" w:space="0"/>
                    <w:bottom w:val="single" w:color="auto" w:sz="6" w:space="0"/>
                    <w:right w:val="single" w:color="auto" w:sz="6" w:space="0"/>
                  </w:tcBorders>
                  <w:vAlign w:val="center"/>
                </w:tcPr>
                <w:p>
                  <w:pPr>
                    <w:adjustRightInd w:val="0"/>
                    <w:snapToGrid w:val="0"/>
                    <w:jc w:val="center"/>
                    <w:rPr>
                      <w:rFonts w:ascii="Times New Roman" w:hAnsi="Times New Roman"/>
                      <w:szCs w:val="21"/>
                    </w:rPr>
                  </w:pPr>
                  <w:r>
                    <w:rPr>
                      <w:rFonts w:ascii="Times New Roman" w:hAnsi="Times New Roman"/>
                      <w:szCs w:val="21"/>
                    </w:rPr>
                    <w:t>SW1</w:t>
                  </w:r>
                </w:p>
              </w:tc>
              <w:tc>
                <w:tcPr>
                  <w:tcW w:w="5825" w:type="dxa"/>
                  <w:tcBorders>
                    <w:top w:val="double" w:color="auto" w:sz="4"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szCs w:val="21"/>
                    </w:rPr>
                  </w:pPr>
                  <w:r>
                    <w:rPr>
                      <w:rFonts w:hint="eastAsia" w:ascii="Times New Roman" w:hAnsi="宋体"/>
                      <w:szCs w:val="21"/>
                    </w:rPr>
                    <w:t>定城污水处理厂排放口潭榄溪上游</w:t>
                  </w:r>
                  <w:r>
                    <w:rPr>
                      <w:rFonts w:ascii="Times New Roman" w:hAnsi="Times New Roman"/>
                      <w:szCs w:val="21"/>
                    </w:rPr>
                    <w:t>500m</w:t>
                  </w:r>
                  <w:r>
                    <w:rPr>
                      <w:rFonts w:hint="eastAsia" w:ascii="Times New Roman" w:hAnsi="宋体"/>
                      <w:szCs w:val="21"/>
                    </w:rPr>
                    <w:t>处</w:t>
                  </w:r>
                </w:p>
              </w:tc>
              <w:tc>
                <w:tcPr>
                  <w:tcW w:w="1836" w:type="dxa"/>
                  <w:tcBorders>
                    <w:top w:val="double" w:color="auto" w:sz="4" w:space="0"/>
                    <w:left w:val="single" w:color="auto" w:sz="6" w:space="0"/>
                    <w:bottom w:val="single" w:color="auto" w:sz="6" w:space="0"/>
                    <w:right w:val="single" w:color="auto"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对照断面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43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ascii="Times New Roman" w:hAnsi="Times New Roman"/>
                      <w:szCs w:val="21"/>
                    </w:rPr>
                  </w:pPr>
                  <w:r>
                    <w:rPr>
                      <w:rFonts w:ascii="Times New Roman" w:hAnsi="Times New Roman"/>
                      <w:szCs w:val="21"/>
                    </w:rPr>
                    <w:t>SW2</w:t>
                  </w:r>
                </w:p>
              </w:tc>
              <w:tc>
                <w:tcPr>
                  <w:tcW w:w="582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Times New Roman" w:hAnsi="Times New Roman"/>
                      <w:szCs w:val="21"/>
                    </w:rPr>
                  </w:pPr>
                  <w:r>
                    <w:rPr>
                      <w:rFonts w:hint="eastAsia" w:ascii="Times New Roman" w:hAnsi="宋体"/>
                      <w:szCs w:val="21"/>
                    </w:rPr>
                    <w:t>定城污水处理厂排放口潭榄溪下游</w:t>
                  </w:r>
                  <w:r>
                    <w:rPr>
                      <w:rFonts w:ascii="Times New Roman" w:hAnsi="宋体"/>
                      <w:szCs w:val="21"/>
                    </w:rPr>
                    <w:t>500m</w:t>
                  </w:r>
                  <w:r>
                    <w:rPr>
                      <w:rFonts w:hint="eastAsia" w:ascii="Times New Roman" w:hAnsi="宋体"/>
                      <w:szCs w:val="21"/>
                    </w:rPr>
                    <w:t>处</w:t>
                  </w:r>
                </w:p>
              </w:tc>
              <w:tc>
                <w:tcPr>
                  <w:tcW w:w="1836"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控制断面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437" w:type="dxa"/>
                  <w:tcBorders>
                    <w:top w:val="single" w:color="auto" w:sz="6" w:space="0"/>
                    <w:left w:val="single" w:color="auto" w:sz="12" w:space="0"/>
                    <w:bottom w:val="single" w:color="auto" w:sz="12" w:space="0"/>
                    <w:right w:val="single" w:color="auto" w:sz="6" w:space="0"/>
                  </w:tcBorders>
                  <w:vAlign w:val="center"/>
                </w:tcPr>
                <w:p>
                  <w:pPr>
                    <w:adjustRightInd w:val="0"/>
                    <w:snapToGrid w:val="0"/>
                    <w:jc w:val="center"/>
                    <w:rPr>
                      <w:rFonts w:ascii="Times New Roman" w:hAnsi="Times New Roman"/>
                      <w:szCs w:val="21"/>
                    </w:rPr>
                  </w:pPr>
                  <w:r>
                    <w:rPr>
                      <w:rFonts w:ascii="Times New Roman" w:hAnsi="Times New Roman"/>
                      <w:szCs w:val="21"/>
                    </w:rPr>
                    <w:t>SW3</w:t>
                  </w:r>
                </w:p>
              </w:tc>
              <w:tc>
                <w:tcPr>
                  <w:tcW w:w="5825"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rFonts w:ascii="Times New Roman" w:hAnsi="Times New Roman"/>
                      <w:szCs w:val="21"/>
                    </w:rPr>
                  </w:pPr>
                  <w:r>
                    <w:rPr>
                      <w:rFonts w:hint="eastAsia" w:ascii="Times New Roman" w:hAnsi="宋体"/>
                      <w:szCs w:val="21"/>
                    </w:rPr>
                    <w:t>定城污水处理厂排放口潭榄溪下游</w:t>
                  </w:r>
                  <w:r>
                    <w:rPr>
                      <w:rFonts w:ascii="Times New Roman" w:hAnsi="宋体"/>
                      <w:szCs w:val="21"/>
                    </w:rPr>
                    <w:t>10</w:t>
                  </w:r>
                  <w:r>
                    <w:rPr>
                      <w:rFonts w:ascii="Times New Roman" w:hAnsi="Times New Roman"/>
                      <w:szCs w:val="21"/>
                    </w:rPr>
                    <w:t>00m</w:t>
                  </w:r>
                  <w:r>
                    <w:rPr>
                      <w:rFonts w:hint="eastAsia" w:ascii="Times New Roman" w:hAnsi="宋体"/>
                      <w:szCs w:val="21"/>
                    </w:rPr>
                    <w:t>处</w:t>
                  </w:r>
                </w:p>
              </w:tc>
              <w:tc>
                <w:tcPr>
                  <w:tcW w:w="1836" w:type="dxa"/>
                  <w:tcBorders>
                    <w:top w:val="single" w:color="auto" w:sz="6" w:space="0"/>
                    <w:left w:val="single" w:color="auto" w:sz="6" w:space="0"/>
                    <w:bottom w:val="single" w:color="auto" w:sz="12" w:space="0"/>
                    <w:right w:val="single" w:color="auto" w:sz="12"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消减断面</w:t>
                  </w:r>
                </w:p>
              </w:tc>
            </w:tr>
          </w:tbl>
          <w:p>
            <w:pPr>
              <w:pStyle w:val="114"/>
              <w:rPr>
                <w:b/>
                <w:szCs w:val="21"/>
              </w:rPr>
            </w:pPr>
            <w:r>
              <w:rPr>
                <w:rFonts w:hint="eastAsia"/>
              </w:rPr>
              <w:t>（</w:t>
            </w:r>
            <w:r>
              <w:t>2</w:t>
            </w:r>
            <w:r>
              <w:rPr>
                <w:rFonts w:hint="eastAsia"/>
              </w:rPr>
              <w:t>）监测项目周期频率</w:t>
            </w:r>
          </w:p>
          <w:p>
            <w:pPr>
              <w:pStyle w:val="114"/>
            </w:pPr>
            <w:r>
              <w:rPr>
                <w:rFonts w:hint="eastAsia"/>
              </w:rPr>
              <w:t>监测项目：水温、</w:t>
            </w:r>
            <w:r>
              <w:t>DO</w:t>
            </w:r>
            <w:r>
              <w:rPr>
                <w:rFonts w:hint="eastAsia"/>
              </w:rPr>
              <w:t>、</w:t>
            </w:r>
            <w:r>
              <w:t>pH</w:t>
            </w:r>
            <w:r>
              <w:rPr>
                <w:rFonts w:hint="eastAsia"/>
              </w:rPr>
              <w:t>、</w:t>
            </w:r>
            <w:r>
              <w:t>COD</w:t>
            </w:r>
            <w:r>
              <w:rPr>
                <w:rFonts w:hint="eastAsia"/>
              </w:rPr>
              <w:t>、</w:t>
            </w:r>
            <w:r>
              <w:t>BOD</w:t>
            </w:r>
            <w:r>
              <w:rPr>
                <w:vertAlign w:val="subscript"/>
              </w:rPr>
              <w:t>5</w:t>
            </w:r>
            <w:r>
              <w:rPr>
                <w:rFonts w:hint="eastAsia"/>
              </w:rPr>
              <w:t>、</w:t>
            </w:r>
            <w:r>
              <w:t>SS</w:t>
            </w:r>
            <w:r>
              <w:rPr>
                <w:rFonts w:hint="eastAsia"/>
              </w:rPr>
              <w:t>、</w:t>
            </w:r>
            <w:r>
              <w:t>NH</w:t>
            </w:r>
            <w:r>
              <w:rPr>
                <w:vertAlign w:val="subscript"/>
              </w:rPr>
              <w:t>3</w:t>
            </w:r>
            <w:r>
              <w:t>-N</w:t>
            </w:r>
            <w:r>
              <w:rPr>
                <w:rFonts w:hint="eastAsia"/>
              </w:rPr>
              <w:t>、</w:t>
            </w:r>
            <w:r>
              <w:t>TP</w:t>
            </w:r>
            <w:r>
              <w:rPr>
                <w:rFonts w:hint="eastAsia"/>
              </w:rPr>
              <w:t>、</w:t>
            </w:r>
            <w:r>
              <w:t>TN</w:t>
            </w:r>
            <w:r>
              <w:rPr>
                <w:rFonts w:hint="eastAsia"/>
              </w:rPr>
              <w:t>、阴离子表面活性剂、粪大肠菌群。</w:t>
            </w:r>
          </w:p>
          <w:p>
            <w:pPr>
              <w:pStyle w:val="114"/>
            </w:pPr>
            <w:r>
              <w:rPr>
                <w:rFonts w:hint="eastAsia"/>
              </w:rPr>
              <w:t>（</w:t>
            </w:r>
            <w:r>
              <w:t>3</w:t>
            </w:r>
            <w:r>
              <w:rPr>
                <w:rFonts w:hint="eastAsia"/>
              </w:rPr>
              <w:t>）监测时间及频率：监测一期，连续三天，每天一次。</w:t>
            </w:r>
          </w:p>
          <w:p>
            <w:pPr>
              <w:pStyle w:val="114"/>
            </w:pPr>
            <w:r>
              <w:rPr>
                <w:rFonts w:hint="eastAsia"/>
              </w:rPr>
              <w:t>（</w:t>
            </w:r>
            <w:r>
              <w:t>4</w:t>
            </w:r>
            <w:r>
              <w:rPr>
                <w:rFonts w:hint="eastAsia"/>
              </w:rPr>
              <w:t>）监测方法：地表水监测方法详见表</w:t>
            </w:r>
            <w:r>
              <w:t>3-7</w:t>
            </w:r>
            <w:r>
              <w:rPr>
                <w:rFonts w:hint="eastAsia"/>
              </w:rPr>
              <w:t>。</w:t>
            </w:r>
          </w:p>
          <w:p>
            <w:pPr>
              <w:pStyle w:val="111"/>
            </w:pPr>
            <w:r>
              <w:rPr>
                <w:rFonts w:hint="eastAsia"/>
              </w:rPr>
              <w:t>表</w:t>
            </w:r>
            <w:r>
              <w:t xml:space="preserve">3-7 </w:t>
            </w:r>
            <w:r>
              <w:rPr>
                <w:rFonts w:hint="eastAsia"/>
              </w:rPr>
              <w:t>地表水监测方法一览表</w:t>
            </w:r>
          </w:p>
          <w:tbl>
            <w:tblPr>
              <w:tblStyle w:val="37"/>
              <w:tblW w:w="93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76"/>
              <w:gridCol w:w="3402"/>
              <w:gridCol w:w="1766"/>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1119" w:type="dxa"/>
                  <w:tcBorders>
                    <w:top w:val="single" w:color="auto" w:sz="12" w:space="0"/>
                    <w:left w:val="single" w:color="auto" w:sz="12" w:space="0"/>
                    <w:bottom w:val="double" w:color="auto" w:sz="4" w:space="0"/>
                    <w:right w:val="single" w:color="auto" w:sz="4" w:space="0"/>
                  </w:tcBorders>
                  <w:vAlign w:val="center"/>
                </w:tcPr>
                <w:p>
                  <w:pPr>
                    <w:pStyle w:val="77"/>
                  </w:pPr>
                  <w:r>
                    <w:rPr>
                      <w:rFonts w:hint="eastAsia"/>
                    </w:rPr>
                    <w:t>样品类型</w:t>
                  </w:r>
                </w:p>
              </w:tc>
              <w:tc>
                <w:tcPr>
                  <w:tcW w:w="1276"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检测项目</w:t>
                  </w:r>
                </w:p>
              </w:tc>
              <w:tc>
                <w:tcPr>
                  <w:tcW w:w="3402"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检测方法及标准号</w:t>
                  </w:r>
                </w:p>
              </w:tc>
              <w:tc>
                <w:tcPr>
                  <w:tcW w:w="1766"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主要仪器</w:t>
                  </w:r>
                </w:p>
              </w:tc>
              <w:tc>
                <w:tcPr>
                  <w:tcW w:w="1761" w:type="dxa"/>
                  <w:tcBorders>
                    <w:top w:val="single" w:color="auto" w:sz="12" w:space="0"/>
                    <w:left w:val="single" w:color="auto" w:sz="4" w:space="0"/>
                    <w:bottom w:val="double" w:color="auto" w:sz="4" w:space="0"/>
                    <w:right w:val="single" w:color="auto" w:sz="12" w:space="0"/>
                  </w:tcBorders>
                  <w:vAlign w:val="center"/>
                </w:tcPr>
                <w:p>
                  <w:pPr>
                    <w:pStyle w:val="77"/>
                  </w:pPr>
                  <w:r>
                    <w:rPr>
                      <w:rFonts w:hint="eastAsia"/>
                    </w:rPr>
                    <w:t>方法最低检出限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restart"/>
                  <w:tcBorders>
                    <w:top w:val="single" w:color="auto" w:sz="6" w:space="0"/>
                    <w:left w:val="single" w:color="auto" w:sz="12" w:space="0"/>
                    <w:bottom w:val="single" w:color="auto" w:sz="6" w:space="0"/>
                    <w:right w:val="single" w:color="auto" w:sz="6" w:space="0"/>
                  </w:tcBorders>
                  <w:vAlign w:val="center"/>
                </w:tcPr>
                <w:p>
                  <w:pPr>
                    <w:pStyle w:val="77"/>
                  </w:pPr>
                  <w:r>
                    <w:rPr>
                      <w:rFonts w:hint="eastAsia"/>
                    </w:rPr>
                    <w:t>地表水</w:t>
                  </w: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水温</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温度计法</w:t>
                  </w:r>
                </w:p>
                <w:p>
                  <w:pPr>
                    <w:pStyle w:val="77"/>
                  </w:pPr>
                  <w:r>
                    <w:t>GB/3195-1991</w:t>
                  </w:r>
                </w:p>
              </w:tc>
              <w:tc>
                <w:tcPr>
                  <w:tcW w:w="17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不锈钢水量计</w:t>
                  </w:r>
                  <w:r>
                    <w:t>WNY-HS</w:t>
                  </w:r>
                </w:p>
                <w:p>
                  <w:pPr>
                    <w:pStyle w:val="77"/>
                  </w:pPr>
                  <w:r>
                    <w:t>CECE-SB-107</w:t>
                  </w: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溶解氧</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碘量法</w:t>
                  </w:r>
                </w:p>
                <w:p>
                  <w:pPr>
                    <w:pStyle w:val="77"/>
                  </w:pPr>
                  <w:r>
                    <w:t>GB/T7489-1987</w:t>
                  </w:r>
                </w:p>
              </w:tc>
              <w:tc>
                <w:tcPr>
                  <w:tcW w:w="17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酸式滴定管</w:t>
                  </w: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0.2mg/L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t>PH</w:t>
                  </w:r>
                  <w:r>
                    <w:rPr>
                      <w:rFonts w:hint="eastAsia"/>
                    </w:rPr>
                    <w:t>值</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玻璃电极法</w:t>
                  </w:r>
                </w:p>
                <w:p>
                  <w:pPr>
                    <w:pStyle w:val="77"/>
                  </w:pPr>
                  <w:r>
                    <w:t>GB/T6920-1986</w:t>
                  </w:r>
                </w:p>
              </w:tc>
              <w:tc>
                <w:tcPr>
                  <w:tcW w:w="1766" w:type="dxa"/>
                  <w:tcBorders>
                    <w:top w:val="single" w:color="auto" w:sz="6" w:space="0"/>
                    <w:left w:val="single" w:color="auto" w:sz="6" w:space="0"/>
                    <w:bottom w:val="single" w:color="auto" w:sz="6" w:space="0"/>
                    <w:right w:val="single" w:color="auto" w:sz="6" w:space="0"/>
                  </w:tcBorders>
                  <w:vAlign w:val="center"/>
                </w:tcPr>
                <w:p>
                  <w:pPr>
                    <w:pStyle w:val="77"/>
                  </w:pPr>
                  <w:r>
                    <w:t>PH</w:t>
                  </w:r>
                  <w:r>
                    <w:rPr>
                      <w:rFonts w:hint="eastAsia"/>
                    </w:rPr>
                    <w:t>计</w:t>
                  </w:r>
                </w:p>
                <w:p>
                  <w:pPr>
                    <w:pStyle w:val="77"/>
                  </w:pPr>
                  <w:r>
                    <w:t>pHS-3C</w:t>
                  </w:r>
                </w:p>
                <w:p>
                  <w:pPr>
                    <w:pStyle w:val="77"/>
                  </w:pPr>
                  <w:r>
                    <w:t>CECE-SB-005</w:t>
                  </w: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化学需氧量</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快速密闭催化消解法《水和废水监测分析方法》</w:t>
                  </w:r>
                  <w:r>
                    <w:t>3.3.2.3</w:t>
                  </w:r>
                  <w:r>
                    <w:rPr>
                      <w:rFonts w:hint="eastAsia"/>
                    </w:rPr>
                    <w:t>（第四版增补版）</w:t>
                  </w:r>
                </w:p>
              </w:tc>
              <w:tc>
                <w:tcPr>
                  <w:tcW w:w="1766" w:type="dxa"/>
                  <w:tcBorders>
                    <w:top w:val="single" w:color="auto" w:sz="6" w:space="0"/>
                    <w:left w:val="single" w:color="auto" w:sz="6" w:space="0"/>
                    <w:bottom w:val="single" w:color="auto" w:sz="6" w:space="0"/>
                    <w:right w:val="single" w:color="auto" w:sz="6" w:space="0"/>
                  </w:tcBorders>
                  <w:vAlign w:val="center"/>
                </w:tcPr>
                <w:p>
                  <w:pPr>
                    <w:pStyle w:val="77"/>
                  </w:pPr>
                  <w:r>
                    <w:t>COD</w:t>
                  </w:r>
                  <w:r>
                    <w:rPr>
                      <w:rFonts w:hint="eastAsia"/>
                    </w:rPr>
                    <w:t>快速消解仪</w:t>
                  </w:r>
                </w:p>
                <w:p>
                  <w:pPr>
                    <w:pStyle w:val="77"/>
                  </w:pPr>
                  <w:r>
                    <w:t>JC101B</w:t>
                  </w:r>
                </w:p>
                <w:p>
                  <w:pPr>
                    <w:pStyle w:val="77"/>
                  </w:pPr>
                  <w:r>
                    <w:t>CECE-SB-139</w:t>
                  </w: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2mg/L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五日生化需氧量</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稀释与接种法</w:t>
                  </w:r>
                </w:p>
                <w:p>
                  <w:pPr>
                    <w:pStyle w:val="77"/>
                  </w:pPr>
                  <w:r>
                    <w:t>HJ505-2009</w:t>
                  </w:r>
                </w:p>
              </w:tc>
              <w:tc>
                <w:tcPr>
                  <w:tcW w:w="17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生化培养箱</w:t>
                  </w:r>
                </w:p>
                <w:p>
                  <w:pPr>
                    <w:pStyle w:val="77"/>
                  </w:pPr>
                  <w:r>
                    <w:t>SPX-250B-Z</w:t>
                  </w:r>
                </w:p>
                <w:p>
                  <w:pPr>
                    <w:pStyle w:val="77"/>
                  </w:pPr>
                  <w:r>
                    <w:t>CECEB-046</w:t>
                  </w: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0.5mg/L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氨氮</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纳氏试剂分光光度法</w:t>
                  </w:r>
                </w:p>
                <w:p>
                  <w:pPr>
                    <w:pStyle w:val="77"/>
                  </w:pPr>
                  <w:r>
                    <w:t>HJ535-2009</w:t>
                  </w:r>
                </w:p>
              </w:tc>
              <w:tc>
                <w:tcPr>
                  <w:tcW w:w="176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紫外可见分光光度计</w:t>
                  </w:r>
                </w:p>
                <w:p>
                  <w:pPr>
                    <w:pStyle w:val="77"/>
                  </w:pPr>
                  <w:r>
                    <w:t>T6</w:t>
                  </w:r>
                </w:p>
                <w:p>
                  <w:pPr>
                    <w:pStyle w:val="77"/>
                  </w:pPr>
                  <w:r>
                    <w:t>CECE-SB-062</w:t>
                  </w: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0.025mg/L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总磷</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钼酸铵分光光度法</w:t>
                  </w:r>
                </w:p>
                <w:p>
                  <w:pPr>
                    <w:pStyle w:val="77"/>
                  </w:pPr>
                  <w:r>
                    <w:t>GB/T11893-1989</w:t>
                  </w:r>
                </w:p>
              </w:tc>
              <w:tc>
                <w:tcPr>
                  <w:tcW w:w="176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0.01mg/L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总氮</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酸性过硫酸钾消解紫外分光光度法</w:t>
                  </w:r>
                </w:p>
                <w:p>
                  <w:pPr>
                    <w:pStyle w:val="77"/>
                  </w:pPr>
                  <w:r>
                    <w:t>HJ636-2012</w:t>
                  </w:r>
                </w:p>
              </w:tc>
              <w:tc>
                <w:tcPr>
                  <w:tcW w:w="176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0.05mg/L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阴离子表面活性剂</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亚甲蓝分光光度法</w:t>
                  </w:r>
                </w:p>
                <w:p>
                  <w:pPr>
                    <w:pStyle w:val="77"/>
                  </w:pPr>
                  <w:r>
                    <w:t>GB/T7494-1987</w:t>
                  </w:r>
                </w:p>
              </w:tc>
              <w:tc>
                <w:tcPr>
                  <w:tcW w:w="176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0.05mg/L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127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粪大肠菌群</w:t>
                  </w:r>
                </w:p>
              </w:tc>
              <w:tc>
                <w:tcPr>
                  <w:tcW w:w="340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滤膜法</w:t>
                  </w:r>
                </w:p>
                <w:p>
                  <w:pPr>
                    <w:pStyle w:val="77"/>
                  </w:pPr>
                  <w:r>
                    <w:t>HJ/T347-2007</w:t>
                  </w:r>
                </w:p>
              </w:tc>
              <w:tc>
                <w:tcPr>
                  <w:tcW w:w="17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生化培养箱</w:t>
                  </w:r>
                </w:p>
                <w:p>
                  <w:pPr>
                    <w:pStyle w:val="77"/>
                  </w:pPr>
                  <w:r>
                    <w:t>SPX-250</w:t>
                  </w:r>
                </w:p>
                <w:p>
                  <w:pPr>
                    <w:pStyle w:val="77"/>
                  </w:pPr>
                  <w:r>
                    <w:t>CECE-SB-021</w:t>
                  </w:r>
                </w:p>
              </w:tc>
              <w:tc>
                <w:tcPr>
                  <w:tcW w:w="1761" w:type="dxa"/>
                  <w:tcBorders>
                    <w:top w:val="single" w:color="auto" w:sz="6" w:space="0"/>
                    <w:left w:val="single" w:color="auto" w:sz="6" w:space="0"/>
                    <w:bottom w:val="single" w:color="auto" w:sz="6"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9" w:type="dxa"/>
                  <w:vMerge w:val="continue"/>
                  <w:tcBorders>
                    <w:top w:val="single" w:color="auto" w:sz="6" w:space="0"/>
                    <w:left w:val="single" w:color="auto" w:sz="12" w:space="0"/>
                    <w:bottom w:val="single" w:color="auto" w:sz="12" w:space="0"/>
                    <w:right w:val="single" w:color="auto" w:sz="6" w:space="0"/>
                  </w:tcBorders>
                  <w:vAlign w:val="center"/>
                </w:tcPr>
                <w:p>
                  <w:pPr>
                    <w:pStyle w:val="77"/>
                  </w:pPr>
                </w:p>
              </w:tc>
              <w:tc>
                <w:tcPr>
                  <w:tcW w:w="1276"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悬物</w:t>
                  </w:r>
                </w:p>
              </w:tc>
              <w:tc>
                <w:tcPr>
                  <w:tcW w:w="3402"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重量法</w:t>
                  </w:r>
                </w:p>
                <w:p>
                  <w:pPr>
                    <w:pStyle w:val="77"/>
                  </w:pPr>
                  <w:r>
                    <w:t>GB/T11901-1989</w:t>
                  </w:r>
                </w:p>
              </w:tc>
              <w:tc>
                <w:tcPr>
                  <w:tcW w:w="1766"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电子天平</w:t>
                  </w:r>
                </w:p>
                <w:p>
                  <w:pPr>
                    <w:pStyle w:val="77"/>
                  </w:pPr>
                  <w:r>
                    <w:t>FA2004</w:t>
                  </w:r>
                </w:p>
                <w:p>
                  <w:pPr>
                    <w:pStyle w:val="77"/>
                  </w:pPr>
                  <w:r>
                    <w:t>CECE-SB-001</w:t>
                  </w:r>
                </w:p>
              </w:tc>
              <w:tc>
                <w:tcPr>
                  <w:tcW w:w="1761" w:type="dxa"/>
                  <w:tcBorders>
                    <w:top w:val="single" w:color="auto" w:sz="6" w:space="0"/>
                    <w:left w:val="single" w:color="auto" w:sz="6" w:space="0"/>
                    <w:bottom w:val="single" w:color="auto" w:sz="12" w:space="0"/>
                    <w:right w:val="single" w:color="auto" w:sz="12" w:space="0"/>
                  </w:tcBorders>
                  <w:vAlign w:val="center"/>
                </w:tcPr>
                <w:p>
                  <w:pPr>
                    <w:pStyle w:val="77"/>
                  </w:pPr>
                  <w:r>
                    <w:t>4mg/L</w:t>
                  </w:r>
                </w:p>
              </w:tc>
            </w:tr>
          </w:tbl>
          <w:p>
            <w:pPr>
              <w:pStyle w:val="114"/>
            </w:pPr>
            <w:r>
              <w:rPr>
                <w:rFonts w:hint="eastAsia"/>
              </w:rPr>
              <w:t>（</w:t>
            </w:r>
            <w:r>
              <w:t>5</w:t>
            </w:r>
            <w:r>
              <w:rPr>
                <w:rFonts w:hint="eastAsia"/>
              </w:rPr>
              <w:t>）监测结果</w:t>
            </w:r>
          </w:p>
          <w:p>
            <w:pPr>
              <w:pStyle w:val="114"/>
              <w:rPr>
                <w:szCs w:val="21"/>
              </w:rPr>
            </w:pPr>
            <w:r>
              <w:rPr>
                <w:rFonts w:hint="eastAsia"/>
              </w:rPr>
              <w:t>监测结果统计见表</w:t>
            </w:r>
            <w:r>
              <w:t>3-8</w:t>
            </w:r>
            <w:r>
              <w:rPr>
                <w:rFonts w:hint="eastAsia"/>
              </w:rPr>
              <w:t>。</w:t>
            </w:r>
          </w:p>
          <w:p>
            <w:pPr>
              <w:pStyle w:val="111"/>
              <w:rPr>
                <w:kern w:val="0"/>
              </w:rPr>
            </w:pPr>
            <w:bookmarkStart w:id="22" w:name="_Hlk13144948"/>
            <w:r>
              <w:rPr>
                <w:rFonts w:hint="eastAsia"/>
              </w:rPr>
              <w:t>表</w:t>
            </w:r>
            <w:r>
              <w:t>3-8</w:t>
            </w:r>
            <w:r>
              <w:rPr>
                <w:rFonts w:hint="eastAsia"/>
              </w:rPr>
              <w:t>地表水环境质量监测结果</w:t>
            </w:r>
          </w:p>
          <w:tbl>
            <w:tblPr>
              <w:tblStyle w:val="37"/>
              <w:tblW w:w="86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3"/>
              <w:gridCol w:w="1962"/>
              <w:gridCol w:w="1344"/>
              <w:gridCol w:w="1350"/>
              <w:gridCol w:w="1415"/>
              <w:gridCol w:w="14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1103" w:type="dxa"/>
                  <w:vMerge w:val="restart"/>
                  <w:tcBorders>
                    <w:top w:val="single" w:color="auto" w:sz="12"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b/>
                      <w:bCs/>
                      <w:kern w:val="0"/>
                      <w:szCs w:val="21"/>
                    </w:rPr>
                  </w:pPr>
                  <w:r>
                    <w:rPr>
                      <w:rFonts w:hint="eastAsia" w:ascii="Times New Roman" w:hAnsi="Times New Roman"/>
                      <w:b/>
                      <w:bCs/>
                      <w:kern w:val="0"/>
                      <w:szCs w:val="21"/>
                    </w:rPr>
                    <w:t>采样点位</w:t>
                  </w:r>
                </w:p>
              </w:tc>
              <w:tc>
                <w:tcPr>
                  <w:tcW w:w="1962" w:type="dxa"/>
                  <w:vMerge w:val="restart"/>
                  <w:tcBorders>
                    <w:top w:val="single" w:color="auto" w:sz="12"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b/>
                      <w:bCs/>
                      <w:kern w:val="0"/>
                      <w:szCs w:val="21"/>
                    </w:rPr>
                  </w:pPr>
                  <w:r>
                    <w:rPr>
                      <w:rFonts w:hint="eastAsia" w:ascii="Times New Roman" w:hAnsi="Times New Roman"/>
                      <w:b/>
                      <w:bCs/>
                      <w:kern w:val="0"/>
                      <w:szCs w:val="21"/>
                    </w:rPr>
                    <w:t>监测因子</w:t>
                  </w:r>
                </w:p>
              </w:tc>
              <w:tc>
                <w:tcPr>
                  <w:tcW w:w="4109" w:type="dxa"/>
                  <w:gridSpan w:val="3"/>
                  <w:tcBorders>
                    <w:top w:val="single" w:color="auto" w:sz="12"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b/>
                      <w:bCs/>
                      <w:kern w:val="0"/>
                      <w:szCs w:val="21"/>
                    </w:rPr>
                  </w:pPr>
                  <w:r>
                    <w:rPr>
                      <w:rFonts w:hint="eastAsia" w:ascii="Times New Roman" w:hAnsi="Times New Roman"/>
                      <w:b/>
                      <w:bCs/>
                      <w:kern w:val="0"/>
                      <w:szCs w:val="21"/>
                    </w:rPr>
                    <w:t>采样时间及检测结果（</w:t>
                  </w:r>
                  <w:r>
                    <w:rPr>
                      <w:rFonts w:ascii="Times New Roman" w:hAnsi="Times New Roman"/>
                      <w:b/>
                      <w:bCs/>
                      <w:kern w:val="0"/>
                      <w:szCs w:val="21"/>
                    </w:rPr>
                    <w:t>mg/L</w:t>
                  </w:r>
                  <w:r>
                    <w:rPr>
                      <w:rFonts w:hint="eastAsia" w:ascii="Times New Roman" w:hAnsi="Times New Roman"/>
                      <w:b/>
                      <w:bCs/>
                      <w:kern w:val="0"/>
                      <w:szCs w:val="21"/>
                    </w:rPr>
                    <w:t>，</w:t>
                  </w:r>
                  <w:r>
                    <w:rPr>
                      <w:rFonts w:ascii="Times New Roman" w:hAnsi="Times New Roman"/>
                      <w:b/>
                      <w:bCs/>
                      <w:kern w:val="0"/>
                      <w:szCs w:val="21"/>
                    </w:rPr>
                    <w:t>pH</w:t>
                  </w:r>
                  <w:r>
                    <w:rPr>
                      <w:rFonts w:hint="eastAsia" w:ascii="Times New Roman" w:hAnsi="Times New Roman"/>
                      <w:b/>
                      <w:bCs/>
                      <w:kern w:val="0"/>
                      <w:szCs w:val="21"/>
                    </w:rPr>
                    <w:t>无量纲）</w:t>
                  </w:r>
                </w:p>
              </w:tc>
              <w:tc>
                <w:tcPr>
                  <w:tcW w:w="1430" w:type="dxa"/>
                  <w:vMerge w:val="restart"/>
                  <w:tcBorders>
                    <w:top w:val="single" w:color="auto" w:sz="12"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b/>
                      <w:bCs/>
                      <w:kern w:val="0"/>
                      <w:szCs w:val="21"/>
                    </w:rPr>
                  </w:pPr>
                  <w:r>
                    <w:rPr>
                      <w:rFonts w:ascii="Times New Roman" w:hAnsi="Times New Roman"/>
                      <w:b/>
                      <w:bCs/>
                      <w:kern w:val="0"/>
                      <w:szCs w:val="21"/>
                    </w:rPr>
                    <w:t>GB3838-2002</w:t>
                  </w:r>
                  <w:r>
                    <w:rPr>
                      <w:rFonts w:hint="eastAsia" w:ascii="Times New Roman" w:hAnsi="Times New Roman"/>
                      <w:b/>
                      <w:bCs/>
                      <w:kern w:val="0"/>
                      <w:szCs w:val="21"/>
                    </w:rPr>
                    <w:t>中</w:t>
                  </w:r>
                  <w:r>
                    <w:rPr>
                      <w:rFonts w:ascii="Times New Roman" w:hAnsi="Times New Roman"/>
                      <w:b/>
                      <w:bCs/>
                      <w:kern w:val="0"/>
                      <w:szCs w:val="21"/>
                    </w:rPr>
                    <w:t>Ⅲ</w:t>
                  </w:r>
                  <w:r>
                    <w:rPr>
                      <w:rFonts w:hint="eastAsia" w:ascii="Times New Roman" w:hAnsi="Times New Roman"/>
                      <w:b/>
                      <w:bCs/>
                      <w:kern w:val="0"/>
                      <w:szCs w:val="21"/>
                    </w:rPr>
                    <w:t>类标准限值（</w:t>
                  </w:r>
                  <w:r>
                    <w:rPr>
                      <w:rFonts w:ascii="Times New Roman" w:hAnsi="Times New Roman"/>
                      <w:b/>
                      <w:bCs/>
                      <w:kern w:val="0"/>
                      <w:szCs w:val="21"/>
                    </w:rPr>
                    <w:t>mg/L</w:t>
                  </w:r>
                  <w:r>
                    <w:rPr>
                      <w:rFonts w:hint="eastAsia" w:ascii="Times New Roman" w:hAnsi="Times New Roman"/>
                      <w:b/>
                      <w:bCs/>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1103" w:type="dxa"/>
                  <w:vMerge w:val="continue"/>
                  <w:tcBorders>
                    <w:top w:val="single" w:color="auto" w:sz="6" w:space="0"/>
                    <w:left w:val="single" w:color="auto" w:sz="12" w:space="0"/>
                    <w:bottom w:val="double" w:color="auto" w:sz="4" w:space="0"/>
                    <w:right w:val="single" w:color="auto" w:sz="6" w:space="0"/>
                  </w:tcBorders>
                  <w:vAlign w:val="center"/>
                </w:tcPr>
                <w:p>
                  <w:pPr>
                    <w:widowControl/>
                    <w:snapToGrid w:val="0"/>
                    <w:contextualSpacing/>
                    <w:jc w:val="center"/>
                    <w:rPr>
                      <w:rFonts w:ascii="Times New Roman" w:hAnsi="Times New Roman"/>
                      <w:b/>
                      <w:bCs/>
                      <w:kern w:val="0"/>
                      <w:szCs w:val="21"/>
                    </w:rPr>
                  </w:pPr>
                </w:p>
              </w:tc>
              <w:tc>
                <w:tcPr>
                  <w:tcW w:w="1962" w:type="dxa"/>
                  <w:vMerge w:val="continue"/>
                  <w:tcBorders>
                    <w:top w:val="single" w:color="auto" w:sz="6" w:space="0"/>
                    <w:left w:val="single" w:color="auto" w:sz="6" w:space="0"/>
                    <w:bottom w:val="double" w:color="auto" w:sz="4" w:space="0"/>
                    <w:right w:val="single" w:color="auto" w:sz="6" w:space="0"/>
                  </w:tcBorders>
                  <w:vAlign w:val="center"/>
                </w:tcPr>
                <w:p>
                  <w:pPr>
                    <w:widowControl/>
                    <w:snapToGrid w:val="0"/>
                    <w:contextualSpacing/>
                    <w:jc w:val="center"/>
                    <w:rPr>
                      <w:rFonts w:ascii="Times New Roman" w:hAnsi="Times New Roman"/>
                      <w:b/>
                      <w:bCs/>
                      <w:kern w:val="0"/>
                      <w:szCs w:val="21"/>
                    </w:rPr>
                  </w:pPr>
                </w:p>
              </w:tc>
              <w:tc>
                <w:tcPr>
                  <w:tcW w:w="1344" w:type="dxa"/>
                  <w:tcBorders>
                    <w:top w:val="single" w:color="auto" w:sz="6" w:space="0"/>
                    <w:left w:val="single" w:color="auto" w:sz="6" w:space="0"/>
                    <w:bottom w:val="double" w:color="auto" w:sz="4" w:space="0"/>
                    <w:right w:val="single" w:color="auto" w:sz="6" w:space="0"/>
                  </w:tcBorders>
                  <w:vAlign w:val="center"/>
                </w:tcPr>
                <w:p>
                  <w:pPr>
                    <w:widowControl/>
                    <w:snapToGrid w:val="0"/>
                    <w:contextualSpacing/>
                    <w:jc w:val="center"/>
                    <w:rPr>
                      <w:rFonts w:ascii="Times New Roman" w:hAnsi="Times New Roman"/>
                      <w:b/>
                      <w:bCs/>
                      <w:kern w:val="0"/>
                      <w:szCs w:val="21"/>
                    </w:rPr>
                  </w:pPr>
                  <w:r>
                    <w:rPr>
                      <w:rFonts w:ascii="Times New Roman" w:hAnsi="Times New Roman"/>
                      <w:b/>
                      <w:bCs/>
                      <w:kern w:val="0"/>
                      <w:szCs w:val="21"/>
                    </w:rPr>
                    <w:t>5</w:t>
                  </w:r>
                  <w:r>
                    <w:rPr>
                      <w:rFonts w:hint="eastAsia" w:ascii="Times New Roman" w:hAnsi="Times New Roman"/>
                      <w:b/>
                      <w:bCs/>
                      <w:kern w:val="0"/>
                      <w:szCs w:val="21"/>
                    </w:rPr>
                    <w:t>月</w:t>
                  </w:r>
                  <w:r>
                    <w:rPr>
                      <w:rFonts w:ascii="Times New Roman" w:hAnsi="Times New Roman"/>
                      <w:b/>
                      <w:bCs/>
                      <w:kern w:val="0"/>
                      <w:szCs w:val="21"/>
                    </w:rPr>
                    <w:t>24</w:t>
                  </w:r>
                  <w:r>
                    <w:rPr>
                      <w:rFonts w:hint="eastAsia" w:ascii="Times New Roman" w:hAnsi="Times New Roman"/>
                      <w:b/>
                      <w:bCs/>
                      <w:kern w:val="0"/>
                      <w:szCs w:val="21"/>
                    </w:rPr>
                    <w:t>日</w:t>
                  </w:r>
                </w:p>
              </w:tc>
              <w:tc>
                <w:tcPr>
                  <w:tcW w:w="1350" w:type="dxa"/>
                  <w:tcBorders>
                    <w:top w:val="single" w:color="auto" w:sz="6" w:space="0"/>
                    <w:left w:val="single" w:color="auto" w:sz="6" w:space="0"/>
                    <w:bottom w:val="double" w:color="auto" w:sz="4" w:space="0"/>
                    <w:right w:val="single" w:color="auto" w:sz="6" w:space="0"/>
                  </w:tcBorders>
                  <w:vAlign w:val="center"/>
                </w:tcPr>
                <w:p>
                  <w:pPr>
                    <w:widowControl/>
                    <w:snapToGrid w:val="0"/>
                    <w:contextualSpacing/>
                    <w:jc w:val="center"/>
                    <w:rPr>
                      <w:rFonts w:ascii="Times New Roman" w:hAnsi="Times New Roman"/>
                      <w:b/>
                      <w:bCs/>
                      <w:kern w:val="0"/>
                      <w:szCs w:val="21"/>
                    </w:rPr>
                  </w:pPr>
                  <w:r>
                    <w:rPr>
                      <w:rFonts w:ascii="Times New Roman" w:hAnsi="Times New Roman"/>
                      <w:b/>
                      <w:bCs/>
                      <w:kern w:val="0"/>
                      <w:szCs w:val="21"/>
                    </w:rPr>
                    <w:t>5</w:t>
                  </w:r>
                  <w:r>
                    <w:rPr>
                      <w:rFonts w:hint="eastAsia" w:ascii="Times New Roman" w:hAnsi="Times New Roman"/>
                      <w:b/>
                      <w:bCs/>
                      <w:kern w:val="0"/>
                      <w:szCs w:val="21"/>
                    </w:rPr>
                    <w:t>月</w:t>
                  </w:r>
                  <w:r>
                    <w:rPr>
                      <w:rFonts w:ascii="Times New Roman" w:hAnsi="Times New Roman"/>
                      <w:b/>
                      <w:bCs/>
                      <w:kern w:val="0"/>
                      <w:szCs w:val="21"/>
                    </w:rPr>
                    <w:t>25</w:t>
                  </w:r>
                  <w:r>
                    <w:rPr>
                      <w:rFonts w:hint="eastAsia" w:ascii="Times New Roman" w:hAnsi="Times New Roman"/>
                      <w:b/>
                      <w:bCs/>
                      <w:kern w:val="0"/>
                      <w:szCs w:val="21"/>
                    </w:rPr>
                    <w:t>日</w:t>
                  </w:r>
                </w:p>
              </w:tc>
              <w:tc>
                <w:tcPr>
                  <w:tcW w:w="1415" w:type="dxa"/>
                  <w:tcBorders>
                    <w:top w:val="single" w:color="auto" w:sz="6" w:space="0"/>
                    <w:left w:val="single" w:color="auto" w:sz="6" w:space="0"/>
                    <w:bottom w:val="double" w:color="auto" w:sz="4" w:space="0"/>
                    <w:right w:val="single" w:color="auto" w:sz="6" w:space="0"/>
                  </w:tcBorders>
                  <w:vAlign w:val="center"/>
                </w:tcPr>
                <w:p>
                  <w:pPr>
                    <w:widowControl/>
                    <w:snapToGrid w:val="0"/>
                    <w:contextualSpacing/>
                    <w:jc w:val="center"/>
                    <w:rPr>
                      <w:rFonts w:ascii="Times New Roman" w:hAnsi="Times New Roman"/>
                      <w:b/>
                      <w:bCs/>
                      <w:kern w:val="0"/>
                      <w:szCs w:val="21"/>
                    </w:rPr>
                  </w:pPr>
                  <w:r>
                    <w:rPr>
                      <w:rFonts w:ascii="Times New Roman" w:hAnsi="Times New Roman"/>
                      <w:b/>
                      <w:bCs/>
                      <w:kern w:val="0"/>
                      <w:szCs w:val="21"/>
                    </w:rPr>
                    <w:t>5</w:t>
                  </w:r>
                  <w:r>
                    <w:rPr>
                      <w:rFonts w:hint="eastAsia" w:ascii="Times New Roman" w:hAnsi="Times New Roman"/>
                      <w:b/>
                      <w:bCs/>
                      <w:kern w:val="0"/>
                      <w:szCs w:val="21"/>
                    </w:rPr>
                    <w:t>月</w:t>
                  </w:r>
                  <w:r>
                    <w:rPr>
                      <w:rFonts w:ascii="Times New Roman" w:hAnsi="Times New Roman"/>
                      <w:b/>
                      <w:bCs/>
                      <w:kern w:val="0"/>
                      <w:szCs w:val="21"/>
                    </w:rPr>
                    <w:t>26</w:t>
                  </w:r>
                  <w:r>
                    <w:rPr>
                      <w:rFonts w:hint="eastAsia" w:ascii="Times New Roman" w:hAnsi="Times New Roman"/>
                      <w:b/>
                      <w:bCs/>
                      <w:kern w:val="0"/>
                      <w:szCs w:val="21"/>
                    </w:rPr>
                    <w:t>日</w:t>
                  </w:r>
                </w:p>
              </w:tc>
              <w:tc>
                <w:tcPr>
                  <w:tcW w:w="1430" w:type="dxa"/>
                  <w:vMerge w:val="continue"/>
                  <w:tcBorders>
                    <w:top w:val="single" w:color="auto" w:sz="6" w:space="0"/>
                    <w:left w:val="single" w:color="auto" w:sz="6" w:space="0"/>
                    <w:bottom w:val="double" w:color="auto" w:sz="4" w:space="0"/>
                    <w:right w:val="single" w:color="auto" w:sz="12" w:space="0"/>
                  </w:tcBorders>
                  <w:vAlign w:val="center"/>
                </w:tcPr>
                <w:p>
                  <w:pPr>
                    <w:widowControl/>
                    <w:snapToGrid w:val="0"/>
                    <w:contextualSpacing/>
                    <w:jc w:val="center"/>
                    <w:rPr>
                      <w:rFonts w:ascii="Times New Roman" w:hAnsi="Times New Roman"/>
                      <w:b/>
                      <w:bCs/>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jc w:val="center"/>
              </w:trPr>
              <w:tc>
                <w:tcPr>
                  <w:tcW w:w="1103" w:type="dxa"/>
                  <w:vMerge w:val="restart"/>
                  <w:tcBorders>
                    <w:top w:val="double" w:color="auto" w:sz="4"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bookmarkStart w:id="23" w:name="_Hlk12951726"/>
                  <w:r>
                    <w:rPr>
                      <w:rFonts w:ascii="Times New Roman" w:hAnsi="Times New Roman"/>
                      <w:szCs w:val="21"/>
                    </w:rPr>
                    <w:t>SW1</w:t>
                  </w:r>
                  <w:r>
                    <w:rPr>
                      <w:rFonts w:hint="eastAsia" w:ascii="Times New Roman" w:hAnsi="Times New Roman"/>
                      <w:kern w:val="0"/>
                      <w:szCs w:val="21"/>
                    </w:rPr>
                    <w:t>定城污水处理厂排放口上游</w:t>
                  </w:r>
                  <w:r>
                    <w:rPr>
                      <w:rFonts w:ascii="Times New Roman" w:hAnsi="Times New Roman"/>
                      <w:kern w:val="0"/>
                      <w:szCs w:val="21"/>
                    </w:rPr>
                    <w:t>500m</w:t>
                  </w:r>
                  <w:r>
                    <w:rPr>
                      <w:rFonts w:hint="eastAsia" w:ascii="Times New Roman" w:hAnsi="Times New Roman"/>
                      <w:kern w:val="0"/>
                      <w:szCs w:val="21"/>
                    </w:rPr>
                    <w:t>处</w:t>
                  </w:r>
                </w:p>
              </w:tc>
              <w:tc>
                <w:tcPr>
                  <w:tcW w:w="1962" w:type="dxa"/>
                  <w:tcBorders>
                    <w:top w:val="double" w:color="auto" w:sz="4" w:space="0"/>
                    <w:left w:val="single" w:color="auto" w:sz="6" w:space="0"/>
                    <w:bottom w:val="single" w:color="auto" w:sz="4" w:space="0"/>
                    <w:right w:val="single" w:color="auto" w:sz="6" w:space="0"/>
                  </w:tcBorders>
                  <w:vAlign w:val="center"/>
                </w:tcPr>
                <w:p>
                  <w:pPr>
                    <w:widowControl/>
                    <w:snapToGrid w:val="0"/>
                    <w:contextualSpacing/>
                    <w:jc w:val="center"/>
                    <w:rPr>
                      <w:rFonts w:ascii="Times New Roman" w:hAnsi="Times New Roman"/>
                      <w:kern w:val="0"/>
                      <w:szCs w:val="21"/>
                    </w:rPr>
                  </w:pPr>
                  <w:r>
                    <w:rPr>
                      <w:rFonts w:hint="eastAsia" w:ascii="Times New Roman" w:hAnsi="Times New Roman"/>
                      <w:kern w:val="0"/>
                      <w:szCs w:val="21"/>
                    </w:rPr>
                    <w:t>水温</w:t>
                  </w:r>
                </w:p>
              </w:tc>
              <w:tc>
                <w:tcPr>
                  <w:tcW w:w="1344" w:type="dxa"/>
                  <w:tcBorders>
                    <w:top w:val="double" w:color="auto" w:sz="4" w:space="0"/>
                    <w:left w:val="single" w:color="auto" w:sz="6" w:space="0"/>
                    <w:bottom w:val="single" w:color="auto" w:sz="4"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24.7</w:t>
                  </w:r>
                </w:p>
              </w:tc>
              <w:tc>
                <w:tcPr>
                  <w:tcW w:w="1350" w:type="dxa"/>
                  <w:tcBorders>
                    <w:top w:val="double" w:color="auto" w:sz="4" w:space="0"/>
                    <w:left w:val="single" w:color="auto" w:sz="6" w:space="0"/>
                    <w:bottom w:val="single" w:color="auto" w:sz="4"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23.5</w:t>
                  </w:r>
                </w:p>
              </w:tc>
              <w:tc>
                <w:tcPr>
                  <w:tcW w:w="1415" w:type="dxa"/>
                  <w:tcBorders>
                    <w:top w:val="double" w:color="auto" w:sz="4" w:space="0"/>
                    <w:left w:val="single" w:color="auto" w:sz="6" w:space="0"/>
                    <w:bottom w:val="single" w:color="auto" w:sz="4"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22.5</w:t>
                  </w:r>
                </w:p>
              </w:tc>
              <w:tc>
                <w:tcPr>
                  <w:tcW w:w="1430" w:type="dxa"/>
                  <w:tcBorders>
                    <w:top w:val="double" w:color="auto" w:sz="4" w:space="0"/>
                    <w:left w:val="single" w:color="auto" w:sz="6" w:space="0"/>
                    <w:bottom w:val="single" w:color="auto" w:sz="4" w:space="0"/>
                    <w:right w:val="single" w:color="auto" w:sz="12"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w:t>
                  </w:r>
                </w:p>
              </w:tc>
            </w:tr>
            <w:bookmarkEnd w:id="23"/>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2" w:hRule="atLeast"/>
                <w:jc w:val="center"/>
              </w:trPr>
              <w:tc>
                <w:tcPr>
                  <w:tcW w:w="1103" w:type="dxa"/>
                  <w:vMerge w:val="continue"/>
                  <w:tcBorders>
                    <w:top w:val="double" w:color="auto" w:sz="4"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szCs w:val="21"/>
                    </w:rPr>
                  </w:pPr>
                </w:p>
              </w:tc>
              <w:tc>
                <w:tcPr>
                  <w:tcW w:w="1962" w:type="dxa"/>
                  <w:tcBorders>
                    <w:top w:val="single" w:color="auto" w:sz="4" w:space="0"/>
                    <w:left w:val="single" w:color="auto" w:sz="6" w:space="0"/>
                    <w:bottom w:val="single" w:color="auto" w:sz="6" w:space="0"/>
                    <w:right w:val="single" w:color="auto" w:sz="6"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pH</w:t>
                  </w:r>
                </w:p>
              </w:tc>
              <w:tc>
                <w:tcPr>
                  <w:tcW w:w="1344" w:type="dxa"/>
                  <w:tcBorders>
                    <w:top w:val="single" w:color="auto" w:sz="4" w:space="0"/>
                    <w:left w:val="single" w:color="auto" w:sz="6" w:space="0"/>
                    <w:bottom w:val="single" w:color="auto" w:sz="6" w:space="0"/>
                    <w:right w:val="single" w:color="auto" w:sz="6" w:space="0"/>
                  </w:tcBorders>
                  <w:vAlign w:val="center"/>
                </w:tcPr>
                <w:p>
                  <w:pPr>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7.65</w:t>
                  </w:r>
                </w:p>
              </w:tc>
              <w:tc>
                <w:tcPr>
                  <w:tcW w:w="1350" w:type="dxa"/>
                  <w:tcBorders>
                    <w:top w:val="single" w:color="auto" w:sz="4" w:space="0"/>
                    <w:left w:val="single" w:color="auto" w:sz="6" w:space="0"/>
                    <w:bottom w:val="single" w:color="auto" w:sz="6" w:space="0"/>
                    <w:right w:val="single" w:color="auto" w:sz="6" w:space="0"/>
                  </w:tcBorders>
                  <w:vAlign w:val="center"/>
                </w:tcPr>
                <w:p>
                  <w:pPr>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7.77</w:t>
                  </w:r>
                </w:p>
              </w:tc>
              <w:tc>
                <w:tcPr>
                  <w:tcW w:w="1415" w:type="dxa"/>
                  <w:tcBorders>
                    <w:top w:val="single" w:color="auto" w:sz="4" w:space="0"/>
                    <w:left w:val="single" w:color="auto" w:sz="6" w:space="0"/>
                    <w:bottom w:val="single" w:color="auto" w:sz="6" w:space="0"/>
                    <w:right w:val="single" w:color="auto" w:sz="6" w:space="0"/>
                  </w:tcBorders>
                  <w:vAlign w:val="center"/>
                </w:tcPr>
                <w:p>
                  <w:pPr>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7.6</w:t>
                  </w:r>
                </w:p>
              </w:tc>
              <w:tc>
                <w:tcPr>
                  <w:tcW w:w="1430" w:type="dxa"/>
                  <w:tcBorders>
                    <w:top w:val="single" w:color="auto" w:sz="4" w:space="0"/>
                    <w:left w:val="single" w:color="auto" w:sz="6" w:space="0"/>
                    <w:bottom w:val="single" w:color="auto" w:sz="6" w:space="0"/>
                    <w:right w:val="single" w:color="auto" w:sz="12" w:space="0"/>
                  </w:tcBorders>
                  <w:vAlign w:val="center"/>
                </w:tcPr>
                <w:p>
                  <w:pPr>
                    <w:snapToGrid w:val="0"/>
                    <w:contextualSpacing/>
                    <w:jc w:val="center"/>
                    <w:rPr>
                      <w:rFonts w:ascii="Times New Roman" w:hAnsi="Times New Roman"/>
                      <w:kern w:val="0"/>
                      <w:szCs w:val="21"/>
                    </w:rPr>
                  </w:pPr>
                  <w:r>
                    <w:rPr>
                      <w:rFonts w:ascii="Times New Roman" w:hAnsi="Times New Roman"/>
                      <w:kern w:val="0"/>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DO</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3.6</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3.6</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3.3</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0"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CO</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20</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22</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20</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BOD</w:t>
                  </w:r>
                  <w:r>
                    <w:rPr>
                      <w:rFonts w:ascii="Times New Roman" w:hAnsi="Times New Roman"/>
                      <w:kern w:val="0"/>
                      <w:szCs w:val="21"/>
                      <w:vertAlign w:val="subscript"/>
                    </w:rPr>
                    <w:t>5</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4.6</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4.4</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4.7</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NH</w:t>
                  </w:r>
                  <w:r>
                    <w:rPr>
                      <w:rFonts w:ascii="Times New Roman" w:hAnsi="Times New Roman"/>
                      <w:kern w:val="0"/>
                      <w:szCs w:val="21"/>
                      <w:vertAlign w:val="subscript"/>
                    </w:rPr>
                    <w:t>3</w:t>
                  </w:r>
                  <w:r>
                    <w:rPr>
                      <w:rFonts w:ascii="Times New Roman" w:hAnsi="Times New Roman"/>
                      <w:kern w:val="0"/>
                      <w:szCs w:val="21"/>
                    </w:rPr>
                    <w:t>-N</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0.608</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0.627</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0.619</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SS</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16</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18</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15</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0"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TP</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0.22</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0.21</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0.23</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TN</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1.45</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1.48</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1.40</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hint="eastAsia" w:ascii="Times New Roman" w:hAnsi="Times New Roman"/>
                      <w:kern w:val="0"/>
                      <w:szCs w:val="21"/>
                    </w:rPr>
                    <w:t>阴离子表面活性剂</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0.09</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0.09</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0.1</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hint="eastAsia" w:ascii="Times New Roman" w:hAnsi="Times New Roman"/>
                      <w:kern w:val="0"/>
                      <w:szCs w:val="21"/>
                    </w:rPr>
                    <w:t>粪大肠菌群</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2600</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2300</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2100</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0" w:hRule="atLeast"/>
                <w:jc w:val="center"/>
              </w:trPr>
              <w:tc>
                <w:tcPr>
                  <w:tcW w:w="1103" w:type="dxa"/>
                  <w:vMerge w:val="restart"/>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bookmarkStart w:id="24" w:name="_Hlk12951811"/>
                  <w:r>
                    <w:rPr>
                      <w:rFonts w:ascii="Times New Roman" w:hAnsi="Times New Roman"/>
                      <w:szCs w:val="21"/>
                    </w:rPr>
                    <w:t>SW2</w:t>
                  </w:r>
                  <w:r>
                    <w:rPr>
                      <w:rFonts w:hint="eastAsia" w:ascii="Times New Roman" w:hAnsi="Times New Roman"/>
                      <w:kern w:val="0"/>
                      <w:szCs w:val="21"/>
                    </w:rPr>
                    <w:t>潭榄溪定城污水处理厂排放口下游</w:t>
                  </w:r>
                  <w:r>
                    <w:rPr>
                      <w:rFonts w:ascii="Times New Roman" w:hAnsi="Times New Roman"/>
                      <w:kern w:val="0"/>
                      <w:szCs w:val="21"/>
                    </w:rPr>
                    <w:t>500m</w:t>
                  </w:r>
                  <w:r>
                    <w:rPr>
                      <w:rFonts w:hint="eastAsia" w:ascii="Times New Roman" w:hAnsi="Times New Roman"/>
                      <w:kern w:val="0"/>
                      <w:szCs w:val="21"/>
                    </w:rPr>
                    <w:t>处</w:t>
                  </w: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hint="eastAsia" w:ascii="Times New Roman" w:hAnsi="Times New Roman"/>
                      <w:kern w:val="0"/>
                      <w:szCs w:val="21"/>
                    </w:rPr>
                    <w:t>水温</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25</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23.4</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22.1</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w:t>
                  </w:r>
                </w:p>
              </w:tc>
            </w:tr>
            <w:bookmarkEnd w:id="24"/>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0"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pH</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7.51</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7.49</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7.53</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0"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DO</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3.2</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3.1</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3.9</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COD</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24</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27</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30</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BOD</w:t>
                  </w:r>
                  <w:r>
                    <w:rPr>
                      <w:rFonts w:ascii="Times New Roman" w:hAnsi="Times New Roman"/>
                      <w:kern w:val="0"/>
                      <w:szCs w:val="21"/>
                      <w:vertAlign w:val="subscript"/>
                    </w:rPr>
                    <w:t>5</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5.0</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4.3</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5.2</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NH</w:t>
                  </w:r>
                  <w:r>
                    <w:rPr>
                      <w:rFonts w:ascii="Times New Roman" w:hAnsi="Times New Roman"/>
                      <w:kern w:val="0"/>
                      <w:szCs w:val="21"/>
                      <w:vertAlign w:val="subscript"/>
                    </w:rPr>
                    <w:t>3</w:t>
                  </w:r>
                  <w:r>
                    <w:rPr>
                      <w:rFonts w:ascii="Times New Roman" w:hAnsi="Times New Roman"/>
                      <w:kern w:val="0"/>
                      <w:szCs w:val="21"/>
                    </w:rPr>
                    <w:t>-N</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0.708</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0.734</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0.719</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0"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SS</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19</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17</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20</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TP</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0.27</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0.25</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0.27</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TN</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1.44</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1.36</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1.37</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hint="eastAsia" w:ascii="Times New Roman" w:hAnsi="Times New Roman"/>
                      <w:kern w:val="0"/>
                      <w:szCs w:val="21"/>
                    </w:rPr>
                    <w:t>阴离子表面活性剂</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0.11</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0.1</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0.1</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hint="eastAsia" w:ascii="Times New Roman" w:hAnsi="Times New Roman"/>
                      <w:kern w:val="0"/>
                      <w:szCs w:val="21"/>
                    </w:rPr>
                    <w:t>粪大肠菌群</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1800</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2800</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3000</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1103" w:type="dxa"/>
                  <w:vMerge w:val="restart"/>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szCs w:val="21"/>
                    </w:rPr>
                    <w:t>SW3</w:t>
                  </w:r>
                  <w:r>
                    <w:rPr>
                      <w:rFonts w:hint="eastAsia" w:ascii="Times New Roman" w:hAnsi="Times New Roman"/>
                      <w:kern w:val="0"/>
                      <w:szCs w:val="21"/>
                    </w:rPr>
                    <w:t>潭榄溪定城污水处理厂排放口下游</w:t>
                  </w:r>
                  <w:r>
                    <w:rPr>
                      <w:rFonts w:ascii="Times New Roman" w:hAnsi="Times New Roman"/>
                      <w:kern w:val="0"/>
                      <w:szCs w:val="21"/>
                    </w:rPr>
                    <w:t>1000m</w:t>
                  </w:r>
                  <w:r>
                    <w:rPr>
                      <w:rFonts w:hint="eastAsia" w:ascii="Times New Roman" w:hAnsi="Times New Roman"/>
                      <w:kern w:val="0"/>
                      <w:szCs w:val="21"/>
                    </w:rPr>
                    <w:t>处</w:t>
                  </w: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hint="eastAsia" w:ascii="Times New Roman" w:hAnsi="Times New Roman"/>
                      <w:kern w:val="0"/>
                      <w:szCs w:val="21"/>
                    </w:rPr>
                    <w:t>水温</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25.2.</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24.1</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22.7</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pH</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7.74</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7.65</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7.62</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DO</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3.8</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3.2</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3.2</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COD</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24</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22</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25</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BOD</w:t>
                  </w:r>
                  <w:r>
                    <w:rPr>
                      <w:rFonts w:ascii="Times New Roman" w:hAnsi="Times New Roman"/>
                      <w:kern w:val="0"/>
                      <w:szCs w:val="21"/>
                      <w:vertAlign w:val="subscript"/>
                    </w:rPr>
                    <w:t>5</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4.1</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4.3</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5.5</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NH</w:t>
                  </w:r>
                  <w:r>
                    <w:rPr>
                      <w:rFonts w:ascii="Times New Roman" w:hAnsi="Times New Roman"/>
                      <w:kern w:val="0"/>
                      <w:szCs w:val="21"/>
                      <w:vertAlign w:val="subscript"/>
                    </w:rPr>
                    <w:t>3</w:t>
                  </w:r>
                  <w:r>
                    <w:rPr>
                      <w:rFonts w:ascii="Times New Roman" w:hAnsi="Times New Roman"/>
                      <w:kern w:val="0"/>
                      <w:szCs w:val="21"/>
                    </w:rPr>
                    <w:t>-N</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0.737</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0.751</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0.73</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0"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SS</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15</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16</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16</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TP</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0.23</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0.25</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0.23</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ascii="Times New Roman" w:hAnsi="Times New Roman"/>
                      <w:kern w:val="0"/>
                      <w:szCs w:val="21"/>
                    </w:rPr>
                    <w:t>TN</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1.31</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1.42</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zCs w:val="21"/>
                    </w:rPr>
                  </w:pPr>
                  <w:r>
                    <w:rPr>
                      <w:rFonts w:ascii="Times New Roman" w:hAnsi="Times New Roman"/>
                      <w:spacing w:val="-5"/>
                      <w:kern w:val="0"/>
                      <w:szCs w:val="21"/>
                    </w:rPr>
                    <w:t>1.41</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6" w:hRule="atLeast"/>
                <w:jc w:val="center"/>
              </w:trPr>
              <w:tc>
                <w:tcPr>
                  <w:tcW w:w="1103" w:type="dxa"/>
                  <w:vMerge w:val="continue"/>
                  <w:tcBorders>
                    <w:top w:val="single" w:color="auto" w:sz="6" w:space="0"/>
                    <w:left w:val="single" w:color="auto" w:sz="12"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6" w:space="0"/>
                    <w:right w:val="single" w:color="auto" w:sz="6" w:space="0"/>
                  </w:tcBorders>
                  <w:vAlign w:val="center"/>
                </w:tcPr>
                <w:p>
                  <w:pPr>
                    <w:widowControl/>
                    <w:snapToGrid w:val="0"/>
                    <w:contextualSpacing/>
                    <w:jc w:val="center"/>
                    <w:rPr>
                      <w:rFonts w:ascii="Times New Roman" w:hAnsi="Times New Roman"/>
                      <w:kern w:val="0"/>
                      <w:szCs w:val="21"/>
                    </w:rPr>
                  </w:pPr>
                  <w:r>
                    <w:rPr>
                      <w:rFonts w:hint="eastAsia" w:ascii="Times New Roman" w:hAnsi="Times New Roman"/>
                      <w:kern w:val="0"/>
                      <w:szCs w:val="21"/>
                    </w:rPr>
                    <w:t>阴离子表面活性剂</w:t>
                  </w:r>
                </w:p>
              </w:tc>
              <w:tc>
                <w:tcPr>
                  <w:tcW w:w="1344"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0.12</w:t>
                  </w:r>
                </w:p>
              </w:tc>
              <w:tc>
                <w:tcPr>
                  <w:tcW w:w="1350"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0.11</w:t>
                  </w:r>
                </w:p>
              </w:tc>
              <w:tc>
                <w:tcPr>
                  <w:tcW w:w="1415" w:type="dxa"/>
                  <w:tcBorders>
                    <w:top w:val="single" w:color="auto" w:sz="6" w:space="0"/>
                    <w:left w:val="single" w:color="auto" w:sz="6" w:space="0"/>
                    <w:bottom w:val="single" w:color="auto" w:sz="6" w:space="0"/>
                    <w:right w:val="single" w:color="auto" w:sz="6" w:space="0"/>
                  </w:tcBorders>
                  <w:vAlign w:val="center"/>
                </w:tcPr>
                <w:p>
                  <w:pPr>
                    <w:widowControl/>
                    <w:ind w:left="14" w:hanging="14" w:hangingChars="7"/>
                    <w:jc w:val="center"/>
                    <w:textAlignment w:val="center"/>
                    <w:rPr>
                      <w:rFonts w:ascii="Times New Roman" w:hAnsi="Times New Roman"/>
                      <w:spacing w:val="-5"/>
                      <w:kern w:val="0"/>
                      <w:szCs w:val="21"/>
                    </w:rPr>
                  </w:pPr>
                  <w:r>
                    <w:rPr>
                      <w:rFonts w:ascii="Times New Roman" w:hAnsi="Times New Roman"/>
                      <w:spacing w:val="-5"/>
                      <w:kern w:val="0"/>
                      <w:szCs w:val="21"/>
                    </w:rPr>
                    <w:t>0.11</w:t>
                  </w:r>
                </w:p>
              </w:tc>
              <w:tc>
                <w:tcPr>
                  <w:tcW w:w="1430" w:type="dxa"/>
                  <w:tcBorders>
                    <w:top w:val="single" w:color="auto" w:sz="6" w:space="0"/>
                    <w:left w:val="single" w:color="auto" w:sz="6" w:space="0"/>
                    <w:bottom w:val="single" w:color="auto" w:sz="6"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103" w:type="dxa"/>
                  <w:vMerge w:val="continue"/>
                  <w:tcBorders>
                    <w:top w:val="single" w:color="auto" w:sz="6" w:space="0"/>
                    <w:left w:val="single" w:color="auto" w:sz="12" w:space="0"/>
                    <w:bottom w:val="single" w:color="auto" w:sz="12" w:space="0"/>
                    <w:right w:val="single" w:color="auto" w:sz="6" w:space="0"/>
                  </w:tcBorders>
                  <w:vAlign w:val="center"/>
                </w:tcPr>
                <w:p>
                  <w:pPr>
                    <w:widowControl/>
                    <w:snapToGrid w:val="0"/>
                    <w:contextualSpacing/>
                    <w:jc w:val="center"/>
                    <w:rPr>
                      <w:rFonts w:ascii="Times New Roman" w:hAnsi="Times New Roman"/>
                      <w:kern w:val="0"/>
                      <w:szCs w:val="21"/>
                    </w:rPr>
                  </w:pPr>
                </w:p>
              </w:tc>
              <w:tc>
                <w:tcPr>
                  <w:tcW w:w="1962" w:type="dxa"/>
                  <w:tcBorders>
                    <w:top w:val="single" w:color="auto" w:sz="6" w:space="0"/>
                    <w:left w:val="single" w:color="auto" w:sz="6" w:space="0"/>
                    <w:bottom w:val="single" w:color="auto" w:sz="12" w:space="0"/>
                    <w:right w:val="single" w:color="auto" w:sz="6" w:space="0"/>
                  </w:tcBorders>
                  <w:vAlign w:val="center"/>
                </w:tcPr>
                <w:p>
                  <w:pPr>
                    <w:widowControl/>
                    <w:snapToGrid w:val="0"/>
                    <w:contextualSpacing/>
                    <w:jc w:val="center"/>
                    <w:rPr>
                      <w:rFonts w:ascii="Times New Roman" w:hAnsi="Times New Roman"/>
                      <w:kern w:val="0"/>
                      <w:szCs w:val="21"/>
                    </w:rPr>
                  </w:pPr>
                  <w:r>
                    <w:rPr>
                      <w:rFonts w:hint="eastAsia" w:ascii="Times New Roman" w:hAnsi="Times New Roman"/>
                      <w:kern w:val="0"/>
                      <w:szCs w:val="21"/>
                    </w:rPr>
                    <w:t>粪大肠菌群</w:t>
                  </w:r>
                </w:p>
              </w:tc>
              <w:tc>
                <w:tcPr>
                  <w:tcW w:w="1344" w:type="dxa"/>
                  <w:tcBorders>
                    <w:top w:val="single" w:color="auto" w:sz="6" w:space="0"/>
                    <w:left w:val="single" w:color="auto" w:sz="6" w:space="0"/>
                    <w:bottom w:val="single" w:color="auto" w:sz="12"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2800</w:t>
                  </w:r>
                </w:p>
              </w:tc>
              <w:tc>
                <w:tcPr>
                  <w:tcW w:w="1350" w:type="dxa"/>
                  <w:tcBorders>
                    <w:top w:val="single" w:color="auto" w:sz="6" w:space="0"/>
                    <w:left w:val="single" w:color="auto" w:sz="6" w:space="0"/>
                    <w:bottom w:val="single" w:color="auto" w:sz="12"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2500</w:t>
                  </w:r>
                </w:p>
              </w:tc>
              <w:tc>
                <w:tcPr>
                  <w:tcW w:w="1415" w:type="dxa"/>
                  <w:tcBorders>
                    <w:top w:val="single" w:color="auto" w:sz="6" w:space="0"/>
                    <w:left w:val="single" w:color="auto" w:sz="6" w:space="0"/>
                    <w:bottom w:val="single" w:color="auto" w:sz="12" w:space="0"/>
                    <w:right w:val="single" w:color="auto" w:sz="6" w:space="0"/>
                  </w:tcBorders>
                  <w:vAlign w:val="center"/>
                </w:tcPr>
                <w:p>
                  <w:pPr>
                    <w:widowControl/>
                    <w:ind w:left="15" w:hanging="14" w:hangingChars="7"/>
                    <w:jc w:val="center"/>
                    <w:textAlignment w:val="center"/>
                    <w:rPr>
                      <w:rFonts w:ascii="Times New Roman" w:hAnsi="Times New Roman"/>
                      <w:szCs w:val="21"/>
                    </w:rPr>
                  </w:pPr>
                  <w:r>
                    <w:rPr>
                      <w:rFonts w:ascii="Times New Roman" w:hAnsi="Times New Roman"/>
                      <w:szCs w:val="21"/>
                    </w:rPr>
                    <w:t>2400</w:t>
                  </w:r>
                </w:p>
              </w:tc>
              <w:tc>
                <w:tcPr>
                  <w:tcW w:w="1430" w:type="dxa"/>
                  <w:tcBorders>
                    <w:top w:val="single" w:color="auto" w:sz="6" w:space="0"/>
                    <w:left w:val="single" w:color="auto" w:sz="6" w:space="0"/>
                    <w:bottom w:val="single" w:color="auto" w:sz="12" w:space="0"/>
                    <w:right w:val="single" w:color="auto" w:sz="12" w:space="0"/>
                  </w:tcBorders>
                  <w:vAlign w:val="center"/>
                </w:tcPr>
                <w:p>
                  <w:pPr>
                    <w:widowControl/>
                    <w:snapToGrid w:val="0"/>
                    <w:contextualSpacing/>
                    <w:jc w:val="center"/>
                    <w:rPr>
                      <w:rFonts w:ascii="Times New Roman" w:hAnsi="Times New Roman"/>
                      <w:kern w:val="0"/>
                      <w:szCs w:val="21"/>
                    </w:rPr>
                  </w:pPr>
                  <w:r>
                    <w:rPr>
                      <w:rFonts w:hint="eastAsia"/>
                    </w:rPr>
                    <w:t>≤</w:t>
                  </w:r>
                  <w:r>
                    <w:rPr>
                      <w:rFonts w:ascii="Times New Roman" w:hAnsi="Times New Roman"/>
                      <w:kern w:val="0"/>
                      <w:szCs w:val="21"/>
                    </w:rPr>
                    <w:t>10000</w:t>
                  </w:r>
                </w:p>
              </w:tc>
            </w:tr>
          </w:tbl>
          <w:p>
            <w:pPr>
              <w:pStyle w:val="111"/>
            </w:pPr>
          </w:p>
          <w:bookmarkEnd w:id="22"/>
          <w:p>
            <w:pPr>
              <w:keepNext/>
              <w:keepLines/>
              <w:spacing w:line="500" w:lineRule="exact"/>
              <w:ind w:firstLine="480" w:firstLineChars="200"/>
              <w:outlineLvl w:val="3"/>
              <w:rPr>
                <w:rFonts w:ascii="Times New Roman" w:hAnsi="Times New Roman"/>
                <w:bCs/>
                <w:sz w:val="24"/>
                <w:szCs w:val="28"/>
              </w:rPr>
            </w:pPr>
            <w:r>
              <w:rPr>
                <w:rFonts w:hint="eastAsia" w:ascii="Times New Roman" w:hAnsi="Times New Roman"/>
                <w:bCs/>
                <w:sz w:val="24"/>
                <w:szCs w:val="28"/>
              </w:rPr>
              <w:t>（</w:t>
            </w:r>
            <w:r>
              <w:rPr>
                <w:rFonts w:ascii="Times New Roman" w:hAnsi="Times New Roman"/>
                <w:bCs/>
                <w:sz w:val="24"/>
                <w:szCs w:val="28"/>
              </w:rPr>
              <w:t>6</w:t>
            </w:r>
            <w:r>
              <w:rPr>
                <w:rFonts w:hint="eastAsia" w:ascii="Times New Roman" w:hAnsi="Times New Roman"/>
                <w:bCs/>
                <w:sz w:val="24"/>
                <w:szCs w:val="28"/>
              </w:rPr>
              <w:t>）评价方法</w:t>
            </w:r>
          </w:p>
          <w:p>
            <w:pPr>
              <w:keepNext/>
              <w:keepLines/>
              <w:spacing w:line="500" w:lineRule="exact"/>
              <w:ind w:firstLine="480" w:firstLineChars="200"/>
              <w:outlineLvl w:val="3"/>
              <w:rPr>
                <w:rFonts w:ascii="Times New Roman" w:hAnsi="Times New Roman"/>
                <w:bCs/>
                <w:sz w:val="24"/>
                <w:szCs w:val="28"/>
              </w:rPr>
            </w:pPr>
            <w:r>
              <w:rPr>
                <w:rFonts w:hint="eastAsia" w:ascii="Times New Roman" w:hAnsi="Times New Roman"/>
                <w:bCs/>
                <w:sz w:val="24"/>
                <w:szCs w:val="28"/>
              </w:rPr>
              <w:t>采用水质指数法进行评价。</w:t>
            </w:r>
          </w:p>
          <w:p>
            <w:pPr>
              <w:keepNext/>
              <w:keepLines/>
              <w:spacing w:line="500" w:lineRule="exact"/>
              <w:ind w:firstLine="480" w:firstLineChars="200"/>
              <w:outlineLvl w:val="3"/>
              <w:rPr>
                <w:rFonts w:ascii="Times New Roman" w:hAnsi="Times New Roman"/>
                <w:bCs/>
                <w:sz w:val="24"/>
                <w:szCs w:val="28"/>
              </w:rPr>
            </w:pPr>
            <w:r>
              <w:rPr>
                <w:rFonts w:hint="eastAsia" w:ascii="Times New Roman" w:hAnsi="Times New Roman"/>
                <w:bCs/>
                <w:sz w:val="24"/>
                <w:szCs w:val="28"/>
              </w:rPr>
              <w:t>一般性水质因子（随着浓度增加而水质变差的水质因子）的指数计算公式：</w:t>
            </w:r>
          </w:p>
          <w:p>
            <w:pPr>
              <w:keepNext/>
              <w:keepLines/>
              <w:spacing w:line="500" w:lineRule="exact"/>
              <w:ind w:firstLine="480" w:firstLineChars="200"/>
              <w:jc w:val="center"/>
              <w:outlineLvl w:val="3"/>
              <w:rPr>
                <w:rFonts w:ascii="Times New Roman" w:hAnsi="Times New Roman"/>
                <w:bCs/>
                <w:i/>
                <w:sz w:val="24"/>
                <w:szCs w:val="28"/>
                <w:vertAlign w:val="subscript"/>
              </w:rPr>
            </w:pPr>
            <w:r>
              <w:rPr>
                <w:rFonts w:ascii="Times New Roman" w:hAnsi="Times New Roman"/>
                <w:bCs/>
                <w:i/>
                <w:sz w:val="24"/>
                <w:szCs w:val="28"/>
              </w:rPr>
              <w:t>S</w:t>
            </w:r>
            <w:r>
              <w:rPr>
                <w:rFonts w:ascii="Times New Roman" w:hAnsi="Times New Roman"/>
                <w:bCs/>
                <w:i/>
                <w:sz w:val="24"/>
                <w:szCs w:val="28"/>
                <w:vertAlign w:val="subscript"/>
              </w:rPr>
              <w:t>i</w:t>
            </w:r>
            <w:r>
              <w:rPr>
                <w:rFonts w:hint="eastAsia" w:ascii="Times New Roman" w:hAnsi="Times New Roman"/>
                <w:bCs/>
                <w:i/>
                <w:sz w:val="24"/>
                <w:szCs w:val="28"/>
                <w:vertAlign w:val="subscript"/>
              </w:rPr>
              <w:t>，</w:t>
            </w:r>
            <w:r>
              <w:rPr>
                <w:rFonts w:ascii="Times New Roman" w:hAnsi="Times New Roman"/>
                <w:bCs/>
                <w:i/>
                <w:sz w:val="24"/>
                <w:szCs w:val="28"/>
                <w:vertAlign w:val="subscript"/>
              </w:rPr>
              <w:t>j</w:t>
            </w:r>
            <w:r>
              <w:rPr>
                <w:rFonts w:ascii="Times New Roman" w:hAnsi="Times New Roman"/>
                <w:bCs/>
                <w:i/>
                <w:sz w:val="24"/>
                <w:szCs w:val="28"/>
              </w:rPr>
              <w:t>=C</w:t>
            </w:r>
            <w:r>
              <w:rPr>
                <w:rFonts w:ascii="Times New Roman" w:hAnsi="Times New Roman"/>
                <w:bCs/>
                <w:i/>
                <w:sz w:val="24"/>
                <w:szCs w:val="28"/>
                <w:vertAlign w:val="subscript"/>
              </w:rPr>
              <w:t>i</w:t>
            </w:r>
            <w:r>
              <w:rPr>
                <w:rFonts w:hint="eastAsia" w:ascii="Times New Roman" w:hAnsi="Times New Roman"/>
                <w:bCs/>
                <w:i/>
                <w:sz w:val="24"/>
                <w:szCs w:val="28"/>
                <w:vertAlign w:val="subscript"/>
              </w:rPr>
              <w:t>，</w:t>
            </w:r>
            <w:r>
              <w:rPr>
                <w:rFonts w:ascii="Times New Roman" w:hAnsi="Times New Roman"/>
                <w:bCs/>
                <w:i/>
                <w:sz w:val="24"/>
                <w:szCs w:val="28"/>
                <w:vertAlign w:val="subscript"/>
              </w:rPr>
              <w:t>j</w:t>
            </w:r>
            <w:r>
              <w:rPr>
                <w:rFonts w:ascii="Times New Roman" w:hAnsi="Times New Roman"/>
                <w:bCs/>
                <w:i/>
                <w:sz w:val="24"/>
                <w:szCs w:val="28"/>
              </w:rPr>
              <w:t>/C</w:t>
            </w:r>
            <w:r>
              <w:rPr>
                <w:rFonts w:ascii="Times New Roman" w:hAnsi="Times New Roman"/>
                <w:bCs/>
                <w:i/>
                <w:sz w:val="24"/>
                <w:szCs w:val="28"/>
                <w:vertAlign w:val="subscript"/>
              </w:rPr>
              <w:t>si</w:t>
            </w:r>
          </w:p>
          <w:p>
            <w:pPr>
              <w:keepNext/>
              <w:keepLines/>
              <w:spacing w:line="500" w:lineRule="exact"/>
              <w:ind w:firstLine="480" w:firstLineChars="200"/>
              <w:outlineLvl w:val="3"/>
              <w:rPr>
                <w:rFonts w:ascii="Times New Roman" w:hAnsi="Times New Roman"/>
                <w:bCs/>
                <w:sz w:val="24"/>
                <w:szCs w:val="28"/>
              </w:rPr>
            </w:pPr>
            <w:r>
              <w:rPr>
                <w:rFonts w:hint="eastAsia" w:ascii="Times New Roman" w:hAnsi="Times New Roman"/>
                <w:bCs/>
                <w:sz w:val="24"/>
                <w:szCs w:val="28"/>
              </w:rPr>
              <w:t>式中：</w:t>
            </w:r>
            <w:r>
              <w:rPr>
                <w:rFonts w:ascii="Times New Roman" w:hAnsi="Times New Roman"/>
                <w:bCs/>
                <w:i/>
                <w:sz w:val="24"/>
                <w:szCs w:val="28"/>
              </w:rPr>
              <w:t>Si</w:t>
            </w:r>
            <w:r>
              <w:rPr>
                <w:rFonts w:hint="eastAsia" w:ascii="Times New Roman" w:hAnsi="Times New Roman"/>
                <w:bCs/>
                <w:i/>
                <w:sz w:val="24"/>
                <w:szCs w:val="28"/>
              </w:rPr>
              <w:t>，</w:t>
            </w:r>
            <w:r>
              <w:rPr>
                <w:rFonts w:ascii="Times New Roman" w:hAnsi="Times New Roman"/>
                <w:bCs/>
                <w:i/>
                <w:sz w:val="24"/>
                <w:szCs w:val="28"/>
              </w:rPr>
              <w:t>j</w:t>
            </w:r>
            <w:r>
              <w:rPr>
                <w:rFonts w:ascii="Times New Roman" w:hAnsi="Times New Roman"/>
                <w:bCs/>
                <w:sz w:val="24"/>
                <w:szCs w:val="28"/>
              </w:rPr>
              <w:t>——</w:t>
            </w:r>
            <w:r>
              <w:rPr>
                <w:rFonts w:hint="eastAsia" w:ascii="Times New Roman" w:hAnsi="Times New Roman"/>
                <w:bCs/>
                <w:sz w:val="24"/>
                <w:szCs w:val="28"/>
              </w:rPr>
              <w:t>评价因子</w:t>
            </w:r>
            <w:r>
              <w:rPr>
                <w:rFonts w:ascii="Times New Roman" w:hAnsi="Times New Roman"/>
                <w:bCs/>
                <w:sz w:val="24"/>
                <w:szCs w:val="28"/>
              </w:rPr>
              <w:t>i</w:t>
            </w:r>
            <w:r>
              <w:rPr>
                <w:rFonts w:hint="eastAsia" w:ascii="Times New Roman" w:hAnsi="Times New Roman"/>
                <w:bCs/>
                <w:sz w:val="24"/>
                <w:szCs w:val="28"/>
              </w:rPr>
              <w:t>的水质指数，大于</w:t>
            </w:r>
            <w:r>
              <w:rPr>
                <w:rFonts w:ascii="Times New Roman" w:hAnsi="Times New Roman"/>
                <w:bCs/>
                <w:sz w:val="24"/>
                <w:szCs w:val="28"/>
              </w:rPr>
              <w:t>1</w:t>
            </w:r>
            <w:r>
              <w:rPr>
                <w:rFonts w:hint="eastAsia" w:ascii="Times New Roman" w:hAnsi="Times New Roman"/>
                <w:bCs/>
                <w:sz w:val="24"/>
                <w:szCs w:val="28"/>
              </w:rPr>
              <w:t>表明该水质因子超标；</w:t>
            </w:r>
          </w:p>
          <w:p>
            <w:pPr>
              <w:keepNext/>
              <w:keepLines/>
              <w:spacing w:line="500" w:lineRule="exact"/>
              <w:ind w:firstLine="480" w:firstLineChars="200"/>
              <w:outlineLvl w:val="3"/>
              <w:rPr>
                <w:rFonts w:ascii="Times New Roman" w:hAnsi="Times New Roman"/>
                <w:bCs/>
                <w:sz w:val="24"/>
                <w:szCs w:val="28"/>
              </w:rPr>
            </w:pPr>
            <w:r>
              <w:rPr>
                <w:rFonts w:ascii="Times New Roman" w:hAnsi="Times New Roman"/>
                <w:bCs/>
                <w:sz w:val="24"/>
                <w:szCs w:val="28"/>
              </w:rPr>
              <w:t xml:space="preserve">      </w:t>
            </w:r>
            <w:r>
              <w:rPr>
                <w:rFonts w:ascii="Times New Roman" w:hAnsi="Times New Roman"/>
                <w:bCs/>
                <w:i/>
                <w:sz w:val="24"/>
                <w:szCs w:val="28"/>
              </w:rPr>
              <w:t>C</w:t>
            </w:r>
            <w:r>
              <w:rPr>
                <w:rFonts w:ascii="Times New Roman" w:hAnsi="Times New Roman"/>
                <w:bCs/>
                <w:i/>
                <w:sz w:val="24"/>
                <w:szCs w:val="28"/>
                <w:vertAlign w:val="subscript"/>
              </w:rPr>
              <w:t>i</w:t>
            </w:r>
            <w:r>
              <w:rPr>
                <w:rFonts w:hint="eastAsia" w:ascii="Times New Roman" w:hAnsi="Times New Roman"/>
                <w:bCs/>
                <w:i/>
                <w:sz w:val="24"/>
                <w:szCs w:val="28"/>
                <w:vertAlign w:val="subscript"/>
              </w:rPr>
              <w:t>，</w:t>
            </w:r>
            <w:r>
              <w:rPr>
                <w:rFonts w:ascii="Times New Roman" w:hAnsi="Times New Roman"/>
                <w:bCs/>
                <w:i/>
                <w:sz w:val="24"/>
                <w:szCs w:val="28"/>
                <w:vertAlign w:val="subscript"/>
              </w:rPr>
              <w:t>j</w:t>
            </w:r>
            <w:r>
              <w:rPr>
                <w:rFonts w:ascii="Times New Roman" w:hAnsi="Times New Roman"/>
                <w:bCs/>
                <w:sz w:val="24"/>
                <w:szCs w:val="28"/>
              </w:rPr>
              <w:t>——</w:t>
            </w:r>
            <w:r>
              <w:rPr>
                <w:rFonts w:hint="eastAsia" w:ascii="Times New Roman" w:hAnsi="Times New Roman"/>
                <w:bCs/>
                <w:sz w:val="24"/>
                <w:szCs w:val="28"/>
              </w:rPr>
              <w:t>评价因子</w:t>
            </w:r>
            <w:r>
              <w:rPr>
                <w:rFonts w:ascii="Times New Roman" w:hAnsi="Times New Roman"/>
                <w:bCs/>
                <w:sz w:val="24"/>
                <w:szCs w:val="28"/>
              </w:rPr>
              <w:t>i</w:t>
            </w:r>
            <w:r>
              <w:rPr>
                <w:rFonts w:hint="eastAsia" w:ascii="Times New Roman" w:hAnsi="Times New Roman"/>
                <w:bCs/>
                <w:sz w:val="24"/>
                <w:szCs w:val="28"/>
              </w:rPr>
              <w:t>在</w:t>
            </w:r>
            <w:r>
              <w:rPr>
                <w:rFonts w:ascii="Times New Roman" w:hAnsi="Times New Roman"/>
                <w:bCs/>
                <w:sz w:val="24"/>
                <w:szCs w:val="28"/>
              </w:rPr>
              <w:t>j</w:t>
            </w:r>
            <w:r>
              <w:rPr>
                <w:rFonts w:hint="eastAsia" w:ascii="Times New Roman" w:hAnsi="Times New Roman"/>
                <w:bCs/>
                <w:sz w:val="24"/>
                <w:szCs w:val="28"/>
              </w:rPr>
              <w:t>点的实测统计代表值，</w:t>
            </w:r>
            <w:r>
              <w:rPr>
                <w:rFonts w:ascii="Times New Roman" w:hAnsi="Times New Roman"/>
                <w:bCs/>
                <w:sz w:val="24"/>
                <w:szCs w:val="28"/>
              </w:rPr>
              <w:t>mg/L</w:t>
            </w:r>
            <w:r>
              <w:rPr>
                <w:rFonts w:hint="eastAsia" w:ascii="Times New Roman" w:hAnsi="Times New Roman"/>
                <w:bCs/>
                <w:sz w:val="24"/>
                <w:szCs w:val="28"/>
              </w:rPr>
              <w:t>；</w:t>
            </w:r>
          </w:p>
          <w:p>
            <w:pPr>
              <w:keepNext/>
              <w:keepLines/>
              <w:spacing w:line="500" w:lineRule="exact"/>
              <w:ind w:firstLine="480" w:firstLineChars="200"/>
              <w:outlineLvl w:val="3"/>
              <w:rPr>
                <w:rFonts w:ascii="Times New Roman" w:hAnsi="Times New Roman"/>
                <w:bCs/>
                <w:sz w:val="24"/>
                <w:szCs w:val="28"/>
              </w:rPr>
            </w:pPr>
            <w:r>
              <w:rPr>
                <w:rFonts w:ascii="Times New Roman" w:hAnsi="Times New Roman"/>
                <w:bCs/>
                <w:sz w:val="24"/>
                <w:szCs w:val="28"/>
              </w:rPr>
              <w:t xml:space="preserve">      </w:t>
            </w:r>
            <w:r>
              <w:rPr>
                <w:rFonts w:ascii="Times New Roman" w:hAnsi="Times New Roman"/>
                <w:bCs/>
                <w:i/>
                <w:sz w:val="24"/>
                <w:szCs w:val="28"/>
              </w:rPr>
              <w:t>C</w:t>
            </w:r>
            <w:r>
              <w:rPr>
                <w:rFonts w:ascii="Times New Roman" w:hAnsi="Times New Roman"/>
                <w:bCs/>
                <w:i/>
                <w:sz w:val="24"/>
                <w:szCs w:val="28"/>
                <w:vertAlign w:val="subscript"/>
              </w:rPr>
              <w:t>si</w:t>
            </w:r>
            <w:r>
              <w:rPr>
                <w:rFonts w:ascii="Times New Roman" w:hAnsi="Times New Roman"/>
                <w:bCs/>
                <w:sz w:val="24"/>
                <w:szCs w:val="28"/>
              </w:rPr>
              <w:t>——</w:t>
            </w:r>
            <w:r>
              <w:rPr>
                <w:rFonts w:hint="eastAsia" w:ascii="Times New Roman" w:hAnsi="Times New Roman"/>
                <w:bCs/>
                <w:sz w:val="24"/>
                <w:szCs w:val="28"/>
              </w:rPr>
              <w:t>评价因子</w:t>
            </w:r>
            <w:r>
              <w:rPr>
                <w:rFonts w:ascii="Times New Roman" w:hAnsi="Times New Roman"/>
                <w:bCs/>
                <w:sz w:val="24"/>
                <w:szCs w:val="28"/>
              </w:rPr>
              <w:t>i</w:t>
            </w:r>
            <w:r>
              <w:rPr>
                <w:rFonts w:hint="eastAsia" w:ascii="Times New Roman" w:hAnsi="Times New Roman"/>
                <w:bCs/>
                <w:sz w:val="24"/>
                <w:szCs w:val="28"/>
              </w:rPr>
              <w:t>的水质评价标准限值，</w:t>
            </w:r>
            <w:r>
              <w:rPr>
                <w:rFonts w:ascii="Times New Roman" w:hAnsi="Times New Roman"/>
                <w:bCs/>
                <w:sz w:val="24"/>
                <w:szCs w:val="28"/>
              </w:rPr>
              <w:t>mg/L</w:t>
            </w:r>
            <w:r>
              <w:rPr>
                <w:rFonts w:hint="eastAsia" w:ascii="Times New Roman" w:hAnsi="Times New Roman"/>
                <w:bCs/>
                <w:sz w:val="24"/>
                <w:szCs w:val="28"/>
              </w:rPr>
              <w:t>。</w:t>
            </w:r>
          </w:p>
          <w:p>
            <w:pPr>
              <w:keepNext/>
              <w:keepLines/>
              <w:spacing w:line="500" w:lineRule="exact"/>
              <w:ind w:firstLine="480" w:firstLineChars="200"/>
              <w:outlineLvl w:val="3"/>
              <w:rPr>
                <w:rFonts w:ascii="Times New Roman" w:hAnsi="Times New Roman"/>
                <w:bCs/>
                <w:sz w:val="24"/>
                <w:szCs w:val="28"/>
              </w:rPr>
            </w:pPr>
            <w:r>
              <w:rPr>
                <w:rFonts w:ascii="Times New Roman" w:hAnsi="Times New Roman"/>
                <w:bCs/>
                <w:sz w:val="24"/>
                <w:szCs w:val="28"/>
              </w:rPr>
              <w:t>DO</w:t>
            </w:r>
            <w:r>
              <w:rPr>
                <w:rFonts w:hint="eastAsia" w:ascii="Times New Roman" w:hAnsi="Times New Roman"/>
                <w:bCs/>
                <w:sz w:val="24"/>
                <w:szCs w:val="28"/>
              </w:rPr>
              <w:t>的标准指数计算公式：</w:t>
            </w:r>
          </w:p>
          <w:p>
            <w:pPr>
              <w:jc w:val="center"/>
              <w:rPr>
                <w:rFonts w:ascii="Times New Roman" w:hAnsi="Times New Roman"/>
                <w:i/>
                <w:sz w:val="24"/>
                <w:szCs w:val="21"/>
              </w:rPr>
            </w:pPr>
            <w:r>
              <w:drawing>
                <wp:inline distT="0" distB="0" distL="0" distR="0">
                  <wp:extent cx="2626360" cy="861060"/>
                  <wp:effectExtent l="0" t="0" r="0" b="0"/>
                  <wp:docPr id="2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26360" cy="861060"/>
                          </a:xfrm>
                          <a:prstGeom prst="rect">
                            <a:avLst/>
                          </a:prstGeom>
                          <a:noFill/>
                          <a:ln>
                            <a:noFill/>
                          </a:ln>
                        </pic:spPr>
                      </pic:pic>
                    </a:graphicData>
                  </a:graphic>
                </wp:inline>
              </w:drawing>
            </w:r>
          </w:p>
          <w:p>
            <w:pPr>
              <w:spacing w:line="500" w:lineRule="exact"/>
              <w:ind w:firstLine="480" w:firstLineChars="200"/>
              <w:rPr>
                <w:rFonts w:ascii="Times New Roman" w:hAnsi="Times New Roman"/>
                <w:sz w:val="24"/>
                <w:szCs w:val="21"/>
              </w:rPr>
            </w:pPr>
            <w:r>
              <w:rPr>
                <w:rFonts w:hint="eastAsia" w:ascii="Times New Roman" w:hAnsi="Times New Roman"/>
                <w:sz w:val="24"/>
                <w:szCs w:val="21"/>
              </w:rPr>
              <w:t>式中：</w:t>
            </w:r>
            <w:r>
              <w:rPr>
                <w:rFonts w:ascii="Times New Roman" w:hAnsi="Times New Roman"/>
                <w:i/>
                <w:sz w:val="24"/>
                <w:szCs w:val="21"/>
              </w:rPr>
              <w:t>S</w:t>
            </w:r>
            <w:r>
              <w:rPr>
                <w:rFonts w:ascii="Times New Roman" w:hAnsi="Times New Roman"/>
                <w:i/>
                <w:sz w:val="24"/>
                <w:szCs w:val="21"/>
                <w:vertAlign w:val="subscript"/>
              </w:rPr>
              <w:t>Do</w:t>
            </w:r>
            <w:r>
              <w:rPr>
                <w:rFonts w:hint="eastAsia" w:ascii="Times New Roman" w:hAnsi="Times New Roman"/>
                <w:i/>
                <w:sz w:val="24"/>
                <w:szCs w:val="21"/>
                <w:vertAlign w:val="subscript"/>
              </w:rPr>
              <w:t>，</w:t>
            </w:r>
            <w:r>
              <w:rPr>
                <w:rFonts w:ascii="Times New Roman" w:hAnsi="Times New Roman"/>
                <w:i/>
                <w:sz w:val="24"/>
                <w:szCs w:val="21"/>
                <w:vertAlign w:val="subscript"/>
              </w:rPr>
              <w:t>j</w:t>
            </w:r>
            <w:r>
              <w:rPr>
                <w:rFonts w:ascii="Times New Roman" w:hAnsi="Times New Roman"/>
                <w:sz w:val="24"/>
                <w:szCs w:val="21"/>
              </w:rPr>
              <w:t>——</w:t>
            </w:r>
            <w:r>
              <w:rPr>
                <w:rFonts w:hint="eastAsia" w:ascii="Times New Roman" w:hAnsi="Times New Roman"/>
                <w:sz w:val="24"/>
                <w:szCs w:val="21"/>
              </w:rPr>
              <w:t>溶解氧的标准指数</w:t>
            </w:r>
            <w:r>
              <w:rPr>
                <w:rFonts w:hint="eastAsia" w:ascii="Times New Roman" w:hAnsi="Times New Roman"/>
                <w:bCs/>
                <w:sz w:val="24"/>
                <w:szCs w:val="28"/>
              </w:rPr>
              <w:t>，大于</w:t>
            </w:r>
            <w:r>
              <w:rPr>
                <w:rFonts w:ascii="Times New Roman" w:hAnsi="Times New Roman"/>
                <w:bCs/>
                <w:sz w:val="24"/>
                <w:szCs w:val="28"/>
              </w:rPr>
              <w:t>1</w:t>
            </w:r>
            <w:r>
              <w:rPr>
                <w:rFonts w:hint="eastAsia" w:ascii="Times New Roman" w:hAnsi="Times New Roman"/>
                <w:bCs/>
                <w:sz w:val="24"/>
                <w:szCs w:val="28"/>
              </w:rPr>
              <w:t>表明该水质因子超标</w:t>
            </w:r>
            <w:r>
              <w:rPr>
                <w:rFonts w:hint="eastAsia" w:ascii="Times New Roman" w:hAnsi="Times New Roman"/>
                <w:sz w:val="24"/>
                <w:szCs w:val="21"/>
              </w:rPr>
              <w:t>；</w:t>
            </w:r>
          </w:p>
          <w:p>
            <w:pPr>
              <w:spacing w:line="500" w:lineRule="exact"/>
              <w:ind w:firstLine="480" w:firstLineChars="200"/>
              <w:rPr>
                <w:rFonts w:ascii="Times New Roman" w:hAnsi="Times New Roman"/>
                <w:sz w:val="24"/>
                <w:szCs w:val="21"/>
              </w:rPr>
            </w:pPr>
            <w:r>
              <w:rPr>
                <w:rFonts w:ascii="Times New Roman" w:hAnsi="Times New Roman"/>
                <w:sz w:val="24"/>
                <w:szCs w:val="21"/>
              </w:rPr>
              <w:t xml:space="preserve">      DO</w:t>
            </w:r>
            <w:r>
              <w:rPr>
                <w:rFonts w:ascii="Times New Roman" w:hAnsi="Times New Roman"/>
                <w:sz w:val="24"/>
                <w:szCs w:val="21"/>
                <w:vertAlign w:val="subscript"/>
              </w:rPr>
              <w:t>j</w:t>
            </w:r>
            <w:r>
              <w:rPr>
                <w:rFonts w:ascii="Times New Roman" w:hAnsi="Times New Roman"/>
                <w:sz w:val="24"/>
                <w:szCs w:val="21"/>
              </w:rPr>
              <w:t>——</w:t>
            </w:r>
            <w:r>
              <w:rPr>
                <w:rFonts w:hint="eastAsia" w:ascii="Times New Roman" w:hAnsi="Times New Roman"/>
                <w:sz w:val="24"/>
                <w:szCs w:val="21"/>
              </w:rPr>
              <w:t>溶解氧在</w:t>
            </w:r>
            <w:r>
              <w:rPr>
                <w:rFonts w:ascii="Times New Roman" w:hAnsi="Times New Roman"/>
                <w:sz w:val="24"/>
                <w:szCs w:val="21"/>
              </w:rPr>
              <w:t>j</w:t>
            </w:r>
            <w:r>
              <w:rPr>
                <w:rFonts w:hint="eastAsia" w:ascii="Times New Roman" w:hAnsi="Times New Roman"/>
                <w:sz w:val="24"/>
                <w:szCs w:val="21"/>
              </w:rPr>
              <w:t>点的</w:t>
            </w:r>
            <w:r>
              <w:rPr>
                <w:rFonts w:hint="eastAsia" w:ascii="Times New Roman" w:hAnsi="Times New Roman"/>
                <w:bCs/>
                <w:sz w:val="24"/>
                <w:szCs w:val="28"/>
              </w:rPr>
              <w:t>实测统计代表值，</w:t>
            </w:r>
            <w:r>
              <w:rPr>
                <w:rFonts w:ascii="Times New Roman" w:hAnsi="Times New Roman"/>
                <w:sz w:val="24"/>
                <w:szCs w:val="21"/>
              </w:rPr>
              <w:t>mg/L</w:t>
            </w:r>
            <w:r>
              <w:rPr>
                <w:rFonts w:hint="eastAsia" w:ascii="Times New Roman" w:hAnsi="Times New Roman"/>
                <w:sz w:val="24"/>
                <w:szCs w:val="21"/>
              </w:rPr>
              <w:t>；</w:t>
            </w:r>
          </w:p>
          <w:p>
            <w:pPr>
              <w:keepNext/>
              <w:keepLines/>
              <w:spacing w:line="500" w:lineRule="exact"/>
              <w:ind w:firstLine="1200" w:firstLineChars="500"/>
              <w:outlineLvl w:val="3"/>
              <w:rPr>
                <w:rFonts w:ascii="Times New Roman" w:hAnsi="Times New Roman"/>
                <w:sz w:val="24"/>
                <w:szCs w:val="21"/>
              </w:rPr>
            </w:pPr>
            <w:r>
              <w:rPr>
                <w:rFonts w:ascii="Times New Roman" w:hAnsi="Times New Roman"/>
                <w:sz w:val="24"/>
                <w:szCs w:val="21"/>
              </w:rPr>
              <w:t>DO</w:t>
            </w:r>
            <w:r>
              <w:rPr>
                <w:rFonts w:ascii="Times New Roman" w:hAnsi="Times New Roman"/>
                <w:sz w:val="24"/>
                <w:szCs w:val="21"/>
                <w:vertAlign w:val="subscript"/>
              </w:rPr>
              <w:t>s</w:t>
            </w:r>
            <w:r>
              <w:rPr>
                <w:rFonts w:ascii="Times New Roman" w:hAnsi="Times New Roman"/>
                <w:sz w:val="24"/>
                <w:szCs w:val="21"/>
              </w:rPr>
              <w:t>——</w:t>
            </w:r>
            <w:r>
              <w:rPr>
                <w:rFonts w:hint="eastAsia" w:ascii="Times New Roman" w:hAnsi="Times New Roman"/>
                <w:sz w:val="24"/>
                <w:szCs w:val="21"/>
              </w:rPr>
              <w:t>溶解氧的水质评价标准限值，</w:t>
            </w:r>
            <w:r>
              <w:rPr>
                <w:rFonts w:ascii="Times New Roman" w:hAnsi="Times New Roman"/>
                <w:sz w:val="24"/>
                <w:szCs w:val="21"/>
              </w:rPr>
              <w:t>mg/L</w:t>
            </w:r>
            <w:r>
              <w:rPr>
                <w:rFonts w:hint="eastAsia" w:ascii="Times New Roman" w:hAnsi="Times New Roman"/>
                <w:sz w:val="24"/>
                <w:szCs w:val="21"/>
              </w:rPr>
              <w:t>。</w:t>
            </w:r>
          </w:p>
          <w:p>
            <w:pPr>
              <w:spacing w:line="500" w:lineRule="exact"/>
              <w:jc w:val="center"/>
              <w:rPr>
                <w:rFonts w:ascii="Times New Roman" w:hAnsi="Times New Roman"/>
                <w:sz w:val="24"/>
                <w:szCs w:val="21"/>
              </w:rPr>
            </w:pPr>
            <w:r>
              <w:rPr>
                <w:rFonts w:ascii="Times New Roman" w:hAnsi="Times New Roman"/>
                <w:sz w:val="24"/>
                <w:szCs w:val="21"/>
              </w:rPr>
              <w:t xml:space="preserve">          DO</w:t>
            </w:r>
            <w:r>
              <w:rPr>
                <w:rFonts w:ascii="Times New Roman" w:hAnsi="Times New Roman"/>
                <w:sz w:val="24"/>
                <w:szCs w:val="21"/>
                <w:vertAlign w:val="subscript"/>
              </w:rPr>
              <w:t>f</w:t>
            </w:r>
            <w:r>
              <w:rPr>
                <w:rFonts w:ascii="Times New Roman" w:hAnsi="Times New Roman"/>
                <w:sz w:val="24"/>
                <w:szCs w:val="21"/>
              </w:rPr>
              <w:t>——</w:t>
            </w:r>
            <w:r>
              <w:rPr>
                <w:rFonts w:hint="eastAsia" w:ascii="Times New Roman" w:hAnsi="Times New Roman"/>
                <w:sz w:val="24"/>
                <w:szCs w:val="21"/>
              </w:rPr>
              <w:t>饱和溶解氧浓度</w:t>
            </w:r>
            <w:r>
              <w:rPr>
                <w:rFonts w:ascii="Times New Roman" w:hAnsi="Times New Roman"/>
                <w:sz w:val="24"/>
                <w:szCs w:val="21"/>
              </w:rPr>
              <w:t>mg/L</w:t>
            </w:r>
            <w:r>
              <w:rPr>
                <w:rFonts w:hint="eastAsia" w:ascii="Times New Roman" w:hAnsi="Times New Roman"/>
                <w:sz w:val="24"/>
                <w:szCs w:val="21"/>
              </w:rPr>
              <w:t>，对于河流，</w:t>
            </w:r>
            <w:r>
              <w:rPr>
                <w:rFonts w:ascii="Times New Roman" w:hAnsi="Times New Roman"/>
                <w:sz w:val="24"/>
                <w:szCs w:val="21"/>
              </w:rPr>
              <w:t>DO</w:t>
            </w:r>
            <w:r>
              <w:rPr>
                <w:rFonts w:ascii="Times New Roman" w:hAnsi="Times New Roman"/>
                <w:sz w:val="24"/>
                <w:szCs w:val="21"/>
                <w:vertAlign w:val="subscript"/>
              </w:rPr>
              <w:t>f</w:t>
            </w:r>
            <w:r>
              <w:rPr>
                <w:rFonts w:ascii="Times New Roman" w:hAnsi="Times New Roman"/>
                <w:sz w:val="24"/>
                <w:szCs w:val="21"/>
              </w:rPr>
              <w:t>=468/</w:t>
            </w:r>
            <w:r>
              <w:rPr>
                <w:rFonts w:hint="eastAsia" w:ascii="Times New Roman" w:hAnsi="Times New Roman"/>
                <w:sz w:val="24"/>
                <w:szCs w:val="21"/>
              </w:rPr>
              <w:t>（</w:t>
            </w:r>
            <w:r>
              <w:rPr>
                <w:rFonts w:ascii="Times New Roman" w:hAnsi="Times New Roman"/>
                <w:sz w:val="24"/>
                <w:szCs w:val="21"/>
              </w:rPr>
              <w:t>31.6+T</w:t>
            </w:r>
            <w:r>
              <w:rPr>
                <w:rFonts w:hint="eastAsia" w:ascii="Times New Roman" w:hAnsi="Times New Roman"/>
                <w:sz w:val="24"/>
                <w:szCs w:val="21"/>
              </w:rPr>
              <w:t>），对于盐度比较高的湖泊、水库及入海河口、近岸海域，</w:t>
            </w:r>
            <w:r>
              <w:rPr>
                <w:rFonts w:ascii="Times New Roman" w:hAnsi="Times New Roman"/>
                <w:sz w:val="24"/>
                <w:szCs w:val="21"/>
              </w:rPr>
              <w:t>DO</w:t>
            </w:r>
            <w:r>
              <w:rPr>
                <w:rFonts w:ascii="Times New Roman" w:hAnsi="Times New Roman"/>
                <w:sz w:val="24"/>
                <w:szCs w:val="21"/>
                <w:vertAlign w:val="subscript"/>
              </w:rPr>
              <w:t>f</w:t>
            </w:r>
            <w:r>
              <w:rPr>
                <w:rFonts w:ascii="Times New Roman" w:hAnsi="Times New Roman"/>
                <w:sz w:val="24"/>
                <w:szCs w:val="21"/>
              </w:rPr>
              <w:t>=</w:t>
            </w:r>
            <w:r>
              <w:rPr>
                <w:rFonts w:hint="eastAsia" w:ascii="Times New Roman" w:hAnsi="Times New Roman"/>
                <w:sz w:val="24"/>
                <w:szCs w:val="21"/>
              </w:rPr>
              <w:t>（</w:t>
            </w:r>
            <w:r>
              <w:rPr>
                <w:rFonts w:ascii="Times New Roman" w:hAnsi="Times New Roman"/>
                <w:sz w:val="24"/>
                <w:szCs w:val="21"/>
              </w:rPr>
              <w:t>491-2.65S</w:t>
            </w:r>
            <w:r>
              <w:rPr>
                <w:rFonts w:hint="eastAsia" w:ascii="Times New Roman" w:hAnsi="Times New Roman"/>
                <w:sz w:val="24"/>
                <w:szCs w:val="21"/>
              </w:rPr>
              <w:t>）</w:t>
            </w:r>
            <w:r>
              <w:rPr>
                <w:rFonts w:ascii="Times New Roman" w:hAnsi="Times New Roman"/>
                <w:sz w:val="24"/>
                <w:szCs w:val="21"/>
              </w:rPr>
              <w:t>/</w:t>
            </w:r>
            <w:r>
              <w:rPr>
                <w:rFonts w:hint="eastAsia" w:ascii="Times New Roman" w:hAnsi="Times New Roman"/>
                <w:sz w:val="24"/>
                <w:szCs w:val="21"/>
              </w:rPr>
              <w:t>（</w:t>
            </w:r>
            <w:r>
              <w:rPr>
                <w:rFonts w:ascii="Times New Roman" w:hAnsi="Times New Roman"/>
                <w:sz w:val="24"/>
                <w:szCs w:val="21"/>
              </w:rPr>
              <w:t>33.5+T</w:t>
            </w:r>
            <w:r>
              <w:rPr>
                <w:rFonts w:hint="eastAsia" w:ascii="Times New Roman" w:hAnsi="Times New Roman"/>
                <w:sz w:val="24"/>
                <w:szCs w:val="21"/>
              </w:rPr>
              <w:t>）；</w:t>
            </w:r>
          </w:p>
          <w:p>
            <w:pPr>
              <w:spacing w:line="500" w:lineRule="exact"/>
              <w:ind w:firstLine="960" w:firstLineChars="400"/>
              <w:rPr>
                <w:rFonts w:ascii="Times New Roman" w:hAnsi="Times New Roman"/>
                <w:sz w:val="24"/>
                <w:szCs w:val="21"/>
              </w:rPr>
            </w:pPr>
            <w:r>
              <w:rPr>
                <w:rFonts w:ascii="Times New Roman" w:hAnsi="Times New Roman"/>
                <w:sz w:val="24"/>
                <w:szCs w:val="21"/>
              </w:rPr>
              <w:t xml:space="preserve">  S——</w:t>
            </w:r>
            <w:r>
              <w:rPr>
                <w:rFonts w:hint="eastAsia" w:ascii="Times New Roman" w:hAnsi="Times New Roman"/>
                <w:sz w:val="24"/>
                <w:szCs w:val="21"/>
              </w:rPr>
              <w:t>实用盐度符号，量纲一；</w:t>
            </w:r>
          </w:p>
          <w:p>
            <w:pPr>
              <w:keepNext/>
              <w:keepLines/>
              <w:spacing w:line="500" w:lineRule="exact"/>
              <w:ind w:firstLine="1200" w:firstLineChars="500"/>
              <w:outlineLvl w:val="3"/>
              <w:rPr>
                <w:rFonts w:ascii="Times New Roman" w:hAnsi="Times New Roman"/>
                <w:sz w:val="24"/>
                <w:szCs w:val="21"/>
              </w:rPr>
            </w:pPr>
            <w:r>
              <w:rPr>
                <w:rFonts w:ascii="Times New Roman" w:hAnsi="Times New Roman"/>
                <w:sz w:val="24"/>
                <w:szCs w:val="21"/>
              </w:rPr>
              <w:t>T——</w:t>
            </w:r>
            <w:r>
              <w:rPr>
                <w:rFonts w:hint="eastAsia" w:ascii="Times New Roman" w:hAnsi="Times New Roman"/>
                <w:sz w:val="24"/>
                <w:szCs w:val="21"/>
              </w:rPr>
              <w:t>水温，℃。</w:t>
            </w:r>
          </w:p>
          <w:p>
            <w:pPr>
              <w:keepNext/>
              <w:keepLines/>
              <w:spacing w:line="500" w:lineRule="exact"/>
              <w:ind w:firstLine="480" w:firstLineChars="200"/>
              <w:outlineLvl w:val="3"/>
              <w:rPr>
                <w:rFonts w:ascii="Times New Roman" w:hAnsi="Times New Roman"/>
                <w:bCs/>
                <w:sz w:val="24"/>
                <w:szCs w:val="28"/>
              </w:rPr>
            </w:pPr>
            <w:r>
              <w:rPr>
                <w:rFonts w:ascii="Times New Roman" w:hAnsi="Times New Roman"/>
                <w:bCs/>
                <w:sz w:val="24"/>
                <w:szCs w:val="28"/>
              </w:rPr>
              <w:t>pH</w:t>
            </w:r>
            <w:r>
              <w:rPr>
                <w:rFonts w:hint="eastAsia" w:ascii="Times New Roman" w:hAnsi="Times New Roman"/>
                <w:bCs/>
                <w:sz w:val="24"/>
                <w:szCs w:val="28"/>
              </w:rPr>
              <w:t>值的标准指数为：</w:t>
            </w:r>
          </w:p>
          <w:p>
            <w:pPr>
              <w:keepNext/>
              <w:keepLines/>
              <w:ind w:firstLine="420" w:firstLineChars="200"/>
              <w:jc w:val="center"/>
              <w:outlineLvl w:val="3"/>
              <w:rPr>
                <w:rFonts w:ascii="Times New Roman" w:hAnsi="Times New Roman"/>
                <w:i/>
                <w:sz w:val="24"/>
                <w:szCs w:val="24"/>
              </w:rPr>
            </w:pPr>
            <w:r>
              <w:drawing>
                <wp:inline distT="0" distB="0" distL="0" distR="0">
                  <wp:extent cx="2552065" cy="903605"/>
                  <wp:effectExtent l="0" t="0" r="0" b="0"/>
                  <wp:docPr id="2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52065" cy="903605"/>
                          </a:xfrm>
                          <a:prstGeom prst="rect">
                            <a:avLst/>
                          </a:prstGeom>
                          <a:noFill/>
                          <a:ln>
                            <a:noFill/>
                          </a:ln>
                        </pic:spPr>
                      </pic:pic>
                    </a:graphicData>
                  </a:graphic>
                </wp:inline>
              </w:drawing>
            </w:r>
          </w:p>
          <w:p>
            <w:pPr>
              <w:keepNext/>
              <w:keepLines/>
              <w:spacing w:line="500" w:lineRule="exact"/>
              <w:ind w:firstLine="480" w:firstLineChars="200"/>
              <w:outlineLvl w:val="3"/>
              <w:rPr>
                <w:rFonts w:ascii="Times New Roman" w:hAnsi="Times New Roman"/>
                <w:bCs/>
                <w:sz w:val="24"/>
                <w:szCs w:val="28"/>
              </w:rPr>
            </w:pPr>
            <w:r>
              <w:rPr>
                <w:rFonts w:hint="eastAsia" w:ascii="Times New Roman" w:hAnsi="Times New Roman"/>
                <w:bCs/>
                <w:sz w:val="24"/>
                <w:szCs w:val="28"/>
              </w:rPr>
              <w:t>式中：</w:t>
            </w:r>
            <w:r>
              <w:rPr>
                <w:rFonts w:ascii="Times New Roman" w:hAnsi="Times New Roman"/>
                <w:bCs/>
                <w:i/>
                <w:sz w:val="24"/>
                <w:szCs w:val="28"/>
              </w:rPr>
              <w:t>S</w:t>
            </w:r>
            <w:r>
              <w:rPr>
                <w:rFonts w:ascii="Times New Roman" w:hAnsi="Times New Roman"/>
                <w:bCs/>
                <w:i/>
                <w:sz w:val="24"/>
                <w:szCs w:val="28"/>
                <w:vertAlign w:val="subscript"/>
              </w:rPr>
              <w:t>pH</w:t>
            </w:r>
            <w:r>
              <w:rPr>
                <w:rFonts w:hint="eastAsia" w:ascii="Times New Roman" w:hAnsi="Times New Roman"/>
                <w:bCs/>
                <w:i/>
                <w:sz w:val="24"/>
                <w:szCs w:val="28"/>
                <w:vertAlign w:val="subscript"/>
              </w:rPr>
              <w:t>，</w:t>
            </w:r>
            <w:r>
              <w:rPr>
                <w:rFonts w:ascii="Times New Roman" w:hAnsi="Times New Roman"/>
                <w:bCs/>
                <w:i/>
                <w:sz w:val="24"/>
                <w:szCs w:val="28"/>
                <w:vertAlign w:val="subscript"/>
              </w:rPr>
              <w:t>j</w:t>
            </w:r>
            <w:r>
              <w:rPr>
                <w:rFonts w:ascii="Times New Roman" w:hAnsi="Times New Roman"/>
                <w:bCs/>
                <w:sz w:val="24"/>
                <w:szCs w:val="28"/>
              </w:rPr>
              <w:t>——pH</w:t>
            </w:r>
            <w:r>
              <w:rPr>
                <w:rFonts w:hint="eastAsia" w:ascii="Times New Roman" w:hAnsi="Times New Roman"/>
                <w:bCs/>
                <w:sz w:val="24"/>
                <w:szCs w:val="28"/>
              </w:rPr>
              <w:t>值的指数，大于</w:t>
            </w:r>
            <w:r>
              <w:rPr>
                <w:rFonts w:ascii="Times New Roman" w:hAnsi="Times New Roman"/>
                <w:bCs/>
                <w:sz w:val="24"/>
                <w:szCs w:val="28"/>
              </w:rPr>
              <w:t>1</w:t>
            </w:r>
            <w:r>
              <w:rPr>
                <w:rFonts w:hint="eastAsia" w:ascii="Times New Roman" w:hAnsi="Times New Roman"/>
                <w:bCs/>
                <w:sz w:val="24"/>
                <w:szCs w:val="28"/>
              </w:rPr>
              <w:t>表明该水质因子超标；</w:t>
            </w:r>
          </w:p>
          <w:p>
            <w:pPr>
              <w:keepNext/>
              <w:keepLines/>
              <w:spacing w:line="500" w:lineRule="exact"/>
              <w:ind w:firstLine="480" w:firstLineChars="200"/>
              <w:outlineLvl w:val="3"/>
              <w:rPr>
                <w:rFonts w:ascii="Times New Roman" w:hAnsi="Times New Roman"/>
                <w:bCs/>
                <w:sz w:val="24"/>
                <w:szCs w:val="28"/>
              </w:rPr>
            </w:pPr>
            <w:r>
              <w:rPr>
                <w:rFonts w:ascii="Times New Roman" w:hAnsi="Times New Roman"/>
                <w:bCs/>
                <w:sz w:val="24"/>
                <w:szCs w:val="28"/>
              </w:rPr>
              <w:t xml:space="preserve">      </w:t>
            </w:r>
            <w:r>
              <w:rPr>
                <w:rFonts w:ascii="Times New Roman" w:hAnsi="Times New Roman"/>
                <w:bCs/>
                <w:i/>
                <w:sz w:val="24"/>
                <w:szCs w:val="28"/>
              </w:rPr>
              <w:t>pH</w:t>
            </w:r>
            <w:r>
              <w:rPr>
                <w:rFonts w:ascii="Times New Roman" w:hAnsi="Times New Roman"/>
                <w:bCs/>
                <w:i/>
                <w:sz w:val="24"/>
                <w:szCs w:val="28"/>
                <w:vertAlign w:val="subscript"/>
              </w:rPr>
              <w:t>j</w:t>
            </w:r>
            <w:r>
              <w:rPr>
                <w:rFonts w:ascii="Times New Roman" w:hAnsi="Times New Roman"/>
                <w:bCs/>
                <w:sz w:val="24"/>
                <w:szCs w:val="28"/>
              </w:rPr>
              <w:t>——pH</w:t>
            </w:r>
            <w:r>
              <w:rPr>
                <w:rFonts w:hint="eastAsia" w:ascii="Times New Roman" w:hAnsi="Times New Roman"/>
                <w:bCs/>
                <w:sz w:val="24"/>
                <w:szCs w:val="28"/>
              </w:rPr>
              <w:t>值实测统计代表值；</w:t>
            </w:r>
          </w:p>
          <w:p>
            <w:pPr>
              <w:keepNext/>
              <w:keepLines/>
              <w:spacing w:line="500" w:lineRule="exact"/>
              <w:ind w:firstLine="480" w:firstLineChars="200"/>
              <w:outlineLvl w:val="3"/>
              <w:rPr>
                <w:rFonts w:ascii="Times New Roman" w:hAnsi="Times New Roman"/>
                <w:bCs/>
                <w:sz w:val="24"/>
                <w:szCs w:val="28"/>
              </w:rPr>
            </w:pPr>
            <w:r>
              <w:rPr>
                <w:rFonts w:ascii="Times New Roman" w:hAnsi="Times New Roman"/>
                <w:bCs/>
                <w:sz w:val="24"/>
                <w:szCs w:val="28"/>
              </w:rPr>
              <w:t xml:space="preserve">      </w:t>
            </w:r>
            <w:r>
              <w:rPr>
                <w:rFonts w:ascii="Times New Roman" w:hAnsi="Times New Roman"/>
                <w:bCs/>
                <w:i/>
                <w:sz w:val="24"/>
                <w:szCs w:val="28"/>
              </w:rPr>
              <w:t>pH</w:t>
            </w:r>
            <w:r>
              <w:rPr>
                <w:rFonts w:ascii="Times New Roman" w:hAnsi="Times New Roman"/>
                <w:bCs/>
                <w:i/>
                <w:sz w:val="24"/>
                <w:szCs w:val="28"/>
                <w:vertAlign w:val="subscript"/>
              </w:rPr>
              <w:t>sd</w:t>
            </w:r>
            <w:r>
              <w:rPr>
                <w:rFonts w:ascii="Times New Roman" w:hAnsi="Times New Roman"/>
                <w:bCs/>
                <w:sz w:val="24"/>
                <w:szCs w:val="28"/>
              </w:rPr>
              <w:t>——</w:t>
            </w:r>
            <w:r>
              <w:rPr>
                <w:rFonts w:hint="eastAsia" w:ascii="Times New Roman" w:hAnsi="Times New Roman"/>
                <w:bCs/>
                <w:sz w:val="24"/>
                <w:szCs w:val="28"/>
              </w:rPr>
              <w:t>评价标准中</w:t>
            </w:r>
            <w:r>
              <w:rPr>
                <w:rFonts w:ascii="Times New Roman" w:hAnsi="Times New Roman"/>
                <w:bCs/>
                <w:sz w:val="24"/>
                <w:szCs w:val="28"/>
              </w:rPr>
              <w:t>pH</w:t>
            </w:r>
            <w:r>
              <w:rPr>
                <w:rFonts w:hint="eastAsia" w:ascii="Times New Roman" w:hAnsi="Times New Roman"/>
                <w:bCs/>
                <w:sz w:val="24"/>
                <w:szCs w:val="28"/>
              </w:rPr>
              <w:t>值的下限值；</w:t>
            </w:r>
          </w:p>
          <w:p>
            <w:pPr>
              <w:keepNext/>
              <w:keepLines/>
              <w:spacing w:line="500" w:lineRule="exact"/>
              <w:ind w:firstLine="480" w:firstLineChars="200"/>
              <w:outlineLvl w:val="3"/>
              <w:rPr>
                <w:rFonts w:ascii="Times New Roman" w:hAnsi="Times New Roman"/>
                <w:bCs/>
                <w:sz w:val="24"/>
                <w:szCs w:val="28"/>
              </w:rPr>
            </w:pPr>
            <w:r>
              <w:rPr>
                <w:rFonts w:ascii="Times New Roman" w:hAnsi="Times New Roman"/>
                <w:bCs/>
                <w:sz w:val="24"/>
                <w:szCs w:val="28"/>
              </w:rPr>
              <w:t xml:space="preserve">      </w:t>
            </w:r>
            <w:r>
              <w:rPr>
                <w:rFonts w:ascii="Times New Roman" w:hAnsi="Times New Roman"/>
                <w:bCs/>
                <w:i/>
                <w:sz w:val="24"/>
                <w:szCs w:val="28"/>
              </w:rPr>
              <w:t>pH</w:t>
            </w:r>
            <w:r>
              <w:rPr>
                <w:rFonts w:ascii="Times New Roman" w:hAnsi="Times New Roman"/>
                <w:bCs/>
                <w:i/>
                <w:sz w:val="24"/>
                <w:szCs w:val="28"/>
                <w:vertAlign w:val="subscript"/>
              </w:rPr>
              <w:t>su</w:t>
            </w:r>
            <w:r>
              <w:rPr>
                <w:rFonts w:ascii="Times New Roman" w:hAnsi="Times New Roman"/>
                <w:bCs/>
                <w:sz w:val="24"/>
                <w:szCs w:val="28"/>
              </w:rPr>
              <w:t>——</w:t>
            </w:r>
            <w:r>
              <w:rPr>
                <w:rFonts w:hint="eastAsia" w:ascii="Times New Roman" w:hAnsi="Times New Roman"/>
                <w:bCs/>
                <w:sz w:val="24"/>
                <w:szCs w:val="28"/>
              </w:rPr>
              <w:t>评价标准中</w:t>
            </w:r>
            <w:r>
              <w:rPr>
                <w:rFonts w:ascii="Times New Roman" w:hAnsi="Times New Roman"/>
                <w:bCs/>
                <w:sz w:val="24"/>
                <w:szCs w:val="28"/>
              </w:rPr>
              <w:t>pH</w:t>
            </w:r>
            <w:r>
              <w:rPr>
                <w:rFonts w:hint="eastAsia" w:ascii="Times New Roman" w:hAnsi="Times New Roman"/>
                <w:bCs/>
                <w:sz w:val="24"/>
                <w:szCs w:val="28"/>
              </w:rPr>
              <w:t>值的上限值。</w:t>
            </w:r>
          </w:p>
          <w:p>
            <w:pPr>
              <w:keepNext/>
              <w:keepLines/>
              <w:spacing w:line="500" w:lineRule="exact"/>
              <w:ind w:firstLine="480" w:firstLineChars="200"/>
              <w:outlineLvl w:val="3"/>
              <w:rPr>
                <w:rFonts w:ascii="Times New Roman" w:hAnsi="Times New Roman"/>
                <w:bCs/>
                <w:sz w:val="24"/>
                <w:szCs w:val="28"/>
              </w:rPr>
            </w:pPr>
            <w:r>
              <w:rPr>
                <w:rFonts w:hint="eastAsia" w:ascii="Times New Roman" w:hAnsi="Times New Roman"/>
                <w:bCs/>
                <w:sz w:val="24"/>
                <w:szCs w:val="28"/>
              </w:rPr>
              <w:t>（</w:t>
            </w:r>
            <w:r>
              <w:rPr>
                <w:rFonts w:ascii="Times New Roman" w:hAnsi="Times New Roman"/>
                <w:bCs/>
                <w:sz w:val="24"/>
                <w:szCs w:val="28"/>
              </w:rPr>
              <w:t>7</w:t>
            </w:r>
            <w:r>
              <w:rPr>
                <w:rFonts w:hint="eastAsia" w:ascii="Times New Roman" w:hAnsi="Times New Roman"/>
                <w:bCs/>
                <w:sz w:val="24"/>
                <w:szCs w:val="28"/>
              </w:rPr>
              <w:t>）评价结果分析</w:t>
            </w:r>
          </w:p>
          <w:p>
            <w:pPr>
              <w:keepNext/>
              <w:keepLines/>
              <w:spacing w:line="500" w:lineRule="exact"/>
              <w:ind w:firstLine="480" w:firstLineChars="200"/>
              <w:outlineLvl w:val="3"/>
              <w:rPr>
                <w:rFonts w:ascii="Times New Roman" w:hAnsi="Times New Roman"/>
                <w:bCs/>
                <w:sz w:val="24"/>
                <w:szCs w:val="28"/>
              </w:rPr>
            </w:pPr>
            <w:r>
              <w:rPr>
                <w:rFonts w:hint="eastAsia" w:ascii="Times New Roman" w:hAnsi="Times New Roman"/>
                <w:bCs/>
                <w:sz w:val="24"/>
                <w:szCs w:val="28"/>
              </w:rPr>
              <w:t>地表水环境质量监测评价结果详见表</w:t>
            </w:r>
            <w:r>
              <w:rPr>
                <w:rFonts w:ascii="Times New Roman" w:hAnsi="Times New Roman"/>
                <w:bCs/>
                <w:sz w:val="24"/>
                <w:szCs w:val="28"/>
              </w:rPr>
              <w:t>3-9</w:t>
            </w:r>
            <w:r>
              <w:rPr>
                <w:rFonts w:hint="eastAsia" w:ascii="Times New Roman" w:hAnsi="Times New Roman"/>
                <w:bCs/>
                <w:sz w:val="24"/>
                <w:szCs w:val="28"/>
              </w:rPr>
              <w:t>。</w:t>
            </w:r>
          </w:p>
          <w:p>
            <w:pPr>
              <w:tabs>
                <w:tab w:val="left" w:pos="0"/>
              </w:tabs>
              <w:spacing w:line="80" w:lineRule="atLeast"/>
              <w:jc w:val="center"/>
              <w:rPr>
                <w:rFonts w:ascii="Times New Roman" w:hAnsi="Times New Roman"/>
                <w:b/>
                <w:sz w:val="24"/>
                <w:szCs w:val="20"/>
              </w:rPr>
            </w:pPr>
            <w:r>
              <w:rPr>
                <w:rFonts w:hint="eastAsia" w:ascii="Times New Roman" w:hAnsi="Times New Roman"/>
                <w:b/>
                <w:sz w:val="24"/>
                <w:szCs w:val="20"/>
              </w:rPr>
              <w:t>表</w:t>
            </w:r>
            <w:r>
              <w:rPr>
                <w:rFonts w:ascii="Times New Roman" w:hAnsi="Times New Roman"/>
                <w:b/>
                <w:sz w:val="24"/>
                <w:szCs w:val="20"/>
              </w:rPr>
              <w:t xml:space="preserve">3-9   </w:t>
            </w:r>
            <w:r>
              <w:rPr>
                <w:rFonts w:hint="eastAsia" w:ascii="Times New Roman" w:hAnsi="Times New Roman"/>
                <w:b/>
                <w:sz w:val="24"/>
                <w:szCs w:val="20"/>
              </w:rPr>
              <w:t>地表水环境质量监测评价结果</w:t>
            </w:r>
            <w:r>
              <w:rPr>
                <w:rFonts w:ascii="Times New Roman" w:hAnsi="Times New Roman"/>
                <w:b/>
                <w:sz w:val="24"/>
                <w:szCs w:val="20"/>
              </w:rPr>
              <w:t xml:space="preserve">     </w:t>
            </w:r>
            <w:r>
              <w:rPr>
                <w:rFonts w:hint="eastAsia" w:ascii="Times New Roman" w:hAnsi="Times New Roman"/>
                <w:b/>
                <w:sz w:val="24"/>
                <w:szCs w:val="20"/>
              </w:rPr>
              <w:t>单位：</w:t>
            </w:r>
            <w:r>
              <w:rPr>
                <w:rFonts w:ascii="Times New Roman" w:hAnsi="Times New Roman"/>
                <w:b/>
                <w:bCs/>
                <w:kern w:val="0"/>
                <w:szCs w:val="21"/>
              </w:rPr>
              <w:t>mg/L  pH</w:t>
            </w:r>
            <w:r>
              <w:rPr>
                <w:rFonts w:hint="eastAsia" w:ascii="Times New Roman" w:hAnsi="Times New Roman"/>
                <w:b/>
                <w:bCs/>
                <w:kern w:val="0"/>
                <w:szCs w:val="21"/>
              </w:rPr>
              <w:t>除外</w:t>
            </w:r>
          </w:p>
          <w:tbl>
            <w:tblPr>
              <w:tblStyle w:val="37"/>
              <w:tblW w:w="90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679"/>
              <w:gridCol w:w="1292"/>
              <w:gridCol w:w="1476"/>
              <w:gridCol w:w="1492"/>
              <w:gridCol w:w="18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rPr>
                    <w:t>评价因子</w:t>
                  </w:r>
                </w:p>
              </w:tc>
              <w:tc>
                <w:tcPr>
                  <w:tcW w:w="1679" w:type="dxa"/>
                  <w:vMerge w:val="restart"/>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rPr>
                    <w:t>评价指标</w:t>
                  </w:r>
                </w:p>
              </w:tc>
              <w:tc>
                <w:tcPr>
                  <w:tcW w:w="4260" w:type="dxa"/>
                  <w:gridSpan w:val="3"/>
                  <w:tcBorders>
                    <w:top w:val="single" w:color="auto" w:sz="12" w:space="0"/>
                    <w:left w:val="single" w:color="auto" w:sz="6" w:space="0"/>
                    <w:bottom w:val="double" w:color="auto" w:sz="4" w:space="0"/>
                    <w:right w:val="single" w:color="auto" w:sz="6" w:space="0"/>
                  </w:tcBorders>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rPr>
                    <w:t>点位</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left="-105" w:leftChars="-50" w:right="-105" w:rightChars="-50"/>
                    <w:jc w:val="center"/>
                    <w:rPr>
                      <w:rFonts w:ascii="Times New Roman" w:hAnsi="Times New Roman"/>
                      <w:b/>
                    </w:rPr>
                  </w:pPr>
                  <w:r>
                    <w:rPr>
                      <w:rFonts w:ascii="Times New Roman" w:hAnsi="Times New Roman"/>
                      <w:b/>
                      <w:bCs/>
                      <w:kern w:val="0"/>
                      <w:szCs w:val="21"/>
                    </w:rPr>
                    <w:t>GB3838-2002</w:t>
                  </w:r>
                  <w:r>
                    <w:rPr>
                      <w:rFonts w:hint="eastAsia" w:ascii="Times New Roman" w:hAnsi="Times New Roman"/>
                      <w:b/>
                      <w:bCs/>
                      <w:kern w:val="0"/>
                      <w:szCs w:val="21"/>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1276" w:type="dxa"/>
                  <w:vMerge w:val="continue"/>
                  <w:tcBorders>
                    <w:top w:val="single" w:color="auto" w:sz="6" w:space="0"/>
                    <w:left w:val="single" w:color="auto" w:sz="12" w:space="0"/>
                    <w:bottom w:val="double" w:color="auto" w:sz="4" w:space="0"/>
                    <w:right w:val="single" w:color="auto" w:sz="6" w:space="0"/>
                  </w:tcBorders>
                  <w:vAlign w:val="center"/>
                </w:tcPr>
                <w:p>
                  <w:pPr>
                    <w:spacing w:line="240" w:lineRule="atLeast"/>
                    <w:ind w:left="-105" w:leftChars="-50" w:right="-105" w:rightChars="-50"/>
                    <w:jc w:val="center"/>
                    <w:rPr>
                      <w:rFonts w:ascii="Times New Roman" w:hAnsi="Times New Roman"/>
                      <w:b/>
                    </w:rPr>
                  </w:pPr>
                </w:p>
              </w:tc>
              <w:tc>
                <w:tcPr>
                  <w:tcW w:w="1679" w:type="dxa"/>
                  <w:vMerge w:val="continue"/>
                  <w:tcBorders>
                    <w:top w:val="single" w:color="auto" w:sz="6" w:space="0"/>
                    <w:left w:val="single" w:color="auto" w:sz="6" w:space="0"/>
                    <w:bottom w:val="double" w:color="auto" w:sz="4" w:space="0"/>
                    <w:right w:val="single" w:color="auto" w:sz="6" w:space="0"/>
                  </w:tcBorders>
                  <w:vAlign w:val="center"/>
                </w:tcPr>
                <w:p>
                  <w:pPr>
                    <w:spacing w:line="240" w:lineRule="atLeast"/>
                    <w:ind w:left="-105" w:leftChars="-50" w:right="-105" w:rightChars="-50"/>
                    <w:jc w:val="center"/>
                    <w:rPr>
                      <w:rFonts w:ascii="Times New Roman" w:hAnsi="Times New Roman"/>
                      <w:b/>
                    </w:rPr>
                  </w:pPr>
                </w:p>
              </w:tc>
              <w:tc>
                <w:tcPr>
                  <w:tcW w:w="1292" w:type="dxa"/>
                  <w:tcBorders>
                    <w:top w:val="single" w:color="auto" w:sz="12" w:space="0"/>
                    <w:left w:val="single" w:color="auto" w:sz="6" w:space="0"/>
                    <w:bottom w:val="double" w:color="auto" w:sz="4" w:space="0"/>
                    <w:right w:val="single" w:color="auto" w:sz="6" w:space="0"/>
                  </w:tcBorders>
                  <w:vAlign w:val="center"/>
                </w:tcPr>
                <w:p>
                  <w:pPr>
                    <w:spacing w:line="240" w:lineRule="atLeast"/>
                    <w:ind w:left="-105" w:leftChars="-50" w:right="-105" w:rightChars="-50"/>
                    <w:jc w:val="center"/>
                    <w:rPr>
                      <w:rFonts w:ascii="Times New Roman" w:hAnsi="Times New Roman"/>
                      <w:b/>
                    </w:rPr>
                  </w:pPr>
                  <w:r>
                    <w:rPr>
                      <w:rFonts w:ascii="Times New Roman" w:hAnsi="Times New Roman"/>
                      <w:b/>
                      <w:szCs w:val="21"/>
                    </w:rPr>
                    <w:t>SW1</w:t>
                  </w:r>
                </w:p>
              </w:tc>
              <w:tc>
                <w:tcPr>
                  <w:tcW w:w="1476" w:type="dxa"/>
                  <w:tcBorders>
                    <w:top w:val="single" w:color="auto" w:sz="6" w:space="0"/>
                    <w:left w:val="single" w:color="auto" w:sz="6" w:space="0"/>
                    <w:bottom w:val="double" w:color="auto" w:sz="4" w:space="0"/>
                    <w:right w:val="single" w:color="auto" w:sz="6" w:space="0"/>
                  </w:tcBorders>
                  <w:vAlign w:val="center"/>
                </w:tcPr>
                <w:p>
                  <w:pPr>
                    <w:spacing w:line="240" w:lineRule="atLeast"/>
                    <w:ind w:left="-105" w:leftChars="-50" w:right="-105" w:rightChars="-50"/>
                    <w:jc w:val="center"/>
                    <w:rPr>
                      <w:rFonts w:ascii="Times New Roman" w:hAnsi="Times New Roman"/>
                      <w:b/>
                    </w:rPr>
                  </w:pPr>
                  <w:r>
                    <w:rPr>
                      <w:rFonts w:ascii="Times New Roman" w:hAnsi="Times New Roman"/>
                      <w:b/>
                      <w:szCs w:val="21"/>
                    </w:rPr>
                    <w:t>SW2</w:t>
                  </w:r>
                </w:p>
              </w:tc>
              <w:tc>
                <w:tcPr>
                  <w:tcW w:w="1492" w:type="dxa"/>
                  <w:tcBorders>
                    <w:top w:val="single" w:color="auto" w:sz="6" w:space="0"/>
                    <w:left w:val="single" w:color="auto" w:sz="6" w:space="0"/>
                    <w:bottom w:val="double" w:color="auto" w:sz="4" w:space="0"/>
                    <w:right w:val="single" w:color="auto" w:sz="6" w:space="0"/>
                  </w:tcBorders>
                  <w:vAlign w:val="center"/>
                </w:tcPr>
                <w:p>
                  <w:pPr>
                    <w:spacing w:line="240" w:lineRule="atLeast"/>
                    <w:ind w:left="-105" w:leftChars="-50" w:right="-105" w:rightChars="-50"/>
                    <w:jc w:val="center"/>
                    <w:rPr>
                      <w:rFonts w:ascii="Times New Roman" w:hAnsi="Times New Roman"/>
                      <w:b/>
                    </w:rPr>
                  </w:pPr>
                  <w:r>
                    <w:rPr>
                      <w:rFonts w:ascii="Times New Roman" w:hAnsi="Times New Roman"/>
                      <w:b/>
                      <w:szCs w:val="21"/>
                    </w:rPr>
                    <w:t>SW3</w:t>
                  </w:r>
                </w:p>
              </w:tc>
              <w:tc>
                <w:tcPr>
                  <w:tcW w:w="1883" w:type="dxa"/>
                  <w:vMerge w:val="continue"/>
                  <w:tcBorders>
                    <w:top w:val="single" w:color="auto" w:sz="6" w:space="0"/>
                    <w:left w:val="single" w:color="auto" w:sz="6" w:space="0"/>
                    <w:bottom w:val="double" w:color="auto" w:sz="4" w:space="0"/>
                    <w:right w:val="single" w:color="auto" w:sz="12" w:space="0"/>
                  </w:tcBorders>
                  <w:vAlign w:val="center"/>
                </w:tcPr>
                <w:p>
                  <w:pPr>
                    <w:spacing w:line="240" w:lineRule="atLeast"/>
                    <w:ind w:left="-105" w:leftChars="-50" w:right="-105" w:rightChars="-50"/>
                    <w:jc w:val="center"/>
                    <w:rPr>
                      <w:rFonts w:ascii="Times New Roman" w:hAnsi="Times New Roman"/>
                      <w:b/>
                      <w:bCs/>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trPr>
              <w:tc>
                <w:tcPr>
                  <w:tcW w:w="1276" w:type="dxa"/>
                  <w:vMerge w:val="restart"/>
                  <w:tcBorders>
                    <w:top w:val="double" w:color="auto" w:sz="4"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kern w:val="0"/>
                      <w:szCs w:val="21"/>
                    </w:rPr>
                    <w:t>pH</w:t>
                  </w:r>
                </w:p>
              </w:tc>
              <w:tc>
                <w:tcPr>
                  <w:tcW w:w="1679" w:type="dxa"/>
                  <w:tcBorders>
                    <w:top w:val="double" w:color="auto" w:sz="4"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hint="eastAsia" w:ascii="Times New Roman" w:hAnsi="Times New Roman"/>
                      <w:bCs/>
                    </w:rPr>
                    <w:t>代表值</w:t>
                  </w:r>
                </w:p>
              </w:tc>
              <w:tc>
                <w:tcPr>
                  <w:tcW w:w="1292" w:type="dxa"/>
                  <w:tcBorders>
                    <w:top w:val="double" w:color="auto" w:sz="4"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ascii="Times New Roman" w:hAnsi="Times New Roman"/>
                      <w:bCs/>
                    </w:rPr>
                    <w:t>7.77</w:t>
                  </w:r>
                </w:p>
              </w:tc>
              <w:tc>
                <w:tcPr>
                  <w:tcW w:w="1476" w:type="dxa"/>
                  <w:tcBorders>
                    <w:top w:val="double" w:color="auto" w:sz="4"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ascii="Times New Roman" w:hAnsi="Times New Roman"/>
                      <w:bCs/>
                    </w:rPr>
                    <w:t>7.53</w:t>
                  </w:r>
                </w:p>
              </w:tc>
              <w:tc>
                <w:tcPr>
                  <w:tcW w:w="1492" w:type="dxa"/>
                  <w:tcBorders>
                    <w:top w:val="double" w:color="auto" w:sz="4"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ascii="Times New Roman" w:hAnsi="Times New Roman"/>
                      <w:bCs/>
                    </w:rPr>
                    <w:t>7.74</w:t>
                  </w:r>
                </w:p>
              </w:tc>
              <w:tc>
                <w:tcPr>
                  <w:tcW w:w="1883" w:type="dxa"/>
                  <w:vMerge w:val="restart"/>
                  <w:tcBorders>
                    <w:top w:val="double" w:color="auto" w:sz="4"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rPr>
                  </w:pPr>
                  <w:r>
                    <w:rPr>
                      <w:rFonts w:ascii="Times New Roman" w:hAnsi="Times New Roman"/>
                      <w:kern w:val="0"/>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ascii="Times New Roman" w:hAnsi="Times New Roman"/>
                      <w:bCs/>
                    </w:rPr>
                    <w:t>0.385</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ascii="Times New Roman" w:hAnsi="Times New Roman"/>
                      <w:bCs/>
                    </w:rPr>
                    <w:t>0.265</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ascii="Times New Roman" w:hAnsi="Times New Roman"/>
                      <w:bCs/>
                    </w:rPr>
                    <w:t>0.37</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hint="eastAsia" w:ascii="Times New Roman" w:hAnsi="Times New Roman"/>
                      <w:bCs/>
                    </w:rPr>
                    <w:t>达标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hint="eastAsia" w:ascii="Times New Roman" w:hAnsi="Times New Roman"/>
                      <w:bCs/>
                    </w:rPr>
                    <w:t>达标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Cs/>
                    </w:rPr>
                  </w:pPr>
                  <w:r>
                    <w:rPr>
                      <w:rFonts w:hint="eastAsia" w:ascii="Times New Roman" w:hAnsi="Times New Roman"/>
                      <w:bCs/>
                    </w:rPr>
                    <w:t>达标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r>
                    <w:rPr>
                      <w:rFonts w:ascii="Times New Roman" w:hAnsi="Times New Roman"/>
                      <w:kern w:val="0"/>
                      <w:szCs w:val="21"/>
                    </w:rPr>
                    <w:t>DO</w:t>
                  </w:r>
                </w:p>
              </w:tc>
              <w:tc>
                <w:tcPr>
                  <w:tcW w:w="1679"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代表值</w:t>
                  </w:r>
                </w:p>
              </w:tc>
              <w:tc>
                <w:tcPr>
                  <w:tcW w:w="12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3.3</w:t>
                  </w:r>
                </w:p>
              </w:tc>
              <w:tc>
                <w:tcPr>
                  <w:tcW w:w="1476"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3.1</w:t>
                  </w:r>
                </w:p>
              </w:tc>
              <w:tc>
                <w:tcPr>
                  <w:tcW w:w="14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3.2</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r>
                    <w:rPr>
                      <w:rFonts w:ascii="Times New Roman" w:hAnsi="Times New Roman"/>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1.5</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1.613</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1.563</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0.515</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0.613</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0.56</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r>
                    <w:rPr>
                      <w:rFonts w:ascii="Times New Roman" w:hAnsi="Times New Roman"/>
                      <w:kern w:val="0"/>
                      <w:szCs w:val="21"/>
                    </w:rPr>
                    <w:t>COD</w:t>
                  </w:r>
                </w:p>
              </w:tc>
              <w:tc>
                <w:tcPr>
                  <w:tcW w:w="1679"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代表值</w:t>
                  </w:r>
                </w:p>
              </w:tc>
              <w:tc>
                <w:tcPr>
                  <w:tcW w:w="12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22</w:t>
                  </w:r>
                </w:p>
              </w:tc>
              <w:tc>
                <w:tcPr>
                  <w:tcW w:w="1476"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30</w:t>
                  </w:r>
                </w:p>
              </w:tc>
              <w:tc>
                <w:tcPr>
                  <w:tcW w:w="14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25</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r>
                    <w:rPr>
                      <w:rFonts w:ascii="Times New Roman" w:hAnsi="Times New Roman"/>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1.1</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1.5</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1.25</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0.1</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0.5</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0.25</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r>
                    <w:rPr>
                      <w:rFonts w:ascii="Times New Roman" w:hAnsi="Times New Roman"/>
                      <w:kern w:val="0"/>
                      <w:szCs w:val="21"/>
                    </w:rPr>
                    <w:t>BOD</w:t>
                  </w:r>
                  <w:r>
                    <w:rPr>
                      <w:rFonts w:ascii="Times New Roman" w:hAnsi="Times New Roman"/>
                      <w:kern w:val="0"/>
                      <w:szCs w:val="21"/>
                      <w:vertAlign w:val="subscript"/>
                    </w:rPr>
                    <w:t>5</w:t>
                  </w:r>
                </w:p>
              </w:tc>
              <w:tc>
                <w:tcPr>
                  <w:tcW w:w="1679"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代表值</w:t>
                  </w:r>
                </w:p>
              </w:tc>
              <w:tc>
                <w:tcPr>
                  <w:tcW w:w="12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4.7</w:t>
                  </w:r>
                </w:p>
              </w:tc>
              <w:tc>
                <w:tcPr>
                  <w:tcW w:w="1476"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5.2</w:t>
                  </w:r>
                </w:p>
              </w:tc>
              <w:tc>
                <w:tcPr>
                  <w:tcW w:w="14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5.5</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r>
                    <w:rPr>
                      <w:rFonts w:ascii="Times New Roman" w:hAnsi="Times New Roman"/>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1.175</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1.3</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1.375</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0"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0.175</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0.3</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0.375</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r>
                    <w:rPr>
                      <w:rFonts w:ascii="Times New Roman" w:hAnsi="Times New Roman"/>
                      <w:kern w:val="0"/>
                      <w:szCs w:val="21"/>
                    </w:rPr>
                    <w:t>NH</w:t>
                  </w:r>
                  <w:r>
                    <w:rPr>
                      <w:rFonts w:ascii="Times New Roman" w:hAnsi="Times New Roman"/>
                      <w:kern w:val="0"/>
                      <w:szCs w:val="21"/>
                      <w:vertAlign w:val="subscript"/>
                    </w:rPr>
                    <w:t>3</w:t>
                  </w:r>
                  <w:r>
                    <w:rPr>
                      <w:rFonts w:ascii="Times New Roman" w:hAnsi="Times New Roman"/>
                      <w:kern w:val="0"/>
                      <w:szCs w:val="21"/>
                    </w:rPr>
                    <w:t>-N</w:t>
                  </w:r>
                </w:p>
              </w:tc>
              <w:tc>
                <w:tcPr>
                  <w:tcW w:w="1679"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代表值</w:t>
                  </w:r>
                </w:p>
              </w:tc>
              <w:tc>
                <w:tcPr>
                  <w:tcW w:w="12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0.627</w:t>
                  </w:r>
                </w:p>
              </w:tc>
              <w:tc>
                <w:tcPr>
                  <w:tcW w:w="1476"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0.734</w:t>
                  </w:r>
                </w:p>
              </w:tc>
              <w:tc>
                <w:tcPr>
                  <w:tcW w:w="14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0.751</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r>
                    <w:rPr>
                      <w:rFonts w:ascii="Times New Roman" w:hAnsi="Times New Roman"/>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0.627</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0.734</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0.751</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5"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r>
                    <w:rPr>
                      <w:rFonts w:ascii="Times New Roman" w:hAnsi="Times New Roman"/>
                      <w:kern w:val="0"/>
                      <w:szCs w:val="21"/>
                    </w:rPr>
                    <w:t>SS</w:t>
                  </w:r>
                </w:p>
              </w:tc>
              <w:tc>
                <w:tcPr>
                  <w:tcW w:w="1679"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代表值</w:t>
                  </w:r>
                </w:p>
              </w:tc>
              <w:tc>
                <w:tcPr>
                  <w:tcW w:w="12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18</w:t>
                  </w:r>
                </w:p>
              </w:tc>
              <w:tc>
                <w:tcPr>
                  <w:tcW w:w="1476"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20</w:t>
                  </w:r>
                </w:p>
              </w:tc>
              <w:tc>
                <w:tcPr>
                  <w:tcW w:w="14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16</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r>
                    <w:rPr>
                      <w:rFonts w:ascii="Times New Roman" w:hAnsi="Times New Roman"/>
                      <w:kern w:val="0"/>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0.6</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0.667</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0.533</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r>
                    <w:rPr>
                      <w:rFonts w:ascii="Times New Roman" w:hAnsi="Times New Roman"/>
                      <w:kern w:val="0"/>
                      <w:szCs w:val="21"/>
                    </w:rPr>
                    <w:t>TP</w:t>
                  </w:r>
                </w:p>
              </w:tc>
              <w:tc>
                <w:tcPr>
                  <w:tcW w:w="1679"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代表值</w:t>
                  </w:r>
                </w:p>
              </w:tc>
              <w:tc>
                <w:tcPr>
                  <w:tcW w:w="12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0.23</w:t>
                  </w:r>
                </w:p>
              </w:tc>
              <w:tc>
                <w:tcPr>
                  <w:tcW w:w="1476"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0.27</w:t>
                  </w:r>
                </w:p>
              </w:tc>
              <w:tc>
                <w:tcPr>
                  <w:tcW w:w="14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0.25</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r>
                    <w:rPr>
                      <w:rFonts w:ascii="Times New Roman" w:hAnsi="Times New Roman"/>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5"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1.15</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1.35</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1.25</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hint="eastAsia" w:ascii="Times New Roman" w:hAnsi="Times New Roman"/>
                      <w:b/>
                      <w:bCs/>
                    </w:rPr>
                    <w:t>超标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0.15</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0.35</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b/>
                      <w:bCs/>
                    </w:rPr>
                  </w:pPr>
                  <w:r>
                    <w:rPr>
                      <w:rFonts w:ascii="Times New Roman" w:hAnsi="Times New Roman"/>
                      <w:b/>
                      <w:bCs/>
                    </w:rPr>
                    <w:t>0.25</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0"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r>
                    <w:rPr>
                      <w:rFonts w:ascii="Times New Roman" w:hAnsi="Times New Roman"/>
                      <w:kern w:val="0"/>
                      <w:szCs w:val="21"/>
                    </w:rPr>
                    <w:t>TN</w:t>
                  </w:r>
                </w:p>
              </w:tc>
              <w:tc>
                <w:tcPr>
                  <w:tcW w:w="1679"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代表值</w:t>
                  </w:r>
                </w:p>
              </w:tc>
              <w:tc>
                <w:tcPr>
                  <w:tcW w:w="12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1.48</w:t>
                  </w:r>
                </w:p>
              </w:tc>
              <w:tc>
                <w:tcPr>
                  <w:tcW w:w="1476"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1.44</w:t>
                  </w:r>
                </w:p>
              </w:tc>
              <w:tc>
                <w:tcPr>
                  <w:tcW w:w="14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1.42</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r>
                    <w:rPr>
                      <w:rFonts w:ascii="Times New Roman" w:hAnsi="Times New Roman"/>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1.48</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1.44</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1.42</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bCs/>
                    </w:rPr>
                    <w:t>超标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bCs/>
                    </w:rPr>
                    <w:t>超标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bCs/>
                    </w:rPr>
                    <w:t>超标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0.48</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0.44</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0.42</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5"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r>
                    <w:rPr>
                      <w:rFonts w:hint="eastAsia" w:ascii="Times New Roman" w:hAnsi="Times New Roman"/>
                      <w:kern w:val="0"/>
                      <w:szCs w:val="21"/>
                    </w:rPr>
                    <w:t>阴离子表面活性剂</w:t>
                  </w:r>
                </w:p>
              </w:tc>
              <w:tc>
                <w:tcPr>
                  <w:tcW w:w="1679"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代表值</w:t>
                  </w:r>
                </w:p>
              </w:tc>
              <w:tc>
                <w:tcPr>
                  <w:tcW w:w="12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0.1</w:t>
                  </w:r>
                </w:p>
              </w:tc>
              <w:tc>
                <w:tcPr>
                  <w:tcW w:w="1476"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0.11</w:t>
                  </w:r>
                </w:p>
              </w:tc>
              <w:tc>
                <w:tcPr>
                  <w:tcW w:w="14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0.12</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r>
                    <w:rPr>
                      <w:rFonts w:ascii="Times New Roman" w:hAnsi="Times New Roman"/>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0.5</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0.55</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0.6</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5"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276"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r>
                    <w:rPr>
                      <w:rFonts w:hint="eastAsia" w:ascii="Times New Roman" w:hAnsi="Times New Roman"/>
                      <w:kern w:val="0"/>
                      <w:szCs w:val="21"/>
                    </w:rPr>
                    <w:t>粪大肠菌群</w:t>
                  </w:r>
                </w:p>
              </w:tc>
              <w:tc>
                <w:tcPr>
                  <w:tcW w:w="1679"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代表值</w:t>
                  </w:r>
                </w:p>
              </w:tc>
              <w:tc>
                <w:tcPr>
                  <w:tcW w:w="12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2600</w:t>
                  </w:r>
                </w:p>
              </w:tc>
              <w:tc>
                <w:tcPr>
                  <w:tcW w:w="1476"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3000</w:t>
                  </w:r>
                </w:p>
              </w:tc>
              <w:tc>
                <w:tcPr>
                  <w:tcW w:w="1492" w:type="dxa"/>
                  <w:tcBorders>
                    <w:top w:val="single" w:color="auto" w:sz="12"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2800</w:t>
                  </w:r>
                </w:p>
              </w:tc>
              <w:tc>
                <w:tcPr>
                  <w:tcW w:w="1883" w:type="dxa"/>
                  <w:vMerge w:val="restart"/>
                  <w:tcBorders>
                    <w:top w:val="single" w:color="auto" w:sz="12"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r>
                    <w:rPr>
                      <w:rFonts w:ascii="Times New Roman" w:hAnsi="Times New Roman"/>
                      <w:kern w:val="0"/>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标准指数</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0.26</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0.3</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eastAsia="等线"/>
                      <w:szCs w:val="21"/>
                    </w:rPr>
                    <w:t>0.28</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 w:hRule="atLeast"/>
              </w:trPr>
              <w:tc>
                <w:tcPr>
                  <w:tcW w:w="1276"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达标情况</w:t>
                  </w:r>
                </w:p>
              </w:tc>
              <w:tc>
                <w:tcPr>
                  <w:tcW w:w="12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476"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492" w:type="dxa"/>
                  <w:tcBorders>
                    <w:top w:val="single" w:color="auto" w:sz="6" w:space="0"/>
                    <w:left w:val="single" w:color="auto" w:sz="6" w:space="0"/>
                    <w:bottom w:val="single" w:color="auto" w:sz="6"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bCs/>
                    </w:rPr>
                    <w:t>达标</w:t>
                  </w:r>
                </w:p>
              </w:tc>
              <w:tc>
                <w:tcPr>
                  <w:tcW w:w="1883"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trPr>
              <w:tc>
                <w:tcPr>
                  <w:tcW w:w="1276"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kern w:val="0"/>
                      <w:szCs w:val="21"/>
                    </w:rPr>
                  </w:pPr>
                </w:p>
              </w:tc>
              <w:tc>
                <w:tcPr>
                  <w:tcW w:w="1679"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hint="eastAsia" w:ascii="Times New Roman" w:hAnsi="Times New Roman"/>
                    </w:rPr>
                    <w:t>最大超标倍数</w:t>
                  </w:r>
                </w:p>
              </w:tc>
              <w:tc>
                <w:tcPr>
                  <w:tcW w:w="12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76"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492" w:type="dxa"/>
                  <w:tcBorders>
                    <w:top w:val="single" w:color="auto" w:sz="6" w:space="0"/>
                    <w:left w:val="single" w:color="auto" w:sz="6" w:space="0"/>
                    <w:bottom w:val="single" w:color="auto" w:sz="12" w:space="0"/>
                    <w:right w:val="single" w:color="auto" w:sz="6" w:space="0"/>
                  </w:tcBorders>
                  <w:vAlign w:val="center"/>
                </w:tcPr>
                <w:p>
                  <w:pPr>
                    <w:spacing w:line="240" w:lineRule="atLeast"/>
                    <w:ind w:left="-105" w:leftChars="-50" w:right="-105" w:rightChars="-50"/>
                    <w:jc w:val="center"/>
                    <w:rPr>
                      <w:rFonts w:ascii="Times New Roman" w:hAnsi="Times New Roman"/>
                    </w:rPr>
                  </w:pPr>
                  <w:r>
                    <w:rPr>
                      <w:rFonts w:ascii="Times New Roman" w:hAnsi="Times New Roman"/>
                    </w:rPr>
                    <w:t>/</w:t>
                  </w:r>
                </w:p>
              </w:tc>
              <w:tc>
                <w:tcPr>
                  <w:tcW w:w="1883"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atLeast"/>
                    <w:ind w:right="-105" w:rightChars="-50"/>
                    <w:jc w:val="center"/>
                    <w:rPr>
                      <w:rFonts w:ascii="Times New Roman" w:hAnsi="Times New Roman"/>
                      <w:kern w:val="0"/>
                      <w:szCs w:val="21"/>
                    </w:rPr>
                  </w:pPr>
                </w:p>
              </w:tc>
            </w:tr>
          </w:tbl>
          <w:p>
            <w:pPr>
              <w:pStyle w:val="114"/>
            </w:pPr>
            <w:r>
              <w:rPr>
                <w:rFonts w:hint="eastAsia"/>
              </w:rPr>
              <w:t>从表</w:t>
            </w:r>
            <w:r>
              <w:t>3-7</w:t>
            </w:r>
            <w:r>
              <w:rPr>
                <w:rFonts w:hint="eastAsia"/>
              </w:rPr>
              <w:t>中评价结果可知，监测期间，</w:t>
            </w:r>
            <w:r>
              <w:t>pH</w:t>
            </w:r>
            <w:r>
              <w:rPr>
                <w:rFonts w:hint="eastAsia"/>
              </w:rPr>
              <w:t>、</w:t>
            </w:r>
            <w:r>
              <w:rPr>
                <w:kern w:val="0"/>
                <w:szCs w:val="21"/>
              </w:rPr>
              <w:t>NH</w:t>
            </w:r>
            <w:r>
              <w:rPr>
                <w:kern w:val="0"/>
                <w:szCs w:val="21"/>
                <w:vertAlign w:val="subscript"/>
              </w:rPr>
              <w:t>3</w:t>
            </w:r>
            <w:r>
              <w:rPr>
                <w:kern w:val="0"/>
                <w:szCs w:val="21"/>
              </w:rPr>
              <w:t>-N</w:t>
            </w:r>
            <w:r>
              <w:rPr>
                <w:rFonts w:hint="eastAsia"/>
              </w:rPr>
              <w:t>、</w:t>
            </w:r>
            <w:r>
              <w:rPr>
                <w:kern w:val="0"/>
                <w:szCs w:val="21"/>
              </w:rPr>
              <w:t>SS</w:t>
            </w:r>
            <w:r>
              <w:rPr>
                <w:rFonts w:hint="eastAsia"/>
              </w:rPr>
              <w:t>、</w:t>
            </w:r>
            <w:r>
              <w:rPr>
                <w:kern w:val="0"/>
                <w:szCs w:val="21"/>
              </w:rPr>
              <w:t>TN</w:t>
            </w:r>
            <w:r>
              <w:rPr>
                <w:rFonts w:hint="eastAsia"/>
              </w:rPr>
              <w:t>、</w:t>
            </w:r>
            <w:r>
              <w:rPr>
                <w:rFonts w:hint="eastAsia"/>
                <w:kern w:val="0"/>
                <w:szCs w:val="21"/>
              </w:rPr>
              <w:t>阴离子表面活性剂、粪大肠菌群等</w:t>
            </w:r>
            <w:r>
              <w:rPr>
                <w:kern w:val="0"/>
                <w:szCs w:val="21"/>
              </w:rPr>
              <w:t>6</w:t>
            </w:r>
            <w:r>
              <w:rPr>
                <w:rFonts w:hint="eastAsia"/>
                <w:kern w:val="0"/>
                <w:szCs w:val="21"/>
              </w:rPr>
              <w:t>项</w:t>
            </w:r>
            <w:r>
              <w:rPr>
                <w:rFonts w:hint="eastAsia"/>
              </w:rPr>
              <w:t>因子各断面监测结果均</w:t>
            </w:r>
            <w:r>
              <w:rPr>
                <w:rFonts w:hint="eastAsia"/>
                <w:caps/>
              </w:rPr>
              <w:t>满足</w:t>
            </w:r>
            <w:r>
              <w:rPr>
                <w:rFonts w:hint="eastAsia"/>
              </w:rPr>
              <w:t>《地表水环境质量标准》</w:t>
            </w:r>
            <w:r>
              <w:t>GB3838-2002</w:t>
            </w:r>
            <w:r>
              <w:rPr>
                <w:rFonts w:hint="eastAsia"/>
              </w:rPr>
              <w:t>Ⅲ类标准要求，</w:t>
            </w:r>
            <w:r>
              <w:t>DO</w:t>
            </w:r>
            <w:r>
              <w:rPr>
                <w:rFonts w:hint="eastAsia"/>
              </w:rPr>
              <w:t>、</w:t>
            </w:r>
            <w:r>
              <w:t>COD</w:t>
            </w:r>
            <w:r>
              <w:rPr>
                <w:rFonts w:hint="eastAsia"/>
              </w:rPr>
              <w:t>、</w:t>
            </w:r>
            <w:r>
              <w:t>BOD</w:t>
            </w:r>
            <w:r>
              <w:rPr>
                <w:vertAlign w:val="subscript"/>
              </w:rPr>
              <w:t>5</w:t>
            </w:r>
            <w:r>
              <w:rPr>
                <w:rFonts w:hint="eastAsia"/>
              </w:rPr>
              <w:t>、</w:t>
            </w:r>
            <w:r>
              <w:t>TP</w:t>
            </w:r>
            <w:r>
              <w:rPr>
                <w:rFonts w:hint="eastAsia"/>
              </w:rPr>
              <w:t>、</w:t>
            </w:r>
            <w:r>
              <w:t>TN</w:t>
            </w:r>
            <w:r>
              <w:rPr>
                <w:rFonts w:hint="eastAsia"/>
              </w:rPr>
              <w:t>等</w:t>
            </w:r>
            <w:r>
              <w:t>5</w:t>
            </w:r>
            <w:r>
              <w:rPr>
                <w:rFonts w:hint="eastAsia"/>
              </w:rPr>
              <w:t>项因子各断面监测结果均存在不同程度超标现象，其超标原因主要为河流上游沿线农业污染农业面源污染。</w:t>
            </w:r>
          </w:p>
          <w:p>
            <w:pPr>
              <w:snapToGrid w:val="0"/>
              <w:spacing w:line="360" w:lineRule="auto"/>
              <w:contextualSpacing/>
              <w:rPr>
                <w:rFonts w:ascii="Times New Roman" w:hAnsi="Times New Roman"/>
                <w:b/>
                <w:sz w:val="24"/>
              </w:rPr>
            </w:pPr>
            <w:r>
              <w:rPr>
                <w:rFonts w:hint="eastAsia" w:ascii="Times New Roman" w:hAnsi="Times New Roman"/>
                <w:b/>
                <w:sz w:val="24"/>
              </w:rPr>
              <w:t>三、地下水环境质量</w:t>
            </w:r>
          </w:p>
          <w:p>
            <w:pPr>
              <w:pStyle w:val="114"/>
              <w:rPr>
                <w:shd w:val="clear" w:color="auto" w:fill="FFFFFF"/>
              </w:rPr>
            </w:pPr>
            <w:r>
              <w:rPr>
                <w:shd w:val="clear" w:color="auto" w:fill="FFFFFF"/>
              </w:rPr>
              <w:t>1</w:t>
            </w:r>
            <w:r>
              <w:rPr>
                <w:rFonts w:hint="eastAsia"/>
                <w:shd w:val="clear" w:color="auto" w:fill="FFFFFF"/>
              </w:rPr>
              <w:t>、监测点布置</w:t>
            </w:r>
          </w:p>
          <w:p>
            <w:pPr>
              <w:pStyle w:val="114"/>
              <w:rPr>
                <w:shd w:val="clear" w:color="auto" w:fill="FFFFFF"/>
              </w:rPr>
            </w:pPr>
            <w:r>
              <w:rPr>
                <w:rFonts w:hint="eastAsia"/>
                <w:shd w:val="clear" w:color="auto" w:fill="FFFFFF"/>
              </w:rPr>
              <w:t>根据导则要求，地下水环境现状监测点采用控制性布点与功能性布点相结合的布设原则。监测点应主要布设在建设项目场地、周围环境敏感点、地下水污染源以及确定边界条件有控制意义的地方。</w:t>
            </w:r>
          </w:p>
          <w:p>
            <w:pPr>
              <w:pStyle w:val="114"/>
              <w:rPr>
                <w:shd w:val="clear" w:color="auto" w:fill="FFFFFF"/>
              </w:rPr>
            </w:pPr>
            <w:r>
              <w:rPr>
                <w:rFonts w:hint="eastAsia"/>
                <w:shd w:val="clear" w:color="auto" w:fill="FFFFFF"/>
              </w:rPr>
              <w:t>三级评价评价项目潜水含水层水质监测点不应少于</w:t>
            </w:r>
            <w:r>
              <w:rPr>
                <w:shd w:val="clear" w:color="auto" w:fill="FFFFFF"/>
              </w:rPr>
              <w:t>3</w:t>
            </w:r>
            <w:r>
              <w:rPr>
                <w:rFonts w:hint="eastAsia"/>
                <w:shd w:val="clear" w:color="auto" w:fill="FFFFFF"/>
              </w:rPr>
              <w:t>个，可能受建设项目影响且具有饮用水开发利用价值的含水层</w:t>
            </w:r>
            <w:r>
              <w:rPr>
                <w:shd w:val="clear" w:color="auto" w:fill="FFFFFF"/>
              </w:rPr>
              <w:t>1-2</w:t>
            </w:r>
            <w:r>
              <w:rPr>
                <w:rFonts w:hint="eastAsia"/>
                <w:shd w:val="clear" w:color="auto" w:fill="FFFFFF"/>
              </w:rPr>
              <w:t>个。原则上建设项目场地上游及下游影响区的地下水水质监测点各不得少于</w:t>
            </w:r>
            <w:r>
              <w:rPr>
                <w:shd w:val="clear" w:color="auto" w:fill="FFFFFF"/>
              </w:rPr>
              <w:t>1</w:t>
            </w:r>
            <w:r>
              <w:rPr>
                <w:rFonts w:hint="eastAsia"/>
                <w:shd w:val="clear" w:color="auto" w:fill="FFFFFF"/>
              </w:rPr>
              <w:t>个。</w:t>
            </w:r>
          </w:p>
          <w:p>
            <w:pPr>
              <w:pStyle w:val="114"/>
              <w:rPr>
                <w:shd w:val="clear" w:color="auto" w:fill="FFFFFF"/>
              </w:rPr>
            </w:pPr>
            <w:r>
              <w:rPr>
                <w:rFonts w:hint="eastAsia"/>
                <w:shd w:val="clear" w:color="auto" w:fill="FFFFFF"/>
              </w:rPr>
              <w:t>本次在项目区上、下游及侧向各布设</w:t>
            </w:r>
            <w:r>
              <w:rPr>
                <w:shd w:val="clear" w:color="auto" w:fill="FFFFFF"/>
              </w:rPr>
              <w:t>1</w:t>
            </w:r>
            <w:r>
              <w:rPr>
                <w:rFonts w:hint="eastAsia"/>
                <w:shd w:val="clear" w:color="auto" w:fill="FFFFFF"/>
              </w:rPr>
              <w:t>个监测点，对潜水含水层的水质水位进行监测，同时，在厂区周边设置了</w:t>
            </w:r>
            <w:r>
              <w:rPr>
                <w:shd w:val="clear" w:color="auto" w:fill="FFFFFF"/>
              </w:rPr>
              <w:t>3</w:t>
            </w:r>
            <w:r>
              <w:rPr>
                <w:rFonts w:hint="eastAsia"/>
                <w:shd w:val="clear" w:color="auto" w:fill="FFFFFF"/>
              </w:rPr>
              <w:t>个地下水水位监测点。监测点布设见表</w:t>
            </w:r>
            <w:r>
              <w:rPr>
                <w:shd w:val="clear" w:color="auto" w:fill="FFFFFF"/>
              </w:rPr>
              <w:t>3-10</w:t>
            </w:r>
            <w:r>
              <w:rPr>
                <w:rFonts w:hint="eastAsia"/>
                <w:shd w:val="clear" w:color="auto" w:fill="FFFFFF"/>
              </w:rPr>
              <w:t>、图</w:t>
            </w:r>
            <w:r>
              <w:rPr>
                <w:shd w:val="clear" w:color="auto" w:fill="FFFFFF"/>
              </w:rPr>
              <w:t>20</w:t>
            </w:r>
            <w:r>
              <w:rPr>
                <w:rFonts w:hint="eastAsia"/>
                <w:shd w:val="clear" w:color="auto" w:fill="FFFFFF"/>
              </w:rPr>
              <w:t>所示。</w:t>
            </w:r>
          </w:p>
          <w:p>
            <w:pPr>
              <w:pStyle w:val="111"/>
            </w:pPr>
            <w:r>
              <w:rPr>
                <w:rFonts w:hint="eastAsia"/>
              </w:rPr>
              <w:t>表</w:t>
            </w:r>
            <w:r>
              <w:t xml:space="preserve">3-10  </w:t>
            </w:r>
            <w:r>
              <w:rPr>
                <w:rFonts w:hint="eastAsia"/>
              </w:rPr>
              <w:t>地下水监测点位</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4"/>
              <w:gridCol w:w="868"/>
              <w:gridCol w:w="870"/>
              <w:gridCol w:w="1738"/>
              <w:gridCol w:w="1159"/>
              <w:gridCol w:w="724"/>
              <w:gridCol w:w="29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84" w:type="dxa"/>
                  <w:tcBorders>
                    <w:top w:val="single" w:color="auto" w:sz="12" w:space="0"/>
                    <w:left w:val="single" w:color="auto" w:sz="12" w:space="0"/>
                    <w:bottom w:val="double" w:color="auto" w:sz="4" w:space="0"/>
                    <w:right w:val="single" w:color="auto" w:sz="6" w:space="0"/>
                  </w:tcBorders>
                  <w:vAlign w:val="center"/>
                </w:tcPr>
                <w:p>
                  <w:pPr>
                    <w:pStyle w:val="109"/>
                    <w:rPr>
                      <w:b/>
                      <w:bCs/>
                      <w:color w:val="auto"/>
                    </w:rPr>
                  </w:pPr>
                  <w:r>
                    <w:rPr>
                      <w:rFonts w:hint="eastAsia"/>
                      <w:b/>
                      <w:bCs/>
                      <w:color w:val="auto"/>
                    </w:rPr>
                    <w:t>编号</w:t>
                  </w:r>
                </w:p>
              </w:tc>
              <w:tc>
                <w:tcPr>
                  <w:tcW w:w="868"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rFonts w:hint="eastAsia"/>
                      <w:b/>
                      <w:bCs/>
                      <w:color w:val="auto"/>
                    </w:rPr>
                    <w:t>项目</w:t>
                  </w:r>
                </w:p>
              </w:tc>
              <w:tc>
                <w:tcPr>
                  <w:tcW w:w="870"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rFonts w:hint="eastAsia"/>
                      <w:b/>
                      <w:bCs/>
                      <w:color w:val="auto"/>
                    </w:rPr>
                    <w:t>监测点</w:t>
                  </w:r>
                </w:p>
                <w:p>
                  <w:pPr>
                    <w:pStyle w:val="109"/>
                    <w:rPr>
                      <w:b/>
                      <w:bCs/>
                      <w:color w:val="auto"/>
                    </w:rPr>
                  </w:pPr>
                  <w:r>
                    <w:rPr>
                      <w:rFonts w:hint="eastAsia"/>
                      <w:b/>
                      <w:bCs/>
                      <w:color w:val="auto"/>
                    </w:rPr>
                    <w:t>类型</w:t>
                  </w:r>
                </w:p>
              </w:tc>
              <w:tc>
                <w:tcPr>
                  <w:tcW w:w="1738"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rFonts w:hint="eastAsia"/>
                      <w:b/>
                      <w:bCs/>
                      <w:color w:val="auto"/>
                    </w:rPr>
                    <w:t>监测点位</w:t>
                  </w:r>
                </w:p>
              </w:tc>
              <w:tc>
                <w:tcPr>
                  <w:tcW w:w="1159"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rFonts w:hint="eastAsia"/>
                      <w:b/>
                      <w:bCs/>
                      <w:color w:val="auto"/>
                    </w:rPr>
                    <w:t>水位标高</w:t>
                  </w:r>
                </w:p>
                <w:p>
                  <w:pPr>
                    <w:pStyle w:val="109"/>
                    <w:rPr>
                      <w:b/>
                      <w:bCs/>
                      <w:color w:val="auto"/>
                    </w:rPr>
                  </w:pPr>
                  <w:r>
                    <w:rPr>
                      <w:rFonts w:hint="eastAsia"/>
                      <w:b/>
                      <w:bCs/>
                      <w:color w:val="auto"/>
                    </w:rPr>
                    <w:t>（</w:t>
                  </w:r>
                  <w:r>
                    <w:rPr>
                      <w:b/>
                      <w:bCs/>
                      <w:color w:val="auto"/>
                    </w:rPr>
                    <w:t>m</w:t>
                  </w:r>
                  <w:r>
                    <w:rPr>
                      <w:rFonts w:hint="eastAsia"/>
                      <w:b/>
                      <w:bCs/>
                      <w:color w:val="auto"/>
                    </w:rPr>
                    <w:t>）</w:t>
                  </w:r>
                </w:p>
              </w:tc>
              <w:tc>
                <w:tcPr>
                  <w:tcW w:w="724" w:type="dxa"/>
                  <w:tcBorders>
                    <w:top w:val="single" w:color="auto" w:sz="12" w:space="0"/>
                    <w:left w:val="single" w:color="auto" w:sz="6" w:space="0"/>
                    <w:bottom w:val="double" w:color="auto" w:sz="4" w:space="0"/>
                    <w:right w:val="single" w:color="auto" w:sz="6" w:space="0"/>
                  </w:tcBorders>
                  <w:vAlign w:val="center"/>
                </w:tcPr>
                <w:p>
                  <w:pPr>
                    <w:spacing w:line="240" w:lineRule="exact"/>
                    <w:jc w:val="center"/>
                    <w:rPr>
                      <w:rFonts w:ascii="Times New Roman" w:hAnsi="Times New Roman"/>
                      <w:b/>
                      <w:bCs/>
                      <w:szCs w:val="21"/>
                    </w:rPr>
                  </w:pPr>
                  <w:r>
                    <w:rPr>
                      <w:rFonts w:hint="eastAsia" w:ascii="Times New Roman" w:hAnsi="Times New Roman"/>
                      <w:b/>
                      <w:bCs/>
                      <w:szCs w:val="21"/>
                    </w:rPr>
                    <w:t>监测</w:t>
                  </w:r>
                </w:p>
                <w:p>
                  <w:pPr>
                    <w:spacing w:line="240" w:lineRule="exact"/>
                    <w:jc w:val="center"/>
                    <w:rPr>
                      <w:rFonts w:ascii="Times New Roman" w:hAnsi="Times New Roman"/>
                      <w:b/>
                      <w:bCs/>
                      <w:szCs w:val="21"/>
                    </w:rPr>
                  </w:pPr>
                  <w:r>
                    <w:rPr>
                      <w:rFonts w:hint="eastAsia" w:ascii="Times New Roman" w:hAnsi="Times New Roman"/>
                      <w:b/>
                      <w:bCs/>
                      <w:szCs w:val="21"/>
                    </w:rPr>
                    <w:t>层位</w:t>
                  </w:r>
                </w:p>
              </w:tc>
              <w:tc>
                <w:tcPr>
                  <w:tcW w:w="2955" w:type="dxa"/>
                  <w:tcBorders>
                    <w:top w:val="single" w:color="auto" w:sz="12" w:space="0"/>
                    <w:left w:val="single" w:color="auto" w:sz="6" w:space="0"/>
                    <w:bottom w:val="double" w:color="auto" w:sz="4" w:space="0"/>
                    <w:right w:val="single" w:color="auto" w:sz="12" w:space="0"/>
                  </w:tcBorders>
                  <w:vAlign w:val="center"/>
                </w:tcPr>
                <w:p>
                  <w:pPr>
                    <w:spacing w:line="240" w:lineRule="exact"/>
                    <w:jc w:val="center"/>
                    <w:rPr>
                      <w:rFonts w:ascii="Times New Roman" w:hAnsi="Times New Roman"/>
                      <w:b/>
                      <w:bCs/>
                      <w:szCs w:val="21"/>
                    </w:rPr>
                  </w:pPr>
                  <w:r>
                    <w:rPr>
                      <w:rFonts w:hint="eastAsia" w:ascii="Times New Roman" w:hAnsi="Times New Roman"/>
                      <w:b/>
                      <w:bCs/>
                      <w:szCs w:val="21"/>
                    </w:rPr>
                    <w:t>监测因子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82" w:hRule="atLeast"/>
                <w:jc w:val="center"/>
              </w:trPr>
              <w:tc>
                <w:tcPr>
                  <w:tcW w:w="784" w:type="dxa"/>
                  <w:tcBorders>
                    <w:top w:val="double" w:color="auto" w:sz="4" w:space="0"/>
                    <w:left w:val="single" w:color="auto" w:sz="12" w:space="0"/>
                    <w:bottom w:val="single" w:color="auto" w:sz="6" w:space="0"/>
                    <w:right w:val="single" w:color="auto" w:sz="6" w:space="0"/>
                  </w:tcBorders>
                  <w:vAlign w:val="center"/>
                </w:tcPr>
                <w:p>
                  <w:pPr>
                    <w:pStyle w:val="109"/>
                    <w:rPr>
                      <w:color w:val="auto"/>
                    </w:rPr>
                  </w:pPr>
                  <w:r>
                    <w:rPr>
                      <w:color w:val="auto"/>
                    </w:rPr>
                    <w:t>GW1</w:t>
                  </w:r>
                </w:p>
              </w:tc>
              <w:tc>
                <w:tcPr>
                  <w:tcW w:w="868" w:type="dxa"/>
                  <w:vMerge w:val="restart"/>
                  <w:tcBorders>
                    <w:top w:val="double" w:color="auto" w:sz="4" w:space="0"/>
                    <w:left w:val="single" w:color="auto" w:sz="6" w:space="0"/>
                    <w:bottom w:val="single" w:color="auto" w:sz="6" w:space="0"/>
                    <w:right w:val="single" w:color="auto" w:sz="6" w:space="0"/>
                  </w:tcBorders>
                  <w:vAlign w:val="center"/>
                </w:tcPr>
                <w:p>
                  <w:pPr>
                    <w:pStyle w:val="109"/>
                    <w:rPr>
                      <w:color w:val="auto"/>
                    </w:rPr>
                  </w:pPr>
                  <w:r>
                    <w:rPr>
                      <w:rFonts w:hint="eastAsia"/>
                      <w:color w:val="auto"/>
                    </w:rPr>
                    <w:t>水质</w:t>
                  </w:r>
                </w:p>
                <w:p>
                  <w:pPr>
                    <w:pStyle w:val="109"/>
                    <w:rPr>
                      <w:color w:val="auto"/>
                    </w:rPr>
                  </w:pPr>
                  <w:r>
                    <w:rPr>
                      <w:rFonts w:hint="eastAsia"/>
                      <w:color w:val="auto"/>
                    </w:rPr>
                    <w:t>水位</w:t>
                  </w:r>
                </w:p>
                <w:p>
                  <w:pPr>
                    <w:pStyle w:val="109"/>
                    <w:rPr>
                      <w:color w:val="auto"/>
                    </w:rPr>
                  </w:pPr>
                  <w:r>
                    <w:rPr>
                      <w:rFonts w:hint="eastAsia"/>
                      <w:color w:val="auto"/>
                    </w:rPr>
                    <w:t>监测点</w:t>
                  </w:r>
                </w:p>
              </w:tc>
              <w:tc>
                <w:tcPr>
                  <w:tcW w:w="870" w:type="dxa"/>
                  <w:vMerge w:val="restart"/>
                  <w:tcBorders>
                    <w:top w:val="double" w:color="auto" w:sz="4" w:space="0"/>
                    <w:left w:val="single" w:color="auto" w:sz="6" w:space="0"/>
                    <w:bottom w:val="single" w:color="auto" w:sz="6" w:space="0"/>
                    <w:right w:val="single" w:color="auto" w:sz="6" w:space="0"/>
                  </w:tcBorders>
                  <w:vAlign w:val="center"/>
                </w:tcPr>
                <w:p>
                  <w:pPr>
                    <w:pStyle w:val="109"/>
                    <w:rPr>
                      <w:color w:val="auto"/>
                    </w:rPr>
                  </w:pPr>
                  <w:r>
                    <w:rPr>
                      <w:rFonts w:hint="eastAsia"/>
                      <w:color w:val="auto"/>
                    </w:rPr>
                    <w:t>现有</w:t>
                  </w:r>
                </w:p>
                <w:p>
                  <w:pPr>
                    <w:pStyle w:val="109"/>
                    <w:rPr>
                      <w:color w:val="auto"/>
                    </w:rPr>
                  </w:pPr>
                  <w:r>
                    <w:rPr>
                      <w:rFonts w:hint="eastAsia"/>
                      <w:color w:val="auto"/>
                    </w:rPr>
                    <w:t>民井</w:t>
                  </w:r>
                </w:p>
              </w:tc>
              <w:tc>
                <w:tcPr>
                  <w:tcW w:w="1738"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rFonts w:hint="eastAsia"/>
                      <w:color w:val="auto"/>
                    </w:rPr>
                    <w:t>污水处理厂侧向</w:t>
                  </w:r>
                </w:p>
                <w:p>
                  <w:pPr>
                    <w:pStyle w:val="109"/>
                    <w:rPr>
                      <w:color w:val="auto"/>
                    </w:rPr>
                  </w:pPr>
                  <w:r>
                    <w:rPr>
                      <w:rFonts w:hint="eastAsia"/>
                      <w:color w:val="auto"/>
                    </w:rPr>
                    <w:t>仙屯村</w:t>
                  </w:r>
                </w:p>
              </w:tc>
              <w:tc>
                <w:tcPr>
                  <w:tcW w:w="1159"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17.50</w:t>
                  </w:r>
                </w:p>
              </w:tc>
              <w:tc>
                <w:tcPr>
                  <w:tcW w:w="724" w:type="dxa"/>
                  <w:vMerge w:val="restart"/>
                  <w:tcBorders>
                    <w:top w:val="double" w:color="auto" w:sz="4" w:space="0"/>
                    <w:left w:val="single" w:color="auto" w:sz="6" w:space="0"/>
                    <w:bottom w:val="single" w:color="auto" w:sz="6" w:space="0"/>
                    <w:right w:val="single" w:color="auto" w:sz="6" w:space="0"/>
                  </w:tcBorders>
                  <w:vAlign w:val="center"/>
                </w:tcPr>
                <w:p>
                  <w:pPr>
                    <w:spacing w:line="240" w:lineRule="exact"/>
                    <w:jc w:val="center"/>
                    <w:rPr>
                      <w:rFonts w:ascii="Times New Roman" w:hAnsi="Times New Roman"/>
                      <w:szCs w:val="21"/>
                    </w:rPr>
                  </w:pPr>
                  <w:r>
                    <w:rPr>
                      <w:rFonts w:hint="eastAsia" w:ascii="Times New Roman" w:hAnsi="Times New Roman"/>
                      <w:szCs w:val="21"/>
                    </w:rPr>
                    <w:t>潜水</w:t>
                  </w:r>
                </w:p>
                <w:p>
                  <w:pPr>
                    <w:spacing w:line="240" w:lineRule="exact"/>
                    <w:jc w:val="center"/>
                    <w:rPr>
                      <w:rFonts w:ascii="Times New Roman" w:hAnsi="Times New Roman"/>
                      <w:szCs w:val="21"/>
                    </w:rPr>
                  </w:pPr>
                  <w:r>
                    <w:rPr>
                      <w:rFonts w:hint="eastAsia" w:ascii="Times New Roman" w:hAnsi="Times New Roman"/>
                      <w:szCs w:val="21"/>
                    </w:rPr>
                    <w:t>含水层</w:t>
                  </w:r>
                </w:p>
              </w:tc>
              <w:tc>
                <w:tcPr>
                  <w:tcW w:w="2955" w:type="dxa"/>
                  <w:vMerge w:val="restart"/>
                  <w:tcBorders>
                    <w:top w:val="double" w:color="auto" w:sz="4" w:space="0"/>
                    <w:left w:val="single" w:color="auto" w:sz="6" w:space="0"/>
                    <w:bottom w:val="single" w:color="auto" w:sz="6" w:space="0"/>
                    <w:right w:val="single" w:color="auto" w:sz="12" w:space="0"/>
                  </w:tcBorders>
                  <w:vAlign w:val="center"/>
                </w:tcPr>
                <w:p>
                  <w:pPr>
                    <w:rPr>
                      <w:rFonts w:ascii="Times New Roman" w:hAnsi="Times New Roman"/>
                      <w:szCs w:val="21"/>
                    </w:rPr>
                  </w:pPr>
                  <w:r>
                    <w:rPr>
                      <w:rFonts w:ascii="Times New Roman" w:hAnsi="Times New Roman"/>
                      <w:szCs w:val="21"/>
                    </w:rPr>
                    <w:t>K</w:t>
                  </w:r>
                  <w:r>
                    <w:rPr>
                      <w:rFonts w:ascii="Times New Roman" w:hAnsi="Times New Roman"/>
                      <w:szCs w:val="21"/>
                      <w:vertAlign w:val="superscript"/>
                    </w:rPr>
                    <w:t>+</w:t>
                  </w:r>
                  <w:r>
                    <w:rPr>
                      <w:rFonts w:hint="eastAsia" w:ascii="Times New Roman" w:hAnsi="Times New Roman"/>
                      <w:szCs w:val="21"/>
                    </w:rPr>
                    <w:t>、</w:t>
                  </w:r>
                  <w:r>
                    <w:rPr>
                      <w:rFonts w:ascii="Times New Roman" w:hAnsi="Times New Roman"/>
                      <w:szCs w:val="21"/>
                    </w:rPr>
                    <w:t>Ca</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Na</w:t>
                  </w:r>
                  <w:r>
                    <w:rPr>
                      <w:rFonts w:ascii="Times New Roman" w:hAnsi="Times New Roman"/>
                      <w:szCs w:val="21"/>
                      <w:vertAlign w:val="superscript"/>
                    </w:rPr>
                    <w:t>+</w:t>
                  </w:r>
                  <w:r>
                    <w:rPr>
                      <w:rFonts w:hint="eastAsia" w:ascii="Times New Roman" w:hAnsi="Times New Roman"/>
                      <w:szCs w:val="21"/>
                    </w:rPr>
                    <w:t>、</w:t>
                  </w:r>
                  <w:r>
                    <w:rPr>
                      <w:rFonts w:ascii="Times New Roman" w:hAnsi="Times New Roman"/>
                      <w:szCs w:val="21"/>
                    </w:rPr>
                    <w:t>Mg</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CO</w:t>
                  </w:r>
                  <w:r>
                    <w:rPr>
                      <w:rFonts w:ascii="Times New Roman" w:hAnsi="Times New Roman"/>
                      <w:szCs w:val="21"/>
                      <w:vertAlign w:val="subscript"/>
                    </w:rPr>
                    <w:t>3</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HCO</w:t>
                  </w:r>
                  <w:r>
                    <w:rPr>
                      <w:rFonts w:ascii="Times New Roman" w:hAnsi="Times New Roman"/>
                      <w:szCs w:val="21"/>
                      <w:vertAlign w:val="subscript"/>
                    </w:rPr>
                    <w:t>3</w:t>
                  </w:r>
                  <w:r>
                    <w:rPr>
                      <w:rFonts w:ascii="Times New Roman" w:hAnsi="Times New Roman"/>
                      <w:szCs w:val="21"/>
                      <w:vertAlign w:val="superscript"/>
                    </w:rPr>
                    <w:t>-</w:t>
                  </w:r>
                  <w:r>
                    <w:rPr>
                      <w:rFonts w:hint="eastAsia" w:ascii="Times New Roman" w:hAnsi="Times New Roman"/>
                      <w:szCs w:val="21"/>
                    </w:rPr>
                    <w:t>、</w:t>
                  </w:r>
                  <w:r>
                    <w:rPr>
                      <w:rFonts w:ascii="Times New Roman" w:hAnsi="Times New Roman"/>
                      <w:szCs w:val="21"/>
                    </w:rPr>
                    <w:t>Cl</w:t>
                  </w:r>
                  <w:r>
                    <w:rPr>
                      <w:rFonts w:ascii="Times New Roman" w:hAnsi="Times New Roman"/>
                      <w:szCs w:val="21"/>
                      <w:vertAlign w:val="superscript"/>
                    </w:rPr>
                    <w:t>-</w:t>
                  </w:r>
                  <w:r>
                    <w:rPr>
                      <w:rFonts w:hint="eastAsia" w:ascii="Times New Roman" w:hAnsi="Times New Roman"/>
                      <w:szCs w:val="21"/>
                    </w:rPr>
                    <w:t>、</w:t>
                  </w:r>
                  <w:r>
                    <w:rPr>
                      <w:rFonts w:ascii="Times New Roman" w:hAnsi="Times New Roman"/>
                      <w:szCs w:val="21"/>
                    </w:rPr>
                    <w:t>SO</w:t>
                  </w:r>
                  <w:r>
                    <w:rPr>
                      <w:rFonts w:ascii="Times New Roman" w:hAnsi="Times New Roman"/>
                      <w:szCs w:val="21"/>
                      <w:vertAlign w:val="subscript"/>
                    </w:rPr>
                    <w:t>4</w:t>
                  </w:r>
                  <w:r>
                    <w:rPr>
                      <w:rFonts w:ascii="Times New Roman" w:hAnsi="Times New Roman"/>
                      <w:szCs w:val="21"/>
                      <w:vertAlign w:val="superscript"/>
                    </w:rPr>
                    <w:t>2-</w:t>
                  </w:r>
                  <w:r>
                    <w:rPr>
                      <w:rFonts w:hint="eastAsia" w:ascii="Times New Roman" w:hAnsi="Times New Roman"/>
                      <w:szCs w:val="21"/>
                    </w:rPr>
                    <w:t>、</w:t>
                  </w:r>
                  <w:r>
                    <w:rPr>
                      <w:rFonts w:ascii="Times New Roman" w:hAnsi="Times New Roman"/>
                      <w:szCs w:val="21"/>
                    </w:rPr>
                    <w:t>pH</w:t>
                  </w:r>
                  <w:r>
                    <w:rPr>
                      <w:rFonts w:hint="eastAsia" w:ascii="Times New Roman" w:hAnsi="Times New Roman"/>
                      <w:szCs w:val="21"/>
                    </w:rPr>
                    <w:t>、氨氮、硝酸盐、亚硝酸盐、挥发性酚类、氰化物、砷、汞、铬（六价）、总硬度、铅、氟、镉、铁、锰、溶解性总固体、总大肠菌群、细菌总数，共</w:t>
                  </w:r>
                  <w:r>
                    <w:rPr>
                      <w:rFonts w:ascii="Times New Roman" w:hAnsi="Times New Roman"/>
                      <w:szCs w:val="21"/>
                    </w:rPr>
                    <w:t>26</w:t>
                  </w:r>
                  <w:r>
                    <w:rPr>
                      <w:rFonts w:hint="eastAsia" w:ascii="Times New Roman" w:hAnsi="Times New Roman"/>
                      <w:szCs w:val="21"/>
                    </w:rPr>
                    <w:t>项。同步监测井深，水位及水温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86" w:hRule="atLeast"/>
                <w:jc w:val="center"/>
              </w:trPr>
              <w:tc>
                <w:tcPr>
                  <w:tcW w:w="78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GW2</w:t>
                  </w:r>
                </w:p>
              </w:tc>
              <w:tc>
                <w:tcPr>
                  <w:tcW w:w="868" w:type="dxa"/>
                  <w:vMerge w:val="continue"/>
                  <w:tcBorders>
                    <w:top w:val="single" w:color="auto" w:sz="6" w:space="0"/>
                    <w:left w:val="single" w:color="auto" w:sz="6" w:space="0"/>
                    <w:bottom w:val="single" w:color="auto" w:sz="6" w:space="0"/>
                    <w:right w:val="single" w:color="auto" w:sz="6" w:space="0"/>
                  </w:tcBorders>
                  <w:vAlign w:val="center"/>
                </w:tcPr>
                <w:p>
                  <w:pPr>
                    <w:pStyle w:val="109"/>
                    <w:rPr>
                      <w:color w:val="auto"/>
                    </w:rPr>
                  </w:pPr>
                </w:p>
              </w:tc>
              <w:tc>
                <w:tcPr>
                  <w:tcW w:w="870" w:type="dxa"/>
                  <w:vMerge w:val="continue"/>
                  <w:tcBorders>
                    <w:top w:val="single" w:color="auto" w:sz="6" w:space="0"/>
                    <w:left w:val="single" w:color="auto" w:sz="6" w:space="0"/>
                    <w:bottom w:val="single" w:color="auto" w:sz="6" w:space="0"/>
                    <w:right w:val="single" w:color="auto" w:sz="6" w:space="0"/>
                  </w:tcBorders>
                  <w:vAlign w:val="center"/>
                </w:tcPr>
                <w:p>
                  <w:pPr>
                    <w:pStyle w:val="109"/>
                    <w:rPr>
                      <w:color w:val="auto"/>
                    </w:rPr>
                  </w:pPr>
                </w:p>
              </w:tc>
              <w:tc>
                <w:tcPr>
                  <w:tcW w:w="173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rFonts w:hint="eastAsia"/>
                      <w:color w:val="auto"/>
                    </w:rPr>
                    <w:t>污水处理厂上游</w:t>
                  </w:r>
                </w:p>
                <w:p>
                  <w:pPr>
                    <w:pStyle w:val="109"/>
                    <w:rPr>
                      <w:color w:val="auto"/>
                    </w:rPr>
                  </w:pPr>
                  <w:r>
                    <w:rPr>
                      <w:rFonts w:hint="eastAsia"/>
                      <w:color w:val="auto"/>
                    </w:rPr>
                    <w:t>白沙村</w:t>
                  </w:r>
                </w:p>
              </w:tc>
              <w:tc>
                <w:tcPr>
                  <w:tcW w:w="1159"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16.10</w:t>
                  </w:r>
                </w:p>
              </w:tc>
              <w:tc>
                <w:tcPr>
                  <w:tcW w:w="72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ascii="Times New Roman" w:hAnsi="Times New Roman"/>
                      <w:szCs w:val="21"/>
                    </w:rPr>
                  </w:pPr>
                </w:p>
              </w:tc>
              <w:tc>
                <w:tcPr>
                  <w:tcW w:w="2955"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8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GW3</w:t>
                  </w:r>
                </w:p>
              </w:tc>
              <w:tc>
                <w:tcPr>
                  <w:tcW w:w="868" w:type="dxa"/>
                  <w:vMerge w:val="continue"/>
                  <w:tcBorders>
                    <w:top w:val="single" w:color="auto" w:sz="6" w:space="0"/>
                    <w:left w:val="single" w:color="auto" w:sz="6" w:space="0"/>
                    <w:bottom w:val="single" w:color="auto" w:sz="6" w:space="0"/>
                    <w:right w:val="single" w:color="auto" w:sz="6" w:space="0"/>
                  </w:tcBorders>
                  <w:vAlign w:val="center"/>
                </w:tcPr>
                <w:p>
                  <w:pPr>
                    <w:pStyle w:val="109"/>
                    <w:rPr>
                      <w:color w:val="auto"/>
                    </w:rPr>
                  </w:pPr>
                </w:p>
              </w:tc>
              <w:tc>
                <w:tcPr>
                  <w:tcW w:w="870" w:type="dxa"/>
                  <w:vMerge w:val="continue"/>
                  <w:tcBorders>
                    <w:top w:val="single" w:color="auto" w:sz="6" w:space="0"/>
                    <w:left w:val="single" w:color="auto" w:sz="6" w:space="0"/>
                    <w:bottom w:val="single" w:color="auto" w:sz="6" w:space="0"/>
                    <w:right w:val="single" w:color="auto" w:sz="6" w:space="0"/>
                  </w:tcBorders>
                  <w:vAlign w:val="center"/>
                </w:tcPr>
                <w:p>
                  <w:pPr>
                    <w:pStyle w:val="109"/>
                    <w:rPr>
                      <w:color w:val="auto"/>
                    </w:rPr>
                  </w:pPr>
                </w:p>
              </w:tc>
              <w:tc>
                <w:tcPr>
                  <w:tcW w:w="173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rFonts w:hint="eastAsia"/>
                      <w:color w:val="auto"/>
                    </w:rPr>
                    <w:t>污水处理下游</w:t>
                  </w:r>
                </w:p>
                <w:p>
                  <w:pPr>
                    <w:pStyle w:val="109"/>
                    <w:rPr>
                      <w:color w:val="auto"/>
                    </w:rPr>
                  </w:pPr>
                  <w:r>
                    <w:rPr>
                      <w:rFonts w:hint="eastAsia"/>
                      <w:color w:val="auto"/>
                    </w:rPr>
                    <w:t>高龙村</w:t>
                  </w:r>
                </w:p>
              </w:tc>
              <w:tc>
                <w:tcPr>
                  <w:tcW w:w="1159"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10.00</w:t>
                  </w:r>
                </w:p>
              </w:tc>
              <w:tc>
                <w:tcPr>
                  <w:tcW w:w="72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ascii="Times New Roman" w:hAnsi="Times New Roman"/>
                      <w:szCs w:val="21"/>
                    </w:rPr>
                  </w:pPr>
                </w:p>
              </w:tc>
              <w:tc>
                <w:tcPr>
                  <w:tcW w:w="2955"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8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GW4</w:t>
                  </w:r>
                </w:p>
              </w:tc>
              <w:tc>
                <w:tcPr>
                  <w:tcW w:w="868" w:type="dxa"/>
                  <w:vMerge w:val="restart"/>
                  <w:tcBorders>
                    <w:top w:val="single" w:color="auto" w:sz="6" w:space="0"/>
                    <w:left w:val="single" w:color="auto" w:sz="6" w:space="0"/>
                    <w:bottom w:val="single" w:color="auto" w:sz="6" w:space="0"/>
                    <w:right w:val="single" w:color="auto" w:sz="6" w:space="0"/>
                  </w:tcBorders>
                  <w:vAlign w:val="center"/>
                </w:tcPr>
                <w:p>
                  <w:pPr>
                    <w:pStyle w:val="109"/>
                    <w:rPr>
                      <w:color w:val="auto"/>
                    </w:rPr>
                  </w:pPr>
                  <w:r>
                    <w:rPr>
                      <w:rFonts w:hint="eastAsia"/>
                      <w:color w:val="auto"/>
                    </w:rPr>
                    <w:t>水位</w:t>
                  </w:r>
                </w:p>
                <w:p>
                  <w:pPr>
                    <w:pStyle w:val="109"/>
                    <w:rPr>
                      <w:color w:val="auto"/>
                    </w:rPr>
                  </w:pPr>
                  <w:r>
                    <w:rPr>
                      <w:rFonts w:hint="eastAsia"/>
                      <w:color w:val="auto"/>
                    </w:rPr>
                    <w:t>监测点</w:t>
                  </w:r>
                </w:p>
              </w:tc>
              <w:tc>
                <w:tcPr>
                  <w:tcW w:w="870" w:type="dxa"/>
                  <w:vMerge w:val="continue"/>
                  <w:tcBorders>
                    <w:top w:val="single" w:color="auto" w:sz="6" w:space="0"/>
                    <w:left w:val="single" w:color="auto" w:sz="6" w:space="0"/>
                    <w:bottom w:val="single" w:color="auto" w:sz="6" w:space="0"/>
                    <w:right w:val="single" w:color="auto" w:sz="6" w:space="0"/>
                  </w:tcBorders>
                  <w:vAlign w:val="center"/>
                </w:tcPr>
                <w:p>
                  <w:pPr>
                    <w:pStyle w:val="109"/>
                    <w:rPr>
                      <w:color w:val="auto"/>
                    </w:rPr>
                  </w:pPr>
                </w:p>
              </w:tc>
              <w:tc>
                <w:tcPr>
                  <w:tcW w:w="173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rFonts w:hint="eastAsia"/>
                      <w:color w:val="auto"/>
                    </w:rPr>
                    <w:t>污水处理厂西侧</w:t>
                  </w:r>
                </w:p>
              </w:tc>
              <w:tc>
                <w:tcPr>
                  <w:tcW w:w="1159"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12.50</w:t>
                  </w:r>
                </w:p>
              </w:tc>
              <w:tc>
                <w:tcPr>
                  <w:tcW w:w="72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ascii="Times New Roman" w:hAnsi="Times New Roman"/>
                      <w:szCs w:val="21"/>
                    </w:rPr>
                  </w:pPr>
                </w:p>
              </w:tc>
              <w:tc>
                <w:tcPr>
                  <w:tcW w:w="2955" w:type="dxa"/>
                  <w:vMerge w:val="restart"/>
                  <w:tcBorders>
                    <w:top w:val="single" w:color="auto" w:sz="6" w:space="0"/>
                    <w:left w:val="single" w:color="auto" w:sz="6" w:space="0"/>
                    <w:bottom w:val="single" w:color="auto" w:sz="6" w:space="0"/>
                    <w:right w:val="single" w:color="auto" w:sz="12" w:space="0"/>
                  </w:tcBorders>
                  <w:vAlign w:val="center"/>
                </w:tcPr>
                <w:p>
                  <w:pPr>
                    <w:spacing w:line="240" w:lineRule="exact"/>
                    <w:jc w:val="center"/>
                    <w:rPr>
                      <w:rFonts w:ascii="Times New Roman" w:hAnsi="Times New Roman"/>
                      <w:szCs w:val="21"/>
                    </w:rPr>
                  </w:pPr>
                  <w:r>
                    <w:rPr>
                      <w:rFonts w:hint="eastAsia" w:ascii="Times New Roman" w:hAnsi="Times New Roman"/>
                      <w:szCs w:val="21"/>
                    </w:rPr>
                    <w:t>水位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8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GW5</w:t>
                  </w:r>
                </w:p>
              </w:tc>
              <w:tc>
                <w:tcPr>
                  <w:tcW w:w="868" w:type="dxa"/>
                  <w:vMerge w:val="continue"/>
                  <w:tcBorders>
                    <w:top w:val="single" w:color="auto" w:sz="6" w:space="0"/>
                    <w:left w:val="single" w:color="auto" w:sz="6" w:space="0"/>
                    <w:bottom w:val="single" w:color="auto" w:sz="6" w:space="0"/>
                    <w:right w:val="single" w:color="auto" w:sz="6" w:space="0"/>
                  </w:tcBorders>
                  <w:vAlign w:val="center"/>
                </w:tcPr>
                <w:p>
                  <w:pPr>
                    <w:pStyle w:val="109"/>
                    <w:rPr>
                      <w:color w:val="auto"/>
                    </w:rPr>
                  </w:pPr>
                </w:p>
              </w:tc>
              <w:tc>
                <w:tcPr>
                  <w:tcW w:w="870" w:type="dxa"/>
                  <w:vMerge w:val="continue"/>
                  <w:tcBorders>
                    <w:top w:val="single" w:color="auto" w:sz="6" w:space="0"/>
                    <w:left w:val="single" w:color="auto" w:sz="6" w:space="0"/>
                    <w:bottom w:val="single" w:color="auto" w:sz="6" w:space="0"/>
                    <w:right w:val="single" w:color="auto" w:sz="6" w:space="0"/>
                  </w:tcBorders>
                  <w:vAlign w:val="center"/>
                </w:tcPr>
                <w:p>
                  <w:pPr>
                    <w:pStyle w:val="109"/>
                    <w:rPr>
                      <w:color w:val="auto"/>
                    </w:rPr>
                  </w:pPr>
                </w:p>
              </w:tc>
              <w:tc>
                <w:tcPr>
                  <w:tcW w:w="173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rFonts w:hint="eastAsia"/>
                      <w:color w:val="auto"/>
                    </w:rPr>
                    <w:t>污水处理厂南侧</w:t>
                  </w:r>
                </w:p>
              </w:tc>
              <w:tc>
                <w:tcPr>
                  <w:tcW w:w="1159"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17.80</w:t>
                  </w:r>
                </w:p>
              </w:tc>
              <w:tc>
                <w:tcPr>
                  <w:tcW w:w="724" w:type="dxa"/>
                  <w:vMerge w:val="continue"/>
                  <w:tcBorders>
                    <w:top w:val="single" w:color="auto" w:sz="6" w:space="0"/>
                    <w:left w:val="single" w:color="auto" w:sz="6" w:space="0"/>
                    <w:bottom w:val="single" w:color="auto" w:sz="6" w:space="0"/>
                    <w:right w:val="single" w:color="auto" w:sz="6" w:space="0"/>
                  </w:tcBorders>
                  <w:vAlign w:val="center"/>
                </w:tcPr>
                <w:p>
                  <w:pPr>
                    <w:spacing w:line="240" w:lineRule="exact"/>
                    <w:jc w:val="center"/>
                    <w:rPr>
                      <w:rFonts w:ascii="Times New Roman" w:hAnsi="Times New Roman"/>
                      <w:szCs w:val="21"/>
                    </w:rPr>
                  </w:pPr>
                </w:p>
              </w:tc>
              <w:tc>
                <w:tcPr>
                  <w:tcW w:w="2955" w:type="dxa"/>
                  <w:vMerge w:val="continue"/>
                  <w:tcBorders>
                    <w:top w:val="single" w:color="auto" w:sz="6" w:space="0"/>
                    <w:left w:val="single" w:color="auto" w:sz="6" w:space="0"/>
                    <w:bottom w:val="single" w:color="auto" w:sz="6" w:space="0"/>
                    <w:right w:val="single" w:color="auto" w:sz="12" w:space="0"/>
                  </w:tcBorders>
                  <w:vAlign w:val="center"/>
                </w:tcPr>
                <w:p>
                  <w:pPr>
                    <w:spacing w:line="24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784" w:type="dxa"/>
                  <w:tcBorders>
                    <w:top w:val="single" w:color="auto" w:sz="6" w:space="0"/>
                    <w:left w:val="single" w:color="auto" w:sz="12" w:space="0"/>
                    <w:bottom w:val="single" w:color="auto" w:sz="12" w:space="0"/>
                    <w:right w:val="single" w:color="auto" w:sz="6" w:space="0"/>
                  </w:tcBorders>
                  <w:vAlign w:val="center"/>
                </w:tcPr>
                <w:p>
                  <w:pPr>
                    <w:pStyle w:val="109"/>
                    <w:rPr>
                      <w:color w:val="auto"/>
                    </w:rPr>
                  </w:pPr>
                  <w:r>
                    <w:rPr>
                      <w:color w:val="auto"/>
                    </w:rPr>
                    <w:t>GW6</w:t>
                  </w:r>
                </w:p>
              </w:tc>
              <w:tc>
                <w:tcPr>
                  <w:tcW w:w="868" w:type="dxa"/>
                  <w:vMerge w:val="continue"/>
                  <w:tcBorders>
                    <w:top w:val="single" w:color="auto" w:sz="6" w:space="0"/>
                    <w:left w:val="single" w:color="auto" w:sz="6" w:space="0"/>
                    <w:bottom w:val="single" w:color="auto" w:sz="12" w:space="0"/>
                    <w:right w:val="single" w:color="auto" w:sz="6" w:space="0"/>
                  </w:tcBorders>
                  <w:vAlign w:val="center"/>
                </w:tcPr>
                <w:p>
                  <w:pPr>
                    <w:pStyle w:val="109"/>
                    <w:rPr>
                      <w:color w:val="auto"/>
                    </w:rPr>
                  </w:pPr>
                </w:p>
              </w:tc>
              <w:tc>
                <w:tcPr>
                  <w:tcW w:w="870" w:type="dxa"/>
                  <w:vMerge w:val="continue"/>
                  <w:tcBorders>
                    <w:top w:val="single" w:color="auto" w:sz="6" w:space="0"/>
                    <w:left w:val="single" w:color="auto" w:sz="6" w:space="0"/>
                    <w:bottom w:val="single" w:color="auto" w:sz="12" w:space="0"/>
                    <w:right w:val="single" w:color="auto" w:sz="6" w:space="0"/>
                  </w:tcBorders>
                  <w:vAlign w:val="center"/>
                </w:tcPr>
                <w:p>
                  <w:pPr>
                    <w:pStyle w:val="109"/>
                    <w:rPr>
                      <w:color w:val="auto"/>
                    </w:rPr>
                  </w:pPr>
                </w:p>
              </w:tc>
              <w:tc>
                <w:tcPr>
                  <w:tcW w:w="1738"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rFonts w:hint="eastAsia"/>
                      <w:color w:val="auto"/>
                    </w:rPr>
                    <w:t>污水处理厂东侧</w:t>
                  </w:r>
                </w:p>
              </w:tc>
              <w:tc>
                <w:tcPr>
                  <w:tcW w:w="1159"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17.60</w:t>
                  </w:r>
                </w:p>
              </w:tc>
              <w:tc>
                <w:tcPr>
                  <w:tcW w:w="724" w:type="dxa"/>
                  <w:vMerge w:val="continue"/>
                  <w:tcBorders>
                    <w:top w:val="single" w:color="auto" w:sz="6" w:space="0"/>
                    <w:left w:val="single" w:color="auto" w:sz="6" w:space="0"/>
                    <w:bottom w:val="single" w:color="auto" w:sz="12" w:space="0"/>
                    <w:right w:val="single" w:color="auto" w:sz="6" w:space="0"/>
                  </w:tcBorders>
                  <w:vAlign w:val="center"/>
                </w:tcPr>
                <w:p>
                  <w:pPr>
                    <w:spacing w:line="240" w:lineRule="exact"/>
                    <w:jc w:val="center"/>
                    <w:rPr>
                      <w:rFonts w:ascii="Times New Roman" w:hAnsi="Times New Roman"/>
                      <w:szCs w:val="21"/>
                    </w:rPr>
                  </w:pPr>
                </w:p>
              </w:tc>
              <w:tc>
                <w:tcPr>
                  <w:tcW w:w="2955" w:type="dxa"/>
                  <w:vMerge w:val="continue"/>
                  <w:tcBorders>
                    <w:top w:val="single" w:color="auto" w:sz="6" w:space="0"/>
                    <w:left w:val="single" w:color="auto" w:sz="6" w:space="0"/>
                    <w:bottom w:val="single" w:color="auto" w:sz="12" w:space="0"/>
                    <w:right w:val="single" w:color="auto" w:sz="12" w:space="0"/>
                  </w:tcBorders>
                  <w:vAlign w:val="center"/>
                </w:tcPr>
                <w:p>
                  <w:pPr>
                    <w:spacing w:line="240" w:lineRule="exact"/>
                    <w:jc w:val="center"/>
                    <w:rPr>
                      <w:rFonts w:ascii="Times New Roman" w:hAnsi="Times New Roman"/>
                      <w:szCs w:val="21"/>
                    </w:rPr>
                  </w:pPr>
                </w:p>
              </w:tc>
            </w:tr>
          </w:tbl>
          <w:p>
            <w:pPr>
              <w:pStyle w:val="114"/>
              <w:rPr>
                <w:b/>
                <w:shd w:val="clear" w:color="auto" w:fill="FFFFFF"/>
              </w:rPr>
            </w:pPr>
            <w:r>
              <w:rPr>
                <w:shd w:val="clear" w:color="auto" w:fill="FFFFFF"/>
              </w:rPr>
              <w:t>2</w:t>
            </w:r>
            <w:r>
              <w:rPr>
                <w:rFonts w:hint="eastAsia"/>
                <w:shd w:val="clear" w:color="auto" w:fill="FFFFFF"/>
              </w:rPr>
              <w:t>、监测时间、频次及监测项目</w:t>
            </w:r>
          </w:p>
          <w:p>
            <w:pPr>
              <w:pStyle w:val="114"/>
              <w:rPr>
                <w:shd w:val="clear" w:color="auto" w:fill="FFFFFF"/>
              </w:rPr>
            </w:pPr>
            <w:r>
              <w:rPr>
                <w:rFonts w:hint="eastAsia"/>
                <w:shd w:val="clear" w:color="auto" w:fill="FFFFFF"/>
              </w:rPr>
              <w:t>本次评价工作等级为三级，根据导则要求，若掌握近</w:t>
            </w:r>
            <w:r>
              <w:rPr>
                <w:shd w:val="clear" w:color="auto" w:fill="FFFFFF"/>
              </w:rPr>
              <w:t>3</w:t>
            </w:r>
            <w:r>
              <w:rPr>
                <w:rFonts w:hint="eastAsia"/>
                <w:shd w:val="clear" w:color="auto" w:fill="FFFFFF"/>
              </w:rPr>
              <w:t>年内至少一期监测资料，评价期内可不再进行现状水位监测；若无上述资料，评价期内至少开展一期地下水水位监测。因此本次评价过程进行了一期地下水监测工作。</w:t>
            </w:r>
          </w:p>
          <w:p>
            <w:pPr>
              <w:pStyle w:val="114"/>
              <w:rPr>
                <w:shd w:val="clear" w:color="auto" w:fill="FFFFFF"/>
              </w:rPr>
            </w:pPr>
            <w:r>
              <w:rPr>
                <w:shd w:val="clear" w:color="auto" w:fill="FFFFFF"/>
              </w:rPr>
              <w:fldChar w:fldCharType="begin"/>
            </w:r>
            <w:r>
              <w:rPr>
                <w:shd w:val="clear" w:color="auto" w:fill="FFFFFF"/>
              </w:rPr>
              <w:instrText xml:space="preserve">= 1 \* GB3</w:instrText>
            </w:r>
            <w:r>
              <w:rPr>
                <w:shd w:val="clear" w:color="auto" w:fill="FFFFFF"/>
              </w:rPr>
              <w:fldChar w:fldCharType="separate"/>
            </w:r>
            <w:r>
              <w:rPr>
                <w:rFonts w:hint="eastAsia"/>
                <w:shd w:val="clear" w:color="auto" w:fill="FFFFFF"/>
              </w:rPr>
              <w:t>①</w:t>
            </w:r>
            <w:r>
              <w:rPr>
                <w:shd w:val="clear" w:color="auto" w:fill="FFFFFF"/>
              </w:rPr>
              <w:fldChar w:fldCharType="end"/>
            </w:r>
            <w:r>
              <w:rPr>
                <w:rFonts w:hint="eastAsia"/>
                <w:shd w:val="clear" w:color="auto" w:fill="FFFFFF"/>
              </w:rPr>
              <w:t>水质监测</w:t>
            </w:r>
          </w:p>
          <w:p>
            <w:pPr>
              <w:pStyle w:val="114"/>
              <w:rPr>
                <w:shd w:val="clear" w:color="auto" w:fill="FFFFFF"/>
              </w:rPr>
            </w:pPr>
            <w:r>
              <w:rPr>
                <w:rFonts w:hint="eastAsia"/>
                <w:shd w:val="clear" w:color="auto" w:fill="FFFFFF"/>
              </w:rPr>
              <w:t>本次评价委托海南中环能检测技术有限公司对</w:t>
            </w:r>
            <w:r>
              <w:rPr>
                <w:shd w:val="clear" w:color="auto" w:fill="FFFFFF"/>
              </w:rPr>
              <w:t>3</w:t>
            </w:r>
            <w:r>
              <w:rPr>
                <w:rFonts w:hint="eastAsia"/>
                <w:shd w:val="clear" w:color="auto" w:fill="FFFFFF"/>
              </w:rPr>
              <w:t>个地下水监测点进行了监测。监测时间为</w:t>
            </w:r>
            <w:r>
              <w:rPr>
                <w:shd w:val="clear" w:color="auto" w:fill="FFFFFF"/>
              </w:rPr>
              <w:t>2019</w:t>
            </w:r>
            <w:r>
              <w:rPr>
                <w:rFonts w:hint="eastAsia"/>
                <w:shd w:val="clear" w:color="auto" w:fill="FFFFFF"/>
              </w:rPr>
              <w:t>年</w:t>
            </w:r>
            <w:r>
              <w:rPr>
                <w:shd w:val="clear" w:color="auto" w:fill="FFFFFF"/>
              </w:rPr>
              <w:t>5</w:t>
            </w:r>
            <w:r>
              <w:rPr>
                <w:rFonts w:hint="eastAsia"/>
                <w:shd w:val="clear" w:color="auto" w:fill="FFFFFF"/>
              </w:rPr>
              <w:t>月</w:t>
            </w:r>
            <w:r>
              <w:rPr>
                <w:shd w:val="clear" w:color="auto" w:fill="FFFFFF"/>
              </w:rPr>
              <w:t>21</w:t>
            </w:r>
            <w:r>
              <w:rPr>
                <w:rFonts w:hint="eastAsia"/>
                <w:shd w:val="clear" w:color="auto" w:fill="FFFFFF"/>
              </w:rPr>
              <w:t>日，采样一天。</w:t>
            </w:r>
          </w:p>
          <w:p>
            <w:pPr>
              <w:pStyle w:val="114"/>
              <w:rPr>
                <w:shd w:val="clear" w:color="auto" w:fill="FFFFFF"/>
              </w:rPr>
            </w:pPr>
            <w:r>
              <w:rPr>
                <w:rFonts w:hint="eastAsia"/>
                <w:shd w:val="clear" w:color="auto" w:fill="FFFFFF"/>
              </w:rPr>
              <w:t>②水位监测</w:t>
            </w:r>
          </w:p>
          <w:p>
            <w:pPr>
              <w:pStyle w:val="114"/>
              <w:rPr>
                <w:shd w:val="clear" w:color="auto" w:fill="FFFFFF"/>
              </w:rPr>
            </w:pPr>
            <w:r>
              <w:rPr>
                <w:rFonts w:hint="eastAsia"/>
                <w:shd w:val="clear" w:color="auto" w:fill="FFFFFF"/>
              </w:rPr>
              <w:t>水位监测的时间为</w:t>
            </w:r>
            <w:r>
              <w:rPr>
                <w:shd w:val="clear" w:color="auto" w:fill="FFFFFF"/>
              </w:rPr>
              <w:t>2019</w:t>
            </w:r>
            <w:r>
              <w:rPr>
                <w:rFonts w:hint="eastAsia"/>
                <w:shd w:val="clear" w:color="auto" w:fill="FFFFFF"/>
              </w:rPr>
              <w:t>年</w:t>
            </w:r>
            <w:r>
              <w:rPr>
                <w:shd w:val="clear" w:color="auto" w:fill="FFFFFF"/>
              </w:rPr>
              <w:t>5</w:t>
            </w:r>
            <w:r>
              <w:rPr>
                <w:rFonts w:hint="eastAsia"/>
                <w:shd w:val="clear" w:color="auto" w:fill="FFFFFF"/>
              </w:rPr>
              <w:t>月</w:t>
            </w:r>
            <w:r>
              <w:rPr>
                <w:shd w:val="clear" w:color="auto" w:fill="FFFFFF"/>
              </w:rPr>
              <w:t>21</w:t>
            </w:r>
            <w:r>
              <w:rPr>
                <w:rFonts w:hint="eastAsia"/>
                <w:shd w:val="clear" w:color="auto" w:fill="FFFFFF"/>
              </w:rPr>
              <w:t>日，通过电水位仪进行监测，监测</w:t>
            </w:r>
            <w:r>
              <w:rPr>
                <w:shd w:val="clear" w:color="auto" w:fill="FFFFFF"/>
              </w:rPr>
              <w:t>1</w:t>
            </w:r>
            <w:r>
              <w:rPr>
                <w:rFonts w:hint="eastAsia"/>
                <w:shd w:val="clear" w:color="auto" w:fill="FFFFFF"/>
              </w:rPr>
              <w:t>次。</w:t>
            </w:r>
          </w:p>
          <w:p>
            <w:pPr>
              <w:pStyle w:val="114"/>
              <w:rPr>
                <w:shd w:val="clear" w:color="auto" w:fill="FFFFFF"/>
              </w:rPr>
            </w:pPr>
            <w:r>
              <w:rPr>
                <w:rFonts w:hint="eastAsia"/>
                <w:shd w:val="clear" w:color="auto" w:fill="FFFFFF"/>
              </w:rPr>
              <w:t>③监测项目</w:t>
            </w:r>
          </w:p>
          <w:p>
            <w:pPr>
              <w:pStyle w:val="114"/>
            </w:pPr>
            <w:r>
              <w:t>K</w:t>
            </w:r>
            <w:r>
              <w:rPr>
                <w:vertAlign w:val="superscript"/>
              </w:rPr>
              <w:t>+</w:t>
            </w:r>
            <w:r>
              <w:rPr>
                <w:rFonts w:hint="eastAsia"/>
              </w:rPr>
              <w:t>、</w:t>
            </w:r>
            <w:r>
              <w:t>Ca</w:t>
            </w:r>
            <w:r>
              <w:rPr>
                <w:vertAlign w:val="superscript"/>
              </w:rPr>
              <w:t>2+</w:t>
            </w:r>
            <w:r>
              <w:rPr>
                <w:rFonts w:hint="eastAsia"/>
              </w:rPr>
              <w:t>、</w:t>
            </w:r>
            <w:r>
              <w:t>Na</w:t>
            </w:r>
            <w:r>
              <w:rPr>
                <w:vertAlign w:val="superscript"/>
              </w:rPr>
              <w:t>+</w:t>
            </w:r>
            <w:r>
              <w:rPr>
                <w:rFonts w:hint="eastAsia"/>
              </w:rPr>
              <w:t>、</w:t>
            </w:r>
            <w:r>
              <w:t>Mg</w:t>
            </w:r>
            <w:r>
              <w:rPr>
                <w:vertAlign w:val="superscript"/>
              </w:rPr>
              <w:t>2+</w:t>
            </w:r>
            <w:r>
              <w:rPr>
                <w:rFonts w:hint="eastAsia"/>
              </w:rPr>
              <w:t>、</w:t>
            </w:r>
            <w:r>
              <w:t>CO</w:t>
            </w:r>
            <w:r>
              <w:rPr>
                <w:vertAlign w:val="subscript"/>
              </w:rPr>
              <w:t>3</w:t>
            </w:r>
            <w:r>
              <w:rPr>
                <w:vertAlign w:val="superscript"/>
              </w:rPr>
              <w:t>2-</w:t>
            </w:r>
            <w:r>
              <w:rPr>
                <w:rFonts w:hint="eastAsia"/>
              </w:rPr>
              <w:t>、</w:t>
            </w:r>
            <w:r>
              <w:t>HCO</w:t>
            </w:r>
            <w:r>
              <w:rPr>
                <w:vertAlign w:val="subscript"/>
              </w:rPr>
              <w:t>3</w:t>
            </w:r>
            <w:r>
              <w:rPr>
                <w:vertAlign w:val="superscript"/>
              </w:rPr>
              <w:t>-</w:t>
            </w:r>
            <w:r>
              <w:rPr>
                <w:rFonts w:hint="eastAsia"/>
              </w:rPr>
              <w:t>、</w:t>
            </w:r>
            <w:r>
              <w:t>Cl</w:t>
            </w:r>
            <w:r>
              <w:rPr>
                <w:vertAlign w:val="superscript"/>
              </w:rPr>
              <w:t>-</w:t>
            </w:r>
            <w:r>
              <w:rPr>
                <w:rFonts w:hint="eastAsia"/>
              </w:rPr>
              <w:t>、</w:t>
            </w:r>
            <w:r>
              <w:t>SO</w:t>
            </w:r>
            <w:r>
              <w:rPr>
                <w:vertAlign w:val="subscript"/>
              </w:rPr>
              <w:t>4</w:t>
            </w:r>
            <w:r>
              <w:rPr>
                <w:vertAlign w:val="superscript"/>
              </w:rPr>
              <w:t>2-</w:t>
            </w:r>
            <w:r>
              <w:rPr>
                <w:rFonts w:hint="eastAsia"/>
              </w:rPr>
              <w:t>、</w:t>
            </w:r>
            <w:r>
              <w:t>pH</w:t>
            </w:r>
            <w:r>
              <w:rPr>
                <w:rFonts w:hint="eastAsia"/>
              </w:rPr>
              <w:t>、氨氮、硝酸盐、亚硝酸盐、挥发性酚类、氰化物、砷、汞、铬（六价）、总硬度、铅、氟化物、镉、铁、锰、溶解性总固体、总大肠菌群、细菌总数，共</w:t>
            </w:r>
            <w:r>
              <w:t>26</w:t>
            </w:r>
            <w:r>
              <w:rPr>
                <w:rFonts w:hint="eastAsia"/>
              </w:rPr>
              <w:t>项。同步监测井深，水位及井温。</w:t>
            </w:r>
          </w:p>
          <w:p>
            <w:pPr>
              <w:pStyle w:val="114"/>
              <w:rPr>
                <w:shd w:val="clear" w:color="auto" w:fill="FFFFFF"/>
              </w:rPr>
            </w:pPr>
            <w:r>
              <w:rPr>
                <w:shd w:val="clear" w:color="auto" w:fill="FFFFFF"/>
              </w:rPr>
              <w:t>3</w:t>
            </w:r>
            <w:r>
              <w:rPr>
                <w:rFonts w:hint="eastAsia"/>
                <w:shd w:val="clear" w:color="auto" w:fill="FFFFFF"/>
              </w:rPr>
              <w:t>、监测方法</w:t>
            </w:r>
          </w:p>
          <w:p>
            <w:pPr>
              <w:widowControl/>
              <w:snapToGrid w:val="0"/>
              <w:spacing w:line="360" w:lineRule="auto"/>
              <w:ind w:firstLine="480" w:firstLineChars="200"/>
              <w:rPr>
                <w:rFonts w:ascii="Times New Roman" w:hAnsi="Times New Roman"/>
                <w:sz w:val="24"/>
                <w:szCs w:val="24"/>
              </w:rPr>
            </w:pPr>
            <w:r>
              <w:rPr>
                <w:rFonts w:hint="eastAsia" w:ascii="Times New Roman" w:hAnsi="Times New Roman"/>
                <w:sz w:val="24"/>
                <w:szCs w:val="24"/>
              </w:rPr>
              <w:t>地下水监测方法详见表</w:t>
            </w:r>
            <w:r>
              <w:rPr>
                <w:rFonts w:ascii="Times New Roman" w:hAnsi="Times New Roman"/>
                <w:sz w:val="24"/>
                <w:szCs w:val="24"/>
              </w:rPr>
              <w:t>3-11</w:t>
            </w:r>
            <w:r>
              <w:rPr>
                <w:rFonts w:hint="eastAsia" w:ascii="Times New Roman" w:hAnsi="Times New Roman"/>
                <w:sz w:val="24"/>
                <w:szCs w:val="24"/>
              </w:rPr>
              <w:t>。</w:t>
            </w:r>
          </w:p>
          <w:p>
            <w:pPr>
              <w:pStyle w:val="111"/>
            </w:pPr>
            <w:r>
              <w:rPr>
                <w:rFonts w:hint="eastAsia"/>
              </w:rPr>
              <w:t>表</w:t>
            </w:r>
            <w:r>
              <w:t xml:space="preserve">3-11  </w:t>
            </w:r>
            <w:r>
              <w:rPr>
                <w:rFonts w:hint="eastAsia"/>
              </w:rPr>
              <w:t>地下水监测方法一览表</w:t>
            </w:r>
          </w:p>
          <w:tbl>
            <w:tblPr>
              <w:tblStyle w:val="37"/>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34"/>
              <w:gridCol w:w="3182"/>
              <w:gridCol w:w="1921"/>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41" w:type="dxa"/>
                  <w:tcBorders>
                    <w:top w:val="single" w:color="auto" w:sz="12" w:space="0"/>
                    <w:left w:val="single" w:color="auto" w:sz="12" w:space="0"/>
                    <w:bottom w:val="double" w:color="auto" w:sz="4" w:space="0"/>
                    <w:right w:val="single" w:color="auto" w:sz="4" w:space="0"/>
                  </w:tcBorders>
                  <w:vAlign w:val="center"/>
                </w:tcPr>
                <w:p>
                  <w:pPr>
                    <w:pStyle w:val="77"/>
                  </w:pPr>
                  <w:r>
                    <w:rPr>
                      <w:rFonts w:hint="eastAsia"/>
                    </w:rPr>
                    <w:t>样品类型</w:t>
                  </w:r>
                </w:p>
              </w:tc>
              <w:tc>
                <w:tcPr>
                  <w:tcW w:w="1134"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检测项目</w:t>
                  </w:r>
                </w:p>
              </w:tc>
              <w:tc>
                <w:tcPr>
                  <w:tcW w:w="3182"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检测方法及标准号</w:t>
                  </w:r>
                </w:p>
              </w:tc>
              <w:tc>
                <w:tcPr>
                  <w:tcW w:w="1921"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主要仪器</w:t>
                  </w:r>
                </w:p>
              </w:tc>
              <w:tc>
                <w:tcPr>
                  <w:tcW w:w="1720" w:type="dxa"/>
                  <w:tcBorders>
                    <w:top w:val="single" w:color="auto" w:sz="12" w:space="0"/>
                    <w:left w:val="single" w:color="auto" w:sz="4" w:space="0"/>
                    <w:bottom w:val="double" w:color="auto" w:sz="4" w:space="0"/>
                    <w:right w:val="single" w:color="auto" w:sz="12" w:space="0"/>
                  </w:tcBorders>
                  <w:vAlign w:val="center"/>
                </w:tcPr>
                <w:p>
                  <w:pPr>
                    <w:pStyle w:val="77"/>
                  </w:pPr>
                  <w:r>
                    <w:rPr>
                      <w:rFonts w:hint="eastAsia"/>
                    </w:rPr>
                    <w:t>方法最低检出限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restart"/>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地下水</w:t>
                  </w: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PH</w:t>
                  </w:r>
                  <w:r>
                    <w:rPr>
                      <w:rFonts w:hint="eastAsia"/>
                    </w:rPr>
                    <w:t>值</w:t>
                  </w:r>
                </w:p>
              </w:tc>
              <w:tc>
                <w:tcPr>
                  <w:tcW w:w="3182"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玻璃电极法</w:t>
                  </w:r>
                </w:p>
                <w:p>
                  <w:pPr>
                    <w:pStyle w:val="77"/>
                  </w:pPr>
                  <w:r>
                    <w:t>GB/T6920-1986</w:t>
                  </w:r>
                </w:p>
              </w:tc>
              <w:tc>
                <w:tcPr>
                  <w:tcW w:w="1921" w:type="dxa"/>
                  <w:tcBorders>
                    <w:top w:val="single" w:color="auto" w:sz="4" w:space="0"/>
                    <w:left w:val="single" w:color="auto" w:sz="4" w:space="0"/>
                    <w:bottom w:val="single" w:color="auto" w:sz="4" w:space="0"/>
                    <w:right w:val="single" w:color="auto" w:sz="4" w:space="0"/>
                  </w:tcBorders>
                  <w:vAlign w:val="center"/>
                </w:tcPr>
                <w:p>
                  <w:pPr>
                    <w:pStyle w:val="77"/>
                  </w:pPr>
                  <w:r>
                    <w:t>PH</w:t>
                  </w:r>
                  <w:r>
                    <w:rPr>
                      <w:rFonts w:hint="eastAsia"/>
                    </w:rPr>
                    <w:t>计</w:t>
                  </w:r>
                </w:p>
                <w:p>
                  <w:pPr>
                    <w:pStyle w:val="77"/>
                  </w:pPr>
                  <w:r>
                    <w:t>pHS-3C</w:t>
                  </w:r>
                </w:p>
                <w:p>
                  <w:pPr>
                    <w:pStyle w:val="77"/>
                  </w:pPr>
                  <w:r>
                    <w:t>CECE-SB-005</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氨氮</w:t>
                  </w:r>
                </w:p>
              </w:tc>
              <w:tc>
                <w:tcPr>
                  <w:tcW w:w="3182"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纳氏试剂分光光度法</w:t>
                  </w:r>
                </w:p>
                <w:p>
                  <w:pPr>
                    <w:pStyle w:val="77"/>
                  </w:pPr>
                  <w:r>
                    <w:t>HJ535-2009</w:t>
                  </w:r>
                </w:p>
              </w:tc>
              <w:tc>
                <w:tcPr>
                  <w:tcW w:w="1921"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紫外可见分光光度计</w:t>
                  </w:r>
                  <w:r>
                    <w:t>T6</w:t>
                  </w:r>
                </w:p>
                <w:p>
                  <w:pPr>
                    <w:pStyle w:val="77"/>
                  </w:pPr>
                  <w:r>
                    <w:t>CECE-SB-062</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挥发酚类</w:t>
                  </w:r>
                </w:p>
              </w:tc>
              <w:tc>
                <w:tcPr>
                  <w:tcW w:w="3182" w:type="dxa"/>
                  <w:tcBorders>
                    <w:top w:val="single" w:color="auto" w:sz="4" w:space="0"/>
                    <w:left w:val="single" w:color="auto" w:sz="4" w:space="0"/>
                    <w:bottom w:val="single" w:color="auto" w:sz="4" w:space="0"/>
                    <w:right w:val="single" w:color="auto" w:sz="4" w:space="0"/>
                  </w:tcBorders>
                  <w:vAlign w:val="center"/>
                </w:tcPr>
                <w:p>
                  <w:pPr>
                    <w:pStyle w:val="77"/>
                  </w:pPr>
                  <w:r>
                    <w:t>4-</w:t>
                  </w:r>
                  <w:r>
                    <w:rPr>
                      <w:rFonts w:hint="eastAsia"/>
                    </w:rPr>
                    <w:t>氨基安替比林分光光度法</w:t>
                  </w:r>
                  <w:r>
                    <w:t>HJ503-2009</w:t>
                  </w:r>
                </w:p>
              </w:tc>
              <w:tc>
                <w:tcPr>
                  <w:tcW w:w="1921"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紫外可见分光光度计</w:t>
                  </w:r>
                  <w:r>
                    <w:t>T6</w:t>
                  </w:r>
                </w:p>
                <w:p>
                  <w:pPr>
                    <w:pStyle w:val="77"/>
                  </w:pPr>
                  <w:r>
                    <w:t>CECE-SB-062</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0.0003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溶解性总固体</w:t>
                  </w:r>
                </w:p>
              </w:tc>
              <w:tc>
                <w:tcPr>
                  <w:tcW w:w="3182"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重量法</w:t>
                  </w:r>
                </w:p>
                <w:p>
                  <w:pPr>
                    <w:pStyle w:val="77"/>
                  </w:pPr>
                  <w:r>
                    <w:t>DZ/T0064.9-1993</w:t>
                  </w:r>
                </w:p>
              </w:tc>
              <w:tc>
                <w:tcPr>
                  <w:tcW w:w="1921"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电子天平</w:t>
                  </w:r>
                </w:p>
                <w:p>
                  <w:pPr>
                    <w:pStyle w:val="77"/>
                  </w:pPr>
                  <w:r>
                    <w:t>FA2004</w:t>
                  </w:r>
                </w:p>
                <w:p>
                  <w:pPr>
                    <w:pStyle w:val="77"/>
                  </w:pPr>
                  <w:r>
                    <w:t>CECE-SB-001</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F</w:t>
                  </w:r>
                  <w:r>
                    <w:rPr>
                      <w:vertAlign w:val="superscript"/>
                    </w:rPr>
                    <w:t>-</w:t>
                  </w:r>
                </w:p>
              </w:tc>
              <w:tc>
                <w:tcPr>
                  <w:tcW w:w="3182"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离子色谱法</w:t>
                  </w:r>
                </w:p>
                <w:p>
                  <w:pPr>
                    <w:pStyle w:val="77"/>
                  </w:pPr>
                  <w:r>
                    <w:t>HJ84-2016</w:t>
                  </w:r>
                </w:p>
              </w:tc>
              <w:tc>
                <w:tcPr>
                  <w:tcW w:w="1921"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离子色谱仪</w:t>
                  </w:r>
                </w:p>
                <w:p>
                  <w:pPr>
                    <w:pStyle w:val="77"/>
                  </w:pPr>
                  <w:r>
                    <w:t>883</w:t>
                  </w:r>
                </w:p>
                <w:p>
                  <w:pPr>
                    <w:pStyle w:val="77"/>
                  </w:pPr>
                  <w:r>
                    <w:t>CECE-SB-102</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NO</w:t>
                  </w:r>
                  <w:r>
                    <w:rPr>
                      <w:vertAlign w:val="subscript"/>
                    </w:rPr>
                    <w:t>3</w:t>
                  </w:r>
                  <w:r>
                    <w:rPr>
                      <w:vertAlign w:val="superscript"/>
                    </w:rPr>
                    <w:t>-</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0.016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NO</w:t>
                  </w:r>
                  <w:r>
                    <w:rPr>
                      <w:vertAlign w:val="subscript"/>
                    </w:rPr>
                    <w:t>2</w:t>
                  </w:r>
                  <w:r>
                    <w:rPr>
                      <w:vertAlign w:val="superscript"/>
                    </w:rPr>
                    <w:t>-</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0.016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SO</w:t>
                  </w:r>
                  <w:r>
                    <w:rPr>
                      <w:vertAlign w:val="subscript"/>
                    </w:rPr>
                    <w:t>4</w:t>
                  </w:r>
                  <w:r>
                    <w:rPr>
                      <w:vertAlign w:val="superscript"/>
                    </w:rPr>
                    <w:t>2-</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0.018mg/L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Cl</w:t>
                  </w:r>
                  <w:r>
                    <w:rPr>
                      <w:vertAlign w:val="superscript"/>
                    </w:rPr>
                    <w:t>-</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0.007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氰化物</w:t>
                  </w:r>
                </w:p>
              </w:tc>
              <w:tc>
                <w:tcPr>
                  <w:tcW w:w="3182"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异烟酸</w:t>
                  </w:r>
                  <w:r>
                    <w:t>-</w:t>
                  </w:r>
                  <w:r>
                    <w:rPr>
                      <w:rFonts w:hint="eastAsia"/>
                    </w:rPr>
                    <w:t>吡唑酮分光光度法</w:t>
                  </w:r>
                </w:p>
                <w:p>
                  <w:pPr>
                    <w:pStyle w:val="77"/>
                  </w:pPr>
                  <w:r>
                    <w:t>GB/T5750.5(4.1)-2006</w:t>
                  </w:r>
                </w:p>
              </w:tc>
              <w:tc>
                <w:tcPr>
                  <w:tcW w:w="1921"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紫外可见分光光度计</w:t>
                  </w:r>
                  <w:r>
                    <w:t>T6</w:t>
                  </w:r>
                </w:p>
                <w:p>
                  <w:pPr>
                    <w:pStyle w:val="77"/>
                  </w:pPr>
                  <w:r>
                    <w:t>CECE-SB-062</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0.002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六价铬</w:t>
                  </w:r>
                </w:p>
              </w:tc>
              <w:tc>
                <w:tcPr>
                  <w:tcW w:w="3182"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二苯碳酰二肼分光光度法</w:t>
                  </w:r>
                </w:p>
                <w:p>
                  <w:pPr>
                    <w:pStyle w:val="77"/>
                  </w:pPr>
                  <w:r>
                    <w:t>GB/T5750.6(10.1)-2006</w:t>
                  </w: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0.004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总硬度</w:t>
                  </w:r>
                </w:p>
              </w:tc>
              <w:tc>
                <w:tcPr>
                  <w:tcW w:w="3182"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乙二胺四乙酸二纳滴定法</w:t>
                  </w:r>
                </w:p>
                <w:p>
                  <w:pPr>
                    <w:pStyle w:val="77"/>
                  </w:pPr>
                  <w:r>
                    <w:t>GB/T5750.4(7.1)-2006</w:t>
                  </w:r>
                </w:p>
              </w:tc>
              <w:tc>
                <w:tcPr>
                  <w:tcW w:w="1921"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酸式滴定管</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1.0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汞</w:t>
                  </w:r>
                </w:p>
              </w:tc>
              <w:tc>
                <w:tcPr>
                  <w:tcW w:w="3182"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原子荧光法</w:t>
                  </w:r>
                </w:p>
                <w:p>
                  <w:pPr>
                    <w:pStyle w:val="77"/>
                  </w:pPr>
                  <w:r>
                    <w:t>HJ694-2014</w:t>
                  </w:r>
                </w:p>
              </w:tc>
              <w:tc>
                <w:tcPr>
                  <w:tcW w:w="1921"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原子荧光光谱仪</w:t>
                  </w:r>
                </w:p>
                <w:p>
                  <w:pPr>
                    <w:pStyle w:val="77"/>
                  </w:pPr>
                  <w:r>
                    <w:t>SK-2003AZ</w:t>
                  </w:r>
                </w:p>
                <w:p>
                  <w:pPr>
                    <w:pStyle w:val="77"/>
                  </w:pPr>
                  <w:r>
                    <w:t>CECE-SB-042</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0.04 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砷</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0.3μg/L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镉</w:t>
                  </w:r>
                </w:p>
              </w:tc>
              <w:tc>
                <w:tcPr>
                  <w:tcW w:w="3182"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电感耦合等离子体质谱法</w:t>
                  </w:r>
                </w:p>
                <w:p>
                  <w:pPr>
                    <w:pStyle w:val="77"/>
                  </w:pPr>
                  <w:r>
                    <w:t>GB/T5750.6(1.5)-2006</w:t>
                  </w:r>
                </w:p>
              </w:tc>
              <w:tc>
                <w:tcPr>
                  <w:tcW w:w="1921"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电感耦合等离子体质谱仪</w:t>
                  </w:r>
                </w:p>
                <w:p>
                  <w:pPr>
                    <w:pStyle w:val="77"/>
                  </w:pPr>
                  <w:r>
                    <w:t>ICPMS-2030</w:t>
                  </w:r>
                </w:p>
                <w:p>
                  <w:pPr>
                    <w:pStyle w:val="77"/>
                  </w:pPr>
                  <w:r>
                    <w:t>CECE-SB-136</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0.06μg/L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铅</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0.07μg/L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锰</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0.06μg/L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铁</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0.9μg/L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总大肠菌群</w:t>
                  </w:r>
                </w:p>
              </w:tc>
              <w:tc>
                <w:tcPr>
                  <w:tcW w:w="3182"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多管发酵法</w:t>
                  </w:r>
                </w:p>
                <w:p>
                  <w:pPr>
                    <w:pStyle w:val="77"/>
                  </w:pPr>
                  <w:r>
                    <w:t>GB/T5750.12(2.1)-2006</w:t>
                  </w:r>
                </w:p>
              </w:tc>
              <w:tc>
                <w:tcPr>
                  <w:tcW w:w="1921"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生化培养箱</w:t>
                  </w:r>
                </w:p>
                <w:p>
                  <w:pPr>
                    <w:pStyle w:val="77"/>
                  </w:pPr>
                  <w:r>
                    <w:t>SPX-250</w:t>
                  </w:r>
                </w:p>
                <w:p>
                  <w:pPr>
                    <w:pStyle w:val="77"/>
                  </w:pPr>
                  <w:r>
                    <w:t>CECE-SB-021</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菌落总数</w:t>
                  </w:r>
                </w:p>
              </w:tc>
              <w:tc>
                <w:tcPr>
                  <w:tcW w:w="3182"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平皿计数法</w:t>
                  </w:r>
                </w:p>
                <w:p>
                  <w:pPr>
                    <w:pStyle w:val="77"/>
                  </w:pPr>
                  <w:r>
                    <w:t>GB/T5750.12(1.1)-2006</w:t>
                  </w: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K</w:t>
                  </w:r>
                  <w:r>
                    <w:rPr>
                      <w:vertAlign w:val="superscript"/>
                    </w:rPr>
                    <w:t>+</w:t>
                  </w:r>
                </w:p>
              </w:tc>
              <w:tc>
                <w:tcPr>
                  <w:tcW w:w="3182"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离子色谱法</w:t>
                  </w:r>
                </w:p>
                <w:p>
                  <w:pPr>
                    <w:pStyle w:val="77"/>
                  </w:pPr>
                  <w:r>
                    <w:t>GB/T5750.12(22.2)-2006</w:t>
                  </w:r>
                </w:p>
              </w:tc>
              <w:tc>
                <w:tcPr>
                  <w:tcW w:w="1921"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离子色谱仪</w:t>
                  </w:r>
                </w:p>
                <w:p>
                  <w:pPr>
                    <w:pStyle w:val="77"/>
                  </w:pPr>
                  <w:r>
                    <w:t>883</w:t>
                  </w:r>
                </w:p>
                <w:p>
                  <w:pPr>
                    <w:pStyle w:val="77"/>
                  </w:pPr>
                  <w:r>
                    <w:t>CECE-SB-102</w:t>
                  </w: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0.16mg/L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Na</w:t>
                  </w:r>
                  <w:r>
                    <w:rPr>
                      <w:vertAlign w:val="superscript"/>
                    </w:rPr>
                    <w:t>+</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Ca</w:t>
                  </w:r>
                  <w:r>
                    <w:rPr>
                      <w:vertAlign w:val="superscript"/>
                    </w:rPr>
                    <w:t>2+</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1.7mg/L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t>Mg</w:t>
                  </w:r>
                  <w:r>
                    <w:rPr>
                      <w:vertAlign w:val="superscript"/>
                    </w:rPr>
                    <w:t>2+</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tcBorders>
                    <w:top w:val="single" w:color="auto" w:sz="4" w:space="0"/>
                    <w:left w:val="single" w:color="auto" w:sz="4" w:space="0"/>
                    <w:bottom w:val="single" w:color="auto" w:sz="4" w:space="0"/>
                    <w:right w:val="single" w:color="auto" w:sz="12" w:space="0"/>
                  </w:tcBorders>
                  <w:vAlign w:val="center"/>
                </w:tcPr>
                <w:p>
                  <w:pPr>
                    <w:pStyle w:val="77"/>
                  </w:pPr>
                  <w:r>
                    <w:t>.2mg/L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碳酸盐</w:t>
                  </w:r>
                </w:p>
              </w:tc>
              <w:tc>
                <w:tcPr>
                  <w:tcW w:w="3182"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饮用天然矿泉水检验方法</w:t>
                  </w:r>
                </w:p>
                <w:p>
                  <w:pPr>
                    <w:pStyle w:val="77"/>
                  </w:pPr>
                  <w:r>
                    <w:t>GB/T8538(42)-2016</w:t>
                  </w:r>
                </w:p>
              </w:tc>
              <w:tc>
                <w:tcPr>
                  <w:tcW w:w="1921" w:type="dxa"/>
                  <w:vMerge w:val="restart"/>
                  <w:tcBorders>
                    <w:top w:val="single" w:color="auto" w:sz="4" w:space="0"/>
                    <w:left w:val="single" w:color="auto" w:sz="4" w:space="0"/>
                    <w:bottom w:val="single" w:color="auto" w:sz="4" w:space="0"/>
                    <w:right w:val="single" w:color="auto" w:sz="4" w:space="0"/>
                  </w:tcBorders>
                  <w:vAlign w:val="center"/>
                </w:tcPr>
                <w:p>
                  <w:pPr>
                    <w:pStyle w:val="77"/>
                  </w:pPr>
                  <w:r>
                    <w:rPr>
                      <w:rFonts w:hint="eastAsia"/>
                    </w:rPr>
                    <w:t>酸式滴定管</w:t>
                  </w:r>
                </w:p>
              </w:tc>
              <w:tc>
                <w:tcPr>
                  <w:tcW w:w="1720" w:type="dxa"/>
                  <w:vMerge w:val="restart"/>
                  <w:tcBorders>
                    <w:top w:val="single" w:color="auto" w:sz="4" w:space="0"/>
                    <w:left w:val="single" w:color="auto" w:sz="4" w:space="0"/>
                    <w:bottom w:val="single" w:color="auto" w:sz="4" w:space="0"/>
                    <w:right w:val="single" w:color="auto" w:sz="12" w:space="0"/>
                  </w:tcBorders>
                  <w:vAlign w:val="center"/>
                </w:tcPr>
                <w:p>
                  <w:pPr>
                    <w:pStyle w:val="77"/>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41"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113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碳酸氢盐</w:t>
                  </w:r>
                </w:p>
              </w:tc>
              <w:tc>
                <w:tcPr>
                  <w:tcW w:w="3182"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92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720"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bl>
          <w:p>
            <w:pPr>
              <w:pStyle w:val="114"/>
              <w:rPr>
                <w:shd w:val="clear" w:color="auto" w:fill="FFFFFF"/>
              </w:rPr>
            </w:pPr>
            <w:r>
              <w:rPr>
                <w:shd w:val="clear" w:color="auto" w:fill="FFFFFF"/>
              </w:rPr>
              <w:t>4</w:t>
            </w:r>
            <w:r>
              <w:rPr>
                <w:rFonts w:hint="eastAsia"/>
                <w:shd w:val="clear" w:color="auto" w:fill="FFFFFF"/>
              </w:rPr>
              <w:t>、地下水监测结果</w:t>
            </w:r>
          </w:p>
          <w:p>
            <w:pPr>
              <w:pStyle w:val="114"/>
              <w:rPr>
                <w:shd w:val="clear" w:color="auto" w:fill="FFFFFF"/>
              </w:rPr>
            </w:pPr>
            <w:r>
              <w:rPr>
                <w:rFonts w:hint="eastAsia"/>
                <w:shd w:val="clear" w:color="auto" w:fill="FFFFFF"/>
              </w:rPr>
              <w:t>监测结果见表</w:t>
            </w:r>
            <w:r>
              <w:rPr>
                <w:shd w:val="clear" w:color="auto" w:fill="FFFFFF"/>
              </w:rPr>
              <w:t>3-12</w:t>
            </w:r>
            <w:r>
              <w:rPr>
                <w:rFonts w:hint="eastAsia"/>
                <w:shd w:val="clear" w:color="auto" w:fill="FFFFFF"/>
              </w:rPr>
              <w:t>，标准值来源于</w:t>
            </w:r>
            <w:r>
              <w:rPr>
                <w:rFonts w:hint="eastAsia"/>
              </w:rPr>
              <w:t>《地下水质量标准》</w:t>
            </w:r>
            <w:r>
              <w:t>(GB/T14848-2017)</w:t>
            </w:r>
            <w:r>
              <w:rPr>
                <w:rFonts w:hint="eastAsia"/>
              </w:rPr>
              <w:t>的</w:t>
            </w:r>
            <w:r>
              <w:rPr>
                <w:rFonts w:hint="eastAsia" w:cs="宋体"/>
              </w:rPr>
              <w:t>Ⅲ</w:t>
            </w:r>
            <w:r>
              <w:rPr>
                <w:rFonts w:hint="eastAsia"/>
              </w:rPr>
              <w:t>类水质标准。</w:t>
            </w:r>
          </w:p>
          <w:p>
            <w:pPr>
              <w:pStyle w:val="111"/>
            </w:pPr>
            <w:r>
              <w:rPr>
                <w:rFonts w:hint="eastAsia"/>
              </w:rPr>
              <w:t>表</w:t>
            </w:r>
            <w:r>
              <w:t xml:space="preserve">3-12  </w:t>
            </w:r>
            <w:r>
              <w:rPr>
                <w:rFonts w:hint="eastAsia"/>
              </w:rPr>
              <w:t>项目区地下水现状监测结果</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3"/>
              <w:gridCol w:w="2890"/>
              <w:gridCol w:w="1421"/>
              <w:gridCol w:w="1421"/>
              <w:gridCol w:w="1421"/>
              <w:gridCol w:w="14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3" w:hRule="atLeast"/>
                <w:jc w:val="center"/>
              </w:trPr>
              <w:tc>
                <w:tcPr>
                  <w:tcW w:w="3423" w:type="dxa"/>
                  <w:gridSpan w:val="2"/>
                  <w:tcBorders>
                    <w:top w:val="single" w:color="auto" w:sz="12" w:space="0"/>
                    <w:left w:val="single" w:color="auto" w:sz="12" w:space="0"/>
                    <w:bottom w:val="single" w:color="auto" w:sz="6" w:space="0"/>
                    <w:right w:val="single" w:color="auto" w:sz="6" w:space="0"/>
                    <w:tl2br w:val="single" w:color="auto" w:sz="4" w:space="0"/>
                  </w:tcBorders>
                </w:tcPr>
                <w:p>
                  <w:pPr>
                    <w:pStyle w:val="109"/>
                    <w:jc w:val="right"/>
                    <w:rPr>
                      <w:b/>
                      <w:bCs/>
                      <w:color w:val="auto"/>
                      <w:shd w:val="clear" w:color="auto" w:fill="FFFFFF"/>
                    </w:rPr>
                  </w:pPr>
                  <w:r>
                    <w:rPr>
                      <w:rFonts w:hint="eastAsia"/>
                      <w:b/>
                      <w:bCs/>
                      <w:color w:val="auto"/>
                      <w:shd w:val="clear" w:color="auto" w:fill="FFFFFF"/>
                    </w:rPr>
                    <w:t>采样点</w:t>
                  </w:r>
                  <w:r>
                    <w:rPr>
                      <w:b/>
                      <w:bCs/>
                      <w:color w:val="auto"/>
                      <w:shd w:val="clear" w:color="auto" w:fill="FFFFFF"/>
                    </w:rPr>
                    <w:t>/</w:t>
                  </w:r>
                  <w:r>
                    <w:rPr>
                      <w:rFonts w:hint="eastAsia"/>
                      <w:b/>
                      <w:bCs/>
                      <w:color w:val="auto"/>
                      <w:shd w:val="clear" w:color="auto" w:fill="FFFFFF"/>
                    </w:rPr>
                    <w:t>结果</w:t>
                  </w:r>
                </w:p>
                <w:p>
                  <w:pPr>
                    <w:pStyle w:val="109"/>
                    <w:jc w:val="left"/>
                    <w:rPr>
                      <w:b/>
                      <w:bCs/>
                      <w:color w:val="auto"/>
                      <w:shd w:val="clear" w:color="auto" w:fill="FFFFFF"/>
                    </w:rPr>
                  </w:pPr>
                  <w:r>
                    <w:rPr>
                      <w:rFonts w:hint="eastAsia"/>
                      <w:b/>
                      <w:bCs/>
                      <w:color w:val="auto"/>
                      <w:shd w:val="clear" w:color="auto" w:fill="FFFFFF"/>
                    </w:rPr>
                    <w:t>检测项目</w:t>
                  </w:r>
                </w:p>
              </w:tc>
              <w:tc>
                <w:tcPr>
                  <w:tcW w:w="1421" w:type="dxa"/>
                  <w:tcBorders>
                    <w:top w:val="single" w:color="auto" w:sz="12" w:space="0"/>
                    <w:left w:val="single" w:color="auto" w:sz="6" w:space="0"/>
                    <w:bottom w:val="double" w:color="auto" w:sz="4" w:space="0"/>
                    <w:right w:val="single" w:color="auto" w:sz="6" w:space="0"/>
                  </w:tcBorders>
                  <w:vAlign w:val="center"/>
                </w:tcPr>
                <w:p>
                  <w:pPr>
                    <w:pStyle w:val="109"/>
                    <w:rPr>
                      <w:b/>
                      <w:bCs/>
                      <w:color w:val="auto"/>
                      <w:shd w:val="clear" w:color="auto" w:fill="FFFFFF"/>
                    </w:rPr>
                  </w:pPr>
                  <w:r>
                    <w:rPr>
                      <w:b/>
                      <w:bCs/>
                      <w:color w:val="auto"/>
                      <w:shd w:val="clear" w:color="auto" w:fill="FFFFFF"/>
                    </w:rPr>
                    <w:t>GW3</w:t>
                  </w:r>
                </w:p>
              </w:tc>
              <w:tc>
                <w:tcPr>
                  <w:tcW w:w="1421" w:type="dxa"/>
                  <w:tcBorders>
                    <w:top w:val="single" w:color="auto" w:sz="12" w:space="0"/>
                    <w:left w:val="single" w:color="auto" w:sz="6" w:space="0"/>
                    <w:bottom w:val="double" w:color="auto" w:sz="4" w:space="0"/>
                    <w:right w:val="single" w:color="auto" w:sz="6" w:space="0"/>
                  </w:tcBorders>
                  <w:vAlign w:val="center"/>
                </w:tcPr>
                <w:p>
                  <w:pPr>
                    <w:pStyle w:val="109"/>
                    <w:rPr>
                      <w:b/>
                      <w:bCs/>
                      <w:color w:val="auto"/>
                      <w:shd w:val="clear" w:color="auto" w:fill="FFFFFF"/>
                    </w:rPr>
                  </w:pPr>
                  <w:r>
                    <w:rPr>
                      <w:b/>
                      <w:bCs/>
                      <w:color w:val="auto"/>
                      <w:shd w:val="clear" w:color="auto" w:fill="FFFFFF"/>
                    </w:rPr>
                    <w:t>GW2</w:t>
                  </w:r>
                </w:p>
              </w:tc>
              <w:tc>
                <w:tcPr>
                  <w:tcW w:w="1421" w:type="dxa"/>
                  <w:tcBorders>
                    <w:top w:val="single" w:color="auto" w:sz="12" w:space="0"/>
                    <w:left w:val="single" w:color="auto" w:sz="6" w:space="0"/>
                    <w:bottom w:val="double" w:color="auto" w:sz="4" w:space="0"/>
                    <w:right w:val="single" w:color="auto" w:sz="6" w:space="0"/>
                  </w:tcBorders>
                  <w:vAlign w:val="center"/>
                </w:tcPr>
                <w:p>
                  <w:pPr>
                    <w:pStyle w:val="109"/>
                    <w:rPr>
                      <w:b/>
                      <w:bCs/>
                      <w:color w:val="auto"/>
                      <w:shd w:val="clear" w:color="auto" w:fill="FFFFFF"/>
                    </w:rPr>
                  </w:pPr>
                  <w:r>
                    <w:rPr>
                      <w:b/>
                      <w:bCs/>
                      <w:color w:val="auto"/>
                      <w:shd w:val="clear" w:color="auto" w:fill="FFFFFF"/>
                    </w:rPr>
                    <w:t>GW1</w:t>
                  </w:r>
                </w:p>
              </w:tc>
              <w:tc>
                <w:tcPr>
                  <w:tcW w:w="1412" w:type="dxa"/>
                  <w:tcBorders>
                    <w:top w:val="single" w:color="auto" w:sz="12" w:space="0"/>
                    <w:left w:val="single" w:color="auto" w:sz="6" w:space="0"/>
                    <w:bottom w:val="single" w:color="auto" w:sz="6" w:space="0"/>
                    <w:right w:val="single" w:color="auto" w:sz="12" w:space="0"/>
                  </w:tcBorders>
                  <w:vAlign w:val="center"/>
                </w:tcPr>
                <w:p>
                  <w:pPr>
                    <w:pStyle w:val="109"/>
                    <w:rPr>
                      <w:b/>
                      <w:bCs/>
                      <w:color w:val="auto"/>
                      <w:shd w:val="clear" w:color="auto" w:fill="FFFFFF"/>
                    </w:rPr>
                  </w:pPr>
                  <w:r>
                    <w:rPr>
                      <w:rFonts w:hint="eastAsia"/>
                      <w:b/>
                      <w:bCs/>
                      <w:color w:val="auto"/>
                      <w:shd w:val="clear" w:color="auto" w:fill="FFFFFF"/>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533" w:type="dxa"/>
                  <w:tcBorders>
                    <w:top w:val="double" w:color="auto" w:sz="4"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w:t>
                  </w:r>
                </w:p>
              </w:tc>
              <w:tc>
                <w:tcPr>
                  <w:tcW w:w="2890" w:type="dxa"/>
                  <w:tcBorders>
                    <w:top w:val="double" w:color="auto" w:sz="4"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pH</w:t>
                  </w:r>
                  <w:r>
                    <w:rPr>
                      <w:rFonts w:hint="eastAsia"/>
                      <w:color w:val="auto"/>
                      <w:shd w:val="clear" w:color="auto" w:fill="FFFFFF"/>
                    </w:rPr>
                    <w:t>值（无量纲）</w:t>
                  </w:r>
                </w:p>
              </w:tc>
              <w:tc>
                <w:tcPr>
                  <w:tcW w:w="1421" w:type="dxa"/>
                  <w:tcBorders>
                    <w:top w:val="double" w:color="auto" w:sz="4"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7.71</w:t>
                  </w:r>
                </w:p>
              </w:tc>
              <w:tc>
                <w:tcPr>
                  <w:tcW w:w="1421" w:type="dxa"/>
                  <w:tcBorders>
                    <w:top w:val="double" w:color="auto" w:sz="4"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7.49</w:t>
                  </w:r>
                </w:p>
              </w:tc>
              <w:tc>
                <w:tcPr>
                  <w:tcW w:w="1421" w:type="dxa"/>
                  <w:tcBorders>
                    <w:top w:val="double" w:color="auto" w:sz="4" w:space="0"/>
                    <w:left w:val="single" w:color="auto" w:sz="6" w:space="0"/>
                    <w:bottom w:val="single" w:color="auto" w:sz="6" w:space="0"/>
                    <w:right w:val="single" w:color="auto" w:sz="6" w:space="0"/>
                  </w:tcBorders>
                </w:tcPr>
                <w:p>
                  <w:pPr>
                    <w:pStyle w:val="109"/>
                    <w:rPr>
                      <w:color w:val="auto"/>
                    </w:rPr>
                  </w:pPr>
                  <w:r>
                    <w:rPr>
                      <w:color w:val="auto"/>
                    </w:rPr>
                    <w:t>7.55</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6.5</w:t>
                  </w:r>
                  <w:r>
                    <w:rPr>
                      <w:rFonts w:hint="eastAsia"/>
                      <w:color w:val="auto"/>
                    </w:rPr>
                    <w:t>～</w:t>
                  </w:r>
                  <w:r>
                    <w:rPr>
                      <w:color w:val="auto"/>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2</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氨氮（</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0.08</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rPr>
                  </w:pPr>
                  <w:r>
                    <w:rPr>
                      <w:color w:val="auto"/>
                    </w:rPr>
                    <w:t>0.06</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3</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溶解性总固体（</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329</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378</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rPr>
                  </w:pPr>
                  <w:r>
                    <w:rPr>
                      <w:color w:val="auto"/>
                    </w:rPr>
                    <w:t>150</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4</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挥发酚类（</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rPr>
                  </w:pPr>
                  <w:r>
                    <w:t>ND</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5</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氰化物（</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rPr>
                  </w:pPr>
                  <w:r>
                    <w:t>ND</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6</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砷（</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rPr>
                  </w:pPr>
                  <w:r>
                    <w:t>ND</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7</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汞（</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rPr>
                  </w:pPr>
                  <w:r>
                    <w:t>ND</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8</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六价铬（</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rPr>
                  </w:pPr>
                  <w:r>
                    <w:t>ND</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9</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总硬度（</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137</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138</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rPr>
                  </w:pPr>
                  <w:r>
                    <w:rPr>
                      <w:color w:val="auto"/>
                    </w:rPr>
                    <w:t>41.6</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10</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氟化物（</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0.036</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0.037</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0.031</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11</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硝酸盐（以</w:t>
                  </w:r>
                  <w:r>
                    <w:rPr>
                      <w:color w:val="auto"/>
                      <w:shd w:val="clear" w:color="auto" w:fill="FFFFFF"/>
                    </w:rPr>
                    <w:t>N</w:t>
                  </w:r>
                  <w:r>
                    <w:rPr>
                      <w:rFonts w:hint="eastAsia"/>
                      <w:color w:val="auto"/>
                      <w:shd w:val="clear" w:color="auto" w:fill="FFFFFF"/>
                    </w:rPr>
                    <w:t>计）（</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0.302</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0.281</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0.263</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12</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亚硝酸盐（以</w:t>
                  </w:r>
                  <w:r>
                    <w:rPr>
                      <w:color w:val="auto"/>
                      <w:shd w:val="clear" w:color="auto" w:fill="FFFFFF"/>
                    </w:rPr>
                    <w:t>N</w:t>
                  </w:r>
                  <w:r>
                    <w:rPr>
                      <w:rFonts w:hint="eastAsia"/>
                      <w:color w:val="auto"/>
                      <w:shd w:val="clear" w:color="auto" w:fill="FFFFFF"/>
                    </w:rPr>
                    <w:t>计）（</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0.040</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0.040</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13</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SO</w:t>
                  </w:r>
                  <w:r>
                    <w:rPr>
                      <w:color w:val="auto"/>
                      <w:shd w:val="clear" w:color="auto" w:fill="FFFFFF"/>
                      <w:vertAlign w:val="subscript"/>
                    </w:rPr>
                    <w:t>4</w:t>
                  </w:r>
                  <w:r>
                    <w:rPr>
                      <w:color w:val="auto"/>
                      <w:shd w:val="clear" w:color="auto" w:fill="FFFFFF"/>
                      <w:vertAlign w:val="superscript"/>
                    </w:rPr>
                    <w:t>2-</w:t>
                  </w:r>
                  <w:r>
                    <w:rPr>
                      <w:rFonts w:hint="eastAsia"/>
                      <w:color w:val="auto"/>
                      <w:shd w:val="clear" w:color="auto" w:fill="FFFFFF"/>
                    </w:rPr>
                    <w:t>（</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5.38</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4.89</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2.37</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14</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Cl</w:t>
                  </w:r>
                  <w:r>
                    <w:rPr>
                      <w:color w:val="auto"/>
                      <w:shd w:val="clear" w:color="auto" w:fill="FFFFFF"/>
                      <w:vertAlign w:val="superscript"/>
                    </w:rPr>
                    <w:t>-</w:t>
                  </w:r>
                  <w:r>
                    <w:rPr>
                      <w:rFonts w:hint="eastAsia"/>
                      <w:color w:val="auto"/>
                      <w:shd w:val="clear" w:color="auto" w:fill="FFFFFF"/>
                    </w:rPr>
                    <w:t>（</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0.300</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0.298</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0.130</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15</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铁（</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0.0608</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0.0536</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0.0198</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16</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锰（</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3.16</w:t>
                  </w:r>
                  <w:r>
                    <w:rPr>
                      <w:rFonts w:hint="eastAsia"/>
                      <w:color w:val="auto"/>
                      <w:shd w:val="clear" w:color="auto" w:fill="FFFFFF"/>
                    </w:rPr>
                    <w:t>×</w:t>
                  </w:r>
                  <w:r>
                    <w:rPr>
                      <w:color w:val="auto"/>
                      <w:shd w:val="clear" w:color="auto" w:fill="FFFFFF"/>
                    </w:rPr>
                    <w:t>10</w:t>
                  </w:r>
                  <w:r>
                    <w:rPr>
                      <w:color w:val="auto"/>
                      <w:shd w:val="clear" w:color="auto" w:fill="FFFFFF"/>
                      <w:vertAlign w:val="superscript"/>
                    </w:rPr>
                    <w:t>-3</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2.16</w:t>
                  </w:r>
                  <w:r>
                    <w:rPr>
                      <w:rFonts w:hint="eastAsia"/>
                      <w:color w:val="auto"/>
                      <w:shd w:val="clear" w:color="auto" w:fill="FFFFFF"/>
                    </w:rPr>
                    <w:t>×</w:t>
                  </w:r>
                  <w:r>
                    <w:rPr>
                      <w:color w:val="auto"/>
                      <w:shd w:val="clear" w:color="auto" w:fill="FFFFFF"/>
                    </w:rPr>
                    <w:t>10</w:t>
                  </w:r>
                  <w:r>
                    <w:rPr>
                      <w:color w:val="auto"/>
                      <w:shd w:val="clear" w:color="auto" w:fill="FFFFFF"/>
                      <w:vertAlign w:val="superscript"/>
                    </w:rPr>
                    <w:t>-3</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9.0</w:t>
                  </w:r>
                  <w:r>
                    <w:rPr>
                      <w:rFonts w:hint="eastAsia"/>
                      <w:color w:val="auto"/>
                      <w:shd w:val="clear" w:color="auto" w:fill="FFFFFF"/>
                    </w:rPr>
                    <w:t>×</w:t>
                  </w:r>
                  <w:r>
                    <w:rPr>
                      <w:color w:val="auto"/>
                      <w:shd w:val="clear" w:color="auto" w:fill="FFFFFF"/>
                    </w:rPr>
                    <w:t>10</w:t>
                  </w:r>
                  <w:r>
                    <w:rPr>
                      <w:color w:val="auto"/>
                      <w:shd w:val="clear" w:color="auto" w:fill="FFFFFF"/>
                      <w:vertAlign w:val="superscript"/>
                    </w:rPr>
                    <w:t>-4</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17</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铅（</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4.4</w:t>
                  </w:r>
                  <w:r>
                    <w:rPr>
                      <w:rFonts w:hint="eastAsia"/>
                      <w:color w:val="auto"/>
                      <w:shd w:val="clear" w:color="auto" w:fill="FFFFFF"/>
                    </w:rPr>
                    <w:t>×</w:t>
                  </w:r>
                  <w:r>
                    <w:rPr>
                      <w:color w:val="auto"/>
                      <w:shd w:val="clear" w:color="auto" w:fill="FFFFFF"/>
                    </w:rPr>
                    <w:t>10</w:t>
                  </w:r>
                  <w:r>
                    <w:rPr>
                      <w:color w:val="auto"/>
                      <w:shd w:val="clear" w:color="auto" w:fill="FFFFFF"/>
                      <w:vertAlign w:val="superscript"/>
                    </w:rPr>
                    <w:t>-4</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18</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镉（</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6"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19</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总大肠杆菌（</w:t>
                  </w:r>
                  <w:r>
                    <w:rPr>
                      <w:color w:val="auto"/>
                      <w:shd w:val="clear" w:color="auto" w:fill="FFFFFF"/>
                    </w:rPr>
                    <w:t>MPN/100mL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20</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细菌总数</w:t>
                  </w:r>
                  <w:r>
                    <w:rPr>
                      <w:color w:val="auto"/>
                      <w:shd w:val="clear" w:color="auto" w:fill="FFFFFF"/>
                    </w:rPr>
                    <w:t>(CFU/mL)</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88</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96</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77</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21</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K</w:t>
                  </w:r>
                  <w:r>
                    <w:rPr>
                      <w:color w:val="auto"/>
                      <w:shd w:val="clear" w:color="auto" w:fill="FFFFFF"/>
                      <w:vertAlign w:val="superscript"/>
                    </w:rPr>
                    <w:t>+</w:t>
                  </w:r>
                  <w:r>
                    <w:rPr>
                      <w:rFonts w:hint="eastAsia"/>
                      <w:color w:val="auto"/>
                      <w:shd w:val="clear" w:color="auto" w:fill="FFFFFF"/>
                    </w:rPr>
                    <w:t>（</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13.4</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16.9</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2.88</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22</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Na</w:t>
                  </w:r>
                  <w:r>
                    <w:rPr>
                      <w:color w:val="auto"/>
                      <w:shd w:val="clear" w:color="auto" w:fill="FFFFFF"/>
                      <w:vertAlign w:val="superscript"/>
                    </w:rPr>
                    <w:t>+</w:t>
                  </w:r>
                  <w:r>
                    <w:rPr>
                      <w:rFonts w:hint="eastAsia"/>
                      <w:color w:val="auto"/>
                      <w:shd w:val="clear" w:color="auto" w:fill="FFFFFF"/>
                    </w:rPr>
                    <w:t>（</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3.34</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3.81</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1.02</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color w:val="auto"/>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23</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Ca</w:t>
                  </w:r>
                  <w:r>
                    <w:rPr>
                      <w:color w:val="auto"/>
                      <w:shd w:val="clear" w:color="auto" w:fill="FFFFFF"/>
                      <w:vertAlign w:val="superscript"/>
                    </w:rPr>
                    <w:t>2+</w:t>
                  </w:r>
                  <w:r>
                    <w:rPr>
                      <w:rFonts w:hint="eastAsia"/>
                      <w:color w:val="auto"/>
                      <w:shd w:val="clear" w:color="auto" w:fill="FFFFFF"/>
                    </w:rPr>
                    <w:t>（</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30.</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15.5</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6.5</w:t>
                  </w:r>
                </w:p>
              </w:tc>
              <w:tc>
                <w:tcPr>
                  <w:tcW w:w="1412" w:type="dxa"/>
                  <w:tcBorders>
                    <w:top w:val="single" w:color="auto" w:sz="6" w:space="0"/>
                    <w:left w:val="single" w:color="auto" w:sz="6" w:space="0"/>
                    <w:bottom w:val="single" w:color="auto" w:sz="6" w:space="0"/>
                    <w:right w:val="single" w:color="auto" w:sz="12" w:space="0"/>
                  </w:tcBorders>
                  <w:vAlign w:val="center"/>
                </w:tcPr>
                <w:p>
                  <w:pPr>
                    <w:pStyle w:val="109"/>
                    <w:rPr>
                      <w:color w:val="auto"/>
                      <w:shd w:val="clear" w:color="auto" w:fill="FFFFFF"/>
                    </w:rPr>
                  </w:pPr>
                  <w:r>
                    <w:rPr>
                      <w:rFonts w:hint="eastAsia"/>
                      <w:color w:val="auto"/>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24</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Mg</w:t>
                  </w:r>
                  <w:r>
                    <w:rPr>
                      <w:color w:val="auto"/>
                      <w:shd w:val="clear" w:color="auto" w:fill="FFFFFF"/>
                      <w:vertAlign w:val="superscript"/>
                    </w:rPr>
                    <w:t>2+</w:t>
                  </w:r>
                  <w:r>
                    <w:rPr>
                      <w:rFonts w:hint="eastAsia"/>
                      <w:color w:val="auto"/>
                      <w:shd w:val="clear" w:color="auto" w:fill="FFFFFF"/>
                    </w:rPr>
                    <w:t>（</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13.9</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20.0</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5.9</w:t>
                  </w:r>
                </w:p>
              </w:tc>
              <w:tc>
                <w:tcPr>
                  <w:tcW w:w="1412" w:type="dxa"/>
                  <w:tcBorders>
                    <w:top w:val="single" w:color="auto" w:sz="6" w:space="0"/>
                    <w:left w:val="single" w:color="auto" w:sz="6" w:space="0"/>
                    <w:bottom w:val="single" w:color="auto" w:sz="6" w:space="0"/>
                    <w:right w:val="single" w:color="auto" w:sz="12" w:space="0"/>
                  </w:tcBorders>
                </w:tcPr>
                <w:p>
                  <w:pPr>
                    <w:pStyle w:val="109"/>
                    <w:rPr>
                      <w:color w:val="auto"/>
                      <w:shd w:val="clear" w:color="auto" w:fill="FFFFFF"/>
                    </w:rPr>
                  </w:pPr>
                  <w:r>
                    <w:rPr>
                      <w:rFonts w:hint="eastAsia"/>
                      <w:color w:val="auto"/>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25</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CO</w:t>
                  </w:r>
                  <w:r>
                    <w:rPr>
                      <w:color w:val="auto"/>
                      <w:shd w:val="clear" w:color="auto" w:fill="FFFFFF"/>
                      <w:vertAlign w:val="subscript"/>
                    </w:rPr>
                    <w:t>3</w:t>
                  </w:r>
                  <w:r>
                    <w:rPr>
                      <w:color w:val="auto"/>
                      <w:shd w:val="clear" w:color="auto" w:fill="FFFFFF"/>
                      <w:vertAlign w:val="superscript"/>
                    </w:rPr>
                    <w:t>-</w:t>
                  </w:r>
                  <w:r>
                    <w:rPr>
                      <w:rFonts w:hint="eastAsia"/>
                      <w:color w:val="auto"/>
                      <w:shd w:val="clear" w:color="auto" w:fill="FFFFFF"/>
                    </w:rPr>
                    <w:t>（</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t>ND</w:t>
                  </w:r>
                </w:p>
              </w:tc>
              <w:tc>
                <w:tcPr>
                  <w:tcW w:w="1412" w:type="dxa"/>
                  <w:tcBorders>
                    <w:top w:val="single" w:color="auto" w:sz="6" w:space="0"/>
                    <w:left w:val="single" w:color="auto" w:sz="6" w:space="0"/>
                    <w:bottom w:val="single" w:color="auto" w:sz="6" w:space="0"/>
                    <w:right w:val="single" w:color="auto" w:sz="12" w:space="0"/>
                  </w:tcBorders>
                </w:tcPr>
                <w:p>
                  <w:pPr>
                    <w:pStyle w:val="109"/>
                    <w:rPr>
                      <w:color w:val="auto"/>
                      <w:shd w:val="clear" w:color="auto" w:fill="FFFFFF"/>
                    </w:rPr>
                  </w:pPr>
                  <w:r>
                    <w:rPr>
                      <w:rFonts w:hint="eastAsia"/>
                      <w:color w:val="auto"/>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26</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HCO</w:t>
                  </w:r>
                  <w:r>
                    <w:rPr>
                      <w:color w:val="auto"/>
                      <w:shd w:val="clear" w:color="auto" w:fill="FFFFFF"/>
                      <w:vertAlign w:val="subscript"/>
                    </w:rPr>
                    <w:t>3</w:t>
                  </w:r>
                  <w:r>
                    <w:rPr>
                      <w:color w:val="auto"/>
                      <w:shd w:val="clear" w:color="auto" w:fill="FFFFFF"/>
                      <w:vertAlign w:val="superscript"/>
                    </w:rPr>
                    <w:t>-</w:t>
                  </w:r>
                  <w:r>
                    <w:rPr>
                      <w:rFonts w:hint="eastAsia"/>
                      <w:color w:val="auto"/>
                      <w:shd w:val="clear" w:color="auto" w:fill="FFFFFF"/>
                    </w:rPr>
                    <w:t>（</w:t>
                  </w:r>
                  <w:r>
                    <w:rPr>
                      <w:color w:val="auto"/>
                      <w:shd w:val="clear" w:color="auto" w:fill="FFFFFF"/>
                    </w:rPr>
                    <w:t>mg/L</w:t>
                  </w:r>
                  <w:r>
                    <w:rPr>
                      <w:rFonts w:hint="eastAsia"/>
                      <w:color w:val="auto"/>
                      <w:shd w:val="clear" w:color="auto" w:fill="FFFFFF"/>
                    </w:rPr>
                    <w:t>）</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138</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156</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47.2</w:t>
                  </w:r>
                </w:p>
              </w:tc>
              <w:tc>
                <w:tcPr>
                  <w:tcW w:w="1412" w:type="dxa"/>
                  <w:tcBorders>
                    <w:top w:val="single" w:color="auto" w:sz="6" w:space="0"/>
                    <w:left w:val="single" w:color="auto" w:sz="6" w:space="0"/>
                    <w:bottom w:val="single" w:color="auto" w:sz="6" w:space="0"/>
                    <w:right w:val="single" w:color="auto" w:sz="12" w:space="0"/>
                  </w:tcBorders>
                </w:tcPr>
                <w:p>
                  <w:pPr>
                    <w:pStyle w:val="109"/>
                    <w:rPr>
                      <w:color w:val="auto"/>
                      <w:shd w:val="clear" w:color="auto" w:fill="FFFFFF"/>
                    </w:rPr>
                  </w:pPr>
                  <w:r>
                    <w:rPr>
                      <w:rFonts w:hint="eastAsia"/>
                      <w:color w:val="auto"/>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1" w:hRule="atLeast"/>
                <w:jc w:val="center"/>
              </w:trPr>
              <w:tc>
                <w:tcPr>
                  <w:tcW w:w="533" w:type="dxa"/>
                  <w:tcBorders>
                    <w:top w:val="single" w:color="auto" w:sz="6" w:space="0"/>
                    <w:left w:val="single" w:color="auto" w:sz="12" w:space="0"/>
                    <w:bottom w:val="single" w:color="auto" w:sz="6" w:space="0"/>
                    <w:right w:val="single" w:color="auto" w:sz="6" w:space="0"/>
                  </w:tcBorders>
                </w:tcPr>
                <w:p>
                  <w:pPr>
                    <w:pStyle w:val="109"/>
                    <w:rPr>
                      <w:color w:val="auto"/>
                      <w:shd w:val="clear" w:color="auto" w:fill="FFFFFF"/>
                    </w:rPr>
                  </w:pPr>
                  <w:r>
                    <w:rPr>
                      <w:color w:val="auto"/>
                      <w:shd w:val="clear" w:color="auto" w:fill="FFFFFF"/>
                    </w:rPr>
                    <w:t>27</w:t>
                  </w:r>
                </w:p>
              </w:tc>
              <w:tc>
                <w:tcPr>
                  <w:tcW w:w="2890"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rFonts w:hint="eastAsia"/>
                      <w:color w:val="auto"/>
                      <w:shd w:val="clear" w:color="auto" w:fill="FFFFFF"/>
                    </w:rPr>
                    <w:t>水位</w:t>
                  </w:r>
                  <w:r>
                    <w:rPr>
                      <w:color w:val="auto"/>
                      <w:shd w:val="clear" w:color="auto" w:fill="FFFFFF"/>
                    </w:rPr>
                    <w:t>m</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8.0</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1.9</w:t>
                  </w:r>
                </w:p>
              </w:tc>
              <w:tc>
                <w:tcPr>
                  <w:tcW w:w="1421" w:type="dxa"/>
                  <w:tcBorders>
                    <w:top w:val="single" w:color="auto" w:sz="6" w:space="0"/>
                    <w:left w:val="single" w:color="auto" w:sz="6" w:space="0"/>
                    <w:bottom w:val="single" w:color="auto" w:sz="6" w:space="0"/>
                    <w:right w:val="single" w:color="auto" w:sz="6" w:space="0"/>
                  </w:tcBorders>
                </w:tcPr>
                <w:p>
                  <w:pPr>
                    <w:pStyle w:val="109"/>
                    <w:rPr>
                      <w:color w:val="auto"/>
                      <w:shd w:val="clear" w:color="auto" w:fill="FFFFFF"/>
                    </w:rPr>
                  </w:pPr>
                  <w:r>
                    <w:rPr>
                      <w:color w:val="auto"/>
                      <w:shd w:val="clear" w:color="auto" w:fill="FFFFFF"/>
                    </w:rPr>
                    <w:t>0.5</w:t>
                  </w:r>
                </w:p>
              </w:tc>
              <w:tc>
                <w:tcPr>
                  <w:tcW w:w="1412" w:type="dxa"/>
                  <w:tcBorders>
                    <w:top w:val="single" w:color="auto" w:sz="6" w:space="0"/>
                    <w:left w:val="single" w:color="auto" w:sz="6" w:space="0"/>
                    <w:bottom w:val="single" w:color="auto" w:sz="6" w:space="0"/>
                    <w:right w:val="single" w:color="auto" w:sz="12" w:space="0"/>
                  </w:tcBorders>
                </w:tcPr>
                <w:p>
                  <w:pPr>
                    <w:pStyle w:val="109"/>
                    <w:rPr>
                      <w:color w:val="auto"/>
                      <w:shd w:val="clear" w:color="auto" w:fill="FFFFFF"/>
                    </w:rPr>
                  </w:pPr>
                  <w:r>
                    <w:rPr>
                      <w:rFonts w:hint="eastAsia"/>
                      <w:color w:val="auto"/>
                      <w:shd w:val="clear" w:color="auto" w:fill="FFFFFF"/>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5" w:hRule="atLeast"/>
                <w:jc w:val="center"/>
              </w:trPr>
              <w:tc>
                <w:tcPr>
                  <w:tcW w:w="533" w:type="dxa"/>
                  <w:tcBorders>
                    <w:top w:val="single" w:color="auto" w:sz="6" w:space="0"/>
                    <w:left w:val="single" w:color="auto" w:sz="12" w:space="0"/>
                    <w:bottom w:val="single" w:color="auto" w:sz="12" w:space="0"/>
                    <w:right w:val="single" w:color="auto" w:sz="6" w:space="0"/>
                  </w:tcBorders>
                </w:tcPr>
                <w:p>
                  <w:pPr>
                    <w:pStyle w:val="109"/>
                    <w:rPr>
                      <w:color w:val="auto"/>
                      <w:shd w:val="clear" w:color="auto" w:fill="FFFFFF"/>
                    </w:rPr>
                  </w:pPr>
                  <w:r>
                    <w:rPr>
                      <w:color w:val="auto"/>
                      <w:shd w:val="clear" w:color="auto" w:fill="FFFFFF"/>
                    </w:rPr>
                    <w:t>28</w:t>
                  </w:r>
                </w:p>
              </w:tc>
              <w:tc>
                <w:tcPr>
                  <w:tcW w:w="2890" w:type="dxa"/>
                  <w:tcBorders>
                    <w:top w:val="single" w:color="auto" w:sz="6" w:space="0"/>
                    <w:left w:val="single" w:color="auto" w:sz="6" w:space="0"/>
                    <w:bottom w:val="single" w:color="auto" w:sz="12" w:space="0"/>
                    <w:right w:val="single" w:color="auto" w:sz="6" w:space="0"/>
                  </w:tcBorders>
                </w:tcPr>
                <w:p>
                  <w:pPr>
                    <w:pStyle w:val="109"/>
                    <w:rPr>
                      <w:color w:val="auto"/>
                      <w:shd w:val="clear" w:color="auto" w:fill="FFFFFF"/>
                    </w:rPr>
                  </w:pPr>
                  <w:r>
                    <w:rPr>
                      <w:rFonts w:hint="eastAsia"/>
                      <w:color w:val="auto"/>
                      <w:shd w:val="clear" w:color="auto" w:fill="FFFFFF"/>
                    </w:rPr>
                    <w:t>水温℃</w:t>
                  </w:r>
                </w:p>
              </w:tc>
              <w:tc>
                <w:tcPr>
                  <w:tcW w:w="1421" w:type="dxa"/>
                  <w:tcBorders>
                    <w:top w:val="single" w:color="auto" w:sz="6" w:space="0"/>
                    <w:left w:val="single" w:color="auto" w:sz="6" w:space="0"/>
                    <w:bottom w:val="single" w:color="auto" w:sz="12" w:space="0"/>
                    <w:right w:val="single" w:color="auto" w:sz="6" w:space="0"/>
                  </w:tcBorders>
                </w:tcPr>
                <w:p>
                  <w:pPr>
                    <w:pStyle w:val="109"/>
                    <w:rPr>
                      <w:color w:val="auto"/>
                      <w:shd w:val="clear" w:color="auto" w:fill="FFFFFF"/>
                    </w:rPr>
                  </w:pPr>
                  <w:r>
                    <w:rPr>
                      <w:color w:val="auto"/>
                      <w:shd w:val="clear" w:color="auto" w:fill="FFFFFF"/>
                    </w:rPr>
                    <w:t>24.5</w:t>
                  </w:r>
                </w:p>
              </w:tc>
              <w:tc>
                <w:tcPr>
                  <w:tcW w:w="1421" w:type="dxa"/>
                  <w:tcBorders>
                    <w:top w:val="single" w:color="auto" w:sz="6" w:space="0"/>
                    <w:left w:val="single" w:color="auto" w:sz="6" w:space="0"/>
                    <w:bottom w:val="single" w:color="auto" w:sz="12" w:space="0"/>
                    <w:right w:val="single" w:color="auto" w:sz="6" w:space="0"/>
                  </w:tcBorders>
                </w:tcPr>
                <w:p>
                  <w:pPr>
                    <w:pStyle w:val="109"/>
                    <w:rPr>
                      <w:color w:val="auto"/>
                      <w:shd w:val="clear" w:color="auto" w:fill="FFFFFF"/>
                    </w:rPr>
                  </w:pPr>
                  <w:r>
                    <w:rPr>
                      <w:color w:val="auto"/>
                      <w:shd w:val="clear" w:color="auto" w:fill="FFFFFF"/>
                    </w:rPr>
                    <w:t>25.3</w:t>
                  </w:r>
                </w:p>
              </w:tc>
              <w:tc>
                <w:tcPr>
                  <w:tcW w:w="1421" w:type="dxa"/>
                  <w:tcBorders>
                    <w:top w:val="single" w:color="auto" w:sz="6" w:space="0"/>
                    <w:left w:val="single" w:color="auto" w:sz="6" w:space="0"/>
                    <w:bottom w:val="single" w:color="auto" w:sz="12" w:space="0"/>
                    <w:right w:val="single" w:color="auto" w:sz="6" w:space="0"/>
                  </w:tcBorders>
                </w:tcPr>
                <w:p>
                  <w:pPr>
                    <w:pStyle w:val="109"/>
                    <w:rPr>
                      <w:color w:val="auto"/>
                      <w:shd w:val="clear" w:color="auto" w:fill="FFFFFF"/>
                    </w:rPr>
                  </w:pPr>
                  <w:r>
                    <w:rPr>
                      <w:color w:val="auto"/>
                      <w:shd w:val="clear" w:color="auto" w:fill="FFFFFF"/>
                    </w:rPr>
                    <w:t>25.7</w:t>
                  </w:r>
                </w:p>
              </w:tc>
              <w:tc>
                <w:tcPr>
                  <w:tcW w:w="1412" w:type="dxa"/>
                  <w:tcBorders>
                    <w:top w:val="single" w:color="auto" w:sz="6" w:space="0"/>
                    <w:left w:val="single" w:color="auto" w:sz="6" w:space="0"/>
                    <w:bottom w:val="single" w:color="auto" w:sz="12" w:space="0"/>
                    <w:right w:val="single" w:color="auto" w:sz="12" w:space="0"/>
                  </w:tcBorders>
                </w:tcPr>
                <w:p>
                  <w:pPr>
                    <w:pStyle w:val="109"/>
                    <w:rPr>
                      <w:color w:val="auto"/>
                      <w:shd w:val="clear" w:color="auto" w:fill="FFFFFF"/>
                    </w:rPr>
                  </w:pPr>
                  <w:r>
                    <w:rPr>
                      <w:rFonts w:hint="eastAsia"/>
                      <w:color w:val="auto"/>
                      <w:shd w:val="clear" w:color="auto" w:fill="FFFFFF"/>
                    </w:rPr>
                    <w:t>/</w:t>
                  </w:r>
                </w:p>
              </w:tc>
            </w:tr>
          </w:tbl>
          <w:p>
            <w:pPr>
              <w:pStyle w:val="114"/>
              <w:rPr>
                <w:shd w:val="clear" w:color="auto" w:fill="FFFFFF"/>
              </w:rPr>
            </w:pPr>
            <w:r>
              <w:rPr>
                <w:rFonts w:hint="eastAsia"/>
              </w:rPr>
              <w:t>注：</w:t>
            </w:r>
            <w:r>
              <w:t>ND</w:t>
            </w:r>
            <w:r>
              <w:rPr>
                <w:rFonts w:hint="eastAsia"/>
              </w:rPr>
              <w:t>表示未检出或低于最低检出限。</w:t>
            </w:r>
          </w:p>
          <w:p>
            <w:pPr>
              <w:pStyle w:val="114"/>
              <w:rPr>
                <w:shd w:val="clear" w:color="auto" w:fill="FFFFFF"/>
              </w:rPr>
            </w:pPr>
            <w:r>
              <w:rPr>
                <w:shd w:val="clear" w:color="auto" w:fill="FFFFFF"/>
              </w:rPr>
              <w:t>5</w:t>
            </w:r>
            <w:r>
              <w:rPr>
                <w:rFonts w:hint="eastAsia"/>
                <w:shd w:val="clear" w:color="auto" w:fill="FFFFFF"/>
              </w:rPr>
              <w:t>、地下水现状评价</w:t>
            </w:r>
          </w:p>
          <w:p>
            <w:pPr>
              <w:pStyle w:val="114"/>
            </w:pPr>
            <w:bookmarkStart w:id="25" w:name="_Toc528157155"/>
            <w:r>
              <w:rPr>
                <w:rFonts w:hint="eastAsia"/>
              </w:rPr>
              <w:t>（</w:t>
            </w:r>
            <w:r>
              <w:t>1</w:t>
            </w:r>
            <w:r>
              <w:rPr>
                <w:rFonts w:hint="eastAsia"/>
              </w:rPr>
              <w:t>）评价标准</w:t>
            </w:r>
            <w:bookmarkEnd w:id="25"/>
          </w:p>
          <w:p>
            <w:pPr>
              <w:pStyle w:val="114"/>
            </w:pPr>
            <w:bookmarkStart w:id="26" w:name="_Toc528157156"/>
            <w:r>
              <w:rPr>
                <w:rFonts w:hint="eastAsia"/>
              </w:rPr>
              <w:t>评价标准采用《地下水质量标准》</w:t>
            </w:r>
            <w:r>
              <w:t>(GB/T14848-2017)</w:t>
            </w:r>
            <w:r>
              <w:rPr>
                <w:rFonts w:hint="eastAsia"/>
              </w:rPr>
              <w:t>的</w:t>
            </w:r>
            <w:r>
              <w:rPr>
                <w:rFonts w:hint="eastAsia" w:cs="宋体"/>
              </w:rPr>
              <w:t>Ⅲ</w:t>
            </w:r>
            <w:r>
              <w:rPr>
                <w:rFonts w:hint="eastAsia"/>
              </w:rPr>
              <w:t>类水质标准。</w:t>
            </w:r>
            <w:bookmarkEnd w:id="26"/>
          </w:p>
          <w:p>
            <w:pPr>
              <w:pStyle w:val="114"/>
            </w:pPr>
            <w:bookmarkStart w:id="27" w:name="_Toc528157157"/>
            <w:r>
              <w:rPr>
                <w:rFonts w:hint="eastAsia"/>
              </w:rPr>
              <w:t>（</w:t>
            </w:r>
            <w:r>
              <w:t>2</w:t>
            </w:r>
            <w:r>
              <w:rPr>
                <w:rFonts w:hint="eastAsia"/>
              </w:rPr>
              <w:t>）评价方法</w:t>
            </w:r>
            <w:bookmarkEnd w:id="27"/>
          </w:p>
          <w:p>
            <w:pPr>
              <w:pStyle w:val="118"/>
              <w:ind w:firstLine="480" w:firstLineChars="200"/>
              <w:rPr>
                <w:bCs/>
                <w:color w:val="auto"/>
              </w:rPr>
            </w:pPr>
            <w:r>
              <w:rPr>
                <w:rFonts w:hint="eastAsia"/>
                <w:bCs/>
                <w:color w:val="auto"/>
              </w:rPr>
              <w:t>地下水水质现状评价应采用标准指数法。标准指数</w:t>
            </w:r>
            <w:r>
              <w:rPr>
                <w:bCs/>
                <w:color w:val="auto"/>
              </w:rPr>
              <w:t>&gt;1</w:t>
            </w:r>
            <w:r>
              <w:rPr>
                <w:rFonts w:hint="eastAsia"/>
                <w:bCs/>
                <w:color w:val="auto"/>
              </w:rPr>
              <w:t>，表明该水质因子已超标，标准指数越大，超标越严重。标准指数计算公式如下</w:t>
            </w:r>
            <w:r>
              <w:rPr>
                <w:bCs/>
                <w:color w:val="auto"/>
              </w:rPr>
              <w:t>:</w:t>
            </w:r>
          </w:p>
          <w:p>
            <w:pPr>
              <w:spacing w:line="360" w:lineRule="auto"/>
              <w:ind w:firstLine="480" w:firstLineChars="200"/>
              <w:rPr>
                <w:rFonts w:ascii="Times New Roman" w:hAnsi="Times New Roman"/>
                <w:bCs/>
                <w:snapToGrid w:val="0"/>
                <w:kern w:val="0"/>
                <w:sz w:val="24"/>
                <w:szCs w:val="24"/>
              </w:rPr>
            </w:pPr>
            <w:r>
              <w:rPr>
                <w:rFonts w:hint="eastAsia" w:ascii="Times New Roman" w:hAnsi="Times New Roman"/>
                <w:bCs/>
                <w:snapToGrid w:val="0"/>
                <w:kern w:val="0"/>
                <w:sz w:val="24"/>
                <w:szCs w:val="24"/>
              </w:rPr>
              <w:t>（</w:t>
            </w:r>
            <w:r>
              <w:rPr>
                <w:rFonts w:ascii="Times New Roman" w:hAnsi="Times New Roman"/>
                <w:bCs/>
                <w:snapToGrid w:val="0"/>
                <w:kern w:val="0"/>
                <w:sz w:val="24"/>
                <w:szCs w:val="24"/>
              </w:rPr>
              <w:t>a</w:t>
            </w:r>
            <w:r>
              <w:rPr>
                <w:rFonts w:hint="eastAsia" w:ascii="Times New Roman" w:hAnsi="Times New Roman"/>
                <w:bCs/>
                <w:snapToGrid w:val="0"/>
                <w:kern w:val="0"/>
                <w:sz w:val="24"/>
                <w:szCs w:val="24"/>
              </w:rPr>
              <w:t>）对于评价标准为定值的水质因子</w:t>
            </w:r>
          </w:p>
          <w:p>
            <w:pPr>
              <w:spacing w:line="360" w:lineRule="auto"/>
              <w:ind w:firstLine="420" w:firstLineChars="200"/>
              <w:jc w:val="center"/>
              <w:rPr>
                <w:rFonts w:ascii="Times New Roman" w:hAnsi="Times New Roman"/>
                <w:bCs/>
                <w:snapToGrid w:val="0"/>
                <w:kern w:val="0"/>
                <w:sz w:val="24"/>
                <w:szCs w:val="24"/>
              </w:rPr>
            </w:pPr>
            <w:r>
              <w:pict>
                <v:shape id="_x0000_i1025" o:spt="75" alt="" type="#_x0000_t75" style="height:32.25pt;width:39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54FE&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Pr=&quot;00A254FE&quot; wsp:rsidRDefault=&quot;00A254FE&quot; wsp:rsidP=&quot;00A254FE&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i&lt;/m:t&gt;&lt;/m:r&gt;&lt;/m:sub&gt;&lt;/m:sSub&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lt;/m:t&gt;&lt;/m:r&gt;&lt;m:f&gt;&lt;m:f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fPr&gt;&lt;m:num&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C&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i&lt;/m:t&gt;&lt;/m:r&gt;&lt;/m:sub&gt;&lt;/m:sSub&gt;&lt;/m:num&gt;&lt;m:den&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C&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i&lt;/m:t&gt;&lt;/m:r&gt;&lt;/m:sub&gt;&lt;/m:sSub&gt;&lt;/m:den&gt;&lt;/m:f&gt;&lt;/m:oMath&gt;&lt;/m:oMathPara&gt;&lt;/w:p&gt;&lt;w:sectPr wsp:rsidR=&quot;00000000&quot; wsp:rsidRPr=&quot;00A254FE&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4" chromakey="#FFFFFF" o:title=""/>
                  <o:lock v:ext="edit" aspectratio="t"/>
                  <w10:wrap type="none"/>
                  <w10:anchorlock/>
                </v:shape>
              </w:pict>
            </w:r>
          </w:p>
          <w:p>
            <w:pPr>
              <w:spacing w:line="360" w:lineRule="auto"/>
              <w:ind w:firstLine="480" w:firstLineChars="200"/>
              <w:rPr>
                <w:rFonts w:ascii="Times New Roman" w:hAnsi="Times New Roman"/>
                <w:bCs/>
                <w:snapToGrid w:val="0"/>
                <w:kern w:val="0"/>
                <w:sz w:val="24"/>
                <w:szCs w:val="24"/>
              </w:rPr>
            </w:pPr>
            <w:r>
              <w:rPr>
                <w:rFonts w:hint="eastAsia" w:ascii="Times New Roman" w:hAnsi="Times New Roman"/>
                <w:bCs/>
                <w:snapToGrid w:val="0"/>
                <w:kern w:val="0"/>
                <w:sz w:val="24"/>
                <w:szCs w:val="24"/>
              </w:rPr>
              <w:t>式中：</w:t>
            </w: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26" o:spt="75" alt="" type="#_x0000_t75" style="height:16.5pt;width:9.7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5969&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F75969&quot; wsp:rsidP=&quot;00F75969&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5"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27" o:spt="75" alt="" type="#_x0000_t75" style="height:16.5pt;width:9.7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5969&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F75969&quot; wsp:rsidP=&quot;00F75969&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5" chromakey="#FFFFFF" o:title=""/>
                  <o:lock v:ext="edit" aspectratio="t"/>
                  <w10:wrap type="none"/>
                  <w10:anchorlock/>
                </v:shape>
              </w:pict>
            </w:r>
            <w:r>
              <w:rPr>
                <w:rFonts w:ascii="Times New Roman" w:hAnsi="Times New Roman"/>
                <w:bCs/>
                <w:snapToGrid w:val="0"/>
                <w:kern w:val="0"/>
                <w:sz w:val="24"/>
                <w:szCs w:val="24"/>
              </w:rPr>
              <w:fldChar w:fldCharType="end"/>
            </w:r>
            <w:r>
              <w:rPr>
                <w:rFonts w:ascii="Times New Roman" w:hAnsi="Times New Roman"/>
                <w:bCs/>
                <w:snapToGrid w:val="0"/>
                <w:kern w:val="0"/>
                <w:sz w:val="24"/>
                <w:szCs w:val="24"/>
              </w:rPr>
              <w:t>——</w:t>
            </w:r>
            <w:r>
              <w:rPr>
                <w:rFonts w:hint="eastAsia" w:ascii="Times New Roman" w:hAnsi="Times New Roman"/>
                <w:bCs/>
                <w:snapToGrid w:val="0"/>
                <w:kern w:val="0"/>
                <w:sz w:val="24"/>
                <w:szCs w:val="24"/>
              </w:rPr>
              <w:t>第</w:t>
            </w:r>
            <w:r>
              <w:rPr>
                <w:rFonts w:ascii="Times New Roman" w:hAnsi="Times New Roman"/>
                <w:bCs/>
                <w:snapToGrid w:val="0"/>
                <w:kern w:val="0"/>
                <w:sz w:val="24"/>
                <w:szCs w:val="24"/>
              </w:rPr>
              <w:t>i</w:t>
            </w:r>
            <w:r>
              <w:rPr>
                <w:rFonts w:hint="eastAsia" w:ascii="Times New Roman" w:hAnsi="Times New Roman"/>
                <w:bCs/>
                <w:snapToGrid w:val="0"/>
                <w:kern w:val="0"/>
                <w:sz w:val="24"/>
                <w:szCs w:val="24"/>
              </w:rPr>
              <w:t>水质因子的标准指数，无量纲；</w:t>
            </w:r>
          </w:p>
          <w:p>
            <w:pPr>
              <w:spacing w:line="360" w:lineRule="auto"/>
              <w:ind w:firstLine="1200" w:firstLineChars="500"/>
              <w:rPr>
                <w:rFonts w:ascii="Times New Roman" w:hAnsi="Times New Roman"/>
                <w:bCs/>
                <w:snapToGrid w:val="0"/>
                <w:kern w:val="0"/>
                <w:sz w:val="24"/>
                <w:szCs w:val="24"/>
              </w:rPr>
            </w:pP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28" o:spt="75" alt="" type="#_x0000_t75" style="height:16.5pt;width:1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6180&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2F6180&quot; wsp:rsidP=&quot;002F6180&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C&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6"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29" o:spt="75" alt="" type="#_x0000_t75" style="height:16.5pt;width:11.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6180&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2F6180&quot; wsp:rsidP=&quot;002F6180&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C&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6" chromakey="#FFFFFF" o:title=""/>
                  <o:lock v:ext="edit" aspectratio="t"/>
                  <w10:wrap type="none"/>
                  <w10:anchorlock/>
                </v:shape>
              </w:pict>
            </w:r>
            <w:r>
              <w:rPr>
                <w:rFonts w:ascii="Times New Roman" w:hAnsi="Times New Roman"/>
                <w:bCs/>
                <w:snapToGrid w:val="0"/>
                <w:kern w:val="0"/>
                <w:sz w:val="24"/>
                <w:szCs w:val="24"/>
              </w:rPr>
              <w:fldChar w:fldCharType="end"/>
            </w:r>
            <w:r>
              <w:rPr>
                <w:rFonts w:ascii="Times New Roman" w:hAnsi="Times New Roman"/>
                <w:bCs/>
                <w:snapToGrid w:val="0"/>
                <w:kern w:val="0"/>
                <w:sz w:val="24"/>
                <w:szCs w:val="24"/>
              </w:rPr>
              <w:t>——</w:t>
            </w:r>
            <w:r>
              <w:rPr>
                <w:rFonts w:hint="eastAsia" w:ascii="Times New Roman" w:hAnsi="Times New Roman"/>
                <w:bCs/>
                <w:snapToGrid w:val="0"/>
                <w:kern w:val="0"/>
                <w:sz w:val="24"/>
                <w:szCs w:val="24"/>
              </w:rPr>
              <w:t>第</w:t>
            </w:r>
            <w:r>
              <w:rPr>
                <w:rFonts w:ascii="Times New Roman" w:hAnsi="Times New Roman"/>
                <w:bCs/>
                <w:snapToGrid w:val="0"/>
                <w:kern w:val="0"/>
                <w:sz w:val="24"/>
                <w:szCs w:val="24"/>
              </w:rPr>
              <w:t>i</w:t>
            </w:r>
            <w:r>
              <w:rPr>
                <w:rFonts w:hint="eastAsia" w:ascii="Times New Roman" w:hAnsi="Times New Roman"/>
                <w:bCs/>
                <w:snapToGrid w:val="0"/>
                <w:kern w:val="0"/>
                <w:sz w:val="24"/>
                <w:szCs w:val="24"/>
              </w:rPr>
              <w:t>个水质因子的监测浓度值，</w:t>
            </w:r>
            <w:r>
              <w:rPr>
                <w:rFonts w:ascii="Times New Roman" w:hAnsi="Times New Roman"/>
                <w:bCs/>
                <w:snapToGrid w:val="0"/>
                <w:kern w:val="0"/>
                <w:sz w:val="24"/>
                <w:szCs w:val="24"/>
              </w:rPr>
              <w:t>mg/L;</w:t>
            </w:r>
          </w:p>
          <w:p>
            <w:pPr>
              <w:spacing w:line="360" w:lineRule="auto"/>
              <w:ind w:firstLine="1200" w:firstLineChars="500"/>
              <w:rPr>
                <w:rFonts w:ascii="Times New Roman" w:hAnsi="Times New Roman"/>
                <w:bCs/>
                <w:snapToGrid w:val="0"/>
                <w:kern w:val="0"/>
                <w:sz w:val="24"/>
                <w:szCs w:val="24"/>
              </w:rPr>
            </w:pP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30" o:spt="75" alt="" type="#_x0000_t75" style="height:16.5pt;width:14.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0EF8&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350EF8&quot; wsp:rsidP=&quot;00350EF8&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C&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7"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31" o:spt="75" alt="" type="#_x0000_t75" style="height:16.5pt;width:14.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0EF8&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350EF8&quot; wsp:rsidP=&quot;00350EF8&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C&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7" chromakey="#FFFFFF" o:title=""/>
                  <o:lock v:ext="edit" aspectratio="t"/>
                  <w10:wrap type="none"/>
                  <w10:anchorlock/>
                </v:shape>
              </w:pict>
            </w:r>
            <w:r>
              <w:rPr>
                <w:rFonts w:ascii="Times New Roman" w:hAnsi="Times New Roman"/>
                <w:bCs/>
                <w:snapToGrid w:val="0"/>
                <w:kern w:val="0"/>
                <w:sz w:val="24"/>
                <w:szCs w:val="24"/>
              </w:rPr>
              <w:fldChar w:fldCharType="end"/>
            </w:r>
            <w:r>
              <w:rPr>
                <w:rFonts w:ascii="Times New Roman" w:hAnsi="Times New Roman"/>
                <w:bCs/>
                <w:snapToGrid w:val="0"/>
                <w:kern w:val="0"/>
                <w:sz w:val="24"/>
                <w:szCs w:val="24"/>
              </w:rPr>
              <w:t>—</w:t>
            </w:r>
            <w:r>
              <w:rPr>
                <w:rFonts w:hint="eastAsia" w:ascii="Times New Roman" w:hAnsi="Times New Roman"/>
                <w:bCs/>
                <w:snapToGrid w:val="0"/>
                <w:kern w:val="0"/>
                <w:sz w:val="24"/>
                <w:szCs w:val="24"/>
              </w:rPr>
              <w:t>第</w:t>
            </w:r>
            <w:r>
              <w:rPr>
                <w:rFonts w:ascii="Times New Roman" w:hAnsi="Times New Roman"/>
                <w:bCs/>
                <w:snapToGrid w:val="0"/>
                <w:kern w:val="0"/>
                <w:sz w:val="24"/>
                <w:szCs w:val="24"/>
              </w:rPr>
              <w:t>i</w:t>
            </w:r>
            <w:r>
              <w:rPr>
                <w:rFonts w:hint="eastAsia" w:ascii="Times New Roman" w:hAnsi="Times New Roman"/>
                <w:bCs/>
                <w:snapToGrid w:val="0"/>
                <w:kern w:val="0"/>
                <w:sz w:val="24"/>
                <w:szCs w:val="24"/>
              </w:rPr>
              <w:t>个水质因子的标准浓度值，</w:t>
            </w:r>
            <w:r>
              <w:rPr>
                <w:rFonts w:ascii="Times New Roman" w:hAnsi="Times New Roman"/>
                <w:bCs/>
                <w:snapToGrid w:val="0"/>
                <w:kern w:val="0"/>
                <w:sz w:val="24"/>
                <w:szCs w:val="24"/>
              </w:rPr>
              <w:t>mg/L</w:t>
            </w:r>
            <w:r>
              <w:rPr>
                <w:rFonts w:hint="eastAsia" w:ascii="Times New Roman" w:hAnsi="Times New Roman"/>
                <w:bCs/>
                <w:snapToGrid w:val="0"/>
                <w:kern w:val="0"/>
                <w:sz w:val="24"/>
                <w:szCs w:val="24"/>
              </w:rPr>
              <w:t>。</w:t>
            </w:r>
          </w:p>
          <w:p>
            <w:pPr>
              <w:spacing w:line="360" w:lineRule="auto"/>
              <w:ind w:firstLine="480" w:firstLineChars="200"/>
              <w:rPr>
                <w:rFonts w:ascii="Times New Roman" w:hAnsi="Times New Roman"/>
                <w:bCs/>
                <w:snapToGrid w:val="0"/>
                <w:kern w:val="0"/>
                <w:sz w:val="24"/>
                <w:szCs w:val="24"/>
              </w:rPr>
            </w:pPr>
            <w:r>
              <w:rPr>
                <w:rFonts w:hint="eastAsia" w:ascii="Times New Roman" w:hAnsi="Times New Roman"/>
                <w:bCs/>
                <w:snapToGrid w:val="0"/>
                <w:kern w:val="0"/>
                <w:sz w:val="24"/>
                <w:szCs w:val="24"/>
              </w:rPr>
              <w:t>（</w:t>
            </w:r>
            <w:r>
              <w:rPr>
                <w:rFonts w:ascii="Times New Roman" w:hAnsi="Times New Roman"/>
                <w:bCs/>
                <w:snapToGrid w:val="0"/>
                <w:kern w:val="0"/>
                <w:sz w:val="24"/>
                <w:szCs w:val="24"/>
              </w:rPr>
              <w:t>b</w:t>
            </w:r>
            <w:r>
              <w:rPr>
                <w:rFonts w:hint="eastAsia" w:ascii="Times New Roman" w:hAnsi="Times New Roman"/>
                <w:bCs/>
                <w:snapToGrid w:val="0"/>
                <w:kern w:val="0"/>
                <w:sz w:val="24"/>
                <w:szCs w:val="24"/>
              </w:rPr>
              <w:t>）对于评价标准为区间值的水质因子</w:t>
            </w:r>
            <w:r>
              <w:rPr>
                <w:rFonts w:ascii="Times New Roman" w:hAnsi="Times New Roman"/>
                <w:bCs/>
                <w:snapToGrid w:val="0"/>
                <w:kern w:val="0"/>
                <w:sz w:val="24"/>
                <w:szCs w:val="24"/>
              </w:rPr>
              <w:t>(</w:t>
            </w:r>
            <w:r>
              <w:rPr>
                <w:rFonts w:hint="eastAsia" w:ascii="Times New Roman" w:hAnsi="Times New Roman"/>
                <w:bCs/>
                <w:snapToGrid w:val="0"/>
                <w:kern w:val="0"/>
                <w:sz w:val="24"/>
                <w:szCs w:val="24"/>
              </w:rPr>
              <w:t>如</w:t>
            </w:r>
            <w:r>
              <w:rPr>
                <w:rFonts w:ascii="Times New Roman" w:hAnsi="Times New Roman"/>
                <w:bCs/>
                <w:snapToGrid w:val="0"/>
                <w:kern w:val="0"/>
                <w:sz w:val="24"/>
                <w:szCs w:val="24"/>
              </w:rPr>
              <w:t>pH</w:t>
            </w:r>
            <w:r>
              <w:rPr>
                <w:rFonts w:hint="eastAsia" w:ascii="Times New Roman" w:hAnsi="Times New Roman"/>
                <w:bCs/>
                <w:snapToGrid w:val="0"/>
                <w:kern w:val="0"/>
                <w:sz w:val="24"/>
                <w:szCs w:val="24"/>
              </w:rPr>
              <w:t>值</w:t>
            </w:r>
            <w:r>
              <w:rPr>
                <w:rFonts w:ascii="Times New Roman" w:hAnsi="Times New Roman"/>
                <w:bCs/>
                <w:snapToGrid w:val="0"/>
                <w:kern w:val="0"/>
                <w:sz w:val="24"/>
                <w:szCs w:val="24"/>
              </w:rPr>
              <w:t>)</w:t>
            </w:r>
          </w:p>
          <w:p>
            <w:pPr>
              <w:spacing w:line="360" w:lineRule="auto"/>
              <w:ind w:firstLine="480" w:firstLineChars="200"/>
              <w:jc w:val="center"/>
              <w:rPr>
                <w:rFonts w:ascii="Times New Roman" w:hAnsi="Times New Roman"/>
                <w:bCs/>
                <w:snapToGrid w:val="0"/>
                <w:kern w:val="0"/>
                <w:sz w:val="24"/>
                <w:szCs w:val="24"/>
              </w:rPr>
            </w:pP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26"/>
              </w:rPr>
              <w:pict>
                <v:shape id="_x0000_i1032" o:spt="75" alt="" type="#_x0000_t75" style="height:32.25pt;width:72.7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AB3&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A60AB3&quot; wsp:rsidP=&quot;00A60AB3&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sub&gt;&lt;/m:sSub&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lt;/m:t&gt;&lt;/m:r&gt;&lt;m:f&gt;&lt;m:f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fPr&gt;&lt;m:num&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7.0-&lt;/m:t&gt;&lt;/m:r&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num&gt;&lt;m:den&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7.0-&lt;/m:t&gt;&lt;/m:r&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H&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d&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8"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26"/>
              </w:rPr>
              <w:pict>
                <v:shape id="_x0000_i1033" o:spt="75" alt="" type="#_x0000_t75" style="height:32.25pt;width:72.7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AB3&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A60AB3&quot; wsp:rsidP=&quot;00A60AB3&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sub&gt;&lt;/m:sSub&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lt;/m:t&gt;&lt;/m:r&gt;&lt;m:f&gt;&lt;m:f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fPr&gt;&lt;m:num&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7.0-&lt;/m:t&gt;&lt;/m:r&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num&gt;&lt;m:den&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7.0-&lt;/m:t&gt;&lt;/m:r&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H&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d&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8" chromakey="#FFFFFF" o:title=""/>
                  <o:lock v:ext="edit" aspectratio="t"/>
                  <w10:wrap type="none"/>
                  <w10:anchorlock/>
                </v:shape>
              </w:pict>
            </w:r>
            <w:r>
              <w:rPr>
                <w:rFonts w:ascii="Times New Roman" w:hAnsi="Times New Roman"/>
                <w:bCs/>
                <w:snapToGrid w:val="0"/>
                <w:kern w:val="0"/>
                <w:sz w:val="24"/>
                <w:szCs w:val="24"/>
              </w:rPr>
              <w:fldChar w:fldCharType="end"/>
            </w:r>
            <w:r>
              <w:rPr>
                <w:rFonts w:ascii="Times New Roman" w:hAnsi="Times New Roman"/>
                <w:bCs/>
                <w:snapToGrid w:val="0"/>
                <w:kern w:val="0"/>
                <w:sz w:val="24"/>
                <w:szCs w:val="24"/>
              </w:rPr>
              <w:t xml:space="preserve">         </w:t>
            </w: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21"/>
              </w:rPr>
              <w:pict>
                <v:shape id="_x0000_i1034" o:spt="75" alt="" type="#_x0000_t75" style="height:32.25pt;width:54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082A&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E4082A&quot; wsp:rsidP=&quot;00E4082A&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r&gt;&lt;m:rPr&gt;&lt;m:sty m:val=&quot;p&quot;/&gt;&lt;/m:rPr&gt;&lt;w:rPr&gt;&lt;w:rFonts w:ascii=&quot;Cambria Math&quot; w:h-ansi=&quot;Cambria Math&quot; w:hint=&quot;fareast&quot;/&gt;&lt;wx:font wx:val=&quot;瀹__&quot;/&gt;&lt;w:snapToGrid w:v&quot;al=&quot;off&quot;/&gt;&lt;&lt;w:color w:val=&quot;000000&quot;/&gt;&lt;w:kern w:val=&quot;0&quot;/&gt;&lt;w:sz w=:val=&quot;24&quot;r/&gt;&lt;w:sz-cs w:val=&quot;24&quot;/&gt;&lt;/w:rPr&gt;&lt;m:Pr&gt;t&gt;_?/m:t&gt;&lt;/m:r&gt;&lt;m:r&gt;&lt;m:rPr&gt;&lt;m:s&lt;ty m:val=&quot;p&quot;/&gt;&lt;/m:rPr&gt;&lt;w:rPr&gt;&lt;w:rFonsts w:ascii=&quot;Cambria Math&quot; w:hinte=h-ansi=&quot;Cambria Math&quot; w:hint=&quot;fareast&quot;/&gt;&lt;wx:font wx:val=&quot;Cambria Math&quot;/&gt;&lt;w:snapToGrid w:val=&quot;off&quot;/&gt;&lt;w:color w:val=&quot;000000&quot;/&gt;&lt;w:kern w:val=&quot;0&quot;/&gt;&lt;w:sz w:val&gt;=&quot;24&quot;/&gt;&lt;w:sz-cs w:val=&quot;24&quot;/&gt;&lt;/w:rPr&gt;&lt;m:t&gt;7&lt;/m:t&gt;&lt;/m:r&gt;&lt;m:r&gt;&lt;m:rPr&gt;&lt;m:sty m:val=&quot;p&quot;/&gt;&lt;/m:rPr&gt;&lt;w:rPr&gt;&lt;w:rFonts w:ascii=&quot;Cambria Math&quot; w:h-ansi=&quot;Cambria Math&quot; w:hint=&quot;fareast&quot;/&gt;&lt;wx:font wx:val=&quot;瀹__&quot;/&gt;&lt;w:snapToGrwid w:v0al=&quot;off&quot;/&gt;&lt;w:color w:val=&quot;000000&quot;/&gt;&lt;w:al&gt;kern w:val=&quot;0&quot;/&gt;&lt;w:sz w:val=/&quot;24&quot;/&gt;&lt;w:sz-cs w:val=&quot;24&quot;/&gt;&lt;/w:rPr&gt;&gt;&lt;m:t&gt;_?/m:t&gt;&lt;/m:r&gt;&lt;/m:oMath&gt;&lt;/m:oM&gt;atPr&gt;&lt;whPara&gt;&lt;/w:p&gt;&lt;w:sectPr wsp:rsidR=&quot;0C0000000&quot;&gt;&lt;w:pgSz ww:w=&quot;12240&quot; w:h=&quot;15840&quot;/&gt;&lt;w:pgMar w:top=&quot;1440&quot; w:right=&quot;1800&quot; w:bottom=&quot;1440&quot; w:left=&quot;1800&quot; w:heade&gt;r=&quot;720&quot; w:footer=&quot;720&quot; w:gutter=&quot;0&quot;/&gt;&lt;w:cols w:space=&quot;720&quot;/&gt;&lt;/w:sectPr&gt;&lt;/wx:sect&gt;&lt;/w:body&gt;&lt;/w:wordDocument&gt;">
                  <v:path/>
                  <v:fill on="f" focussize="0,0"/>
                  <v:stroke on="f"/>
                  <v:imagedata r:id="rId39"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21"/>
              </w:rPr>
              <w:pict>
                <v:shape id="_x0000_i1035" o:spt="75" alt="" type="#_x0000_t75" style="height:32.25pt;width:54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082A&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E4082A&quot; wsp:rsidP=&quot;00E4082A&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r&gt;&lt;m:rPr&gt;&lt;m:sty m:val=&quot;p&quot;/&gt;&lt;/m:rPr&gt;&lt;w:rPr&gt;&lt;w:rFonts w:ascii=&quot;Cambria Math&quot; w:h-ansi=&quot;Cambria Math&quot; w:hint=&quot;fareast&quot;/&gt;&lt;wx:font wx:val=&quot;瀹__&quot;/&gt;&lt;w:snapToGrid w:v&quot;al=&quot;off&quot;/&gt;&lt;&lt;w:color w:val=&quot;000000&quot;/&gt;&lt;w:kern w:val=&quot;0&quot;/&gt;&lt;w:sz w=:val=&quot;24&quot;r/&gt;&lt;w:sz-cs w:val=&quot;24&quot;/&gt;&lt;/w:rPr&gt;&lt;m:Pr&gt;t&gt;_?/m:t&gt;&lt;/m:r&gt;&lt;m:r&gt;&lt;m:rPr&gt;&lt;m:s&lt;ty m:val=&quot;p&quot;/&gt;&lt;/m:rPr&gt;&lt;w:rPr&gt;&lt;w:rFonsts w:ascii=&quot;Cambria Math&quot; w:hinte=h-ansi=&quot;Cambria Math&quot; w:hint=&quot;fareast&quot;/&gt;&lt;wx:font wx:val=&quot;Cambria Math&quot;/&gt;&lt;w:snapToGrid w:val=&quot;off&quot;/&gt;&lt;w:color w:val=&quot;000000&quot;/&gt;&lt;w:kern w:val=&quot;0&quot;/&gt;&lt;w:sz w:val&gt;=&quot;24&quot;/&gt;&lt;w:sz-cs w:val=&quot;24&quot;/&gt;&lt;/w:rPr&gt;&lt;m:t&gt;7&lt;/m:t&gt;&lt;/m:r&gt;&lt;m:r&gt;&lt;m:rPr&gt;&lt;m:sty m:val=&quot;p&quot;/&gt;&lt;/m:rPr&gt;&lt;w:rPr&gt;&lt;w:rFonts w:ascii=&quot;Cambria Math&quot; w:h-ansi=&quot;Cambria Math&quot; w:hint=&quot;fareast&quot;/&gt;&lt;wx:font wx:val=&quot;瀹__&quot;/&gt;&lt;w:snapToGrwid w:v0al=&quot;off&quot;/&gt;&lt;w:color w:val=&quot;000000&quot;/&gt;&lt;w:al&gt;kern w:val=&quot;0&quot;/&gt;&lt;w:sz w:val=/&quot;24&quot;/&gt;&lt;w:sz-cs w:val=&quot;24&quot;/&gt;&lt;/w:rPr&gt;&gt;&lt;m:t&gt;_?/m:t&gt;&lt;/m:r&gt;&lt;/m:oMath&gt;&lt;/m:oM&gt;atPr&gt;&lt;whPara&gt;&lt;/w:p&gt;&lt;w:sectPr wsp:rsidR=&quot;0C0000000&quot;&gt;&lt;w:pgSz ww:w=&quot;12240&quot; w:h=&quot;15840&quot;/&gt;&lt;w:pgMar w:top=&quot;1440&quot; w:right=&quot;1800&quot; w:bottom=&quot;1440&quot; w:left=&quot;1800&quot; w:heade&gt;r=&quot;720&quot; w:footer=&quot;720&quot; w:gutter=&quot;0&quot;/&gt;&lt;w:cols w:space=&quot;720&quot;/&gt;&lt;/w:sectPr&gt;&lt;/wx:sect&gt;&lt;/w:body&gt;&lt;/w:wordDocument&gt;">
                  <v:path/>
                  <v:fill on="f" focussize="0,0"/>
                  <v:stroke on="f"/>
                  <v:imagedata r:id="rId39" chromakey="#FFFFFF" o:title=""/>
                  <o:lock v:ext="edit" aspectratio="t"/>
                  <w10:wrap type="none"/>
                  <w10:anchorlock/>
                </v:shape>
              </w:pict>
            </w:r>
            <w:r>
              <w:rPr>
                <w:rFonts w:ascii="Times New Roman" w:hAnsi="Times New Roman"/>
                <w:bCs/>
                <w:snapToGrid w:val="0"/>
                <w:kern w:val="0"/>
                <w:sz w:val="24"/>
                <w:szCs w:val="24"/>
              </w:rPr>
              <w:fldChar w:fldCharType="end"/>
            </w:r>
          </w:p>
          <w:p>
            <w:pPr>
              <w:spacing w:line="360" w:lineRule="auto"/>
              <w:ind w:firstLine="480" w:firstLineChars="200"/>
              <w:jc w:val="center"/>
              <w:rPr>
                <w:rFonts w:ascii="Times New Roman" w:hAnsi="Times New Roman"/>
                <w:bCs/>
                <w:snapToGrid w:val="0"/>
                <w:kern w:val="0"/>
                <w:sz w:val="24"/>
                <w:szCs w:val="24"/>
              </w:rPr>
            </w:pP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24"/>
              </w:rPr>
              <w:pict>
                <v:shape id="_x0000_i1036" o:spt="75" alt="" type="#_x0000_t75" style="height:32.25pt;width:72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2A9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AD2A93&quot; wsp:rsidP=&quot;00AD2A93&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sub&gt;&lt;/m:sSub&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lt;/m:t&gt;&lt;/m:r&gt;&lt;m:f&gt;&lt;m:f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fPr&gt;&lt;m:num&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7.0&lt;/m:t&gt;&lt;/m:r&gt;&lt;/m:num&gt;&lt;m:den&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H&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u&lt;/m:t&gt;&lt;/m:r&gt;&lt;/m:sub&gt;&lt;/m:sSub&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7.0&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0"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24"/>
              </w:rPr>
              <w:pict>
                <v:shape id="_x0000_i1037" o:spt="75" alt="" type="#_x0000_t75" style="height:32.25pt;width:72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2A9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AD2A93&quot; wsp:rsidP=&quot;00AD2A93&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sub&gt;&lt;/m:sSub&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lt;/m:t&gt;&lt;/m:r&gt;&lt;m:f&gt;&lt;m:f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fPr&gt;&lt;m:num&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7.0&lt;/m:t&gt;&lt;/m:r&gt;&lt;/m:num&gt;&lt;m:den&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H&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u&lt;/m:t&gt;&lt;/m:r&gt;&lt;/m:sub&gt;&lt;/m:sSub&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7.0&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0" chromakey="#FFFFFF" o:title=""/>
                  <o:lock v:ext="edit" aspectratio="t"/>
                  <w10:wrap type="none"/>
                  <w10:anchorlock/>
                </v:shape>
              </w:pict>
            </w:r>
            <w:r>
              <w:rPr>
                <w:rFonts w:ascii="Times New Roman" w:hAnsi="Times New Roman"/>
                <w:bCs/>
                <w:snapToGrid w:val="0"/>
                <w:kern w:val="0"/>
                <w:sz w:val="24"/>
                <w:szCs w:val="24"/>
              </w:rPr>
              <w:fldChar w:fldCharType="end"/>
            </w:r>
            <w:r>
              <w:rPr>
                <w:rFonts w:ascii="Times New Roman" w:hAnsi="Times New Roman"/>
                <w:bCs/>
                <w:snapToGrid w:val="0"/>
                <w:kern w:val="0"/>
                <w:sz w:val="24"/>
                <w:szCs w:val="24"/>
              </w:rPr>
              <w:t xml:space="preserve">         </w:t>
            </w: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38" o:spt="75" alt="" type="#_x0000_t75" style="height:16.5pt;width:39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5F07&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C55F07&quot; wsp:rsidP=&quot;00C55F07&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amp;gt;7&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1"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39" o:spt="75" alt="" type="#_x0000_t75" style="height:16.5pt;width:39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5F07&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C55F07&quot; wsp:rsidP=&quot;00C55F07&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r&gt;&lt;m:rPr&gt;&lt;m:sty m:val=&quot;p&quot;/&gt;&lt;/m:rPr&gt;&lt;w:rPr&gt;&lt;w:rFonts w:ascii=&quot;Cambria Math&quot; w:h-ansi=&quot;Cambria Math&quot;/&gt;&lt;wx:font wx:val=&quot;Cambria Math&quot;/&gt;&lt;w:snapToGrid w:val=&quot;off&quot;/&gt;&lt;w:color w:val=&quot;000000&quot;/&gt;&lt;w:kern w:val=&quot;0&quot;/&gt;&lt;w:sz w:val=&quot;24&quot;/&gt;&lt;w:sz-cs w:val=&quot;24&quot;/&gt;&lt;/w:rPr&gt;&lt;m:t&gt;&amp;gt;7&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1" chromakey="#FFFFFF" o:title=""/>
                  <o:lock v:ext="edit" aspectratio="t"/>
                  <w10:wrap type="none"/>
                  <w10:anchorlock/>
                </v:shape>
              </w:pict>
            </w:r>
            <w:r>
              <w:rPr>
                <w:rFonts w:ascii="Times New Roman" w:hAnsi="Times New Roman"/>
                <w:bCs/>
                <w:snapToGrid w:val="0"/>
                <w:kern w:val="0"/>
                <w:sz w:val="24"/>
                <w:szCs w:val="24"/>
              </w:rPr>
              <w:fldChar w:fldCharType="end"/>
            </w:r>
            <w:r>
              <w:rPr>
                <w:rFonts w:hint="eastAsia" w:ascii="Times New Roman" w:hAnsi="Times New Roman"/>
                <w:bCs/>
                <w:snapToGrid w:val="0"/>
                <w:kern w:val="0"/>
                <w:sz w:val="24"/>
                <w:szCs w:val="24"/>
              </w:rPr>
              <w:t>时</w:t>
            </w:r>
          </w:p>
          <w:p>
            <w:pPr>
              <w:spacing w:line="360" w:lineRule="auto"/>
              <w:ind w:firstLine="480" w:firstLineChars="200"/>
              <w:rPr>
                <w:rFonts w:ascii="Times New Roman" w:hAnsi="Times New Roman"/>
                <w:bCs/>
                <w:snapToGrid w:val="0"/>
                <w:kern w:val="0"/>
                <w:sz w:val="24"/>
                <w:szCs w:val="24"/>
              </w:rPr>
            </w:pPr>
            <w:r>
              <w:rPr>
                <w:rFonts w:hint="eastAsia" w:ascii="Times New Roman" w:hAnsi="Times New Roman"/>
                <w:bCs/>
                <w:snapToGrid w:val="0"/>
                <w:kern w:val="0"/>
                <w:sz w:val="24"/>
                <w:szCs w:val="24"/>
              </w:rPr>
              <w:t>式中：</w:t>
            </w: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40" o:spt="75" alt="" type="#_x0000_t75" style="height:16.5pt;width:18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1C8B&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2B1C8B&quot; wsp:rsidP=&quot;002B1C8B&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2"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41" o:spt="75" alt="" type="#_x0000_t75" style="height:16.5pt;width:18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1C8B&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2B1C8B&quot; wsp:rsidP=&quot;002B1C8B&quot;&gt;&lt;m:oMathPara&gt;&lt;m:oMath&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2" chromakey="#FFFFFF" o:title=""/>
                  <o:lock v:ext="edit" aspectratio="t"/>
                  <w10:wrap type="none"/>
                  <w10:anchorlock/>
                </v:shape>
              </w:pict>
            </w:r>
            <w:r>
              <w:rPr>
                <w:rFonts w:ascii="Times New Roman" w:hAnsi="Times New Roman"/>
                <w:bCs/>
                <w:snapToGrid w:val="0"/>
                <w:kern w:val="0"/>
                <w:sz w:val="24"/>
                <w:szCs w:val="24"/>
              </w:rPr>
              <w:fldChar w:fldCharType="end"/>
            </w:r>
            <w:r>
              <w:rPr>
                <w:rFonts w:ascii="Times New Roman" w:hAnsi="Times New Roman"/>
                <w:bCs/>
                <w:snapToGrid w:val="0"/>
                <w:kern w:val="0"/>
                <w:sz w:val="24"/>
                <w:szCs w:val="24"/>
              </w:rPr>
              <w:t>——</w:t>
            </w: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42"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2B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AD2BC3&quot; wsp:rsidP=&quot;00AD2BC3&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43"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2B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AD2BC3&quot; wsp:rsidP=&quot;00AD2BC3&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fldChar w:fldCharType="end"/>
            </w:r>
            <w:r>
              <w:rPr>
                <w:rFonts w:hint="eastAsia" w:ascii="Times New Roman" w:hAnsi="Times New Roman"/>
                <w:bCs/>
                <w:snapToGrid w:val="0"/>
                <w:kern w:val="0"/>
                <w:sz w:val="24"/>
                <w:szCs w:val="24"/>
              </w:rPr>
              <w:t>的标准指数，无量纲</w:t>
            </w:r>
            <w:r>
              <w:rPr>
                <w:rFonts w:ascii="Times New Roman" w:hAnsi="Times New Roman"/>
                <w:bCs/>
                <w:snapToGrid w:val="0"/>
                <w:kern w:val="0"/>
                <w:sz w:val="24"/>
                <w:szCs w:val="24"/>
              </w:rPr>
              <w:t>;</w:t>
            </w:r>
          </w:p>
          <w:p>
            <w:pPr>
              <w:spacing w:line="360" w:lineRule="auto"/>
              <w:ind w:firstLine="1200" w:firstLineChars="500"/>
              <w:rPr>
                <w:rFonts w:ascii="Times New Roman" w:hAnsi="Times New Roman"/>
                <w:bCs/>
                <w:snapToGrid w:val="0"/>
                <w:kern w:val="0"/>
                <w:sz w:val="24"/>
                <w:szCs w:val="24"/>
              </w:rPr>
            </w:pP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44"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6CD1&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2F6CD1&quot; wsp:rsidP=&quot;002F6CD1&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45"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6CD1&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2F6CD1&quot; wsp:rsidP=&quot;002F6CD1&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fldChar w:fldCharType="end"/>
            </w:r>
            <w:r>
              <w:rPr>
                <w:rFonts w:ascii="Times New Roman" w:hAnsi="Times New Roman"/>
                <w:bCs/>
                <w:snapToGrid w:val="0"/>
                <w:kern w:val="0"/>
                <w:sz w:val="24"/>
                <w:szCs w:val="24"/>
              </w:rPr>
              <w:t>——</w:t>
            </w: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46"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540&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FD4540&quot; wsp:rsidP=&quot;00FD4540&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47"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540&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FD4540&quot; wsp:rsidP=&quot;00FD4540&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fldChar w:fldCharType="end"/>
            </w:r>
            <w:r>
              <w:rPr>
                <w:rFonts w:hint="eastAsia" w:ascii="Times New Roman" w:hAnsi="Times New Roman"/>
                <w:bCs/>
                <w:snapToGrid w:val="0"/>
                <w:kern w:val="0"/>
                <w:sz w:val="24"/>
                <w:szCs w:val="24"/>
              </w:rPr>
              <w:t>监测值；</w:t>
            </w:r>
          </w:p>
          <w:p>
            <w:pPr>
              <w:spacing w:line="360" w:lineRule="auto"/>
              <w:ind w:firstLine="1200" w:firstLineChars="500"/>
              <w:rPr>
                <w:rFonts w:ascii="Times New Roman" w:hAnsi="Times New Roman"/>
                <w:bCs/>
                <w:snapToGrid w:val="0"/>
                <w:kern w:val="0"/>
                <w:sz w:val="24"/>
                <w:szCs w:val="24"/>
              </w:rPr>
            </w:pP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48" o:spt="75" alt="" type="#_x0000_t75" style="height:16.5pt;width:25.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4804&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224804&quot; wsp:rsidP=&quot;00224804&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H&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u&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4"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49" o:spt="75" alt="" type="#_x0000_t75" style="height:16.5pt;width:25.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4804&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224804&quot; wsp:rsidP=&quot;00224804&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H&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u&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4" chromakey="#FFFFFF" o:title=""/>
                  <o:lock v:ext="edit" aspectratio="t"/>
                  <w10:wrap type="none"/>
                  <w10:anchorlock/>
                </v:shape>
              </w:pict>
            </w:r>
            <w:r>
              <w:rPr>
                <w:rFonts w:ascii="Times New Roman" w:hAnsi="Times New Roman"/>
                <w:bCs/>
                <w:snapToGrid w:val="0"/>
                <w:kern w:val="0"/>
                <w:sz w:val="24"/>
                <w:szCs w:val="24"/>
              </w:rPr>
              <w:fldChar w:fldCharType="end"/>
            </w:r>
            <w:r>
              <w:rPr>
                <w:rFonts w:ascii="Times New Roman" w:hAnsi="Times New Roman"/>
                <w:bCs/>
                <w:snapToGrid w:val="0"/>
                <w:kern w:val="0"/>
                <w:sz w:val="24"/>
                <w:szCs w:val="24"/>
              </w:rPr>
              <w:t>——</w:t>
            </w:r>
            <w:r>
              <w:rPr>
                <w:rFonts w:hint="eastAsia" w:ascii="Times New Roman" w:hAnsi="Times New Roman"/>
                <w:bCs/>
                <w:snapToGrid w:val="0"/>
                <w:kern w:val="0"/>
                <w:sz w:val="24"/>
                <w:szCs w:val="24"/>
              </w:rPr>
              <w:t>标准中</w:t>
            </w: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50"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EBF&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150EBF&quot; wsp:rsidP=&quot;00150EBF&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51"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EBF&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150EBF&quot; wsp:rsidP=&quot;00150EBF&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fldChar w:fldCharType="end"/>
            </w:r>
            <w:r>
              <w:rPr>
                <w:rFonts w:hint="eastAsia" w:ascii="Times New Roman" w:hAnsi="Times New Roman"/>
                <w:bCs/>
                <w:snapToGrid w:val="0"/>
                <w:kern w:val="0"/>
                <w:sz w:val="24"/>
                <w:szCs w:val="24"/>
              </w:rPr>
              <w:t>的上限值；</w:t>
            </w:r>
          </w:p>
          <w:p>
            <w:pPr>
              <w:spacing w:line="360" w:lineRule="auto"/>
              <w:ind w:firstLine="1200" w:firstLineChars="500"/>
              <w:rPr>
                <w:rFonts w:ascii="Times New Roman" w:hAnsi="Times New Roman"/>
                <w:bCs/>
                <w:snapToGrid w:val="0"/>
                <w:kern w:val="0"/>
                <w:sz w:val="24"/>
                <w:szCs w:val="24"/>
              </w:rPr>
            </w:pP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52" o:spt="75" alt="" type="#_x0000_t75" style="height:16.5pt;width:25.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3DB7&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443DB7&quot; wsp:rsidP=&quot;00443DB7&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H&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5"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53" o:spt="75" alt="" type="#_x0000_t75" style="height:16.5pt;width:25.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3DB7&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443DB7&quot; wsp:rsidP=&quot;00443DB7&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lt;/m:t&gt;&lt;/m:r&gt;&lt;m:sSub&gt;&lt;m:sSubPr&gt;&lt;m:ctrlPr&gt;&lt;w:rPr&gt;&lt;w:rFonts w:ascii=&quot;Cambria Math&quot; w:h-ansi=&quot;Cambria Math&quot;/&gt;&lt;wx:font wx:val=&quot;Cambria Math&quot;/&gt;&lt;w:b-cs/&gt;&lt;w:snapToGrid w:val=&quot;off&quot;/&gt;&lt;w:color w:val=&quot;000000&quot;/&gt;&lt;w:kern w:val=&quot;0&quot;/&gt;&lt;w:sz w:val=&quot;24&quot;/&gt;&lt;w:sz-cs w:val=&quot;24&quot;/&gt;&lt;/w:rPr&gt;&lt;/m:ctrlPr&gt;&lt;/m:sSubPr&gt;&lt;m:e&gt;&lt;m:r&gt;&lt;w:rPr&gt;&lt;w:rFonts w:ascii=&quot;Cambria Math&quot; w:h-ansi=&quot;Cambria Math&quot;/&gt;&lt;wx:font wx:val=&quot;Cambria Math&quot;/&gt;&lt;w:i/&gt;&lt;w:snapToGrid w:val=&quot;off&quot;/&gt;&lt;w:color w:val=&quot;000000&quot;/&gt;&lt;w:kern w:val=&quot;0&quot;/&gt;&lt;w:sz w:val=&quot;24&quot;/&gt;&lt;w:sz-cs w:val=&quot;24&quot;/&gt;&lt;/w:rPr&gt;&lt;m:t&gt;H&lt;/m:t&gt;&lt;/m:r&gt;&lt;/m:e&gt;&lt;m:sub&gt;&lt;m:r&gt;&lt;w:rPr&gt;&lt;w:rFonts w:ascii=&quot;Cambria Math&quot; w:h-ansi=&quot;Cambria Math&quot;/&gt;&lt;wx:font wx:val=&quot;Cambria Math&quot;/&gt;&lt;w:i/&gt;&lt;w:snapToGrid w:val=&quot;off&quot;/&gt;&lt;w:color w:val=&quot;000000&quot;/&gt;&lt;w:kern w:val=&quot;0&quot;/&gt;&lt;w:sz w:val=&quot;24&quot;/&gt;&lt;w:sz-cs w:val=&quot;24&quot;/&gt;&lt;/w:rPr&gt;&lt;m:t&gt;s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5" chromakey="#FFFFFF" o:title=""/>
                  <o:lock v:ext="edit" aspectratio="t"/>
                  <w10:wrap type="none"/>
                  <w10:anchorlock/>
                </v:shape>
              </w:pict>
            </w:r>
            <w:r>
              <w:rPr>
                <w:rFonts w:ascii="Times New Roman" w:hAnsi="Times New Roman"/>
                <w:bCs/>
                <w:snapToGrid w:val="0"/>
                <w:kern w:val="0"/>
                <w:sz w:val="24"/>
                <w:szCs w:val="24"/>
              </w:rPr>
              <w:fldChar w:fldCharType="end"/>
            </w:r>
            <w:r>
              <w:rPr>
                <w:rFonts w:ascii="Times New Roman" w:hAnsi="Times New Roman"/>
                <w:bCs/>
                <w:snapToGrid w:val="0"/>
                <w:kern w:val="0"/>
                <w:sz w:val="24"/>
                <w:szCs w:val="24"/>
              </w:rPr>
              <w:t>——</w:t>
            </w:r>
            <w:r>
              <w:rPr>
                <w:rFonts w:hint="eastAsia" w:ascii="Times New Roman" w:hAnsi="Times New Roman"/>
                <w:bCs/>
                <w:snapToGrid w:val="0"/>
                <w:kern w:val="0"/>
                <w:sz w:val="24"/>
                <w:szCs w:val="24"/>
              </w:rPr>
              <w:t>标准中</w:t>
            </w:r>
            <w:r>
              <w:rPr>
                <w:rFonts w:ascii="Times New Roman" w:hAnsi="Times New Roman"/>
                <w:bCs/>
                <w:snapToGrid w:val="0"/>
                <w:kern w:val="0"/>
                <w:sz w:val="24"/>
                <w:szCs w:val="24"/>
              </w:rPr>
              <w:fldChar w:fldCharType="begin"/>
            </w:r>
            <w:r>
              <w:rPr>
                <w:rFonts w:ascii="Times New Roman" w:hAnsi="Times New Roman"/>
                <w:bCs/>
                <w:snapToGrid w:val="0"/>
                <w:kern w:val="0"/>
                <w:sz w:val="24"/>
                <w:szCs w:val="24"/>
              </w:rPr>
              <w:instrText xml:space="preserve"> QUOTE </w:instrText>
            </w:r>
            <w:r>
              <w:rPr>
                <w:position w:val="-8"/>
              </w:rPr>
              <w:pict>
                <v:shape id="_x0000_i1054"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3E85&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B33E85&quot; wsp:rsidP=&quot;00B33E85&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instrText xml:space="preserve"> </w:instrText>
            </w:r>
            <w:r>
              <w:rPr>
                <w:rFonts w:ascii="Times New Roman" w:hAnsi="Times New Roman"/>
                <w:bCs/>
                <w:snapToGrid w:val="0"/>
                <w:kern w:val="0"/>
                <w:sz w:val="24"/>
                <w:szCs w:val="24"/>
              </w:rPr>
              <w:fldChar w:fldCharType="separate"/>
            </w:r>
            <w:r>
              <w:rPr>
                <w:position w:val="-8"/>
              </w:rPr>
              <w:pict>
                <v:shape id="_x0000_i1055" o:spt="75" alt="" type="#_x0000_t75" style="height:16.5pt;width:16.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3E85&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Default=&quot;00B33E85&quot; wsp:rsidP=&quot;00B33E85&quot;&gt;&lt;m:oMathPara&gt;&lt;m:oMath&gt;&lt;m:r&gt;&lt;w:rPr&gt;&lt;w:rFonts w:ascii=&quot;Cambria Math&quot; w:h-ansi=&quot;Cambria Math&quot;/&gt;&lt;wx:font wx:val=&quot;Cambria Math&quot;/&gt;&lt;w:i/&gt;&lt;w:snapToGrid w:val=&quot;off&quot;/&gt;&lt;w:color w:val=&quot;000000&quot;/&gt;&lt;w:kern w:val=&quot;0&quot;/&gt;&lt;w:sz w:val=&quot;24&quot;/&gt;&lt;w:sz-cs w:val=&quot;24&quot;/&gt;&lt;/w:rPr&gt;&lt;m:t&gt;p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43" chromakey="#FFFFFF" o:title=""/>
                  <o:lock v:ext="edit" aspectratio="t"/>
                  <w10:wrap type="none"/>
                  <w10:anchorlock/>
                </v:shape>
              </w:pict>
            </w:r>
            <w:r>
              <w:rPr>
                <w:rFonts w:ascii="Times New Roman" w:hAnsi="Times New Roman"/>
                <w:bCs/>
                <w:snapToGrid w:val="0"/>
                <w:kern w:val="0"/>
                <w:sz w:val="24"/>
                <w:szCs w:val="24"/>
              </w:rPr>
              <w:fldChar w:fldCharType="end"/>
            </w:r>
            <w:r>
              <w:rPr>
                <w:rFonts w:hint="eastAsia" w:ascii="Times New Roman" w:hAnsi="Times New Roman"/>
                <w:bCs/>
                <w:snapToGrid w:val="0"/>
                <w:kern w:val="0"/>
                <w:sz w:val="24"/>
                <w:szCs w:val="24"/>
              </w:rPr>
              <w:t>的下限值；</w:t>
            </w:r>
          </w:p>
          <w:p>
            <w:pPr>
              <w:pStyle w:val="114"/>
            </w:pPr>
            <w:r>
              <w:rPr>
                <w:rFonts w:hint="eastAsia"/>
              </w:rPr>
              <w:t>（</w:t>
            </w:r>
            <w:r>
              <w:t>3</w:t>
            </w:r>
            <w:r>
              <w:rPr>
                <w:rFonts w:hint="eastAsia"/>
              </w:rPr>
              <w:t>）评价结果</w:t>
            </w:r>
          </w:p>
          <w:p>
            <w:pPr>
              <w:pStyle w:val="114"/>
              <w:rPr>
                <w:shd w:val="clear" w:color="auto" w:fill="FFFFFF"/>
              </w:rPr>
            </w:pPr>
            <w:r>
              <w:rPr>
                <w:rFonts w:hint="eastAsia"/>
                <w:shd w:val="clear" w:color="auto" w:fill="FFFFFF"/>
              </w:rPr>
              <w:t>评价结果见表</w:t>
            </w:r>
            <w:r>
              <w:rPr>
                <w:shd w:val="clear" w:color="auto" w:fill="FFFFFF"/>
              </w:rPr>
              <w:t>3-13</w:t>
            </w:r>
            <w:r>
              <w:rPr>
                <w:rFonts w:hint="eastAsia"/>
                <w:shd w:val="clear" w:color="auto" w:fill="FFFFFF"/>
              </w:rPr>
              <w:t>。</w:t>
            </w:r>
          </w:p>
          <w:p>
            <w:pPr>
              <w:pStyle w:val="111"/>
            </w:pPr>
            <w:r>
              <w:rPr>
                <w:rFonts w:hint="eastAsia"/>
              </w:rPr>
              <w:t>表</w:t>
            </w:r>
            <w:r>
              <w:t xml:space="preserve">3-13  </w:t>
            </w:r>
            <w:r>
              <w:rPr>
                <w:rFonts w:hint="eastAsia"/>
              </w:rPr>
              <w:t>地下水评价监测结果一览表</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2"/>
              <w:gridCol w:w="2076"/>
              <w:gridCol w:w="1505"/>
              <w:gridCol w:w="1132"/>
              <w:gridCol w:w="1166"/>
              <w:gridCol w:w="1074"/>
              <w:gridCol w:w="12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blHeader/>
                <w:jc w:val="center"/>
              </w:trPr>
              <w:tc>
                <w:tcPr>
                  <w:tcW w:w="862" w:type="dxa"/>
                  <w:vMerge w:val="restart"/>
                  <w:tcBorders>
                    <w:top w:val="single" w:color="auto" w:sz="12" w:space="0"/>
                    <w:left w:val="single" w:color="auto" w:sz="12" w:space="0"/>
                    <w:bottom w:val="single" w:color="auto" w:sz="6" w:space="0"/>
                    <w:right w:val="single" w:color="auto" w:sz="6" w:space="0"/>
                  </w:tcBorders>
                  <w:vAlign w:val="center"/>
                </w:tcPr>
                <w:p>
                  <w:pPr>
                    <w:pStyle w:val="77"/>
                    <w:rPr>
                      <w:b/>
                      <w:bCs/>
                    </w:rPr>
                  </w:pPr>
                  <w:r>
                    <w:rPr>
                      <w:rFonts w:hint="eastAsia"/>
                      <w:b/>
                      <w:bCs/>
                    </w:rPr>
                    <w:t>序号</w:t>
                  </w:r>
                </w:p>
              </w:tc>
              <w:tc>
                <w:tcPr>
                  <w:tcW w:w="2076"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检测项目</w:t>
                  </w:r>
                </w:p>
              </w:tc>
              <w:tc>
                <w:tcPr>
                  <w:tcW w:w="1505"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评价指标</w:t>
                  </w:r>
                </w:p>
              </w:tc>
              <w:tc>
                <w:tcPr>
                  <w:tcW w:w="3372" w:type="dxa"/>
                  <w:gridSpan w:val="3"/>
                  <w:tcBorders>
                    <w:top w:val="single" w:color="auto" w:sz="12" w:space="0"/>
                    <w:left w:val="single" w:color="auto" w:sz="6" w:space="0"/>
                    <w:bottom w:val="double" w:color="auto" w:sz="4" w:space="0"/>
                    <w:right w:val="single" w:color="auto" w:sz="6" w:space="0"/>
                  </w:tcBorders>
                  <w:vAlign w:val="center"/>
                </w:tcPr>
                <w:p>
                  <w:pPr>
                    <w:pStyle w:val="77"/>
                    <w:rPr>
                      <w:b/>
                      <w:bCs/>
                    </w:rPr>
                  </w:pPr>
                  <w:r>
                    <w:rPr>
                      <w:rFonts w:hint="eastAsia"/>
                      <w:b/>
                      <w:bCs/>
                    </w:rPr>
                    <w:t>点位</w:t>
                  </w:r>
                </w:p>
              </w:tc>
              <w:tc>
                <w:tcPr>
                  <w:tcW w:w="1283" w:type="dxa"/>
                  <w:vMerge w:val="restart"/>
                  <w:tcBorders>
                    <w:top w:val="single" w:color="auto" w:sz="12" w:space="0"/>
                    <w:left w:val="single" w:color="auto" w:sz="6" w:space="0"/>
                    <w:bottom w:val="single" w:color="auto" w:sz="6" w:space="0"/>
                    <w:right w:val="single" w:color="auto" w:sz="12" w:space="0"/>
                  </w:tcBorders>
                  <w:vAlign w:val="center"/>
                </w:tcPr>
                <w:p>
                  <w:pPr>
                    <w:pStyle w:val="77"/>
                    <w:rPr>
                      <w:b/>
                      <w:bCs/>
                    </w:rPr>
                  </w:pPr>
                  <w:r>
                    <w:rPr>
                      <w:rFonts w:hint="eastAsia"/>
                      <w:b/>
                      <w:bCs/>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tblHeader/>
                <w:jc w:val="center"/>
              </w:trPr>
              <w:tc>
                <w:tcPr>
                  <w:tcW w:w="862" w:type="dxa"/>
                  <w:vMerge w:val="continue"/>
                  <w:tcBorders>
                    <w:top w:val="single" w:color="auto" w:sz="6" w:space="0"/>
                    <w:left w:val="single" w:color="auto" w:sz="12" w:space="0"/>
                    <w:bottom w:val="double" w:color="auto" w:sz="4" w:space="0"/>
                    <w:right w:val="single" w:color="auto" w:sz="6" w:space="0"/>
                  </w:tcBorders>
                  <w:vAlign w:val="center"/>
                </w:tcPr>
                <w:p>
                  <w:pPr>
                    <w:pStyle w:val="77"/>
                    <w:rPr>
                      <w:b/>
                      <w:bCs/>
                    </w:rPr>
                  </w:pPr>
                </w:p>
              </w:tc>
              <w:tc>
                <w:tcPr>
                  <w:tcW w:w="2076"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1505"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1132" w:type="dxa"/>
                  <w:tcBorders>
                    <w:top w:val="single" w:color="auto" w:sz="12" w:space="0"/>
                    <w:left w:val="single" w:color="auto" w:sz="6" w:space="0"/>
                    <w:bottom w:val="double" w:color="auto" w:sz="4" w:space="0"/>
                    <w:right w:val="single" w:color="auto" w:sz="6" w:space="0"/>
                  </w:tcBorders>
                  <w:vAlign w:val="center"/>
                </w:tcPr>
                <w:p>
                  <w:pPr>
                    <w:pStyle w:val="77"/>
                    <w:rPr>
                      <w:b/>
                      <w:bCs/>
                    </w:rPr>
                  </w:pPr>
                  <w:r>
                    <w:rPr>
                      <w:b/>
                    </w:rPr>
                    <w:t>GW3</w:t>
                  </w:r>
                </w:p>
              </w:tc>
              <w:tc>
                <w:tcPr>
                  <w:tcW w:w="1166" w:type="dxa"/>
                  <w:tcBorders>
                    <w:top w:val="single" w:color="auto" w:sz="6" w:space="0"/>
                    <w:left w:val="single" w:color="auto" w:sz="6" w:space="0"/>
                    <w:bottom w:val="double" w:color="auto" w:sz="4" w:space="0"/>
                    <w:right w:val="single" w:color="auto" w:sz="6" w:space="0"/>
                  </w:tcBorders>
                  <w:vAlign w:val="center"/>
                </w:tcPr>
                <w:p>
                  <w:pPr>
                    <w:pStyle w:val="77"/>
                    <w:rPr>
                      <w:b/>
                      <w:bCs/>
                    </w:rPr>
                  </w:pPr>
                  <w:r>
                    <w:rPr>
                      <w:b/>
                    </w:rPr>
                    <w:t>GW2</w:t>
                  </w:r>
                </w:p>
              </w:tc>
              <w:tc>
                <w:tcPr>
                  <w:tcW w:w="1074" w:type="dxa"/>
                  <w:tcBorders>
                    <w:top w:val="single" w:color="auto" w:sz="6" w:space="0"/>
                    <w:left w:val="single" w:color="auto" w:sz="6" w:space="0"/>
                    <w:bottom w:val="double" w:color="auto" w:sz="4" w:space="0"/>
                    <w:right w:val="single" w:color="auto" w:sz="6" w:space="0"/>
                  </w:tcBorders>
                  <w:vAlign w:val="center"/>
                </w:tcPr>
                <w:p>
                  <w:pPr>
                    <w:pStyle w:val="77"/>
                    <w:rPr>
                      <w:b/>
                      <w:bCs/>
                    </w:rPr>
                  </w:pPr>
                  <w:r>
                    <w:rPr>
                      <w:b/>
                    </w:rPr>
                    <w:t>GW1</w:t>
                  </w:r>
                </w:p>
              </w:tc>
              <w:tc>
                <w:tcPr>
                  <w:tcW w:w="1283" w:type="dxa"/>
                  <w:vMerge w:val="continue"/>
                  <w:tcBorders>
                    <w:top w:val="single" w:color="auto" w:sz="6" w:space="0"/>
                    <w:left w:val="single" w:color="auto" w:sz="6" w:space="0"/>
                    <w:bottom w:val="double" w:color="auto" w:sz="4" w:space="0"/>
                    <w:right w:val="single" w:color="auto" w:sz="12" w:space="0"/>
                  </w:tcBorders>
                  <w:vAlign w:val="center"/>
                </w:tcPr>
                <w:p>
                  <w:pPr>
                    <w:pStyle w:val="77"/>
                    <w:rPr>
                      <w:b/>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double" w:color="auto" w:sz="4" w:space="0"/>
                    <w:left w:val="single" w:color="auto" w:sz="12" w:space="0"/>
                    <w:bottom w:val="single" w:color="auto" w:sz="6" w:space="0"/>
                    <w:right w:val="single" w:color="auto" w:sz="6" w:space="0"/>
                  </w:tcBorders>
                  <w:vAlign w:val="center"/>
                </w:tcPr>
                <w:p>
                  <w:pPr>
                    <w:pStyle w:val="77"/>
                  </w:pPr>
                  <w:r>
                    <w:t xml:space="preserve">1 </w:t>
                  </w:r>
                </w:p>
              </w:tc>
              <w:tc>
                <w:tcPr>
                  <w:tcW w:w="2076" w:type="dxa"/>
                  <w:vMerge w:val="restart"/>
                  <w:tcBorders>
                    <w:top w:val="double" w:color="auto" w:sz="4" w:space="0"/>
                    <w:left w:val="single" w:color="auto" w:sz="6" w:space="0"/>
                    <w:bottom w:val="single" w:color="auto" w:sz="6" w:space="0"/>
                    <w:right w:val="single" w:color="auto" w:sz="6" w:space="0"/>
                  </w:tcBorders>
                  <w:vAlign w:val="center"/>
                </w:tcPr>
                <w:p>
                  <w:pPr>
                    <w:pStyle w:val="77"/>
                  </w:pPr>
                  <w:r>
                    <w:t>pH</w:t>
                  </w:r>
                  <w:r>
                    <w:rPr>
                      <w:rFonts w:hint="eastAsia"/>
                    </w:rPr>
                    <w:t>值</w:t>
                  </w:r>
                </w:p>
                <w:p>
                  <w:pPr>
                    <w:pStyle w:val="77"/>
                  </w:pPr>
                  <w:r>
                    <w:rPr>
                      <w:rFonts w:hint="eastAsia"/>
                    </w:rPr>
                    <w:t>（无量纲）</w:t>
                  </w:r>
                </w:p>
              </w:tc>
              <w:tc>
                <w:tcPr>
                  <w:tcW w:w="1505" w:type="dxa"/>
                  <w:tcBorders>
                    <w:top w:val="double" w:color="auto" w:sz="4"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double" w:color="auto" w:sz="4" w:space="0"/>
                    <w:left w:val="single" w:color="auto" w:sz="6" w:space="0"/>
                    <w:bottom w:val="single" w:color="auto" w:sz="6" w:space="0"/>
                    <w:right w:val="single" w:color="auto" w:sz="6" w:space="0"/>
                  </w:tcBorders>
                  <w:vAlign w:val="center"/>
                </w:tcPr>
                <w:p>
                  <w:pPr>
                    <w:pStyle w:val="77"/>
                  </w:pPr>
                  <w:r>
                    <w:t xml:space="preserve">7.71 </w:t>
                  </w:r>
                </w:p>
              </w:tc>
              <w:tc>
                <w:tcPr>
                  <w:tcW w:w="1166" w:type="dxa"/>
                  <w:tcBorders>
                    <w:top w:val="double" w:color="auto" w:sz="4" w:space="0"/>
                    <w:left w:val="single" w:color="auto" w:sz="6" w:space="0"/>
                    <w:bottom w:val="single" w:color="auto" w:sz="6" w:space="0"/>
                    <w:right w:val="single" w:color="auto" w:sz="6" w:space="0"/>
                  </w:tcBorders>
                  <w:vAlign w:val="center"/>
                </w:tcPr>
                <w:p>
                  <w:pPr>
                    <w:pStyle w:val="77"/>
                  </w:pPr>
                  <w:r>
                    <w:t xml:space="preserve">7.49 </w:t>
                  </w:r>
                </w:p>
              </w:tc>
              <w:tc>
                <w:tcPr>
                  <w:tcW w:w="1074" w:type="dxa"/>
                  <w:tcBorders>
                    <w:top w:val="double" w:color="auto" w:sz="4" w:space="0"/>
                    <w:left w:val="single" w:color="auto" w:sz="6" w:space="0"/>
                    <w:bottom w:val="single" w:color="auto" w:sz="6" w:space="0"/>
                    <w:right w:val="single" w:color="auto" w:sz="6" w:space="0"/>
                  </w:tcBorders>
                  <w:vAlign w:val="center"/>
                </w:tcPr>
                <w:p>
                  <w:pPr>
                    <w:pStyle w:val="77"/>
                  </w:pPr>
                  <w:r>
                    <w:t xml:space="preserve">7.55 </w:t>
                  </w:r>
                </w:p>
              </w:tc>
              <w:tc>
                <w:tcPr>
                  <w:tcW w:w="1283" w:type="dxa"/>
                  <w:vMerge w:val="restart"/>
                  <w:tcBorders>
                    <w:top w:val="double" w:color="auto" w:sz="4" w:space="0"/>
                    <w:left w:val="single" w:color="auto" w:sz="6" w:space="0"/>
                    <w:bottom w:val="single" w:color="auto" w:sz="6" w:space="0"/>
                    <w:right w:val="single" w:color="auto" w:sz="12" w:space="0"/>
                  </w:tcBorders>
                  <w:vAlign w:val="center"/>
                </w:tcPr>
                <w:p>
                  <w:pPr>
                    <w:pStyle w:val="77"/>
                  </w:pPr>
                  <w:r>
                    <w:t>6.5</w:t>
                  </w:r>
                  <w:r>
                    <w:rPr>
                      <w:rFonts w:hint="eastAsia"/>
                    </w:rPr>
                    <w:t>～</w:t>
                  </w:r>
                  <w: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0.47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0.33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0.37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2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氨氮</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0.08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0.06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0.16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0.12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3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溶解性总固体（</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329.00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378.00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150.00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0.33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0.38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0.15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4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挥发酚类（</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5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氰化物（</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6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砷（</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7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汞（</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8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六价铬（</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9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总硬度（</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t>GW3</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137.00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138.00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41.60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0.30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0.31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0.09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10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氟化物（</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0.04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0.04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0.03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0.04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0.04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0.03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11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硝酸盐</w:t>
                  </w:r>
                </w:p>
                <w:p>
                  <w:pPr>
                    <w:pStyle w:val="77"/>
                  </w:pPr>
                  <w:r>
                    <w:rPr>
                      <w:rFonts w:hint="eastAsia"/>
                    </w:rPr>
                    <w:t>（以</w:t>
                  </w:r>
                  <w:r>
                    <w:t>N</w:t>
                  </w:r>
                  <w:r>
                    <w:rPr>
                      <w:rFonts w:hint="eastAsia"/>
                    </w:rPr>
                    <w:t>计）</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0.30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0.28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0.26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0.02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0.01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0.01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12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亚硝酸盐</w:t>
                  </w:r>
                </w:p>
                <w:p>
                  <w:pPr>
                    <w:pStyle w:val="77"/>
                  </w:pPr>
                  <w:r>
                    <w:rPr>
                      <w:rFonts w:hint="eastAsia"/>
                    </w:rPr>
                    <w:t>（以</w:t>
                  </w:r>
                  <w:r>
                    <w:t>N</w:t>
                  </w:r>
                  <w:r>
                    <w:rPr>
                      <w:rFonts w:hint="eastAsia"/>
                    </w:rPr>
                    <w:t>计）</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0.04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0.04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0.04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0.04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13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rPr>
                      <w:vertAlign w:val="superscript"/>
                    </w:rPr>
                  </w:pPr>
                  <w:r>
                    <w:t>SO</w:t>
                  </w:r>
                  <w:r>
                    <w:rPr>
                      <w:vertAlign w:val="subscript"/>
                    </w:rPr>
                    <w:t>4</w:t>
                  </w:r>
                  <w:r>
                    <w:rPr>
                      <w:vertAlign w:val="superscript"/>
                    </w:rPr>
                    <w:t>2-</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5.38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4.89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2.37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0.02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0.02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0.01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14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rPr>
                      <w:vertAlign w:val="superscript"/>
                    </w:rPr>
                  </w:pPr>
                  <w:r>
                    <w:t>Cl</w:t>
                  </w:r>
                  <w:r>
                    <w:rPr>
                      <w:vertAlign w:val="superscript"/>
                    </w:rPr>
                    <w:t>-</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0.30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0.30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0.13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0.00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0.00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0.00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15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铁</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0.06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0.05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0.02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0.20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0.18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0.07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16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锰</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17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铅</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18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镉</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19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总大肠杆菌</w:t>
                  </w:r>
                  <w:r>
                    <w:rPr>
                      <w:rFonts w:hint="eastAsia"/>
                      <w:sz w:val="18"/>
                    </w:rPr>
                    <w:t>（</w:t>
                  </w:r>
                  <w:r>
                    <w:rPr>
                      <w:sz w:val="18"/>
                    </w:rPr>
                    <w:t>MPN/100mL</w:t>
                  </w:r>
                  <w:r>
                    <w:rPr>
                      <w:rFonts w:hint="eastAsia"/>
                      <w:sz w:val="18"/>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20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细菌总数</w:t>
                  </w:r>
                  <w:r>
                    <w:t>(CFU/mL)</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88.00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96.00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77.00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0.88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0.96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0.77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21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rPr>
                      <w:vertAlign w:val="superscript"/>
                    </w:rPr>
                  </w:pPr>
                  <w:r>
                    <w:t>K</w:t>
                  </w:r>
                  <w:r>
                    <w:rPr>
                      <w:vertAlign w:val="superscript"/>
                    </w:rPr>
                    <w:t>+</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13.40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16.90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2.88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22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rPr>
                      <w:vertAlign w:val="superscript"/>
                    </w:rPr>
                  </w:pPr>
                  <w:r>
                    <w:t>Na</w:t>
                  </w:r>
                  <w:r>
                    <w:rPr>
                      <w:vertAlign w:val="superscript"/>
                    </w:rPr>
                    <w:t>+</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3.34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3.81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1.02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rPr>
                      <w:rFonts w:hint="eastAsia"/>
                    </w:rPr>
                    <w:t>≤</w:t>
                  </w:r>
                  <w: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0.02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0.02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0.01 </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23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rPr>
                      <w:vertAlign w:val="superscript"/>
                    </w:rPr>
                  </w:pPr>
                  <w:r>
                    <w:t>Ca</w:t>
                  </w:r>
                  <w:r>
                    <w:rPr>
                      <w:vertAlign w:val="superscript"/>
                    </w:rPr>
                    <w:t>2+</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30.20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15.50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6.50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24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rPr>
                      <w:vertAlign w:val="superscript"/>
                    </w:rPr>
                  </w:pPr>
                  <w:r>
                    <w:t>Mg</w:t>
                  </w:r>
                  <w:r>
                    <w:rPr>
                      <w:vertAlign w:val="superscript"/>
                    </w:rPr>
                    <w:t>2+</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13.90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20.00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5.90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25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rPr>
                      <w:vertAlign w:val="superscript"/>
                    </w:rPr>
                  </w:pPr>
                  <w:r>
                    <w:t>CO</w:t>
                  </w:r>
                  <w:r>
                    <w:rPr>
                      <w:vertAlign w:val="subscript"/>
                    </w:rPr>
                    <w:t>3</w:t>
                  </w:r>
                  <w:r>
                    <w:rPr>
                      <w:vertAlign w:val="superscript"/>
                    </w:rPr>
                    <w:t>2-</w:t>
                  </w:r>
                </w:p>
                <w:p>
                  <w:pPr>
                    <w:pStyle w:val="77"/>
                  </w:pP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ND</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restart"/>
                  <w:tcBorders>
                    <w:top w:val="single" w:color="auto" w:sz="6" w:space="0"/>
                    <w:left w:val="single" w:color="auto" w:sz="12" w:space="0"/>
                    <w:bottom w:val="single" w:color="auto" w:sz="6" w:space="0"/>
                    <w:right w:val="single" w:color="auto" w:sz="6" w:space="0"/>
                  </w:tcBorders>
                  <w:vAlign w:val="center"/>
                </w:tcPr>
                <w:p>
                  <w:pPr>
                    <w:pStyle w:val="77"/>
                  </w:pPr>
                  <w:r>
                    <w:t xml:space="preserve">26 </w:t>
                  </w:r>
                </w:p>
              </w:tc>
              <w:tc>
                <w:tcPr>
                  <w:tcW w:w="2076" w:type="dxa"/>
                  <w:vMerge w:val="restart"/>
                  <w:tcBorders>
                    <w:top w:val="single" w:color="auto" w:sz="6" w:space="0"/>
                    <w:left w:val="single" w:color="auto" w:sz="6" w:space="0"/>
                    <w:bottom w:val="single" w:color="auto" w:sz="6" w:space="0"/>
                    <w:right w:val="single" w:color="auto" w:sz="6" w:space="0"/>
                  </w:tcBorders>
                  <w:vAlign w:val="center"/>
                </w:tcPr>
                <w:p>
                  <w:pPr>
                    <w:pStyle w:val="77"/>
                  </w:pPr>
                  <w:r>
                    <w:t>HCO</w:t>
                  </w:r>
                  <w:r>
                    <w:rPr>
                      <w:vertAlign w:val="subscript"/>
                    </w:rPr>
                    <w:t>3</w:t>
                  </w:r>
                  <w:r>
                    <w:rPr>
                      <w:vertAlign w:val="superscript"/>
                    </w:rPr>
                    <w:t>-</w:t>
                  </w:r>
                  <w:r>
                    <w:rPr>
                      <w:rFonts w:hint="eastAsia"/>
                    </w:rPr>
                    <w:t>（</w:t>
                  </w:r>
                  <w:r>
                    <w:t>mg/L</w:t>
                  </w:r>
                  <w:r>
                    <w:rPr>
                      <w:rFonts w:hint="eastAsia"/>
                    </w:rPr>
                    <w:t>）</w:t>
                  </w: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检测值</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 xml:space="preserve">138.00 </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 xml:space="preserve">156.00 </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 xml:space="preserve">47.20 </w:t>
                  </w:r>
                </w:p>
              </w:tc>
              <w:tc>
                <w:tcPr>
                  <w:tcW w:w="1283" w:type="dxa"/>
                  <w:vMerge w:val="restart"/>
                  <w:tcBorders>
                    <w:top w:val="single" w:color="auto" w:sz="6" w:space="0"/>
                    <w:left w:val="single" w:color="auto" w:sz="6" w:space="0"/>
                    <w:bottom w:val="single" w:color="auto" w:sz="6"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6"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6" w:space="0"/>
                    <w:right w:val="single" w:color="auto" w:sz="6" w:space="0"/>
                  </w:tcBorders>
                  <w:vAlign w:val="center"/>
                </w:tcPr>
                <w:p>
                  <w:pPr>
                    <w:pStyle w:val="77"/>
                  </w:pPr>
                </w:p>
              </w:tc>
              <w:tc>
                <w:tcPr>
                  <w:tcW w:w="150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标准指数</w:t>
                  </w:r>
                </w:p>
              </w:tc>
              <w:tc>
                <w:tcPr>
                  <w:tcW w:w="1132"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6"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6"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2" w:type="dxa"/>
                  <w:vMerge w:val="continue"/>
                  <w:tcBorders>
                    <w:top w:val="single" w:color="auto" w:sz="6" w:space="0"/>
                    <w:left w:val="single" w:color="auto" w:sz="12" w:space="0"/>
                    <w:bottom w:val="single" w:color="auto" w:sz="12" w:space="0"/>
                    <w:right w:val="single" w:color="auto" w:sz="6" w:space="0"/>
                  </w:tcBorders>
                  <w:vAlign w:val="center"/>
                </w:tcPr>
                <w:p>
                  <w:pPr>
                    <w:pStyle w:val="77"/>
                  </w:pPr>
                </w:p>
              </w:tc>
              <w:tc>
                <w:tcPr>
                  <w:tcW w:w="2076" w:type="dxa"/>
                  <w:vMerge w:val="continue"/>
                  <w:tcBorders>
                    <w:top w:val="single" w:color="auto" w:sz="6" w:space="0"/>
                    <w:left w:val="single" w:color="auto" w:sz="6" w:space="0"/>
                    <w:bottom w:val="single" w:color="auto" w:sz="12" w:space="0"/>
                    <w:right w:val="single" w:color="auto" w:sz="6" w:space="0"/>
                  </w:tcBorders>
                  <w:vAlign w:val="center"/>
                </w:tcPr>
                <w:p>
                  <w:pPr>
                    <w:pStyle w:val="77"/>
                  </w:pPr>
                </w:p>
              </w:tc>
              <w:tc>
                <w:tcPr>
                  <w:tcW w:w="1505"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达标情况</w:t>
                  </w:r>
                </w:p>
              </w:tc>
              <w:tc>
                <w:tcPr>
                  <w:tcW w:w="1132" w:type="dxa"/>
                  <w:tcBorders>
                    <w:top w:val="single" w:color="auto" w:sz="6" w:space="0"/>
                    <w:left w:val="single" w:color="auto" w:sz="6" w:space="0"/>
                    <w:bottom w:val="single" w:color="auto" w:sz="12" w:space="0"/>
                    <w:right w:val="single" w:color="auto" w:sz="6" w:space="0"/>
                  </w:tcBorders>
                  <w:vAlign w:val="center"/>
                </w:tcPr>
                <w:p>
                  <w:pPr>
                    <w:pStyle w:val="77"/>
                  </w:pPr>
                  <w:r>
                    <w:t>/</w:t>
                  </w:r>
                </w:p>
              </w:tc>
              <w:tc>
                <w:tcPr>
                  <w:tcW w:w="1166" w:type="dxa"/>
                  <w:tcBorders>
                    <w:top w:val="single" w:color="auto" w:sz="6" w:space="0"/>
                    <w:left w:val="single" w:color="auto" w:sz="6" w:space="0"/>
                    <w:bottom w:val="single" w:color="auto" w:sz="12" w:space="0"/>
                    <w:right w:val="single" w:color="auto" w:sz="6" w:space="0"/>
                  </w:tcBorders>
                  <w:vAlign w:val="center"/>
                </w:tcPr>
                <w:p>
                  <w:pPr>
                    <w:pStyle w:val="77"/>
                  </w:pPr>
                  <w:r>
                    <w:t>/</w:t>
                  </w:r>
                </w:p>
              </w:tc>
              <w:tc>
                <w:tcPr>
                  <w:tcW w:w="1074" w:type="dxa"/>
                  <w:tcBorders>
                    <w:top w:val="single" w:color="auto" w:sz="6" w:space="0"/>
                    <w:left w:val="single" w:color="auto" w:sz="6" w:space="0"/>
                    <w:bottom w:val="single" w:color="auto" w:sz="12" w:space="0"/>
                    <w:right w:val="single" w:color="auto" w:sz="6" w:space="0"/>
                  </w:tcBorders>
                  <w:vAlign w:val="center"/>
                </w:tcPr>
                <w:p>
                  <w:pPr>
                    <w:pStyle w:val="77"/>
                  </w:pPr>
                  <w:r>
                    <w:t>/</w:t>
                  </w:r>
                </w:p>
              </w:tc>
              <w:tc>
                <w:tcPr>
                  <w:tcW w:w="1283" w:type="dxa"/>
                  <w:vMerge w:val="continue"/>
                  <w:tcBorders>
                    <w:top w:val="single" w:color="auto" w:sz="6" w:space="0"/>
                    <w:left w:val="single" w:color="auto" w:sz="6" w:space="0"/>
                    <w:bottom w:val="single" w:color="auto" w:sz="12" w:space="0"/>
                    <w:right w:val="single" w:color="auto" w:sz="12" w:space="0"/>
                  </w:tcBorders>
                  <w:vAlign w:val="center"/>
                </w:tcPr>
                <w:p>
                  <w:pPr>
                    <w:pStyle w:val="77"/>
                  </w:pPr>
                </w:p>
              </w:tc>
            </w:tr>
          </w:tbl>
          <w:p>
            <w:pPr>
              <w:pStyle w:val="114"/>
            </w:pPr>
            <w:r>
              <w:rPr>
                <w:rFonts w:hint="eastAsia"/>
              </w:rPr>
              <w:t>监测结果表明，各监测点位各监测因子均符合《地下水质量标准》（</w:t>
            </w:r>
            <w:r>
              <w:t>GB/T14848-2017</w:t>
            </w:r>
            <w:r>
              <w:rPr>
                <w:rFonts w:hint="eastAsia"/>
              </w:rPr>
              <w:t>）中的Ⅲ类标准。</w:t>
            </w:r>
          </w:p>
          <w:p>
            <w:pPr>
              <w:pStyle w:val="114"/>
            </w:pPr>
            <w:r>
              <w:rPr>
                <w:rFonts w:hint="eastAsia"/>
              </w:rPr>
              <w:t>四、声环境质量</w:t>
            </w:r>
          </w:p>
          <w:p>
            <w:pPr>
              <w:snapToGrid w:val="0"/>
              <w:spacing w:line="360" w:lineRule="auto"/>
              <w:ind w:firstLine="480" w:firstLineChars="200"/>
              <w:contextualSpacing/>
              <w:rPr>
                <w:rStyle w:val="116"/>
                <w:rFonts w:ascii="Calibri" w:hAnsi="Calibri"/>
                <w:sz w:val="21"/>
                <w:szCs w:val="22"/>
              </w:rPr>
            </w:pPr>
            <w:r>
              <w:rPr>
                <w:rStyle w:val="116"/>
                <w:rFonts w:hint="eastAsia"/>
                <w:sz w:val="24"/>
              </w:rPr>
              <w:t>本次评价委托海南中环能检测技术有限公司于</w:t>
            </w:r>
            <w:r>
              <w:rPr>
                <w:rStyle w:val="116"/>
                <w:sz w:val="24"/>
              </w:rPr>
              <w:t>2019</w:t>
            </w:r>
            <w:r>
              <w:rPr>
                <w:rStyle w:val="116"/>
                <w:rFonts w:hint="eastAsia"/>
                <w:sz w:val="24"/>
              </w:rPr>
              <w:t>年</w:t>
            </w:r>
            <w:r>
              <w:rPr>
                <w:rStyle w:val="116"/>
                <w:sz w:val="24"/>
              </w:rPr>
              <w:t>5</w:t>
            </w:r>
            <w:r>
              <w:rPr>
                <w:rStyle w:val="116"/>
                <w:rFonts w:hint="eastAsia"/>
                <w:sz w:val="24"/>
              </w:rPr>
              <w:t>月</w:t>
            </w:r>
            <w:r>
              <w:rPr>
                <w:rStyle w:val="116"/>
                <w:sz w:val="24"/>
              </w:rPr>
              <w:t>26~27</w:t>
            </w:r>
            <w:r>
              <w:rPr>
                <w:rStyle w:val="116"/>
                <w:rFonts w:hint="eastAsia"/>
                <w:sz w:val="24"/>
              </w:rPr>
              <w:t>日对项目厂界四周声环境质量进行现场监测，监测时，项目处于正常运行状态，具体监测方法见表</w:t>
            </w:r>
            <w:r>
              <w:rPr>
                <w:rStyle w:val="116"/>
                <w:sz w:val="24"/>
              </w:rPr>
              <w:t>3-14</w:t>
            </w:r>
            <w:r>
              <w:rPr>
                <w:rStyle w:val="116"/>
                <w:rFonts w:hint="eastAsia"/>
                <w:sz w:val="24"/>
              </w:rPr>
              <w:t>、监测结果见表</w:t>
            </w:r>
            <w:r>
              <w:rPr>
                <w:rStyle w:val="116"/>
                <w:sz w:val="24"/>
              </w:rPr>
              <w:t>3-15</w:t>
            </w:r>
            <w:r>
              <w:rPr>
                <w:rStyle w:val="116"/>
                <w:rFonts w:hint="eastAsia" w:ascii="Calibri" w:hAnsi="Calibri"/>
                <w:sz w:val="21"/>
                <w:szCs w:val="22"/>
              </w:rPr>
              <w:t>。</w:t>
            </w:r>
          </w:p>
          <w:p>
            <w:pPr>
              <w:pStyle w:val="111"/>
            </w:pPr>
            <w:r>
              <w:rPr>
                <w:rFonts w:hint="eastAsia"/>
              </w:rPr>
              <w:t>表</w:t>
            </w:r>
            <w:r>
              <w:t xml:space="preserve">3-14   </w:t>
            </w:r>
            <w:r>
              <w:rPr>
                <w:rFonts w:hint="eastAsia"/>
              </w:rPr>
              <w:t>噪声监测方法一览表</w:t>
            </w:r>
          </w:p>
          <w:tbl>
            <w:tblPr>
              <w:tblStyle w:val="37"/>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336"/>
              <w:gridCol w:w="2740"/>
              <w:gridCol w:w="2209"/>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83" w:type="dxa"/>
                  <w:tcBorders>
                    <w:top w:val="single" w:color="auto" w:sz="12" w:space="0"/>
                    <w:left w:val="single" w:color="auto" w:sz="12" w:space="0"/>
                    <w:bottom w:val="double" w:color="auto" w:sz="4" w:space="0"/>
                    <w:right w:val="single" w:color="auto" w:sz="4" w:space="0"/>
                  </w:tcBorders>
                  <w:vAlign w:val="center"/>
                </w:tcPr>
                <w:p>
                  <w:pPr>
                    <w:pStyle w:val="77"/>
                  </w:pPr>
                  <w:r>
                    <w:rPr>
                      <w:rFonts w:hint="eastAsia"/>
                    </w:rPr>
                    <w:t>样品类型</w:t>
                  </w:r>
                </w:p>
              </w:tc>
              <w:tc>
                <w:tcPr>
                  <w:tcW w:w="1336"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检测项目</w:t>
                  </w:r>
                </w:p>
              </w:tc>
              <w:tc>
                <w:tcPr>
                  <w:tcW w:w="2740"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检测方法及标准号</w:t>
                  </w:r>
                </w:p>
              </w:tc>
              <w:tc>
                <w:tcPr>
                  <w:tcW w:w="2209"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主要仪器</w:t>
                  </w:r>
                </w:p>
              </w:tc>
              <w:tc>
                <w:tcPr>
                  <w:tcW w:w="1730" w:type="dxa"/>
                  <w:tcBorders>
                    <w:top w:val="single" w:color="auto" w:sz="12" w:space="0"/>
                    <w:left w:val="single" w:color="auto" w:sz="4" w:space="0"/>
                    <w:bottom w:val="double" w:color="auto" w:sz="4" w:space="0"/>
                    <w:right w:val="single" w:color="auto" w:sz="12" w:space="0"/>
                  </w:tcBorders>
                  <w:vAlign w:val="center"/>
                </w:tcPr>
                <w:p>
                  <w:pPr>
                    <w:pStyle w:val="77"/>
                  </w:pPr>
                  <w:r>
                    <w:rPr>
                      <w:rFonts w:hint="eastAsia"/>
                    </w:rPr>
                    <w:t>方法最低检出限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83" w:type="dxa"/>
                  <w:vMerge w:val="restart"/>
                  <w:tcBorders>
                    <w:top w:val="single" w:color="auto" w:sz="6" w:space="0"/>
                    <w:left w:val="single" w:color="auto" w:sz="12" w:space="0"/>
                    <w:bottom w:val="single" w:color="auto" w:sz="6" w:space="0"/>
                    <w:right w:val="single" w:color="auto" w:sz="6" w:space="0"/>
                  </w:tcBorders>
                  <w:vAlign w:val="center"/>
                </w:tcPr>
                <w:p>
                  <w:pPr>
                    <w:pStyle w:val="77"/>
                  </w:pPr>
                  <w:r>
                    <w:rPr>
                      <w:rFonts w:hint="eastAsia"/>
                    </w:rPr>
                    <w:t>噪声</w:t>
                  </w:r>
                </w:p>
              </w:tc>
              <w:tc>
                <w:tcPr>
                  <w:tcW w:w="1336"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声环境噪声</w:t>
                  </w:r>
                </w:p>
              </w:tc>
              <w:tc>
                <w:tcPr>
                  <w:tcW w:w="2740"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声环境质量标准</w:t>
                  </w:r>
                </w:p>
                <w:p>
                  <w:pPr>
                    <w:pStyle w:val="77"/>
                  </w:pPr>
                  <w:r>
                    <w:t>GB3096-2008</w:t>
                  </w:r>
                </w:p>
              </w:tc>
              <w:tc>
                <w:tcPr>
                  <w:tcW w:w="2209"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声级计</w:t>
                  </w:r>
                </w:p>
                <w:p>
                  <w:pPr>
                    <w:pStyle w:val="77"/>
                  </w:pPr>
                  <w:r>
                    <w:t>HS6288B</w:t>
                  </w:r>
                </w:p>
                <w:p>
                  <w:pPr>
                    <w:pStyle w:val="77"/>
                  </w:pPr>
                  <w:r>
                    <w:t>CECE-SB-015</w:t>
                  </w:r>
                </w:p>
              </w:tc>
              <w:tc>
                <w:tcPr>
                  <w:tcW w:w="1730" w:type="dxa"/>
                  <w:tcBorders>
                    <w:top w:val="single" w:color="auto" w:sz="6" w:space="0"/>
                    <w:left w:val="single" w:color="auto" w:sz="6" w:space="0"/>
                    <w:bottom w:val="single" w:color="auto" w:sz="6"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83" w:type="dxa"/>
                  <w:vMerge w:val="continue"/>
                  <w:tcBorders>
                    <w:top w:val="single" w:color="auto" w:sz="6" w:space="0"/>
                    <w:left w:val="single" w:color="auto" w:sz="12" w:space="0"/>
                    <w:bottom w:val="single" w:color="auto" w:sz="12" w:space="0"/>
                    <w:right w:val="single" w:color="auto" w:sz="6" w:space="0"/>
                  </w:tcBorders>
                  <w:vAlign w:val="center"/>
                </w:tcPr>
                <w:p>
                  <w:pPr>
                    <w:pStyle w:val="77"/>
                  </w:pPr>
                </w:p>
              </w:tc>
              <w:tc>
                <w:tcPr>
                  <w:tcW w:w="1336"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厂界噪声</w:t>
                  </w:r>
                </w:p>
              </w:tc>
              <w:tc>
                <w:tcPr>
                  <w:tcW w:w="2740"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工业企业厂界环境噪声排放标准</w:t>
                  </w:r>
                  <w:r>
                    <w:t>GB 12348-2008</w:t>
                  </w:r>
                </w:p>
              </w:tc>
              <w:tc>
                <w:tcPr>
                  <w:tcW w:w="2209"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多功能声级计</w:t>
                  </w:r>
                </w:p>
                <w:p>
                  <w:pPr>
                    <w:pStyle w:val="77"/>
                  </w:pPr>
                  <w:r>
                    <w:t>AWA6228</w:t>
                  </w:r>
                  <w:r>
                    <w:rPr>
                      <w:vertAlign w:val="superscript"/>
                    </w:rPr>
                    <w:t>+</w:t>
                  </w:r>
                </w:p>
                <w:p>
                  <w:pPr>
                    <w:pStyle w:val="77"/>
                  </w:pPr>
                  <w:r>
                    <w:t>CECE-SB-082</w:t>
                  </w:r>
                </w:p>
              </w:tc>
              <w:tc>
                <w:tcPr>
                  <w:tcW w:w="1730" w:type="dxa"/>
                  <w:tcBorders>
                    <w:top w:val="single" w:color="auto" w:sz="6" w:space="0"/>
                    <w:left w:val="single" w:color="auto" w:sz="6" w:space="0"/>
                    <w:bottom w:val="single" w:color="auto" w:sz="12" w:space="0"/>
                    <w:right w:val="single" w:color="auto" w:sz="12" w:space="0"/>
                  </w:tcBorders>
                  <w:vAlign w:val="center"/>
                </w:tcPr>
                <w:p>
                  <w:pPr>
                    <w:pStyle w:val="77"/>
                  </w:pPr>
                  <w:r>
                    <w:t>/</w:t>
                  </w:r>
                </w:p>
              </w:tc>
            </w:tr>
          </w:tbl>
          <w:p>
            <w:pPr>
              <w:pStyle w:val="2"/>
            </w:pPr>
          </w:p>
          <w:p>
            <w:pPr>
              <w:pStyle w:val="111"/>
            </w:pPr>
            <w:bookmarkStart w:id="28" w:name="_Hlk13144973"/>
            <w:r>
              <w:rPr>
                <w:rFonts w:hint="eastAsia"/>
              </w:rPr>
              <w:t>表</w:t>
            </w:r>
            <w:r>
              <w:t>3-15</w:t>
            </w:r>
            <w:r>
              <w:rPr>
                <w:rFonts w:hint="eastAsia"/>
              </w:rPr>
              <w:t>声环境质量监测结果</w:t>
            </w:r>
            <w:r>
              <w:t xml:space="preserve">      </w:t>
            </w:r>
            <w:r>
              <w:rPr>
                <w:rFonts w:hint="eastAsia"/>
              </w:rPr>
              <w:t>单位：</w:t>
            </w:r>
            <w:r>
              <w:t>dB</w:t>
            </w:r>
            <w:r>
              <w:rPr>
                <w:rFonts w:hint="eastAsia"/>
              </w:rPr>
              <w:t>（</w:t>
            </w:r>
            <w:r>
              <w:t>A</w:t>
            </w:r>
            <w:r>
              <w:rPr>
                <w:rFonts w:hint="eastAsia"/>
              </w:rPr>
              <w:t>）</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37"/>
              <w:gridCol w:w="1192"/>
              <w:gridCol w:w="1423"/>
              <w:gridCol w:w="1496"/>
              <w:gridCol w:w="1583"/>
              <w:gridCol w:w="15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315" w:hRule="atLeast"/>
                <w:jc w:val="center"/>
              </w:trPr>
              <w:tc>
                <w:tcPr>
                  <w:tcW w:w="3029" w:type="dxa"/>
                  <w:gridSpan w:val="2"/>
                  <w:vMerge w:val="restart"/>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监测位置</w:t>
                  </w:r>
                </w:p>
              </w:tc>
              <w:tc>
                <w:tcPr>
                  <w:tcW w:w="2919" w:type="dxa"/>
                  <w:gridSpan w:val="2"/>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监测结果</w:t>
                  </w:r>
                </w:p>
              </w:tc>
              <w:tc>
                <w:tcPr>
                  <w:tcW w:w="3150" w:type="dxa"/>
                  <w:gridSpan w:val="2"/>
                  <w:tcBorders>
                    <w:top w:val="single" w:color="auto" w:sz="12" w:space="0"/>
                    <w:left w:val="single" w:color="auto" w:sz="6" w:space="0"/>
                    <w:bottom w:val="single" w:color="auto" w:sz="6" w:space="0"/>
                    <w:right w:val="single" w:color="auto" w:sz="12" w:space="0"/>
                  </w:tcBorders>
                  <w:vAlign w:val="center"/>
                </w:tcPr>
                <w:p>
                  <w:pPr>
                    <w:jc w:val="center"/>
                    <w:rPr>
                      <w:rFonts w:ascii="Times New Roman" w:hAnsi="Times New Roman"/>
                      <w:b/>
                      <w:bCs/>
                      <w:szCs w:val="21"/>
                    </w:rPr>
                  </w:pPr>
                  <w:r>
                    <w:rPr>
                      <w:rFonts w:ascii="Times New Roman" w:hAnsi="Times New Roman"/>
                      <w:b/>
                      <w:bCs/>
                      <w:szCs w:val="21"/>
                    </w:rPr>
                    <w:t>GB3096-2008</w:t>
                  </w:r>
                  <w:r>
                    <w:rPr>
                      <w:rFonts w:hint="eastAsia" w:ascii="Times New Roman" w:hAnsi="Times New Roman"/>
                      <w:b/>
                      <w:bCs/>
                      <w:szCs w:val="21"/>
                    </w:rPr>
                    <w:t>中</w:t>
                  </w:r>
                  <w:r>
                    <w:rPr>
                      <w:rFonts w:ascii="Times New Roman" w:hAnsi="Times New Roman"/>
                      <w:b/>
                      <w:bCs/>
                      <w:szCs w:val="21"/>
                    </w:rPr>
                    <w:t>2</w:t>
                  </w:r>
                  <w:r>
                    <w:rPr>
                      <w:rFonts w:hint="eastAsia" w:ascii="Times New Roman" w:hAnsi="Times New Roman"/>
                      <w:b/>
                      <w:bCs/>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3029" w:type="dxa"/>
                  <w:gridSpan w:val="2"/>
                  <w:vMerge w:val="continue"/>
                  <w:tcBorders>
                    <w:top w:val="single" w:color="auto" w:sz="6" w:space="0"/>
                    <w:left w:val="single" w:color="auto" w:sz="12" w:space="0"/>
                    <w:bottom w:val="double" w:color="auto" w:sz="4" w:space="0"/>
                    <w:right w:val="single" w:color="auto" w:sz="6" w:space="0"/>
                  </w:tcBorders>
                  <w:vAlign w:val="center"/>
                </w:tcPr>
                <w:p>
                  <w:pPr>
                    <w:jc w:val="center"/>
                    <w:rPr>
                      <w:rFonts w:ascii="Times New Roman" w:hAnsi="Times New Roman"/>
                      <w:b/>
                      <w:bCs/>
                      <w:szCs w:val="21"/>
                    </w:rPr>
                  </w:pPr>
                </w:p>
              </w:tc>
              <w:tc>
                <w:tcPr>
                  <w:tcW w:w="1423" w:type="dxa"/>
                  <w:tcBorders>
                    <w:top w:val="single" w:color="auto" w:sz="6" w:space="0"/>
                    <w:left w:val="single" w:color="auto" w:sz="6" w:space="0"/>
                    <w:bottom w:val="double" w:color="auto" w:sz="4"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昼间</w:t>
                  </w:r>
                </w:p>
              </w:tc>
              <w:tc>
                <w:tcPr>
                  <w:tcW w:w="1496" w:type="dxa"/>
                  <w:tcBorders>
                    <w:top w:val="single" w:color="auto" w:sz="6" w:space="0"/>
                    <w:left w:val="single" w:color="auto" w:sz="6" w:space="0"/>
                    <w:bottom w:val="double" w:color="auto" w:sz="4"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夜间</w:t>
                  </w:r>
                </w:p>
              </w:tc>
              <w:tc>
                <w:tcPr>
                  <w:tcW w:w="1583" w:type="dxa"/>
                  <w:tcBorders>
                    <w:top w:val="single" w:color="auto" w:sz="6" w:space="0"/>
                    <w:left w:val="single" w:color="auto" w:sz="6" w:space="0"/>
                    <w:bottom w:val="double" w:color="auto" w:sz="4" w:space="0"/>
                    <w:right w:val="single" w:color="auto" w:sz="6" w:space="0"/>
                  </w:tcBorders>
                  <w:vAlign w:val="center"/>
                </w:tcPr>
                <w:p>
                  <w:pPr>
                    <w:jc w:val="center"/>
                    <w:rPr>
                      <w:rFonts w:ascii="Times New Roman" w:hAnsi="Times New Roman"/>
                      <w:b/>
                      <w:bCs/>
                      <w:szCs w:val="21"/>
                    </w:rPr>
                  </w:pPr>
                  <w:r>
                    <w:rPr>
                      <w:rFonts w:hint="eastAsia" w:ascii="Times New Roman" w:hAnsi="Times New Roman"/>
                      <w:b/>
                      <w:bCs/>
                      <w:szCs w:val="21"/>
                    </w:rPr>
                    <w:t>昼间</w:t>
                  </w:r>
                </w:p>
              </w:tc>
              <w:tc>
                <w:tcPr>
                  <w:tcW w:w="1567" w:type="dxa"/>
                  <w:tcBorders>
                    <w:top w:val="single" w:color="auto" w:sz="6" w:space="0"/>
                    <w:left w:val="single" w:color="auto" w:sz="6" w:space="0"/>
                    <w:bottom w:val="single" w:color="auto" w:sz="4" w:space="0"/>
                    <w:right w:val="single" w:color="auto" w:sz="12" w:space="0"/>
                  </w:tcBorders>
                  <w:vAlign w:val="center"/>
                </w:tcPr>
                <w:p>
                  <w:pPr>
                    <w:jc w:val="center"/>
                    <w:rPr>
                      <w:rFonts w:ascii="Times New Roman" w:hAnsi="Times New Roman"/>
                      <w:b/>
                      <w:bCs/>
                      <w:szCs w:val="21"/>
                    </w:rPr>
                  </w:pPr>
                  <w:r>
                    <w:rPr>
                      <w:rFonts w:hint="eastAsia" w:ascii="Times New Roman" w:hAnsi="Times New Roman"/>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837" w:type="dxa"/>
                  <w:vMerge w:val="restart"/>
                  <w:tcBorders>
                    <w:top w:val="double" w:color="auto" w:sz="4" w:space="0"/>
                    <w:left w:val="single" w:color="auto" w:sz="12" w:space="0"/>
                    <w:bottom w:val="single" w:color="auto" w:sz="6" w:space="0"/>
                    <w:right w:val="single" w:color="auto" w:sz="4" w:space="0"/>
                  </w:tcBorders>
                  <w:vAlign w:val="center"/>
                </w:tcPr>
                <w:p>
                  <w:pPr>
                    <w:jc w:val="center"/>
                    <w:rPr>
                      <w:rFonts w:ascii="Times New Roman" w:hAnsi="Times New Roman"/>
                      <w:szCs w:val="21"/>
                    </w:rPr>
                  </w:pPr>
                  <w:r>
                    <w:rPr>
                      <w:rFonts w:hint="eastAsia" w:ascii="Times New Roman" w:hAnsi="Times New Roman"/>
                      <w:bCs/>
                      <w:szCs w:val="21"/>
                    </w:rPr>
                    <w:t>东厂界</w:t>
                  </w:r>
                </w:p>
              </w:tc>
              <w:tc>
                <w:tcPr>
                  <w:tcW w:w="1192" w:type="dxa"/>
                  <w:tcBorders>
                    <w:top w:val="double" w:color="auto" w:sz="4" w:space="0"/>
                    <w:left w:val="single" w:color="auto" w:sz="4"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w:t>
                  </w:r>
                  <w:r>
                    <w:rPr>
                      <w:rFonts w:hint="eastAsia" w:ascii="Times New Roman" w:hAnsi="Times New Roman"/>
                      <w:szCs w:val="21"/>
                    </w:rPr>
                    <w:t>月</w:t>
                  </w:r>
                  <w:r>
                    <w:rPr>
                      <w:rFonts w:ascii="Times New Roman" w:hAnsi="Times New Roman"/>
                      <w:szCs w:val="21"/>
                    </w:rPr>
                    <w:t>26</w:t>
                  </w:r>
                  <w:r>
                    <w:rPr>
                      <w:rFonts w:hint="eastAsia" w:ascii="Times New Roman" w:hAnsi="Times New Roman"/>
                      <w:szCs w:val="21"/>
                    </w:rPr>
                    <w:t>日</w:t>
                  </w:r>
                </w:p>
              </w:tc>
              <w:tc>
                <w:tcPr>
                  <w:tcW w:w="1423"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496" w:type="dxa"/>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49</w:t>
                  </w:r>
                </w:p>
              </w:tc>
              <w:tc>
                <w:tcPr>
                  <w:tcW w:w="1583" w:type="dxa"/>
                  <w:vMerge w:val="restart"/>
                  <w:tcBorders>
                    <w:top w:val="double" w:color="auto" w:sz="4"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567" w:type="dxa"/>
                  <w:vMerge w:val="restart"/>
                  <w:tcBorders>
                    <w:top w:val="single" w:color="auto" w:sz="4"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1837" w:type="dxa"/>
                  <w:vMerge w:val="continue"/>
                  <w:tcBorders>
                    <w:top w:val="single" w:color="auto" w:sz="6" w:space="0"/>
                    <w:left w:val="single" w:color="auto" w:sz="12" w:space="0"/>
                    <w:bottom w:val="single" w:color="auto" w:sz="6" w:space="0"/>
                    <w:right w:val="single" w:color="auto" w:sz="4" w:space="0"/>
                  </w:tcBorders>
                  <w:vAlign w:val="center"/>
                </w:tcPr>
                <w:p>
                  <w:pPr>
                    <w:jc w:val="center"/>
                    <w:rPr>
                      <w:rFonts w:ascii="Times New Roman" w:hAnsi="Times New Roman"/>
                      <w:szCs w:val="21"/>
                    </w:rPr>
                  </w:pPr>
                </w:p>
              </w:tc>
              <w:tc>
                <w:tcPr>
                  <w:tcW w:w="1192"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w:t>
                  </w:r>
                  <w:r>
                    <w:rPr>
                      <w:rFonts w:hint="eastAsia" w:ascii="Times New Roman" w:hAnsi="Times New Roman"/>
                      <w:szCs w:val="21"/>
                    </w:rPr>
                    <w:t>月</w:t>
                  </w:r>
                  <w:r>
                    <w:rPr>
                      <w:rFonts w:ascii="Times New Roman" w:hAnsi="Times New Roman"/>
                      <w:szCs w:val="21"/>
                    </w:rPr>
                    <w:t>27</w:t>
                  </w:r>
                  <w:r>
                    <w:rPr>
                      <w:rFonts w:hint="eastAsia" w:ascii="Times New Roman" w:hAnsi="Times New Roman"/>
                      <w:szCs w:val="21"/>
                    </w:rPr>
                    <w:t>日</w:t>
                  </w:r>
                </w:p>
              </w:tc>
              <w:tc>
                <w:tcPr>
                  <w:tcW w:w="142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49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49</w:t>
                  </w:r>
                </w:p>
              </w:tc>
              <w:tc>
                <w:tcPr>
                  <w:tcW w:w="1583"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p>
              </w:tc>
              <w:tc>
                <w:tcPr>
                  <w:tcW w:w="1567"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837" w:type="dxa"/>
                  <w:vMerge w:val="restart"/>
                  <w:tcBorders>
                    <w:top w:val="single" w:color="auto" w:sz="6" w:space="0"/>
                    <w:left w:val="single" w:color="auto" w:sz="12" w:space="0"/>
                    <w:bottom w:val="single" w:color="auto" w:sz="6" w:space="0"/>
                    <w:right w:val="single" w:color="auto" w:sz="4" w:space="0"/>
                  </w:tcBorders>
                  <w:vAlign w:val="center"/>
                </w:tcPr>
                <w:p>
                  <w:pPr>
                    <w:jc w:val="center"/>
                    <w:rPr>
                      <w:rFonts w:ascii="Times New Roman" w:hAnsi="Times New Roman"/>
                      <w:szCs w:val="21"/>
                    </w:rPr>
                  </w:pPr>
                  <w:r>
                    <w:rPr>
                      <w:rFonts w:hint="eastAsia" w:ascii="Times New Roman" w:hAnsi="Times New Roman"/>
                      <w:bCs/>
                      <w:szCs w:val="21"/>
                    </w:rPr>
                    <w:t>南厂界</w:t>
                  </w:r>
                </w:p>
              </w:tc>
              <w:tc>
                <w:tcPr>
                  <w:tcW w:w="1192"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w:t>
                  </w:r>
                  <w:r>
                    <w:rPr>
                      <w:rFonts w:hint="eastAsia" w:ascii="Times New Roman" w:hAnsi="Times New Roman"/>
                      <w:szCs w:val="21"/>
                    </w:rPr>
                    <w:t>月</w:t>
                  </w:r>
                  <w:r>
                    <w:rPr>
                      <w:rFonts w:ascii="Times New Roman" w:hAnsi="Times New Roman"/>
                      <w:szCs w:val="21"/>
                    </w:rPr>
                    <w:t>26</w:t>
                  </w:r>
                  <w:r>
                    <w:rPr>
                      <w:rFonts w:hint="eastAsia" w:ascii="Times New Roman" w:hAnsi="Times New Roman"/>
                      <w:szCs w:val="21"/>
                    </w:rPr>
                    <w:t>日</w:t>
                  </w:r>
                </w:p>
              </w:tc>
              <w:tc>
                <w:tcPr>
                  <w:tcW w:w="142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56</w:t>
                  </w:r>
                </w:p>
              </w:tc>
              <w:tc>
                <w:tcPr>
                  <w:tcW w:w="149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49</w:t>
                  </w:r>
                </w:p>
              </w:tc>
              <w:tc>
                <w:tcPr>
                  <w:tcW w:w="1583"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567" w:type="dxa"/>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1837" w:type="dxa"/>
                  <w:vMerge w:val="continue"/>
                  <w:tcBorders>
                    <w:top w:val="single" w:color="auto" w:sz="6" w:space="0"/>
                    <w:left w:val="single" w:color="auto" w:sz="12" w:space="0"/>
                    <w:bottom w:val="single" w:color="auto" w:sz="6" w:space="0"/>
                    <w:right w:val="single" w:color="auto" w:sz="4" w:space="0"/>
                  </w:tcBorders>
                  <w:vAlign w:val="center"/>
                </w:tcPr>
                <w:p>
                  <w:pPr>
                    <w:jc w:val="center"/>
                    <w:rPr>
                      <w:rFonts w:ascii="Times New Roman" w:hAnsi="Times New Roman"/>
                      <w:szCs w:val="21"/>
                    </w:rPr>
                  </w:pPr>
                </w:p>
              </w:tc>
              <w:tc>
                <w:tcPr>
                  <w:tcW w:w="1192"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w:t>
                  </w:r>
                  <w:r>
                    <w:rPr>
                      <w:rFonts w:hint="eastAsia" w:ascii="Times New Roman" w:hAnsi="Times New Roman"/>
                      <w:szCs w:val="21"/>
                    </w:rPr>
                    <w:t>月</w:t>
                  </w:r>
                  <w:r>
                    <w:rPr>
                      <w:rFonts w:ascii="Times New Roman" w:hAnsi="Times New Roman"/>
                      <w:szCs w:val="21"/>
                    </w:rPr>
                    <w:t>27</w:t>
                  </w:r>
                  <w:r>
                    <w:rPr>
                      <w:rFonts w:hint="eastAsia" w:ascii="Times New Roman" w:hAnsi="Times New Roman"/>
                      <w:szCs w:val="21"/>
                    </w:rPr>
                    <w:t>日</w:t>
                  </w:r>
                </w:p>
              </w:tc>
              <w:tc>
                <w:tcPr>
                  <w:tcW w:w="142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58</w:t>
                  </w:r>
                </w:p>
              </w:tc>
              <w:tc>
                <w:tcPr>
                  <w:tcW w:w="149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48</w:t>
                  </w:r>
                </w:p>
              </w:tc>
              <w:tc>
                <w:tcPr>
                  <w:tcW w:w="1583"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p>
              </w:tc>
              <w:tc>
                <w:tcPr>
                  <w:tcW w:w="1567"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837" w:type="dxa"/>
                  <w:vMerge w:val="restart"/>
                  <w:tcBorders>
                    <w:top w:val="single" w:color="auto" w:sz="6" w:space="0"/>
                    <w:left w:val="single" w:color="auto" w:sz="12" w:space="0"/>
                    <w:bottom w:val="single" w:color="auto" w:sz="6" w:space="0"/>
                    <w:right w:val="single" w:color="auto" w:sz="4" w:space="0"/>
                  </w:tcBorders>
                  <w:vAlign w:val="center"/>
                </w:tcPr>
                <w:p>
                  <w:pPr>
                    <w:jc w:val="center"/>
                    <w:rPr>
                      <w:rFonts w:ascii="Times New Roman" w:hAnsi="Times New Roman"/>
                      <w:szCs w:val="21"/>
                    </w:rPr>
                  </w:pPr>
                  <w:r>
                    <w:rPr>
                      <w:rFonts w:hint="eastAsia" w:ascii="Times New Roman" w:hAnsi="Times New Roman"/>
                      <w:bCs/>
                      <w:szCs w:val="21"/>
                    </w:rPr>
                    <w:t>西厂界</w:t>
                  </w:r>
                </w:p>
              </w:tc>
              <w:tc>
                <w:tcPr>
                  <w:tcW w:w="1192"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w:t>
                  </w:r>
                  <w:r>
                    <w:rPr>
                      <w:rFonts w:hint="eastAsia" w:ascii="Times New Roman" w:hAnsi="Times New Roman"/>
                      <w:szCs w:val="21"/>
                    </w:rPr>
                    <w:t>月</w:t>
                  </w:r>
                  <w:r>
                    <w:rPr>
                      <w:rFonts w:ascii="Times New Roman" w:hAnsi="Times New Roman"/>
                      <w:szCs w:val="21"/>
                    </w:rPr>
                    <w:t>26</w:t>
                  </w:r>
                  <w:r>
                    <w:rPr>
                      <w:rFonts w:hint="eastAsia" w:ascii="Times New Roman" w:hAnsi="Times New Roman"/>
                      <w:szCs w:val="21"/>
                    </w:rPr>
                    <w:t>日</w:t>
                  </w:r>
                </w:p>
              </w:tc>
              <w:tc>
                <w:tcPr>
                  <w:tcW w:w="142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59</w:t>
                  </w:r>
                </w:p>
              </w:tc>
              <w:tc>
                <w:tcPr>
                  <w:tcW w:w="149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48</w:t>
                  </w:r>
                </w:p>
              </w:tc>
              <w:tc>
                <w:tcPr>
                  <w:tcW w:w="1583"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567" w:type="dxa"/>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837" w:type="dxa"/>
                  <w:vMerge w:val="continue"/>
                  <w:tcBorders>
                    <w:top w:val="single" w:color="auto" w:sz="6" w:space="0"/>
                    <w:left w:val="single" w:color="auto" w:sz="12" w:space="0"/>
                    <w:bottom w:val="single" w:color="auto" w:sz="6" w:space="0"/>
                    <w:right w:val="single" w:color="auto" w:sz="4" w:space="0"/>
                  </w:tcBorders>
                  <w:vAlign w:val="center"/>
                </w:tcPr>
                <w:p>
                  <w:pPr>
                    <w:jc w:val="center"/>
                    <w:rPr>
                      <w:rFonts w:ascii="Times New Roman" w:hAnsi="Times New Roman"/>
                      <w:szCs w:val="21"/>
                    </w:rPr>
                  </w:pPr>
                </w:p>
              </w:tc>
              <w:tc>
                <w:tcPr>
                  <w:tcW w:w="1192"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w:t>
                  </w:r>
                  <w:r>
                    <w:rPr>
                      <w:rFonts w:hint="eastAsia" w:ascii="Times New Roman" w:hAnsi="Times New Roman"/>
                      <w:szCs w:val="21"/>
                    </w:rPr>
                    <w:t>月</w:t>
                  </w:r>
                  <w:r>
                    <w:rPr>
                      <w:rFonts w:ascii="Times New Roman" w:hAnsi="Times New Roman"/>
                      <w:szCs w:val="21"/>
                    </w:rPr>
                    <w:t>27</w:t>
                  </w:r>
                  <w:r>
                    <w:rPr>
                      <w:rFonts w:hint="eastAsia" w:ascii="Times New Roman" w:hAnsi="Times New Roman"/>
                      <w:szCs w:val="21"/>
                    </w:rPr>
                    <w:t>日</w:t>
                  </w:r>
                </w:p>
              </w:tc>
              <w:tc>
                <w:tcPr>
                  <w:tcW w:w="142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59</w:t>
                  </w:r>
                </w:p>
              </w:tc>
              <w:tc>
                <w:tcPr>
                  <w:tcW w:w="149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49</w:t>
                  </w:r>
                </w:p>
              </w:tc>
              <w:tc>
                <w:tcPr>
                  <w:tcW w:w="1583" w:type="dxa"/>
                  <w:vMerge w:val="continue"/>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p>
              </w:tc>
              <w:tc>
                <w:tcPr>
                  <w:tcW w:w="1567" w:type="dxa"/>
                  <w:vMerge w:val="continue"/>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jc w:val="center"/>
              </w:trPr>
              <w:tc>
                <w:tcPr>
                  <w:tcW w:w="1837" w:type="dxa"/>
                  <w:vMerge w:val="restart"/>
                  <w:tcBorders>
                    <w:top w:val="single" w:color="auto" w:sz="6" w:space="0"/>
                    <w:left w:val="single" w:color="auto" w:sz="12" w:space="0"/>
                    <w:bottom w:val="single" w:color="auto" w:sz="6" w:space="0"/>
                    <w:right w:val="single" w:color="auto" w:sz="4" w:space="0"/>
                  </w:tcBorders>
                  <w:vAlign w:val="center"/>
                </w:tcPr>
                <w:p>
                  <w:pPr>
                    <w:jc w:val="center"/>
                    <w:rPr>
                      <w:rFonts w:ascii="Times New Roman" w:hAnsi="Times New Roman"/>
                      <w:szCs w:val="21"/>
                    </w:rPr>
                  </w:pPr>
                  <w:r>
                    <w:rPr>
                      <w:rFonts w:hint="eastAsia" w:ascii="Times New Roman" w:hAnsi="Times New Roman"/>
                      <w:bCs/>
                      <w:szCs w:val="21"/>
                    </w:rPr>
                    <w:t>北厂界</w:t>
                  </w:r>
                </w:p>
              </w:tc>
              <w:tc>
                <w:tcPr>
                  <w:tcW w:w="1192" w:type="dxa"/>
                  <w:tcBorders>
                    <w:top w:val="single" w:color="auto" w:sz="6" w:space="0"/>
                    <w:left w:val="single" w:color="auto" w:sz="4"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w:t>
                  </w:r>
                  <w:r>
                    <w:rPr>
                      <w:rFonts w:hint="eastAsia" w:ascii="Times New Roman" w:hAnsi="Times New Roman"/>
                      <w:szCs w:val="21"/>
                    </w:rPr>
                    <w:t>月</w:t>
                  </w:r>
                  <w:r>
                    <w:rPr>
                      <w:rFonts w:ascii="Times New Roman" w:hAnsi="Times New Roman"/>
                      <w:szCs w:val="21"/>
                    </w:rPr>
                    <w:t>26</w:t>
                  </w:r>
                  <w:r>
                    <w:rPr>
                      <w:rFonts w:hint="eastAsia" w:ascii="Times New Roman" w:hAnsi="Times New Roman"/>
                      <w:szCs w:val="21"/>
                    </w:rPr>
                    <w:t>日</w:t>
                  </w:r>
                </w:p>
              </w:tc>
              <w:tc>
                <w:tcPr>
                  <w:tcW w:w="1423"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54</w:t>
                  </w:r>
                </w:p>
              </w:tc>
              <w:tc>
                <w:tcPr>
                  <w:tcW w:w="149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49</w:t>
                  </w:r>
                </w:p>
              </w:tc>
              <w:tc>
                <w:tcPr>
                  <w:tcW w:w="1583" w:type="dxa"/>
                  <w:vMerge w:val="restart"/>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w:t>
                  </w:r>
                </w:p>
              </w:tc>
              <w:tc>
                <w:tcPr>
                  <w:tcW w:w="1567" w:type="dxa"/>
                  <w:vMerge w:val="restart"/>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jc w:val="center"/>
              </w:trPr>
              <w:tc>
                <w:tcPr>
                  <w:tcW w:w="1837" w:type="dxa"/>
                  <w:vMerge w:val="continue"/>
                  <w:tcBorders>
                    <w:top w:val="single" w:color="auto" w:sz="6" w:space="0"/>
                    <w:left w:val="single" w:color="auto" w:sz="12" w:space="0"/>
                    <w:bottom w:val="single" w:color="auto" w:sz="12" w:space="0"/>
                    <w:right w:val="single" w:color="auto" w:sz="4" w:space="0"/>
                  </w:tcBorders>
                  <w:vAlign w:val="center"/>
                </w:tcPr>
                <w:p>
                  <w:pPr>
                    <w:jc w:val="center"/>
                    <w:rPr>
                      <w:rFonts w:ascii="Times New Roman" w:hAnsi="Times New Roman"/>
                      <w:szCs w:val="21"/>
                    </w:rPr>
                  </w:pPr>
                </w:p>
              </w:tc>
              <w:tc>
                <w:tcPr>
                  <w:tcW w:w="1192" w:type="dxa"/>
                  <w:tcBorders>
                    <w:top w:val="single" w:color="auto" w:sz="6" w:space="0"/>
                    <w:left w:val="single" w:color="auto" w:sz="4" w:space="0"/>
                    <w:bottom w:val="single" w:color="auto" w:sz="12" w:space="0"/>
                    <w:right w:val="single" w:color="auto" w:sz="6" w:space="0"/>
                  </w:tcBorders>
                  <w:vAlign w:val="center"/>
                </w:tcPr>
                <w:p>
                  <w:pPr>
                    <w:jc w:val="center"/>
                    <w:rPr>
                      <w:rFonts w:ascii="Times New Roman" w:hAnsi="Times New Roman"/>
                      <w:szCs w:val="21"/>
                    </w:rPr>
                  </w:pPr>
                  <w:r>
                    <w:rPr>
                      <w:rFonts w:ascii="Times New Roman" w:hAnsi="Times New Roman"/>
                      <w:szCs w:val="21"/>
                    </w:rPr>
                    <w:t>5</w:t>
                  </w:r>
                  <w:r>
                    <w:rPr>
                      <w:rFonts w:hint="eastAsia" w:ascii="Times New Roman" w:hAnsi="Times New Roman"/>
                      <w:szCs w:val="21"/>
                    </w:rPr>
                    <w:t>月</w:t>
                  </w:r>
                  <w:r>
                    <w:rPr>
                      <w:rFonts w:ascii="Times New Roman" w:hAnsi="Times New Roman"/>
                      <w:szCs w:val="21"/>
                    </w:rPr>
                    <w:t>27</w:t>
                  </w:r>
                  <w:r>
                    <w:rPr>
                      <w:rFonts w:hint="eastAsia" w:ascii="Times New Roman" w:hAnsi="Times New Roman"/>
                      <w:szCs w:val="21"/>
                    </w:rPr>
                    <w:t>日</w:t>
                  </w:r>
                </w:p>
              </w:tc>
              <w:tc>
                <w:tcPr>
                  <w:tcW w:w="1423"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r>
                    <w:rPr>
                      <w:rFonts w:ascii="Times New Roman" w:hAnsi="Times New Roman"/>
                      <w:szCs w:val="21"/>
                    </w:rPr>
                    <w:t>56</w:t>
                  </w:r>
                </w:p>
              </w:tc>
              <w:tc>
                <w:tcPr>
                  <w:tcW w:w="1496" w:type="dxa"/>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r>
                    <w:rPr>
                      <w:rFonts w:ascii="Times New Roman" w:hAnsi="Times New Roman"/>
                      <w:szCs w:val="21"/>
                    </w:rPr>
                    <w:t>48</w:t>
                  </w:r>
                </w:p>
              </w:tc>
              <w:tc>
                <w:tcPr>
                  <w:tcW w:w="1583" w:type="dxa"/>
                  <w:vMerge w:val="continue"/>
                  <w:tcBorders>
                    <w:top w:val="single" w:color="auto" w:sz="6" w:space="0"/>
                    <w:left w:val="single" w:color="auto" w:sz="6" w:space="0"/>
                    <w:bottom w:val="single" w:color="auto" w:sz="12" w:space="0"/>
                    <w:right w:val="single" w:color="auto" w:sz="6" w:space="0"/>
                  </w:tcBorders>
                  <w:vAlign w:val="center"/>
                </w:tcPr>
                <w:p>
                  <w:pPr>
                    <w:jc w:val="center"/>
                    <w:rPr>
                      <w:rFonts w:ascii="Times New Roman" w:hAnsi="Times New Roman"/>
                      <w:szCs w:val="21"/>
                    </w:rPr>
                  </w:pPr>
                </w:p>
              </w:tc>
              <w:tc>
                <w:tcPr>
                  <w:tcW w:w="1567" w:type="dxa"/>
                  <w:vMerge w:val="continue"/>
                  <w:tcBorders>
                    <w:top w:val="single" w:color="auto" w:sz="6" w:space="0"/>
                    <w:left w:val="single" w:color="auto" w:sz="6" w:space="0"/>
                    <w:bottom w:val="single" w:color="auto" w:sz="12" w:space="0"/>
                    <w:right w:val="single" w:color="auto" w:sz="12" w:space="0"/>
                  </w:tcBorders>
                  <w:vAlign w:val="center"/>
                </w:tcPr>
                <w:p>
                  <w:pPr>
                    <w:jc w:val="center"/>
                    <w:rPr>
                      <w:rFonts w:ascii="Times New Roman" w:hAnsi="Times New Roman"/>
                      <w:szCs w:val="21"/>
                    </w:rPr>
                  </w:pPr>
                </w:p>
              </w:tc>
            </w:tr>
            <w:bookmarkEnd w:id="28"/>
          </w:tbl>
          <w:p>
            <w:pPr>
              <w:pStyle w:val="114"/>
            </w:pPr>
            <w:r>
              <w:rPr>
                <w:rFonts w:hint="eastAsia"/>
              </w:rPr>
              <w:t>从表</w:t>
            </w:r>
            <w:r>
              <w:t>3-15</w:t>
            </w:r>
            <w:r>
              <w:rPr>
                <w:rFonts w:hint="eastAsia"/>
              </w:rPr>
              <w:t>中监测结果可以看出，厂界环境噪声监测值均满足《声环境质量标准（</w:t>
            </w:r>
            <w:r>
              <w:t>GB3096-2008</w:t>
            </w:r>
            <w:r>
              <w:rPr>
                <w:rFonts w:hint="eastAsia"/>
              </w:rPr>
              <w:t>）》中的</w:t>
            </w:r>
            <w:r>
              <w:t>2</w:t>
            </w:r>
            <w:r>
              <w:rPr>
                <w:rFonts w:hint="eastAsia"/>
              </w:rPr>
              <w:t>类标准项目区域声环境质量良好。</w:t>
            </w:r>
          </w:p>
          <w:p>
            <w:pPr>
              <w:pStyle w:val="111"/>
            </w:pPr>
            <w:r>
              <w:drawing>
                <wp:inline distT="0" distB="0" distL="0" distR="0">
                  <wp:extent cx="5645785" cy="38385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645785" cy="3838575"/>
                          </a:xfrm>
                          <a:prstGeom prst="rect">
                            <a:avLst/>
                          </a:prstGeom>
                          <a:noFill/>
                          <a:ln>
                            <a:noFill/>
                          </a:ln>
                        </pic:spPr>
                      </pic:pic>
                    </a:graphicData>
                  </a:graphic>
                </wp:inline>
              </w:drawing>
            </w:r>
          </w:p>
          <w:p>
            <w:pPr>
              <w:pStyle w:val="111"/>
            </w:pPr>
            <w:r>
              <w:rPr>
                <w:rFonts w:hint="eastAsia"/>
              </w:rPr>
              <w:t>图</w:t>
            </w:r>
            <w:r>
              <w:t xml:space="preserve">20   </w:t>
            </w:r>
            <w:r>
              <w:rPr>
                <w:rFonts w:hint="eastAsia"/>
              </w:rPr>
              <w:t>环境空气、噪声、地表水、地下水监测点位布置图</w:t>
            </w:r>
          </w:p>
          <w:p>
            <w:pPr>
              <w:pStyle w:val="114"/>
            </w:pPr>
            <w:r>
              <w:rPr>
                <w:rFonts w:hint="eastAsia"/>
              </w:rPr>
              <w:t>五、土壤环境质量</w:t>
            </w:r>
          </w:p>
          <w:p>
            <w:pPr>
              <w:pStyle w:val="114"/>
              <w:rPr>
                <w:szCs w:val="24"/>
              </w:rPr>
            </w:pPr>
            <w:r>
              <w:rPr>
                <w:rFonts w:hint="eastAsia"/>
                <w:szCs w:val="24"/>
              </w:rPr>
              <w:t>（</w:t>
            </w:r>
            <w:r>
              <w:rPr>
                <w:szCs w:val="24"/>
              </w:rPr>
              <w:t>1</w:t>
            </w:r>
            <w:r>
              <w:rPr>
                <w:rFonts w:hint="eastAsia"/>
                <w:szCs w:val="24"/>
              </w:rPr>
              <w:t>）监测点位布设</w:t>
            </w:r>
          </w:p>
          <w:p>
            <w:pPr>
              <w:spacing w:line="360" w:lineRule="auto"/>
              <w:ind w:firstLine="480" w:firstLineChars="200"/>
              <w:rPr>
                <w:rFonts w:ascii="Times New Roman" w:hAnsi="Times New Roman"/>
                <w:bCs/>
                <w:sz w:val="24"/>
                <w:szCs w:val="24"/>
              </w:rPr>
            </w:pPr>
            <w:r>
              <w:rPr>
                <w:rFonts w:ascii="Times New Roman" w:hAnsi="Times New Roman"/>
                <w:bCs/>
                <w:sz w:val="24"/>
                <w:szCs w:val="24"/>
              </w:rPr>
              <w:t>根据《环境影响评价技术导则 土壤环境（试行）》（HJ 964-2018）要求</w:t>
            </w:r>
            <w:r>
              <w:rPr>
                <w:rFonts w:hint="eastAsia" w:ascii="Times New Roman" w:hAnsi="Times New Roman"/>
                <w:bCs/>
                <w:sz w:val="24"/>
                <w:szCs w:val="24"/>
              </w:rPr>
              <w:t>，本项目为三级、污染影响型，应在占地范围内布设不少于3个表层样点。另外，由于本项目为污水处理厂改扩建项目，主要通过入渗方式对土壤产生影响，应在产物装置区设置柱状样监测点。</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因此，本次</w:t>
            </w:r>
            <w:r>
              <w:rPr>
                <w:rFonts w:ascii="Times New Roman" w:hAnsi="Times New Roman"/>
                <w:bCs/>
                <w:sz w:val="24"/>
                <w:szCs w:val="24"/>
              </w:rPr>
              <w:t>在占地范围内布设2个表层样点（S1、S3），1个柱状样点（S2）。监测点位具体情况见表3-16、图21。</w:t>
            </w:r>
          </w:p>
          <w:p>
            <w:pPr>
              <w:pStyle w:val="111"/>
            </w:pPr>
            <w:r>
              <w:rPr>
                <w:rFonts w:hint="eastAsia"/>
              </w:rPr>
              <w:t>表</w:t>
            </w:r>
            <w:r>
              <w:t xml:space="preserve">3-16   </w:t>
            </w:r>
            <w:r>
              <w:rPr>
                <w:rFonts w:hint="eastAsia"/>
              </w:rPr>
              <w:t>土壤监测点一览表</w:t>
            </w:r>
          </w:p>
          <w:tbl>
            <w:tblPr>
              <w:tblStyle w:val="37"/>
              <w:tblW w:w="909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614"/>
              <w:gridCol w:w="801"/>
              <w:gridCol w:w="1410"/>
              <w:gridCol w:w="1337"/>
              <w:gridCol w:w="1774"/>
              <w:gridCol w:w="15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630" w:type="dxa"/>
                  <w:tcBorders>
                    <w:top w:val="single" w:color="auto" w:sz="12" w:space="0"/>
                    <w:left w:val="single" w:color="auto" w:sz="12" w:space="0"/>
                    <w:bottom w:val="double" w:color="auto" w:sz="4" w:space="0"/>
                    <w:right w:val="single" w:color="auto" w:sz="4" w:space="0"/>
                  </w:tcBorders>
                  <w:vAlign w:val="center"/>
                </w:tcPr>
                <w:p>
                  <w:pPr>
                    <w:pStyle w:val="77"/>
                    <w:rPr>
                      <w:b/>
                    </w:rPr>
                  </w:pPr>
                  <w:r>
                    <w:rPr>
                      <w:rFonts w:hint="eastAsia"/>
                      <w:b/>
                    </w:rPr>
                    <w:t>序号</w:t>
                  </w:r>
                </w:p>
              </w:tc>
              <w:tc>
                <w:tcPr>
                  <w:tcW w:w="1614" w:type="dxa"/>
                  <w:tcBorders>
                    <w:top w:val="single" w:color="auto" w:sz="12" w:space="0"/>
                    <w:left w:val="single" w:color="auto" w:sz="4" w:space="0"/>
                    <w:bottom w:val="double" w:color="auto" w:sz="4" w:space="0"/>
                    <w:right w:val="single" w:color="auto" w:sz="4" w:space="0"/>
                  </w:tcBorders>
                  <w:vAlign w:val="center"/>
                </w:tcPr>
                <w:p>
                  <w:pPr>
                    <w:pStyle w:val="77"/>
                    <w:rPr>
                      <w:b/>
                    </w:rPr>
                  </w:pPr>
                  <w:r>
                    <w:rPr>
                      <w:rFonts w:hint="eastAsia"/>
                      <w:b/>
                    </w:rPr>
                    <w:t>监测点位</w:t>
                  </w:r>
                </w:p>
              </w:tc>
              <w:tc>
                <w:tcPr>
                  <w:tcW w:w="801" w:type="dxa"/>
                  <w:tcBorders>
                    <w:top w:val="single" w:color="auto" w:sz="12" w:space="0"/>
                    <w:left w:val="single" w:color="auto" w:sz="4" w:space="0"/>
                    <w:bottom w:val="double" w:color="auto" w:sz="4" w:space="0"/>
                    <w:right w:val="single" w:color="auto" w:sz="4" w:space="0"/>
                  </w:tcBorders>
                  <w:vAlign w:val="center"/>
                </w:tcPr>
                <w:p>
                  <w:pPr>
                    <w:pStyle w:val="77"/>
                    <w:rPr>
                      <w:b/>
                    </w:rPr>
                  </w:pPr>
                  <w:r>
                    <w:rPr>
                      <w:rFonts w:hint="eastAsia"/>
                      <w:b/>
                    </w:rPr>
                    <w:t>范围</w:t>
                  </w:r>
                </w:p>
              </w:tc>
              <w:tc>
                <w:tcPr>
                  <w:tcW w:w="1410" w:type="dxa"/>
                  <w:tcBorders>
                    <w:top w:val="single" w:color="auto" w:sz="12" w:space="0"/>
                    <w:left w:val="single" w:color="auto" w:sz="4" w:space="0"/>
                    <w:bottom w:val="double" w:color="auto" w:sz="4" w:space="0"/>
                    <w:right w:val="single" w:color="auto" w:sz="4" w:space="0"/>
                  </w:tcBorders>
                  <w:vAlign w:val="center"/>
                </w:tcPr>
                <w:p>
                  <w:pPr>
                    <w:pStyle w:val="77"/>
                    <w:rPr>
                      <w:b/>
                    </w:rPr>
                  </w:pPr>
                  <w:r>
                    <w:rPr>
                      <w:rFonts w:hint="eastAsia"/>
                      <w:b/>
                    </w:rPr>
                    <w:t>样品类型</w:t>
                  </w:r>
                </w:p>
              </w:tc>
              <w:tc>
                <w:tcPr>
                  <w:tcW w:w="1337" w:type="dxa"/>
                  <w:tcBorders>
                    <w:top w:val="single" w:color="auto" w:sz="12" w:space="0"/>
                    <w:left w:val="single" w:color="auto" w:sz="4" w:space="0"/>
                    <w:bottom w:val="double" w:color="auto" w:sz="4" w:space="0"/>
                    <w:right w:val="single" w:color="auto" w:sz="4" w:space="0"/>
                  </w:tcBorders>
                  <w:vAlign w:val="center"/>
                </w:tcPr>
                <w:p>
                  <w:pPr>
                    <w:pStyle w:val="77"/>
                    <w:rPr>
                      <w:b/>
                    </w:rPr>
                  </w:pPr>
                  <w:r>
                    <w:rPr>
                      <w:rFonts w:hint="eastAsia"/>
                      <w:b/>
                    </w:rPr>
                    <w:t>采样数量</w:t>
                  </w:r>
                </w:p>
              </w:tc>
              <w:tc>
                <w:tcPr>
                  <w:tcW w:w="1774" w:type="dxa"/>
                  <w:tcBorders>
                    <w:top w:val="single" w:color="auto" w:sz="12" w:space="0"/>
                    <w:left w:val="single" w:color="auto" w:sz="4" w:space="0"/>
                    <w:bottom w:val="double" w:color="auto" w:sz="4" w:space="0"/>
                    <w:right w:val="single" w:color="auto" w:sz="4" w:space="0"/>
                  </w:tcBorders>
                  <w:vAlign w:val="center"/>
                </w:tcPr>
                <w:p>
                  <w:pPr>
                    <w:pStyle w:val="77"/>
                    <w:rPr>
                      <w:b/>
                    </w:rPr>
                  </w:pPr>
                  <w:r>
                    <w:rPr>
                      <w:rFonts w:hint="eastAsia"/>
                      <w:b/>
                    </w:rPr>
                    <w:t>采样</w:t>
                  </w:r>
                </w:p>
                <w:p>
                  <w:pPr>
                    <w:pStyle w:val="77"/>
                    <w:rPr>
                      <w:b/>
                    </w:rPr>
                  </w:pPr>
                  <w:r>
                    <w:rPr>
                      <w:rFonts w:hint="eastAsia"/>
                      <w:b/>
                    </w:rPr>
                    <w:t>深度</w:t>
                  </w:r>
                </w:p>
              </w:tc>
              <w:tc>
                <w:tcPr>
                  <w:tcW w:w="1532" w:type="dxa"/>
                  <w:tcBorders>
                    <w:top w:val="single" w:color="auto" w:sz="12" w:space="0"/>
                    <w:left w:val="single" w:color="auto" w:sz="4" w:space="0"/>
                    <w:bottom w:val="double" w:color="auto" w:sz="4" w:space="0"/>
                    <w:right w:val="single" w:color="auto" w:sz="12" w:space="0"/>
                  </w:tcBorders>
                  <w:vAlign w:val="center"/>
                </w:tcPr>
                <w:p>
                  <w:pPr>
                    <w:pStyle w:val="77"/>
                    <w:rPr>
                      <w:b/>
                    </w:rPr>
                  </w:pPr>
                  <w:r>
                    <w:rPr>
                      <w:rFonts w:hint="eastAsia"/>
                      <w:b/>
                    </w:rPr>
                    <w:t>采样</w:t>
                  </w:r>
                </w:p>
                <w:p>
                  <w:pPr>
                    <w:pStyle w:val="77"/>
                    <w:rPr>
                      <w:b/>
                    </w:rPr>
                  </w:pPr>
                  <w:r>
                    <w:rPr>
                      <w:rFonts w:hint="eastAsia"/>
                      <w:b/>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630" w:type="dxa"/>
                  <w:tcBorders>
                    <w:top w:val="double" w:color="auto" w:sz="4" w:space="0"/>
                    <w:left w:val="single" w:color="auto" w:sz="12" w:space="0"/>
                    <w:bottom w:val="single" w:color="auto" w:sz="4" w:space="0"/>
                    <w:right w:val="single" w:color="auto" w:sz="4" w:space="0"/>
                  </w:tcBorders>
                  <w:vAlign w:val="center"/>
                </w:tcPr>
                <w:p>
                  <w:pPr>
                    <w:pStyle w:val="77"/>
                  </w:pPr>
                  <w:r>
                    <w:t>1</w:t>
                  </w:r>
                </w:p>
              </w:tc>
              <w:tc>
                <w:tcPr>
                  <w:tcW w:w="1614" w:type="dxa"/>
                  <w:tcBorders>
                    <w:top w:val="double" w:color="auto" w:sz="4" w:space="0"/>
                    <w:left w:val="single" w:color="auto" w:sz="4" w:space="0"/>
                    <w:bottom w:val="single" w:color="auto" w:sz="4" w:space="0"/>
                    <w:right w:val="single" w:color="auto" w:sz="4" w:space="0"/>
                  </w:tcBorders>
                  <w:vAlign w:val="center"/>
                </w:tcPr>
                <w:p>
                  <w:pPr>
                    <w:pStyle w:val="77"/>
                  </w:pPr>
                  <w:r>
                    <w:t>S1</w:t>
                  </w:r>
                </w:p>
              </w:tc>
              <w:tc>
                <w:tcPr>
                  <w:tcW w:w="801" w:type="dxa"/>
                  <w:vMerge w:val="restart"/>
                  <w:tcBorders>
                    <w:top w:val="double" w:color="auto" w:sz="4" w:space="0"/>
                    <w:left w:val="single" w:color="auto" w:sz="4" w:space="0"/>
                    <w:bottom w:val="single" w:color="auto" w:sz="4" w:space="0"/>
                    <w:right w:val="single" w:color="auto" w:sz="4" w:space="0"/>
                  </w:tcBorders>
                  <w:vAlign w:val="center"/>
                </w:tcPr>
                <w:p>
                  <w:pPr>
                    <w:pStyle w:val="77"/>
                  </w:pPr>
                  <w:r>
                    <w:rPr>
                      <w:rFonts w:hint="eastAsia"/>
                    </w:rPr>
                    <w:t>占地范围内</w:t>
                  </w:r>
                </w:p>
              </w:tc>
              <w:tc>
                <w:tcPr>
                  <w:tcW w:w="1410" w:type="dxa"/>
                  <w:tcBorders>
                    <w:top w:val="double" w:color="auto" w:sz="4" w:space="0"/>
                    <w:left w:val="single" w:color="auto" w:sz="4" w:space="0"/>
                    <w:bottom w:val="single" w:color="auto" w:sz="4" w:space="0"/>
                    <w:right w:val="single" w:color="auto" w:sz="4" w:space="0"/>
                  </w:tcBorders>
                  <w:vAlign w:val="center"/>
                </w:tcPr>
                <w:p>
                  <w:pPr>
                    <w:pStyle w:val="77"/>
                  </w:pPr>
                  <w:r>
                    <w:rPr>
                      <w:rFonts w:hint="eastAsia"/>
                    </w:rPr>
                    <w:t>表层样</w:t>
                  </w:r>
                </w:p>
              </w:tc>
              <w:tc>
                <w:tcPr>
                  <w:tcW w:w="1337" w:type="dxa"/>
                  <w:tcBorders>
                    <w:top w:val="double" w:color="auto" w:sz="4" w:space="0"/>
                    <w:left w:val="single" w:color="auto" w:sz="4" w:space="0"/>
                    <w:bottom w:val="single" w:color="auto" w:sz="4" w:space="0"/>
                    <w:right w:val="single" w:color="auto" w:sz="4" w:space="0"/>
                  </w:tcBorders>
                  <w:vAlign w:val="center"/>
                </w:tcPr>
                <w:p>
                  <w:pPr>
                    <w:pStyle w:val="77"/>
                  </w:pPr>
                  <w:r>
                    <w:t>1</w:t>
                  </w:r>
                </w:p>
              </w:tc>
              <w:tc>
                <w:tcPr>
                  <w:tcW w:w="1774" w:type="dxa"/>
                  <w:tcBorders>
                    <w:top w:val="double" w:color="auto" w:sz="4" w:space="0"/>
                    <w:left w:val="single" w:color="auto" w:sz="4" w:space="0"/>
                    <w:bottom w:val="single" w:color="auto" w:sz="4" w:space="0"/>
                    <w:right w:val="single" w:color="auto" w:sz="4" w:space="0"/>
                  </w:tcBorders>
                  <w:vAlign w:val="center"/>
                </w:tcPr>
                <w:p>
                  <w:pPr>
                    <w:pStyle w:val="77"/>
                  </w:pPr>
                  <w:r>
                    <w:t>0-0.2m</w:t>
                  </w:r>
                </w:p>
              </w:tc>
              <w:tc>
                <w:tcPr>
                  <w:tcW w:w="1532" w:type="dxa"/>
                  <w:tcBorders>
                    <w:top w:val="double" w:color="auto" w:sz="4" w:space="0"/>
                    <w:left w:val="single" w:color="auto" w:sz="4" w:space="0"/>
                    <w:bottom w:val="single" w:color="auto" w:sz="4" w:space="0"/>
                    <w:right w:val="single" w:color="auto" w:sz="12" w:space="0"/>
                  </w:tcBorders>
                  <w:vAlign w:val="center"/>
                </w:tcPr>
                <w:p>
                  <w:pPr>
                    <w:pStyle w:val="77"/>
                  </w:pPr>
                  <w:r>
                    <w:rPr>
                      <w:rFonts w:hint="eastAsia"/>
                    </w:rPr>
                    <w:t>拟建细格栅装置区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630" w:type="dxa"/>
                  <w:tcBorders>
                    <w:top w:val="single" w:color="auto" w:sz="4" w:space="0"/>
                    <w:left w:val="single" w:color="auto" w:sz="12" w:space="0"/>
                    <w:bottom w:val="single" w:color="auto" w:sz="4" w:space="0"/>
                    <w:right w:val="single" w:color="auto" w:sz="4" w:space="0"/>
                  </w:tcBorders>
                  <w:vAlign w:val="center"/>
                </w:tcPr>
                <w:p>
                  <w:pPr>
                    <w:pStyle w:val="77"/>
                  </w:pPr>
                  <w:r>
                    <w:t>2</w:t>
                  </w:r>
                </w:p>
              </w:tc>
              <w:tc>
                <w:tcPr>
                  <w:tcW w:w="1614" w:type="dxa"/>
                  <w:tcBorders>
                    <w:top w:val="single" w:color="auto" w:sz="4" w:space="0"/>
                    <w:left w:val="single" w:color="auto" w:sz="4" w:space="0"/>
                    <w:bottom w:val="single" w:color="auto" w:sz="4" w:space="0"/>
                    <w:right w:val="single" w:color="auto" w:sz="4" w:space="0"/>
                  </w:tcBorders>
                  <w:vAlign w:val="center"/>
                </w:tcPr>
                <w:p>
                  <w:pPr>
                    <w:pStyle w:val="77"/>
                  </w:pPr>
                  <w:r>
                    <w:t>S2</w:t>
                  </w:r>
                </w:p>
              </w:tc>
              <w:tc>
                <w:tcPr>
                  <w:tcW w:w="801" w:type="dxa"/>
                  <w:vMerge w:val="continue"/>
                  <w:tcBorders>
                    <w:top w:val="single" w:color="auto" w:sz="4" w:space="0"/>
                    <w:left w:val="single" w:color="auto" w:sz="4" w:space="0"/>
                    <w:bottom w:val="single" w:color="auto" w:sz="4" w:space="0"/>
                    <w:right w:val="single" w:color="auto" w:sz="4" w:space="0"/>
                  </w:tcBorders>
                  <w:vAlign w:val="center"/>
                </w:tcPr>
                <w:p>
                  <w:pPr>
                    <w:pStyle w:val="77"/>
                  </w:pPr>
                </w:p>
              </w:tc>
              <w:tc>
                <w:tcPr>
                  <w:tcW w:w="141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柱状样</w:t>
                  </w:r>
                </w:p>
              </w:tc>
              <w:tc>
                <w:tcPr>
                  <w:tcW w:w="1337" w:type="dxa"/>
                  <w:tcBorders>
                    <w:top w:val="single" w:color="auto" w:sz="4" w:space="0"/>
                    <w:left w:val="single" w:color="auto" w:sz="4" w:space="0"/>
                    <w:bottom w:val="single" w:color="auto" w:sz="4" w:space="0"/>
                    <w:right w:val="single" w:color="auto" w:sz="4" w:space="0"/>
                  </w:tcBorders>
                  <w:vAlign w:val="center"/>
                </w:tcPr>
                <w:p>
                  <w:pPr>
                    <w:pStyle w:val="77"/>
                  </w:pPr>
                  <w:r>
                    <w:t>2</w:t>
                  </w:r>
                </w:p>
              </w:tc>
              <w:tc>
                <w:tcPr>
                  <w:tcW w:w="1774" w:type="dxa"/>
                  <w:tcBorders>
                    <w:top w:val="single" w:color="auto" w:sz="4" w:space="0"/>
                    <w:left w:val="single" w:color="auto" w:sz="4" w:space="0"/>
                    <w:bottom w:val="single" w:color="auto" w:sz="4" w:space="0"/>
                    <w:right w:val="single" w:color="auto" w:sz="4" w:space="0"/>
                  </w:tcBorders>
                  <w:vAlign w:val="center"/>
                </w:tcPr>
                <w:p>
                  <w:pPr>
                    <w:pStyle w:val="77"/>
                  </w:pPr>
                  <w:r>
                    <w:t>0-0.5</w:t>
                  </w:r>
                  <w:r>
                    <w:rPr>
                      <w:rFonts w:hint="eastAsia"/>
                    </w:rPr>
                    <w:t>、</w:t>
                  </w:r>
                  <w:r>
                    <w:t>0.5-1.5m</w:t>
                  </w:r>
                </w:p>
              </w:tc>
              <w:tc>
                <w:tcPr>
                  <w:tcW w:w="1532"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拟建</w:t>
                  </w:r>
                  <w:r>
                    <w:t>AAO</w:t>
                  </w:r>
                  <w:r>
                    <w:rPr>
                      <w:rFonts w:hint="eastAsia"/>
                    </w:rPr>
                    <w:t>装置区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630" w:type="dxa"/>
                  <w:tcBorders>
                    <w:top w:val="single" w:color="auto" w:sz="4" w:space="0"/>
                    <w:left w:val="single" w:color="auto" w:sz="12" w:space="0"/>
                    <w:bottom w:val="single" w:color="auto" w:sz="12" w:space="0"/>
                    <w:right w:val="single" w:color="auto" w:sz="4" w:space="0"/>
                  </w:tcBorders>
                  <w:vAlign w:val="center"/>
                </w:tcPr>
                <w:p>
                  <w:pPr>
                    <w:pStyle w:val="77"/>
                  </w:pPr>
                  <w:r>
                    <w:t>3</w:t>
                  </w:r>
                </w:p>
              </w:tc>
              <w:tc>
                <w:tcPr>
                  <w:tcW w:w="1614" w:type="dxa"/>
                  <w:tcBorders>
                    <w:top w:val="single" w:color="auto" w:sz="4" w:space="0"/>
                    <w:left w:val="single" w:color="auto" w:sz="4" w:space="0"/>
                    <w:bottom w:val="single" w:color="auto" w:sz="12" w:space="0"/>
                    <w:right w:val="single" w:color="auto" w:sz="4" w:space="0"/>
                  </w:tcBorders>
                  <w:vAlign w:val="center"/>
                </w:tcPr>
                <w:p>
                  <w:pPr>
                    <w:pStyle w:val="77"/>
                  </w:pPr>
                  <w:r>
                    <w:t>S3</w:t>
                  </w:r>
                </w:p>
              </w:tc>
              <w:tc>
                <w:tcPr>
                  <w:tcW w:w="801" w:type="dxa"/>
                  <w:vMerge w:val="continue"/>
                  <w:tcBorders>
                    <w:top w:val="single" w:color="auto" w:sz="4" w:space="0"/>
                    <w:left w:val="single" w:color="auto" w:sz="4" w:space="0"/>
                    <w:bottom w:val="single" w:color="auto" w:sz="12" w:space="0"/>
                    <w:right w:val="single" w:color="auto" w:sz="4" w:space="0"/>
                  </w:tcBorders>
                  <w:vAlign w:val="center"/>
                </w:tcPr>
                <w:p>
                  <w:pPr>
                    <w:pStyle w:val="77"/>
                  </w:pPr>
                </w:p>
              </w:tc>
              <w:tc>
                <w:tcPr>
                  <w:tcW w:w="1410"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表层样</w:t>
                  </w:r>
                </w:p>
              </w:tc>
              <w:tc>
                <w:tcPr>
                  <w:tcW w:w="1337" w:type="dxa"/>
                  <w:tcBorders>
                    <w:top w:val="single" w:color="auto" w:sz="4" w:space="0"/>
                    <w:left w:val="single" w:color="auto" w:sz="4" w:space="0"/>
                    <w:bottom w:val="single" w:color="auto" w:sz="12" w:space="0"/>
                    <w:right w:val="single" w:color="auto" w:sz="4" w:space="0"/>
                  </w:tcBorders>
                  <w:vAlign w:val="center"/>
                </w:tcPr>
                <w:p>
                  <w:pPr>
                    <w:pStyle w:val="77"/>
                  </w:pPr>
                  <w:r>
                    <w:t>1</w:t>
                  </w:r>
                </w:p>
              </w:tc>
              <w:tc>
                <w:tcPr>
                  <w:tcW w:w="1774" w:type="dxa"/>
                  <w:tcBorders>
                    <w:top w:val="single" w:color="auto" w:sz="4" w:space="0"/>
                    <w:left w:val="single" w:color="auto" w:sz="4" w:space="0"/>
                    <w:bottom w:val="single" w:color="auto" w:sz="12" w:space="0"/>
                    <w:right w:val="single" w:color="auto" w:sz="4" w:space="0"/>
                  </w:tcBorders>
                  <w:vAlign w:val="center"/>
                </w:tcPr>
                <w:p>
                  <w:pPr>
                    <w:pStyle w:val="77"/>
                  </w:pPr>
                  <w:r>
                    <w:t>0-0.2m</w:t>
                  </w:r>
                </w:p>
              </w:tc>
              <w:tc>
                <w:tcPr>
                  <w:tcW w:w="1532" w:type="dxa"/>
                  <w:tcBorders>
                    <w:top w:val="single" w:color="auto" w:sz="4" w:space="0"/>
                    <w:left w:val="single" w:color="auto" w:sz="4" w:space="0"/>
                    <w:bottom w:val="single" w:color="auto" w:sz="12" w:space="0"/>
                    <w:right w:val="single" w:color="auto" w:sz="12" w:space="0"/>
                  </w:tcBorders>
                  <w:vAlign w:val="center"/>
                </w:tcPr>
                <w:p>
                  <w:pPr>
                    <w:pStyle w:val="77"/>
                  </w:pPr>
                  <w:r>
                    <w:rPr>
                      <w:rFonts w:hint="eastAsia"/>
                    </w:rPr>
                    <w:t>拟建贮泥池装置区</w:t>
                  </w:r>
                </w:p>
              </w:tc>
            </w:tr>
          </w:tbl>
          <w:p>
            <w:pPr>
              <w:pStyle w:val="111"/>
            </w:pPr>
          </w:p>
          <w:p>
            <w:pPr>
              <w:pStyle w:val="111"/>
            </w:pPr>
          </w:p>
          <w:p>
            <w:pPr>
              <w:pStyle w:val="111"/>
            </w:pPr>
          </w:p>
          <w:p>
            <w:pPr>
              <w:pStyle w:val="111"/>
            </w:pPr>
            <w:r>
              <w:drawing>
                <wp:inline distT="0" distB="0" distL="0" distR="0">
                  <wp:extent cx="5433060" cy="3721100"/>
                  <wp:effectExtent l="19050" t="19050" r="0" b="0"/>
                  <wp:docPr id="60" name="图片 10" descr="图片包含 建筑, 电路, 桌子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descr="图片包含 建筑, 电路, 桌子描述已自动生成"/>
                          <pic:cNvPicPr>
                            <a:picLocks noChangeAspect="1" noChangeArrowheads="1"/>
                          </pic:cNvPicPr>
                        </pic:nvPicPr>
                        <pic:blipFill>
                          <a:blip r:embed="rId47"/>
                          <a:srcRect/>
                          <a:stretch>
                            <a:fillRect/>
                          </a:stretch>
                        </pic:blipFill>
                        <pic:spPr>
                          <a:xfrm>
                            <a:off x="0" y="0"/>
                            <a:ext cx="5433060" cy="3721100"/>
                          </a:xfrm>
                          <a:prstGeom prst="rect">
                            <a:avLst/>
                          </a:prstGeom>
                          <a:noFill/>
                          <a:ln w="12700" cmpd="sng">
                            <a:solidFill>
                              <a:srgbClr val="000000"/>
                            </a:solidFill>
                            <a:miter lim="800000"/>
                            <a:headEnd/>
                            <a:tailEnd/>
                          </a:ln>
                          <a:effectLst/>
                        </pic:spPr>
                      </pic:pic>
                    </a:graphicData>
                  </a:graphic>
                </wp:inline>
              </w:drawing>
            </w:r>
          </w:p>
          <w:p>
            <w:pPr>
              <w:pStyle w:val="111"/>
              <w:rPr>
                <w:rFonts w:ascii="宋体"/>
                <w:bCs/>
                <w:szCs w:val="24"/>
              </w:rPr>
            </w:pPr>
            <w:r>
              <w:rPr>
                <w:rFonts w:hint="eastAsia" w:ascii="宋体" w:hAnsi="宋体"/>
                <w:bCs/>
                <w:szCs w:val="24"/>
              </w:rPr>
              <w:t>图</w:t>
            </w:r>
            <w:r>
              <w:rPr>
                <w:rFonts w:ascii="宋体" w:hAnsi="宋体"/>
                <w:bCs/>
                <w:szCs w:val="24"/>
              </w:rPr>
              <w:t xml:space="preserve">21  </w:t>
            </w:r>
            <w:r>
              <w:rPr>
                <w:rFonts w:hint="eastAsia" w:ascii="宋体" w:hAnsi="宋体"/>
                <w:bCs/>
                <w:szCs w:val="24"/>
              </w:rPr>
              <w:t>土壤监测点位分布</w:t>
            </w:r>
          </w:p>
          <w:p>
            <w:pPr>
              <w:pStyle w:val="114"/>
            </w:pPr>
            <w:r>
              <w:rPr>
                <w:rFonts w:hint="eastAsia"/>
              </w:rPr>
              <w:t>（</w:t>
            </w:r>
            <w:r>
              <w:t>2</w:t>
            </w:r>
            <w:r>
              <w:rPr>
                <w:rFonts w:hint="eastAsia"/>
              </w:rPr>
              <w:t>）监测时间</w:t>
            </w:r>
          </w:p>
          <w:p>
            <w:pPr>
              <w:pStyle w:val="114"/>
              <w:rPr>
                <w:rFonts w:ascii="宋体"/>
                <w:szCs w:val="24"/>
              </w:rPr>
            </w:pPr>
            <w:r>
              <w:rPr>
                <w:rFonts w:hint="eastAsia" w:ascii="宋体" w:hAnsi="宋体"/>
                <w:szCs w:val="24"/>
              </w:rPr>
              <w:t>监测时间为</w:t>
            </w:r>
            <w:r>
              <w:rPr>
                <w:rFonts w:ascii="宋体" w:hAnsi="宋体"/>
                <w:szCs w:val="24"/>
              </w:rPr>
              <w:t>2020</w:t>
            </w:r>
            <w:r>
              <w:rPr>
                <w:rFonts w:hint="eastAsia" w:ascii="宋体" w:hAnsi="宋体"/>
                <w:szCs w:val="24"/>
              </w:rPr>
              <w:t>年</w:t>
            </w:r>
            <w:r>
              <w:rPr>
                <w:rFonts w:ascii="宋体" w:hAnsi="宋体"/>
                <w:szCs w:val="24"/>
              </w:rPr>
              <w:t>3</w:t>
            </w:r>
            <w:r>
              <w:rPr>
                <w:rFonts w:hint="eastAsia" w:ascii="宋体" w:hAnsi="宋体"/>
                <w:szCs w:val="24"/>
              </w:rPr>
              <w:t>月</w:t>
            </w:r>
            <w:r>
              <w:rPr>
                <w:rFonts w:ascii="宋体" w:hAnsi="宋体"/>
                <w:szCs w:val="24"/>
              </w:rPr>
              <w:t>30</w:t>
            </w:r>
            <w:r>
              <w:rPr>
                <w:rFonts w:hint="eastAsia" w:ascii="宋体" w:hAnsi="宋体"/>
                <w:szCs w:val="24"/>
              </w:rPr>
              <w:t>日，采样一天。</w:t>
            </w:r>
          </w:p>
          <w:p>
            <w:pPr>
              <w:pStyle w:val="114"/>
            </w:pPr>
            <w:r>
              <w:rPr>
                <w:rFonts w:hint="eastAsia"/>
              </w:rPr>
              <w:t>（</w:t>
            </w:r>
            <w:r>
              <w:t>3</w:t>
            </w:r>
            <w:r>
              <w:rPr>
                <w:rFonts w:hint="eastAsia"/>
              </w:rPr>
              <w:t>）监测因子</w:t>
            </w:r>
          </w:p>
          <w:p>
            <w:pPr>
              <w:pStyle w:val="114"/>
              <w:rPr>
                <w:szCs w:val="24"/>
              </w:rPr>
            </w:pPr>
            <w:r>
              <w:rPr>
                <w:rFonts w:hint="eastAsia"/>
                <w:szCs w:val="24"/>
              </w:rPr>
              <w:t>砷、镉、铬（六价）、铜、铅、汞、镍、四氯化碳、氯仿、氯甲烷、</w:t>
            </w:r>
            <w:r>
              <w:rPr>
                <w:szCs w:val="24"/>
              </w:rPr>
              <w:t>1,1-</w:t>
            </w:r>
            <w:r>
              <w:rPr>
                <w:rFonts w:hint="eastAsia"/>
                <w:szCs w:val="24"/>
              </w:rPr>
              <w:t>二氯乙烷、</w:t>
            </w:r>
            <w:r>
              <w:rPr>
                <w:szCs w:val="24"/>
              </w:rPr>
              <w:t>1,2-</w:t>
            </w:r>
            <w:r>
              <w:rPr>
                <w:rFonts w:hint="eastAsia"/>
                <w:szCs w:val="24"/>
              </w:rPr>
              <w:t>二氯乙烷、</w:t>
            </w:r>
            <w:r>
              <w:rPr>
                <w:szCs w:val="24"/>
              </w:rPr>
              <w:t>1,1-</w:t>
            </w:r>
            <w:r>
              <w:rPr>
                <w:rFonts w:hint="eastAsia"/>
                <w:szCs w:val="24"/>
              </w:rPr>
              <w:t>二氯乙烯、顺</w:t>
            </w:r>
            <w:r>
              <w:rPr>
                <w:szCs w:val="24"/>
              </w:rPr>
              <w:t>-1,2-</w:t>
            </w:r>
            <w:r>
              <w:rPr>
                <w:rFonts w:hint="eastAsia"/>
                <w:szCs w:val="24"/>
              </w:rPr>
              <w:t>二氯乙烯、反</w:t>
            </w:r>
            <w:r>
              <w:rPr>
                <w:szCs w:val="24"/>
              </w:rPr>
              <w:t>1,2-</w:t>
            </w:r>
            <w:r>
              <w:rPr>
                <w:rFonts w:hint="eastAsia"/>
                <w:szCs w:val="24"/>
              </w:rPr>
              <w:t>二氯乙烯、二氯甲烷、</w:t>
            </w:r>
            <w:r>
              <w:rPr>
                <w:szCs w:val="24"/>
              </w:rPr>
              <w:t>1,2-</w:t>
            </w:r>
            <w:r>
              <w:rPr>
                <w:rFonts w:hint="eastAsia"/>
                <w:szCs w:val="24"/>
              </w:rPr>
              <w:t>二氯丙烷、</w:t>
            </w:r>
            <w:r>
              <w:rPr>
                <w:szCs w:val="24"/>
              </w:rPr>
              <w:t>1,1,1,2-</w:t>
            </w:r>
            <w:r>
              <w:rPr>
                <w:rFonts w:hint="eastAsia"/>
                <w:szCs w:val="24"/>
              </w:rPr>
              <w:t>四氯乙烷、</w:t>
            </w:r>
            <w:r>
              <w:rPr>
                <w:szCs w:val="24"/>
              </w:rPr>
              <w:t>1,1,2,2-</w:t>
            </w:r>
            <w:r>
              <w:rPr>
                <w:rFonts w:hint="eastAsia"/>
                <w:szCs w:val="24"/>
              </w:rPr>
              <w:t>四氯乙烷、四氯乙烯、</w:t>
            </w:r>
            <w:r>
              <w:rPr>
                <w:szCs w:val="24"/>
              </w:rPr>
              <w:t>1,1,1-</w:t>
            </w:r>
            <w:r>
              <w:rPr>
                <w:rFonts w:hint="eastAsia"/>
                <w:szCs w:val="24"/>
              </w:rPr>
              <w:t>三氯乙烷、</w:t>
            </w:r>
            <w:r>
              <w:rPr>
                <w:szCs w:val="24"/>
              </w:rPr>
              <w:t>1,1,2-</w:t>
            </w:r>
            <w:r>
              <w:rPr>
                <w:rFonts w:hint="eastAsia"/>
                <w:szCs w:val="24"/>
              </w:rPr>
              <w:t>三氯乙烷、三氯乙烯、</w:t>
            </w:r>
            <w:r>
              <w:rPr>
                <w:szCs w:val="24"/>
              </w:rPr>
              <w:t>1,2,3-</w:t>
            </w:r>
            <w:r>
              <w:rPr>
                <w:rFonts w:hint="eastAsia"/>
                <w:szCs w:val="24"/>
              </w:rPr>
              <w:t>三氯丙烷、氯乙烯、苯、氯苯、</w:t>
            </w:r>
            <w:r>
              <w:rPr>
                <w:szCs w:val="24"/>
              </w:rPr>
              <w:t>1,2-</w:t>
            </w:r>
            <w:r>
              <w:rPr>
                <w:rFonts w:hint="eastAsia"/>
                <w:szCs w:val="24"/>
              </w:rPr>
              <w:t>二氯苯、</w:t>
            </w:r>
            <w:r>
              <w:rPr>
                <w:szCs w:val="24"/>
              </w:rPr>
              <w:t>1,4-</w:t>
            </w:r>
            <w:r>
              <w:rPr>
                <w:rFonts w:hint="eastAsia"/>
                <w:szCs w:val="24"/>
              </w:rPr>
              <w:t>二氯苯、乙苯、苯乙烯、甲苯、间二甲苯</w:t>
            </w:r>
            <w:r>
              <w:rPr>
                <w:szCs w:val="24"/>
              </w:rPr>
              <w:t>+</w:t>
            </w:r>
            <w:r>
              <w:rPr>
                <w:rFonts w:hint="eastAsia"/>
                <w:szCs w:val="24"/>
              </w:rPr>
              <w:t>对二甲苯、邻二甲苯、硝基苯、苯胺、</w:t>
            </w:r>
            <w:r>
              <w:rPr>
                <w:szCs w:val="24"/>
              </w:rPr>
              <w:t>2-</w:t>
            </w:r>
            <w:r>
              <w:rPr>
                <w:rFonts w:hint="eastAsia"/>
                <w:szCs w:val="24"/>
              </w:rPr>
              <w:t>氯酚、苯并（</w:t>
            </w:r>
            <w:r>
              <w:rPr>
                <w:szCs w:val="24"/>
              </w:rPr>
              <w:t>a</w:t>
            </w:r>
            <w:r>
              <w:rPr>
                <w:rFonts w:hint="eastAsia"/>
                <w:szCs w:val="24"/>
              </w:rPr>
              <w:t>）蒽、苯并（</w:t>
            </w:r>
            <w:r>
              <w:rPr>
                <w:szCs w:val="24"/>
              </w:rPr>
              <w:t>a</w:t>
            </w:r>
            <w:r>
              <w:rPr>
                <w:rFonts w:hint="eastAsia"/>
                <w:szCs w:val="24"/>
              </w:rPr>
              <w:t>）芘、苯并（</w:t>
            </w:r>
            <w:r>
              <w:rPr>
                <w:szCs w:val="24"/>
              </w:rPr>
              <w:t>b</w:t>
            </w:r>
            <w:r>
              <w:rPr>
                <w:rFonts w:hint="eastAsia"/>
                <w:szCs w:val="24"/>
              </w:rPr>
              <w:t>）荧蒽、苯并（</w:t>
            </w:r>
            <w:r>
              <w:rPr>
                <w:szCs w:val="24"/>
              </w:rPr>
              <w:t>k</w:t>
            </w:r>
            <w:r>
              <w:rPr>
                <w:rFonts w:hint="eastAsia"/>
                <w:szCs w:val="24"/>
              </w:rPr>
              <w:t>）荧蒽、䓛、二苯并（</w:t>
            </w:r>
            <w:r>
              <w:rPr>
                <w:szCs w:val="24"/>
              </w:rPr>
              <w:t>a</w:t>
            </w:r>
            <w:r>
              <w:rPr>
                <w:rFonts w:hint="eastAsia"/>
                <w:szCs w:val="24"/>
              </w:rPr>
              <w:t>，</w:t>
            </w:r>
            <w:r>
              <w:rPr>
                <w:szCs w:val="24"/>
              </w:rPr>
              <w:t>h</w:t>
            </w:r>
            <w:r>
              <w:rPr>
                <w:rFonts w:hint="eastAsia"/>
                <w:szCs w:val="24"/>
              </w:rPr>
              <w:t>）蒽、茚并（</w:t>
            </w:r>
            <w:r>
              <w:rPr>
                <w:szCs w:val="24"/>
              </w:rPr>
              <w:t>1,2,3-cd</w:t>
            </w:r>
            <w:r>
              <w:rPr>
                <w:rFonts w:hint="eastAsia"/>
                <w:szCs w:val="24"/>
              </w:rPr>
              <w:t>）芘、萘共</w:t>
            </w:r>
            <w:r>
              <w:rPr>
                <w:szCs w:val="24"/>
              </w:rPr>
              <w:t>45</w:t>
            </w:r>
            <w:r>
              <w:rPr>
                <w:rFonts w:hint="eastAsia"/>
                <w:szCs w:val="24"/>
              </w:rPr>
              <w:t>项。</w:t>
            </w:r>
          </w:p>
          <w:p>
            <w:pPr>
              <w:pStyle w:val="114"/>
              <w:rPr>
                <w:szCs w:val="24"/>
              </w:rPr>
            </w:pPr>
            <w:r>
              <w:rPr>
                <w:rFonts w:hint="eastAsia"/>
                <w:szCs w:val="24"/>
              </w:rPr>
              <w:t>（</w:t>
            </w:r>
            <w:r>
              <w:rPr>
                <w:szCs w:val="24"/>
              </w:rPr>
              <w:t>4</w:t>
            </w:r>
            <w:r>
              <w:rPr>
                <w:rFonts w:hint="eastAsia"/>
                <w:szCs w:val="24"/>
              </w:rPr>
              <w:t>）执行标准</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建设用地执行</w:t>
            </w:r>
            <w:r>
              <w:rPr>
                <w:rFonts w:ascii="Times New Roman" w:hAnsi="Times New Roman"/>
                <w:bCs/>
                <w:sz w:val="24"/>
                <w:szCs w:val="24"/>
              </w:rPr>
              <w:t>《土壤环境质量 建设用地土壤污染风险管控标准（试行）》(GB 36600-2018)中第二类用地风险筛选值标准</w:t>
            </w:r>
            <w:r>
              <w:rPr>
                <w:rFonts w:hint="eastAsia" w:ascii="Times New Roman" w:hAnsi="Times New Roman"/>
                <w:bCs/>
                <w:sz w:val="24"/>
                <w:szCs w:val="24"/>
              </w:rPr>
              <w:t>。</w:t>
            </w:r>
          </w:p>
          <w:p>
            <w:pPr>
              <w:pStyle w:val="114"/>
              <w:rPr>
                <w:szCs w:val="24"/>
              </w:rPr>
            </w:pPr>
            <w:r>
              <w:rPr>
                <w:rFonts w:hint="eastAsia"/>
                <w:szCs w:val="24"/>
              </w:rPr>
              <w:t>（</w:t>
            </w:r>
            <w:r>
              <w:rPr>
                <w:szCs w:val="24"/>
              </w:rPr>
              <w:t>5</w:t>
            </w:r>
            <w:r>
              <w:rPr>
                <w:rFonts w:hint="eastAsia"/>
                <w:szCs w:val="24"/>
              </w:rPr>
              <w:t>）监测分析方法</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土壤监测</w:t>
            </w:r>
            <w:r>
              <w:rPr>
                <w:rFonts w:ascii="Times New Roman" w:hAnsi="Times New Roman"/>
                <w:bCs/>
                <w:sz w:val="24"/>
                <w:szCs w:val="24"/>
              </w:rPr>
              <w:t>分析方法按照《土壤环境质量 建设用地土壤污染风险管控标准（试行）》（GB36600-2018）表3的规定执行</w:t>
            </w:r>
            <w:r>
              <w:rPr>
                <w:rFonts w:hint="eastAsia" w:ascii="Times New Roman" w:hAnsi="Times New Roman"/>
                <w:bCs/>
                <w:sz w:val="24"/>
                <w:szCs w:val="24"/>
              </w:rPr>
              <w:t>。</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（6）评价方法</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土壤环境质量现状评价采用标准指数法，并进行统计分析。</w:t>
            </w:r>
          </w:p>
          <w:p>
            <w:pPr>
              <w:spacing w:line="360" w:lineRule="auto"/>
              <w:ind w:firstLine="480" w:firstLineChars="200"/>
              <w:rPr>
                <w:rFonts w:ascii="Times New Roman" w:hAnsi="Times New Roman"/>
                <w:bCs/>
                <w:sz w:val="24"/>
                <w:szCs w:val="24"/>
              </w:rPr>
            </w:pPr>
            <w:r>
              <w:rPr>
                <w:rFonts w:hint="eastAsia" w:ascii="Times New Roman" w:hAnsi="Times New Roman"/>
                <w:bCs/>
                <w:sz w:val="24"/>
                <w:szCs w:val="24"/>
              </w:rPr>
              <w:t>（7）土壤监测结果分析</w:t>
            </w:r>
          </w:p>
          <w:p>
            <w:pPr>
              <w:pStyle w:val="114"/>
              <w:rPr>
                <w:szCs w:val="24"/>
              </w:rPr>
            </w:pPr>
            <w:r>
              <w:rPr>
                <w:rFonts w:hint="eastAsia"/>
                <w:szCs w:val="24"/>
              </w:rPr>
              <w:t>本次土壤现状监测结果及汇总见表</w:t>
            </w:r>
            <w:r>
              <w:rPr>
                <w:szCs w:val="24"/>
              </w:rPr>
              <w:t>3-17</w:t>
            </w:r>
            <w:r>
              <w:rPr>
                <w:rFonts w:hint="eastAsia"/>
                <w:szCs w:val="24"/>
              </w:rPr>
              <w:t>。</w:t>
            </w:r>
          </w:p>
          <w:p>
            <w:pPr>
              <w:pStyle w:val="111"/>
            </w:pPr>
            <w:r>
              <w:rPr>
                <w:rFonts w:hint="eastAsia"/>
              </w:rPr>
              <w:t>表</w:t>
            </w:r>
            <w:r>
              <w:t xml:space="preserve">3-17   </w:t>
            </w:r>
            <w:r>
              <w:rPr>
                <w:rFonts w:hint="eastAsia"/>
              </w:rPr>
              <w:t>土壤现状监测结果及汇总</w:t>
            </w:r>
            <w:r>
              <w:t xml:space="preserve">  </w:t>
            </w:r>
            <w:r>
              <w:rPr>
                <w:rFonts w:hint="eastAsia"/>
              </w:rPr>
              <w:t>单位</w:t>
            </w:r>
            <w:r>
              <w:t>mg/kg</w:t>
            </w:r>
          </w:p>
          <w:tbl>
            <w:tblPr>
              <w:tblStyle w:val="37"/>
              <w:tblW w:w="90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1138"/>
              <w:gridCol w:w="852"/>
              <w:gridCol w:w="992"/>
              <w:gridCol w:w="850"/>
              <w:gridCol w:w="990"/>
              <w:gridCol w:w="853"/>
              <w:gridCol w:w="850"/>
              <w:gridCol w:w="710"/>
              <w:gridCol w:w="708"/>
              <w:gridCol w:w="7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vMerge w:val="restart"/>
                  <w:tcBorders>
                    <w:top w:val="single" w:color="auto" w:sz="12"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hint="eastAsia" w:ascii="Times New Roman" w:hAnsi="Times New Roman"/>
                      <w:b/>
                      <w:bCs/>
                      <w:kern w:val="0"/>
                      <w:szCs w:val="21"/>
                    </w:rPr>
                    <w:t>序号</w:t>
                  </w:r>
                </w:p>
              </w:tc>
              <w:tc>
                <w:tcPr>
                  <w:tcW w:w="1138" w:type="dxa"/>
                  <w:vMerge w:val="restart"/>
                  <w:tcBorders>
                    <w:top w:val="single" w:color="auto" w:sz="12"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hint="eastAsia" w:ascii="Times New Roman" w:hAnsi="Times New Roman"/>
                      <w:b/>
                      <w:bCs/>
                      <w:kern w:val="0"/>
                      <w:szCs w:val="21"/>
                    </w:rPr>
                    <w:t>污染物项目</w:t>
                  </w:r>
                </w:p>
              </w:tc>
              <w:tc>
                <w:tcPr>
                  <w:tcW w:w="852" w:type="dxa"/>
                  <w:tcBorders>
                    <w:top w:val="single" w:color="auto" w:sz="12"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hint="eastAsia" w:ascii="Times New Roman" w:hAnsi="Times New Roman"/>
                      <w:b/>
                      <w:bCs/>
                      <w:kern w:val="0"/>
                      <w:szCs w:val="21"/>
                    </w:rPr>
                    <w:t>筛选值</w:t>
                  </w:r>
                </w:p>
              </w:tc>
              <w:tc>
                <w:tcPr>
                  <w:tcW w:w="3685" w:type="dxa"/>
                  <w:gridSpan w:val="4"/>
                  <w:tcBorders>
                    <w:top w:val="single" w:color="auto" w:sz="12"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hint="eastAsia" w:ascii="Times New Roman" w:hAnsi="Times New Roman"/>
                      <w:b/>
                      <w:bCs/>
                      <w:kern w:val="0"/>
                      <w:szCs w:val="21"/>
                    </w:rPr>
                    <w:t>点号</w:t>
                  </w:r>
                </w:p>
              </w:tc>
              <w:tc>
                <w:tcPr>
                  <w:tcW w:w="850" w:type="dxa"/>
                  <w:vMerge w:val="restart"/>
                  <w:tcBorders>
                    <w:top w:val="single" w:color="auto" w:sz="12"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hint="eastAsia" w:ascii="Times New Roman" w:hAnsi="Times New Roman"/>
                      <w:b/>
                      <w:bCs/>
                      <w:kern w:val="0"/>
                      <w:szCs w:val="21"/>
                    </w:rPr>
                    <w:t>检出率（</w:t>
                  </w:r>
                  <w:r>
                    <w:rPr>
                      <w:rFonts w:ascii="Times New Roman" w:hAnsi="Times New Roman"/>
                      <w:b/>
                      <w:bCs/>
                      <w:kern w:val="0"/>
                      <w:szCs w:val="21"/>
                    </w:rPr>
                    <w:t>%</w:t>
                  </w:r>
                  <w:r>
                    <w:rPr>
                      <w:rFonts w:hint="eastAsia" w:ascii="Times New Roman" w:hAnsi="Times New Roman"/>
                      <w:b/>
                      <w:bCs/>
                      <w:kern w:val="0"/>
                      <w:szCs w:val="21"/>
                    </w:rPr>
                    <w:t>）</w:t>
                  </w:r>
                </w:p>
              </w:tc>
              <w:tc>
                <w:tcPr>
                  <w:tcW w:w="710" w:type="dxa"/>
                  <w:vMerge w:val="restart"/>
                  <w:tcBorders>
                    <w:top w:val="single" w:color="auto" w:sz="12"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hint="eastAsia" w:ascii="Times New Roman" w:hAnsi="Times New Roman"/>
                      <w:b/>
                      <w:bCs/>
                      <w:kern w:val="0"/>
                      <w:szCs w:val="21"/>
                    </w:rPr>
                    <w:t>最大值</w:t>
                  </w:r>
                </w:p>
              </w:tc>
              <w:tc>
                <w:tcPr>
                  <w:tcW w:w="708" w:type="dxa"/>
                  <w:vMerge w:val="restart"/>
                  <w:tcBorders>
                    <w:top w:val="single" w:color="auto" w:sz="12"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hint="eastAsia" w:ascii="Times New Roman" w:hAnsi="Times New Roman"/>
                      <w:b/>
                      <w:bCs/>
                      <w:kern w:val="0"/>
                      <w:szCs w:val="21"/>
                    </w:rPr>
                    <w:t>最小值</w:t>
                  </w:r>
                </w:p>
              </w:tc>
              <w:tc>
                <w:tcPr>
                  <w:tcW w:w="728" w:type="dxa"/>
                  <w:vMerge w:val="restart"/>
                  <w:tcBorders>
                    <w:top w:val="single" w:color="auto" w:sz="12"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b/>
                      <w:bCs/>
                      <w:kern w:val="0"/>
                      <w:szCs w:val="21"/>
                    </w:rPr>
                  </w:pPr>
                  <w:r>
                    <w:rPr>
                      <w:rFonts w:hint="eastAsia" w:ascii="Times New Roman" w:hAnsi="Times New Roman"/>
                      <w:b/>
                      <w:bCs/>
                      <w:kern w:val="0"/>
                      <w:szCs w:val="21"/>
                    </w:rPr>
                    <w:t>均值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vMerge w:val="continue"/>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p>
              </w:tc>
              <w:tc>
                <w:tcPr>
                  <w:tcW w:w="1138"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p>
              </w:tc>
              <w:tc>
                <w:tcPr>
                  <w:tcW w:w="852" w:type="dxa"/>
                  <w:vMerge w:val="restart"/>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hint="eastAsia" w:ascii="Times New Roman" w:hAnsi="Times New Roman"/>
                      <w:b/>
                      <w:bCs/>
                      <w:kern w:val="0"/>
                      <w:szCs w:val="21"/>
                    </w:rPr>
                    <w:t>第二类用地</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ascii="Times New Roman" w:hAnsi="Times New Roman"/>
                      <w:b/>
                      <w:bCs/>
                      <w:kern w:val="0"/>
                      <w:szCs w:val="21"/>
                    </w:rPr>
                    <w:t>S1</w:t>
                  </w:r>
                </w:p>
              </w:tc>
              <w:tc>
                <w:tcPr>
                  <w:tcW w:w="1840" w:type="dxa"/>
                  <w:gridSpan w:val="2"/>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ascii="Times New Roman" w:hAnsi="Times New Roman"/>
                      <w:b/>
                      <w:bCs/>
                      <w:kern w:val="0"/>
                      <w:szCs w:val="21"/>
                    </w:rPr>
                    <w:t>S2</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ascii="Times New Roman" w:hAnsi="Times New Roman"/>
                      <w:b/>
                      <w:bCs/>
                      <w:kern w:val="0"/>
                      <w:szCs w:val="21"/>
                    </w:rPr>
                    <w:t>S3</w:t>
                  </w:r>
                </w:p>
              </w:tc>
              <w:tc>
                <w:tcPr>
                  <w:tcW w:w="850"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710"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708"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728" w:type="dxa"/>
                  <w:vMerge w:val="continue"/>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vMerge w:val="continue"/>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1138"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852"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ascii="Times New Roman" w:hAnsi="Times New Roman"/>
                      <w:b/>
                      <w:bCs/>
                      <w:kern w:val="0"/>
                      <w:szCs w:val="21"/>
                    </w:rPr>
                    <w:t>0-0.2m</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ascii="Times New Roman" w:hAnsi="Times New Roman"/>
                      <w:b/>
                      <w:bCs/>
                      <w:kern w:val="0"/>
                      <w:szCs w:val="21"/>
                    </w:rPr>
                    <w:t>0-0.5m</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ascii="Times New Roman" w:hAnsi="Times New Roman"/>
                      <w:b/>
                      <w:bCs/>
                      <w:kern w:val="0"/>
                      <w:szCs w:val="21"/>
                    </w:rPr>
                    <w:t>0.5-1.5m</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b/>
                      <w:bCs/>
                      <w:kern w:val="0"/>
                      <w:szCs w:val="21"/>
                    </w:rPr>
                  </w:pPr>
                  <w:r>
                    <w:rPr>
                      <w:rFonts w:ascii="Times New Roman" w:hAnsi="Times New Roman"/>
                      <w:b/>
                      <w:bCs/>
                      <w:kern w:val="0"/>
                      <w:szCs w:val="21"/>
                    </w:rPr>
                    <w:t>0-0.2m</w:t>
                  </w:r>
                </w:p>
              </w:tc>
              <w:tc>
                <w:tcPr>
                  <w:tcW w:w="850"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710"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708" w:type="dxa"/>
                  <w:vMerge w:val="continue"/>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728" w:type="dxa"/>
                  <w:vMerge w:val="continue"/>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60</w:t>
                  </w:r>
                  <w:r>
                    <w:rPr>
                      <w:rFonts w:hint="eastAsia" w:ascii="宋体" w:hAnsi="宋体" w:cs="宋体"/>
                      <w:kern w:val="0"/>
                      <w:szCs w:val="21"/>
                      <w:vertAlign w:val="superscript"/>
                    </w:rPr>
                    <w:t>①</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6.34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6.3</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16.2</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8.6</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100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16.2</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6.3</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9.36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镉</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65</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0.1</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0.03</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0.03</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0.01</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铬（六价）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5.7</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4</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铜</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18000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&lt;4</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&lt;4</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25</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铅</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800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3.9</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7.4</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10.8</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11.3</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100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11.3</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3.9</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8.35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汞</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38</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7</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镍</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900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&lt;12</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&lt;12</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&lt;12</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&lt;12</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8</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四氯化碳</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2.8</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9</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氯仿</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0.9</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10</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氯甲烷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37</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11</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1,1-</w:t>
                  </w:r>
                  <w:r>
                    <w:rPr>
                      <w:rFonts w:hint="eastAsia" w:ascii="Times New Roman" w:hAnsi="Times New Roman"/>
                      <w:kern w:val="0"/>
                      <w:szCs w:val="21"/>
                    </w:rPr>
                    <w:t>二氯乙烷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9</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12</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1,2-</w:t>
                  </w:r>
                  <w:r>
                    <w:rPr>
                      <w:rFonts w:hint="eastAsia" w:ascii="Times New Roman" w:hAnsi="Times New Roman"/>
                      <w:kern w:val="0"/>
                      <w:szCs w:val="21"/>
                    </w:rPr>
                    <w:t>二氯乙烷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13</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1,1-</w:t>
                  </w:r>
                  <w:r>
                    <w:rPr>
                      <w:rFonts w:hint="eastAsia" w:ascii="Times New Roman" w:hAnsi="Times New Roman"/>
                      <w:kern w:val="0"/>
                      <w:szCs w:val="21"/>
                    </w:rPr>
                    <w:t>二氯乙烯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66</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14</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顺</w:t>
                  </w:r>
                  <w:r>
                    <w:rPr>
                      <w:rFonts w:ascii="Times New Roman" w:hAnsi="Times New Roman"/>
                      <w:kern w:val="0"/>
                      <w:szCs w:val="21"/>
                    </w:rPr>
                    <w:t>-1,2-</w:t>
                  </w:r>
                  <w:r>
                    <w:rPr>
                      <w:rFonts w:hint="eastAsia" w:ascii="Times New Roman" w:hAnsi="Times New Roman"/>
                      <w:kern w:val="0"/>
                      <w:szCs w:val="21"/>
                    </w:rPr>
                    <w:t>二氯乙烯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596</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15</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反</w:t>
                  </w:r>
                  <w:r>
                    <w:rPr>
                      <w:rFonts w:ascii="Times New Roman" w:hAnsi="Times New Roman"/>
                      <w:kern w:val="0"/>
                      <w:szCs w:val="21"/>
                    </w:rPr>
                    <w:t>-1,2-</w:t>
                  </w:r>
                  <w:r>
                    <w:rPr>
                      <w:rFonts w:hint="eastAsia" w:ascii="Times New Roman" w:hAnsi="Times New Roman"/>
                      <w:kern w:val="0"/>
                      <w:szCs w:val="21"/>
                    </w:rPr>
                    <w:t>二氯乙烯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54</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16</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二氯甲烷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616</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17</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1,2-</w:t>
                  </w:r>
                  <w:r>
                    <w:rPr>
                      <w:rFonts w:hint="eastAsia" w:ascii="Times New Roman" w:hAnsi="Times New Roman"/>
                      <w:kern w:val="0"/>
                      <w:szCs w:val="21"/>
                    </w:rPr>
                    <w:t>二氯丙烷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18</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1,1,1,2-</w:t>
                  </w:r>
                  <w:r>
                    <w:rPr>
                      <w:rFonts w:hint="eastAsia" w:ascii="Times New Roman" w:hAnsi="Times New Roman"/>
                      <w:kern w:val="0"/>
                      <w:szCs w:val="21"/>
                    </w:rPr>
                    <w:t>四氯乙烷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19</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1,1,2,2-</w:t>
                  </w:r>
                  <w:r>
                    <w:rPr>
                      <w:rFonts w:hint="eastAsia" w:ascii="Times New Roman" w:hAnsi="Times New Roman"/>
                      <w:kern w:val="0"/>
                      <w:szCs w:val="21"/>
                    </w:rPr>
                    <w:t>四氯乙烷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6.8</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20</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四氯乙烯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53</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21</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1,1,1-</w:t>
                  </w:r>
                  <w:r>
                    <w:rPr>
                      <w:rFonts w:hint="eastAsia" w:ascii="Times New Roman" w:hAnsi="Times New Roman"/>
                      <w:kern w:val="0"/>
                      <w:szCs w:val="21"/>
                    </w:rPr>
                    <w:t>三氯乙烷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840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22</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1,1,2-</w:t>
                  </w:r>
                  <w:r>
                    <w:rPr>
                      <w:rFonts w:hint="eastAsia" w:ascii="Times New Roman" w:hAnsi="Times New Roman"/>
                      <w:kern w:val="0"/>
                      <w:szCs w:val="21"/>
                    </w:rPr>
                    <w:t>三氯乙烷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2.8</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23</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三氯乙烯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2.8</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24</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1,2,3-</w:t>
                  </w:r>
                  <w:r>
                    <w:rPr>
                      <w:rFonts w:hint="eastAsia" w:ascii="Times New Roman" w:hAnsi="Times New Roman"/>
                      <w:kern w:val="0"/>
                      <w:szCs w:val="21"/>
                    </w:rPr>
                    <w:t>三氯丙烷</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0.5</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25</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氯乙烯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0.43</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26</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4</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27</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氯苯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270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28</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1,2-</w:t>
                  </w:r>
                  <w:r>
                    <w:rPr>
                      <w:rFonts w:hint="eastAsia" w:ascii="Times New Roman" w:hAnsi="Times New Roman"/>
                      <w:kern w:val="0"/>
                      <w:szCs w:val="21"/>
                    </w:rPr>
                    <w:t>二氯苯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560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29</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1,4-</w:t>
                  </w:r>
                  <w:r>
                    <w:rPr>
                      <w:rFonts w:hint="eastAsia" w:ascii="Times New Roman" w:hAnsi="Times New Roman"/>
                      <w:kern w:val="0"/>
                      <w:szCs w:val="21"/>
                    </w:rPr>
                    <w:t>二氯苯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30</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乙苯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28</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31</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苯乙烯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1290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32</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甲苯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1200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33</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间二甲苯</w:t>
                  </w:r>
                  <w:r>
                    <w:rPr>
                      <w:rFonts w:ascii="Times New Roman" w:hAnsi="Times New Roman"/>
                      <w:kern w:val="0"/>
                      <w:szCs w:val="21"/>
                    </w:rPr>
                    <w:t>+</w:t>
                  </w:r>
                  <w:r>
                    <w:rPr>
                      <w:rFonts w:hint="eastAsia" w:ascii="Times New Roman" w:hAnsi="Times New Roman"/>
                      <w:kern w:val="0"/>
                      <w:szCs w:val="21"/>
                    </w:rPr>
                    <w:t>对二甲苯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570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34</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邻二甲苯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640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35</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硝基苯</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76</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&lt;0.3</w:t>
                  </w:r>
                </w:p>
              </w:tc>
              <w:tc>
                <w:tcPr>
                  <w:tcW w:w="850" w:type="dxa"/>
                  <w:tcBorders>
                    <w:top w:val="single" w:color="auto" w:sz="6" w:space="0"/>
                    <w:left w:val="single" w:color="auto" w:sz="6" w:space="0"/>
                    <w:bottom w:val="single" w:color="auto" w:sz="6" w:space="0"/>
                    <w:right w:val="single" w:color="auto" w:sz="6" w:space="0"/>
                  </w:tcBorders>
                </w:tcPr>
                <w:p>
                  <w:pPr>
                    <w:widowControl/>
                    <w:spacing w:line="0" w:lineRule="atLeast"/>
                    <w:jc w:val="center"/>
                    <w:rPr>
                      <w:rFonts w:ascii="Times New Roman" w:hAnsi="Times New Roman"/>
                      <w:kern w:val="0"/>
                      <w:szCs w:val="21"/>
                    </w:rPr>
                  </w:pPr>
                  <w:r>
                    <w:rPr>
                      <w:rFonts w:ascii="Times New Roman" w:hAnsi="Times New Roman"/>
                      <w:kern w:val="0"/>
                      <w:szCs w:val="21"/>
                    </w:rPr>
                    <w:t>&lt;0.3</w:t>
                  </w:r>
                </w:p>
              </w:tc>
              <w:tc>
                <w:tcPr>
                  <w:tcW w:w="990" w:type="dxa"/>
                  <w:tcBorders>
                    <w:top w:val="single" w:color="auto" w:sz="6" w:space="0"/>
                    <w:left w:val="single" w:color="auto" w:sz="6" w:space="0"/>
                    <w:bottom w:val="single" w:color="auto" w:sz="6" w:space="0"/>
                    <w:right w:val="single" w:color="auto" w:sz="6" w:space="0"/>
                  </w:tcBorders>
                </w:tcPr>
                <w:p>
                  <w:pPr>
                    <w:widowControl/>
                    <w:spacing w:line="0" w:lineRule="atLeast"/>
                    <w:jc w:val="center"/>
                    <w:rPr>
                      <w:rFonts w:ascii="Times New Roman" w:hAnsi="Times New Roman"/>
                      <w:kern w:val="0"/>
                      <w:szCs w:val="21"/>
                    </w:rPr>
                  </w:pPr>
                  <w:r>
                    <w:rPr>
                      <w:rFonts w:ascii="Times New Roman" w:hAnsi="Times New Roman"/>
                      <w:kern w:val="0"/>
                      <w:szCs w:val="21"/>
                    </w:rPr>
                    <w:t>&lt;0.3</w:t>
                  </w:r>
                </w:p>
              </w:tc>
              <w:tc>
                <w:tcPr>
                  <w:tcW w:w="853" w:type="dxa"/>
                  <w:tcBorders>
                    <w:top w:val="single" w:color="auto" w:sz="6" w:space="0"/>
                    <w:left w:val="single" w:color="auto" w:sz="6" w:space="0"/>
                    <w:bottom w:val="single" w:color="auto" w:sz="6" w:space="0"/>
                    <w:right w:val="single" w:color="auto" w:sz="6" w:space="0"/>
                  </w:tcBorders>
                </w:tcPr>
                <w:p>
                  <w:pPr>
                    <w:widowControl/>
                    <w:spacing w:line="0" w:lineRule="atLeast"/>
                    <w:jc w:val="center"/>
                    <w:rPr>
                      <w:rFonts w:ascii="Times New Roman" w:hAnsi="Times New Roman"/>
                      <w:kern w:val="0"/>
                      <w:szCs w:val="21"/>
                    </w:rPr>
                  </w:pPr>
                  <w:r>
                    <w:rPr>
                      <w:rFonts w:ascii="Times New Roman" w:hAnsi="Times New Roman"/>
                      <w:kern w:val="0"/>
                      <w:szCs w:val="21"/>
                    </w:rPr>
                    <w:t>&lt;0.3</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36</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苯胺</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260</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37</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w:t>
                  </w:r>
                  <w:r>
                    <w:rPr>
                      <w:rFonts w:hint="eastAsia" w:ascii="Times New Roman" w:hAnsi="Times New Roman"/>
                      <w:kern w:val="0"/>
                      <w:szCs w:val="21"/>
                    </w:rPr>
                    <w:t>氯酚</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2256</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&lt;0.2</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&lt;0.2</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&lt;0.2</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&lt;0.2</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38</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苯并</w:t>
                  </w:r>
                  <w:r>
                    <w:rPr>
                      <w:rFonts w:ascii="Times New Roman" w:hAnsi="Times New Roman"/>
                      <w:kern w:val="0"/>
                      <w:szCs w:val="21"/>
                    </w:rPr>
                    <w:t>[a]</w:t>
                  </w:r>
                  <w:r>
                    <w:rPr>
                      <w:rFonts w:hint="eastAsia" w:ascii="Times New Roman" w:hAnsi="Times New Roman"/>
                      <w:kern w:val="0"/>
                      <w:szCs w:val="21"/>
                    </w:rPr>
                    <w:t>蒽</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15</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39</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苯并</w:t>
                  </w:r>
                  <w:r>
                    <w:rPr>
                      <w:rFonts w:ascii="Times New Roman" w:hAnsi="Times New Roman"/>
                      <w:kern w:val="0"/>
                      <w:szCs w:val="21"/>
                    </w:rPr>
                    <w:t>[a]</w:t>
                  </w:r>
                  <w:r>
                    <w:rPr>
                      <w:rFonts w:hint="eastAsia" w:ascii="Times New Roman" w:hAnsi="Times New Roman"/>
                      <w:kern w:val="0"/>
                      <w:szCs w:val="21"/>
                    </w:rPr>
                    <w:t>芘</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1.5</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&lt;0.1</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40</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苯并</w:t>
                  </w:r>
                  <w:r>
                    <w:rPr>
                      <w:rFonts w:ascii="Times New Roman" w:hAnsi="Times New Roman"/>
                      <w:kern w:val="0"/>
                      <w:szCs w:val="21"/>
                    </w:rPr>
                    <w:t>[b]</w:t>
                  </w:r>
                  <w:r>
                    <w:rPr>
                      <w:rFonts w:hint="eastAsia" w:ascii="Times New Roman" w:hAnsi="Times New Roman"/>
                      <w:kern w:val="0"/>
                      <w:szCs w:val="21"/>
                    </w:rPr>
                    <w:t>荧蒽</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15</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41</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苯并</w:t>
                  </w:r>
                  <w:r>
                    <w:rPr>
                      <w:rFonts w:ascii="Times New Roman" w:hAnsi="Times New Roman"/>
                      <w:kern w:val="0"/>
                      <w:szCs w:val="21"/>
                    </w:rPr>
                    <w:t>[k]</w:t>
                  </w:r>
                  <w:r>
                    <w:rPr>
                      <w:rFonts w:hint="eastAsia" w:ascii="Times New Roman" w:hAnsi="Times New Roman"/>
                      <w:kern w:val="0"/>
                      <w:szCs w:val="21"/>
                    </w:rPr>
                    <w:t>荧蒽</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151</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42</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䓛</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1293</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43</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二苯并</w:t>
                  </w:r>
                  <w:r>
                    <w:rPr>
                      <w:rFonts w:ascii="Times New Roman" w:hAnsi="Times New Roman"/>
                      <w:kern w:val="0"/>
                      <w:szCs w:val="21"/>
                    </w:rPr>
                    <w:t>[a,h]</w:t>
                  </w:r>
                  <w:r>
                    <w:rPr>
                      <w:rFonts w:hint="eastAsia" w:ascii="Times New Roman" w:hAnsi="Times New Roman"/>
                      <w:kern w:val="0"/>
                      <w:szCs w:val="21"/>
                    </w:rPr>
                    <w:t>蒽</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1.5</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&lt;0.05</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44</w:t>
                  </w:r>
                </w:p>
              </w:tc>
              <w:tc>
                <w:tcPr>
                  <w:tcW w:w="113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茚并</w:t>
                  </w:r>
                  <w:r>
                    <w:rPr>
                      <w:rFonts w:ascii="Times New Roman" w:hAnsi="Times New Roman"/>
                      <w:kern w:val="0"/>
                      <w:szCs w:val="21"/>
                    </w:rPr>
                    <w:t>[1,2,3-cd]</w:t>
                  </w:r>
                  <w:r>
                    <w:rPr>
                      <w:rFonts w:hint="eastAsia" w:ascii="Times New Roman" w:hAnsi="Times New Roman"/>
                      <w:kern w:val="0"/>
                      <w:szCs w:val="21"/>
                    </w:rPr>
                    <w:t>芘</w:t>
                  </w:r>
                </w:p>
              </w:tc>
              <w:tc>
                <w:tcPr>
                  <w:tcW w:w="85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15</w:t>
                  </w:r>
                </w:p>
              </w:tc>
              <w:tc>
                <w:tcPr>
                  <w:tcW w:w="992"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99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3"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&lt;0.4</w:t>
                  </w:r>
                </w:p>
              </w:tc>
              <w:tc>
                <w:tcPr>
                  <w:tcW w:w="85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6"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6"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top w:val="single" w:color="auto" w:sz="6" w:space="0"/>
                    <w:left w:val="single" w:color="auto" w:sz="12"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45</w:t>
                  </w:r>
                </w:p>
              </w:tc>
              <w:tc>
                <w:tcPr>
                  <w:tcW w:w="1138" w:type="dxa"/>
                  <w:tcBorders>
                    <w:top w:val="single" w:color="auto" w:sz="6" w:space="0"/>
                    <w:left w:val="single" w:color="auto" w:sz="6"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hint="eastAsia" w:ascii="Times New Roman" w:hAnsi="Times New Roman"/>
                      <w:kern w:val="0"/>
                      <w:szCs w:val="21"/>
                    </w:rPr>
                    <w:t>萘</w:t>
                  </w:r>
                </w:p>
              </w:tc>
              <w:tc>
                <w:tcPr>
                  <w:tcW w:w="852" w:type="dxa"/>
                  <w:tcBorders>
                    <w:top w:val="single" w:color="auto" w:sz="6" w:space="0"/>
                    <w:left w:val="single" w:color="auto" w:sz="6"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70</w:t>
                  </w:r>
                </w:p>
              </w:tc>
              <w:tc>
                <w:tcPr>
                  <w:tcW w:w="992" w:type="dxa"/>
                  <w:tcBorders>
                    <w:top w:val="single" w:color="auto" w:sz="6" w:space="0"/>
                    <w:left w:val="single" w:color="auto" w:sz="6"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&lt;0.3</w:t>
                  </w:r>
                </w:p>
              </w:tc>
              <w:tc>
                <w:tcPr>
                  <w:tcW w:w="850" w:type="dxa"/>
                  <w:tcBorders>
                    <w:top w:val="single" w:color="auto" w:sz="6" w:space="0"/>
                    <w:left w:val="single" w:color="auto" w:sz="6"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&lt;0.3</w:t>
                  </w:r>
                </w:p>
              </w:tc>
              <w:tc>
                <w:tcPr>
                  <w:tcW w:w="990" w:type="dxa"/>
                  <w:tcBorders>
                    <w:top w:val="single" w:color="auto" w:sz="6" w:space="0"/>
                    <w:left w:val="single" w:color="auto" w:sz="6"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&lt;0.3</w:t>
                  </w:r>
                </w:p>
              </w:tc>
              <w:tc>
                <w:tcPr>
                  <w:tcW w:w="853" w:type="dxa"/>
                  <w:tcBorders>
                    <w:top w:val="single" w:color="auto" w:sz="6" w:space="0"/>
                    <w:left w:val="single" w:color="auto" w:sz="6"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&lt;0.3</w:t>
                  </w:r>
                </w:p>
              </w:tc>
              <w:tc>
                <w:tcPr>
                  <w:tcW w:w="850" w:type="dxa"/>
                  <w:tcBorders>
                    <w:top w:val="single" w:color="auto" w:sz="6" w:space="0"/>
                    <w:left w:val="single" w:color="auto" w:sz="6"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0</w:t>
                  </w:r>
                </w:p>
              </w:tc>
              <w:tc>
                <w:tcPr>
                  <w:tcW w:w="710" w:type="dxa"/>
                  <w:tcBorders>
                    <w:top w:val="single" w:color="auto" w:sz="6" w:space="0"/>
                    <w:left w:val="single" w:color="auto" w:sz="6"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08" w:type="dxa"/>
                  <w:tcBorders>
                    <w:top w:val="single" w:color="auto" w:sz="6" w:space="0"/>
                    <w:left w:val="single" w:color="auto" w:sz="6" w:space="0"/>
                    <w:bottom w:val="single" w:color="auto" w:sz="12" w:space="0"/>
                    <w:right w:val="single" w:color="auto" w:sz="6"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c>
                <w:tcPr>
                  <w:tcW w:w="728" w:type="dxa"/>
                  <w:tcBorders>
                    <w:top w:val="single" w:color="auto" w:sz="6" w:space="0"/>
                    <w:left w:val="single" w:color="auto" w:sz="6" w:space="0"/>
                    <w:bottom w:val="single" w:color="auto" w:sz="12" w:space="0"/>
                    <w:right w:val="single" w:color="auto" w:sz="12" w:space="0"/>
                  </w:tcBorders>
                  <w:vAlign w:val="center"/>
                </w:tcPr>
                <w:p>
                  <w:pPr>
                    <w:widowControl/>
                    <w:spacing w:line="0" w:lineRule="atLeast"/>
                    <w:jc w:val="center"/>
                    <w:rPr>
                      <w:rFonts w:ascii="Times New Roman" w:hAnsi="Times New Roman"/>
                      <w:kern w:val="0"/>
                      <w:szCs w:val="21"/>
                    </w:rPr>
                  </w:pPr>
                  <w:r>
                    <w:rPr>
                      <w:rFonts w:ascii="Times New Roman" w:hAnsi="Times New Roman"/>
                      <w:kern w:val="0"/>
                      <w:szCs w:val="21"/>
                    </w:rPr>
                    <w:t>/</w:t>
                  </w:r>
                </w:p>
              </w:tc>
            </w:tr>
          </w:tbl>
          <w:p>
            <w:pPr>
              <w:spacing w:line="360" w:lineRule="auto"/>
              <w:ind w:firstLine="480" w:firstLineChars="200"/>
              <w:rPr>
                <w:rFonts w:ascii="Times New Roman" w:hAnsi="Times New Roman"/>
                <w:sz w:val="24"/>
                <w:szCs w:val="24"/>
              </w:rPr>
            </w:pPr>
            <w:r>
              <w:rPr>
                <w:rFonts w:ascii="Times New Roman" w:hAnsi="Times New Roman"/>
                <w:sz w:val="24"/>
                <w:szCs w:val="24"/>
              </w:rPr>
              <w:t>由表3-15可知，</w:t>
            </w:r>
            <w:r>
              <w:rPr>
                <w:rFonts w:hint="eastAsia" w:ascii="Times New Roman" w:hAnsi="Times New Roman"/>
                <w:sz w:val="24"/>
                <w:szCs w:val="24"/>
              </w:rPr>
              <w:t>所有土壤样品的监测结果均</w:t>
            </w:r>
            <w:r>
              <w:rPr>
                <w:rFonts w:ascii="Times New Roman" w:hAnsi="Times New Roman"/>
                <w:sz w:val="24"/>
                <w:szCs w:val="24"/>
              </w:rPr>
              <w:t xml:space="preserve">符合《土壤环境质量 </w:t>
            </w:r>
            <w:r>
              <w:rPr>
                <w:rFonts w:hint="eastAsia" w:ascii="Times New Roman" w:hAnsi="Times New Roman"/>
                <w:sz w:val="24"/>
                <w:szCs w:val="24"/>
              </w:rPr>
              <w:t>建设用地</w:t>
            </w:r>
            <w:r>
              <w:rPr>
                <w:rFonts w:ascii="Times New Roman" w:hAnsi="Times New Roman"/>
                <w:sz w:val="24"/>
                <w:szCs w:val="24"/>
              </w:rPr>
              <w:t>土壤污染风险管控标准（试行）》(GB36600-2018)中的</w:t>
            </w:r>
            <w:r>
              <w:rPr>
                <w:rFonts w:hint="eastAsia" w:ascii="Times New Roman" w:hAnsi="Times New Roman"/>
                <w:sz w:val="24"/>
                <w:szCs w:val="24"/>
              </w:rPr>
              <w:t>第二类用地</w:t>
            </w:r>
            <w:r>
              <w:rPr>
                <w:rFonts w:ascii="Times New Roman" w:hAnsi="Times New Roman"/>
                <w:sz w:val="24"/>
                <w:szCs w:val="24"/>
              </w:rPr>
              <w:t>风险筛选值标准要求。</w:t>
            </w:r>
          </w:p>
          <w:p>
            <w:pPr>
              <w:pStyle w:val="114"/>
              <w:rPr>
                <w:szCs w:val="21"/>
              </w:rPr>
            </w:pPr>
          </w:p>
          <w:p>
            <w:pPr>
              <w:pStyle w:val="114"/>
              <w:rPr>
                <w:szCs w:val="21"/>
              </w:rPr>
            </w:pPr>
          </w:p>
          <w:p>
            <w:pPr>
              <w:pStyle w:val="114"/>
              <w:rPr>
                <w:szCs w:val="21"/>
              </w:rPr>
            </w:pPr>
          </w:p>
          <w:p>
            <w:pPr>
              <w:pStyle w:val="114"/>
              <w:rPr>
                <w:szCs w:val="21"/>
              </w:rPr>
            </w:pPr>
          </w:p>
          <w:p>
            <w:pPr>
              <w:pStyle w:val="114"/>
              <w:rPr>
                <w:szCs w:val="21"/>
              </w:rPr>
            </w:pPr>
          </w:p>
          <w:p>
            <w:pPr>
              <w:pStyle w:val="114"/>
              <w:rPr>
                <w:szCs w:val="21"/>
              </w:rPr>
            </w:pPr>
          </w:p>
          <w:p>
            <w:pPr>
              <w:pStyle w:val="114"/>
              <w:rPr>
                <w:szCs w:val="21"/>
              </w:rPr>
            </w:pPr>
          </w:p>
          <w:p>
            <w:pPr>
              <w:pStyle w:val="114"/>
              <w:rPr>
                <w:szCs w:val="21"/>
              </w:rPr>
            </w:pPr>
          </w:p>
          <w:p>
            <w:pPr>
              <w:pStyle w:val="114"/>
              <w:rPr>
                <w:szCs w:val="21"/>
              </w:rPr>
            </w:pPr>
          </w:p>
          <w:p>
            <w:pPr>
              <w:pStyle w:val="114"/>
              <w:rPr>
                <w:szCs w:val="21"/>
              </w:rPr>
            </w:pPr>
          </w:p>
          <w:p>
            <w:pPr>
              <w:pStyle w:val="114"/>
              <w:rPr>
                <w:szCs w:val="21"/>
              </w:rPr>
            </w:pPr>
          </w:p>
          <w:p>
            <w:pPr>
              <w:pStyle w:val="114"/>
              <w:rPr>
                <w:szCs w:val="21"/>
              </w:rPr>
            </w:pPr>
          </w:p>
          <w:p>
            <w:pPr>
              <w:pStyle w:val="114"/>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49" w:hRule="atLeast"/>
        </w:trPr>
        <w:tc>
          <w:tcPr>
            <w:tcW w:w="9344" w:type="dxa"/>
          </w:tcPr>
          <w:p>
            <w:pPr>
              <w:spacing w:line="560" w:lineRule="exact"/>
              <w:jc w:val="left"/>
              <w:rPr>
                <w:rFonts w:ascii="Times New Roman" w:hAnsi="Times New Roman"/>
                <w:b/>
                <w:bCs/>
                <w:sz w:val="24"/>
                <w:szCs w:val="24"/>
              </w:rPr>
            </w:pPr>
            <w:r>
              <w:rPr>
                <w:rFonts w:hint="eastAsia" w:ascii="Times New Roman" w:hAnsi="Times New Roman"/>
                <w:b/>
                <w:bCs/>
                <w:sz w:val="24"/>
                <w:szCs w:val="24"/>
              </w:rPr>
              <w:t>主要环境保护目标（列出名单及保护级别）</w:t>
            </w:r>
          </w:p>
          <w:p>
            <w:pPr>
              <w:pStyle w:val="114"/>
            </w:pPr>
            <w:r>
              <w:rPr>
                <w:rFonts w:hint="eastAsia"/>
              </w:rPr>
              <w:t>本项目周边的大气环境保护目标分布情况见表</w:t>
            </w:r>
            <w:r>
              <w:t>3-18</w:t>
            </w:r>
            <w:r>
              <w:rPr>
                <w:rFonts w:hint="eastAsia"/>
              </w:rPr>
              <w:t>，其他环境保护目标情况详见表</w:t>
            </w:r>
            <w:r>
              <w:t>3-19</w:t>
            </w:r>
            <w:r>
              <w:rPr>
                <w:rFonts w:hint="eastAsia"/>
              </w:rPr>
              <w:t>，敏感目标分布图见附图</w:t>
            </w:r>
            <w:r>
              <w:t>4</w:t>
            </w:r>
            <w:r>
              <w:rPr>
                <w:rFonts w:hint="eastAsia"/>
              </w:rPr>
              <w:t>，生态红线位置关系详见附图</w:t>
            </w:r>
            <w:r>
              <w:t>5</w:t>
            </w:r>
            <w:r>
              <w:rPr>
                <w:rFonts w:hint="eastAsia"/>
              </w:rPr>
              <w:t>。</w:t>
            </w:r>
          </w:p>
          <w:p>
            <w:pPr>
              <w:pStyle w:val="111"/>
            </w:pPr>
            <w:r>
              <w:rPr>
                <w:rFonts w:hint="eastAsia"/>
              </w:rPr>
              <w:t>表</w:t>
            </w:r>
            <w:r>
              <w:t>3-18</w:t>
            </w:r>
            <w:r>
              <w:rPr>
                <w:rFonts w:hint="eastAsia"/>
              </w:rPr>
              <w:t>主要大气环境保护目标</w:t>
            </w:r>
          </w:p>
          <w:tbl>
            <w:tblPr>
              <w:tblStyle w:val="37"/>
              <w:tblW w:w="90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5"/>
              <w:gridCol w:w="2416"/>
              <w:gridCol w:w="730"/>
              <w:gridCol w:w="730"/>
              <w:gridCol w:w="905"/>
              <w:gridCol w:w="714"/>
              <w:gridCol w:w="708"/>
              <w:gridCol w:w="803"/>
              <w:gridCol w:w="16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vMerge w:val="restart"/>
                  <w:tcBorders>
                    <w:top w:val="single" w:color="auto" w:sz="12" w:space="0"/>
                    <w:left w:val="single" w:color="auto" w:sz="12" w:space="0"/>
                    <w:bottom w:val="single" w:color="auto" w:sz="6" w:space="0"/>
                    <w:right w:val="single" w:color="auto" w:sz="4" w:space="0"/>
                  </w:tcBorders>
                  <w:vAlign w:val="center"/>
                </w:tcPr>
                <w:p>
                  <w:pPr>
                    <w:widowControl/>
                    <w:spacing w:line="240" w:lineRule="atLeast"/>
                    <w:jc w:val="center"/>
                    <w:rPr>
                      <w:rFonts w:ascii="Times New Roman" w:hAnsi="Times New Roman" w:eastAsia="黑体"/>
                      <w:b/>
                      <w:bCs/>
                      <w:kern w:val="0"/>
                      <w:sz w:val="22"/>
                    </w:rPr>
                  </w:pPr>
                  <w:r>
                    <w:rPr>
                      <w:rFonts w:hint="eastAsia" w:ascii="Times New Roman" w:hAnsi="黑体" w:eastAsia="黑体"/>
                      <w:b/>
                      <w:bCs/>
                      <w:kern w:val="0"/>
                      <w:sz w:val="22"/>
                    </w:rPr>
                    <w:t>序号</w:t>
                  </w:r>
                </w:p>
              </w:tc>
              <w:tc>
                <w:tcPr>
                  <w:tcW w:w="2416" w:type="dxa"/>
                  <w:vMerge w:val="restart"/>
                  <w:tcBorders>
                    <w:top w:val="single" w:color="auto" w:sz="12" w:space="0"/>
                    <w:left w:val="single" w:color="auto" w:sz="4" w:space="0"/>
                    <w:bottom w:val="single" w:color="auto" w:sz="6" w:space="0"/>
                    <w:right w:val="single" w:color="auto" w:sz="6" w:space="0"/>
                  </w:tcBorders>
                  <w:vAlign w:val="center"/>
                </w:tcPr>
                <w:p>
                  <w:pPr>
                    <w:widowControl/>
                    <w:spacing w:line="240" w:lineRule="atLeast"/>
                    <w:ind w:right="-105" w:rightChars="-50"/>
                    <w:jc w:val="center"/>
                    <w:rPr>
                      <w:rFonts w:ascii="Times New Roman" w:hAnsi="Times New Roman" w:eastAsia="等线"/>
                      <w:b/>
                      <w:bCs/>
                      <w:kern w:val="0"/>
                      <w:sz w:val="22"/>
                    </w:rPr>
                  </w:pPr>
                  <w:r>
                    <w:rPr>
                      <w:rFonts w:hint="eastAsia" w:ascii="Times New Roman" w:hAnsi="黑体" w:eastAsia="黑体"/>
                      <w:b/>
                      <w:bCs/>
                      <w:kern w:val="0"/>
                      <w:sz w:val="22"/>
                    </w:rPr>
                    <w:t>名称</w:t>
                  </w:r>
                </w:p>
              </w:tc>
              <w:tc>
                <w:tcPr>
                  <w:tcW w:w="1460" w:type="dxa"/>
                  <w:gridSpan w:val="2"/>
                  <w:tcBorders>
                    <w:top w:val="single" w:color="auto" w:sz="12" w:space="0"/>
                    <w:left w:val="single" w:color="auto" w:sz="6" w:space="0"/>
                    <w:bottom w:val="single" w:color="auto" w:sz="6" w:space="0"/>
                    <w:right w:val="single" w:color="auto" w:sz="6" w:space="0"/>
                  </w:tcBorders>
                  <w:vAlign w:val="center"/>
                </w:tcPr>
                <w:p>
                  <w:pPr>
                    <w:widowControl/>
                    <w:spacing w:line="240" w:lineRule="atLeast"/>
                    <w:jc w:val="center"/>
                    <w:rPr>
                      <w:rFonts w:ascii="Times New Roman" w:hAnsi="Times New Roman" w:eastAsia="等线"/>
                      <w:b/>
                      <w:bCs/>
                      <w:kern w:val="0"/>
                      <w:sz w:val="22"/>
                    </w:rPr>
                  </w:pPr>
                  <w:r>
                    <w:rPr>
                      <w:rFonts w:hint="eastAsia" w:ascii="Times New Roman" w:hAnsi="黑体" w:eastAsia="黑体"/>
                      <w:b/>
                      <w:bCs/>
                      <w:kern w:val="0"/>
                      <w:sz w:val="22"/>
                    </w:rPr>
                    <w:t>坐标</w:t>
                  </w:r>
                </w:p>
              </w:tc>
              <w:tc>
                <w:tcPr>
                  <w:tcW w:w="905" w:type="dxa"/>
                  <w:vMerge w:val="restart"/>
                  <w:tcBorders>
                    <w:top w:val="single" w:color="auto" w:sz="12" w:space="0"/>
                    <w:left w:val="single" w:color="auto" w:sz="6" w:space="0"/>
                    <w:bottom w:val="single" w:color="auto" w:sz="6" w:space="0"/>
                    <w:right w:val="single" w:color="auto" w:sz="6" w:space="0"/>
                  </w:tcBorders>
                  <w:vAlign w:val="center"/>
                </w:tcPr>
                <w:p>
                  <w:pPr>
                    <w:widowControl/>
                    <w:spacing w:line="240" w:lineRule="atLeast"/>
                    <w:jc w:val="center"/>
                    <w:rPr>
                      <w:rFonts w:ascii="Times New Roman" w:hAnsi="Times New Roman" w:eastAsia="等线"/>
                      <w:b/>
                      <w:bCs/>
                      <w:kern w:val="0"/>
                      <w:sz w:val="22"/>
                    </w:rPr>
                  </w:pPr>
                  <w:r>
                    <w:rPr>
                      <w:rFonts w:hint="eastAsia" w:ascii="Times New Roman" w:hAnsi="黑体" w:eastAsia="黑体"/>
                      <w:b/>
                      <w:bCs/>
                      <w:kern w:val="0"/>
                      <w:sz w:val="22"/>
                    </w:rPr>
                    <w:t>保护对象</w:t>
                  </w:r>
                </w:p>
              </w:tc>
              <w:tc>
                <w:tcPr>
                  <w:tcW w:w="714" w:type="dxa"/>
                  <w:vMerge w:val="restart"/>
                  <w:tcBorders>
                    <w:top w:val="single" w:color="auto" w:sz="12" w:space="0"/>
                    <w:left w:val="single" w:color="auto" w:sz="6" w:space="0"/>
                    <w:bottom w:val="single" w:color="auto" w:sz="6" w:space="0"/>
                    <w:right w:val="single" w:color="auto" w:sz="6" w:space="0"/>
                  </w:tcBorders>
                  <w:vAlign w:val="center"/>
                </w:tcPr>
                <w:p>
                  <w:pPr>
                    <w:widowControl/>
                    <w:spacing w:line="240" w:lineRule="atLeast"/>
                    <w:jc w:val="center"/>
                    <w:rPr>
                      <w:rFonts w:ascii="Times New Roman" w:hAnsi="Times New Roman" w:eastAsia="等线"/>
                      <w:b/>
                      <w:bCs/>
                      <w:kern w:val="0"/>
                      <w:sz w:val="22"/>
                    </w:rPr>
                  </w:pPr>
                  <w:r>
                    <w:rPr>
                      <w:rFonts w:hint="eastAsia" w:ascii="Times New Roman" w:hAnsi="黑体" w:eastAsia="黑体"/>
                      <w:b/>
                      <w:bCs/>
                      <w:kern w:val="0"/>
                      <w:sz w:val="22"/>
                    </w:rPr>
                    <w:t>保护内容</w:t>
                  </w:r>
                </w:p>
              </w:tc>
              <w:tc>
                <w:tcPr>
                  <w:tcW w:w="708" w:type="dxa"/>
                  <w:vMerge w:val="restart"/>
                  <w:tcBorders>
                    <w:top w:val="single" w:color="auto" w:sz="12" w:space="0"/>
                    <w:left w:val="single" w:color="auto" w:sz="6" w:space="0"/>
                    <w:bottom w:val="single" w:color="auto" w:sz="6" w:space="0"/>
                    <w:right w:val="single" w:color="auto" w:sz="6" w:space="0"/>
                  </w:tcBorders>
                  <w:vAlign w:val="center"/>
                </w:tcPr>
                <w:p>
                  <w:pPr>
                    <w:widowControl/>
                    <w:spacing w:line="240" w:lineRule="atLeast"/>
                    <w:jc w:val="center"/>
                    <w:rPr>
                      <w:rFonts w:ascii="Times New Roman" w:hAnsi="Times New Roman" w:eastAsia="等线"/>
                      <w:b/>
                      <w:bCs/>
                      <w:kern w:val="0"/>
                      <w:sz w:val="22"/>
                    </w:rPr>
                  </w:pPr>
                  <w:r>
                    <w:rPr>
                      <w:rFonts w:hint="eastAsia" w:ascii="Times New Roman" w:hAnsi="黑体" w:eastAsia="黑体"/>
                      <w:b/>
                      <w:bCs/>
                      <w:kern w:val="0"/>
                      <w:sz w:val="22"/>
                    </w:rPr>
                    <w:t>相对厂址方位</w:t>
                  </w:r>
                </w:p>
              </w:tc>
              <w:tc>
                <w:tcPr>
                  <w:tcW w:w="803" w:type="dxa"/>
                  <w:vMerge w:val="restart"/>
                  <w:tcBorders>
                    <w:top w:val="single" w:color="auto" w:sz="12" w:space="0"/>
                    <w:left w:val="single" w:color="auto" w:sz="6" w:space="0"/>
                    <w:bottom w:val="single" w:color="auto" w:sz="6" w:space="0"/>
                    <w:right w:val="single" w:color="auto" w:sz="6" w:space="0"/>
                  </w:tcBorders>
                  <w:vAlign w:val="center"/>
                </w:tcPr>
                <w:p>
                  <w:pPr>
                    <w:widowControl/>
                    <w:spacing w:line="240" w:lineRule="atLeast"/>
                    <w:jc w:val="center"/>
                    <w:rPr>
                      <w:rFonts w:ascii="Times New Roman" w:hAnsi="Times New Roman" w:eastAsia="等线"/>
                      <w:b/>
                      <w:bCs/>
                      <w:kern w:val="0"/>
                      <w:sz w:val="22"/>
                    </w:rPr>
                  </w:pPr>
                  <w:r>
                    <w:rPr>
                      <w:rFonts w:hint="eastAsia" w:ascii="Times New Roman" w:hAnsi="黑体" w:eastAsia="黑体"/>
                      <w:b/>
                      <w:bCs/>
                      <w:kern w:val="0"/>
                      <w:sz w:val="22"/>
                    </w:rPr>
                    <w:t>相对厂界距离</w:t>
                  </w:r>
                  <w:r>
                    <w:rPr>
                      <w:rFonts w:ascii="Times New Roman" w:hAnsi="Times New Roman" w:eastAsia="等线"/>
                      <w:b/>
                      <w:bCs/>
                      <w:kern w:val="0"/>
                      <w:sz w:val="22"/>
                    </w:rPr>
                    <w:t>/m</w:t>
                  </w:r>
                </w:p>
              </w:tc>
              <w:tc>
                <w:tcPr>
                  <w:tcW w:w="1627" w:type="dxa"/>
                  <w:vMerge w:val="restart"/>
                  <w:tcBorders>
                    <w:top w:val="single" w:color="auto" w:sz="12" w:space="0"/>
                    <w:left w:val="single" w:color="auto" w:sz="6" w:space="0"/>
                    <w:bottom w:val="single" w:color="auto" w:sz="6" w:space="0"/>
                    <w:right w:val="single" w:color="auto" w:sz="12" w:space="0"/>
                  </w:tcBorders>
                  <w:vAlign w:val="center"/>
                </w:tcPr>
                <w:p>
                  <w:pPr>
                    <w:widowControl/>
                    <w:spacing w:line="240" w:lineRule="atLeast"/>
                    <w:jc w:val="center"/>
                    <w:rPr>
                      <w:rFonts w:ascii="黑体" w:hAnsi="黑体" w:eastAsia="黑体" w:cs="宋体"/>
                      <w:b/>
                      <w:bCs/>
                      <w:kern w:val="0"/>
                      <w:sz w:val="22"/>
                    </w:rPr>
                  </w:pPr>
                  <w:r>
                    <w:rPr>
                      <w:rFonts w:hint="eastAsia" w:ascii="黑体" w:hAnsi="黑体" w:eastAsia="黑体" w:cs="宋体"/>
                      <w:b/>
                      <w:bCs/>
                      <w:kern w:val="0"/>
                      <w:sz w:val="22"/>
                    </w:rPr>
                    <w:t>环境功能区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vMerge w:val="continue"/>
                  <w:tcBorders>
                    <w:top w:val="single" w:color="auto" w:sz="6" w:space="0"/>
                    <w:left w:val="single" w:color="auto" w:sz="12" w:space="0"/>
                    <w:bottom w:val="double" w:color="auto" w:sz="4" w:space="0"/>
                    <w:right w:val="single" w:color="auto" w:sz="4" w:space="0"/>
                  </w:tcBorders>
                  <w:vAlign w:val="center"/>
                </w:tcPr>
                <w:p>
                  <w:pPr>
                    <w:widowControl/>
                    <w:jc w:val="center"/>
                    <w:rPr>
                      <w:rFonts w:ascii="Times New Roman" w:hAnsi="Times New Roman" w:eastAsia="等线"/>
                      <w:b/>
                      <w:bCs/>
                      <w:kern w:val="0"/>
                      <w:sz w:val="22"/>
                    </w:rPr>
                  </w:pPr>
                </w:p>
              </w:tc>
              <w:tc>
                <w:tcPr>
                  <w:tcW w:w="2416" w:type="dxa"/>
                  <w:vMerge w:val="continue"/>
                  <w:tcBorders>
                    <w:top w:val="single" w:color="auto" w:sz="6" w:space="0"/>
                    <w:left w:val="single" w:color="auto" w:sz="4" w:space="0"/>
                    <w:bottom w:val="double" w:color="auto" w:sz="4" w:space="0"/>
                    <w:right w:val="single" w:color="auto" w:sz="6" w:space="0"/>
                  </w:tcBorders>
                  <w:vAlign w:val="center"/>
                </w:tcPr>
                <w:p>
                  <w:pPr>
                    <w:widowControl/>
                    <w:jc w:val="left"/>
                    <w:rPr>
                      <w:rFonts w:ascii="Times New Roman" w:hAnsi="Times New Roman" w:eastAsia="等线"/>
                      <w:b/>
                      <w:bCs/>
                      <w:kern w:val="0"/>
                      <w:sz w:val="22"/>
                    </w:rPr>
                  </w:pPr>
                </w:p>
              </w:tc>
              <w:tc>
                <w:tcPr>
                  <w:tcW w:w="730" w:type="dxa"/>
                  <w:tcBorders>
                    <w:top w:val="single" w:color="auto" w:sz="6" w:space="0"/>
                    <w:left w:val="single" w:color="auto" w:sz="6" w:space="0"/>
                    <w:bottom w:val="double" w:color="auto" w:sz="4" w:space="0"/>
                    <w:right w:val="single" w:color="auto" w:sz="6" w:space="0"/>
                  </w:tcBorders>
                  <w:vAlign w:val="center"/>
                </w:tcPr>
                <w:p>
                  <w:pPr>
                    <w:widowControl/>
                    <w:jc w:val="center"/>
                    <w:rPr>
                      <w:rFonts w:ascii="Times New Roman" w:hAnsi="Times New Roman" w:eastAsia="等线"/>
                      <w:b/>
                      <w:bCs/>
                      <w:kern w:val="0"/>
                      <w:sz w:val="22"/>
                    </w:rPr>
                  </w:pPr>
                  <w:r>
                    <w:rPr>
                      <w:rFonts w:ascii="Times New Roman" w:hAnsi="Times New Roman" w:eastAsia="等线"/>
                      <w:b/>
                      <w:bCs/>
                      <w:kern w:val="0"/>
                      <w:sz w:val="22"/>
                    </w:rPr>
                    <w:t>X</w:t>
                  </w:r>
                </w:p>
              </w:tc>
              <w:tc>
                <w:tcPr>
                  <w:tcW w:w="730" w:type="dxa"/>
                  <w:tcBorders>
                    <w:top w:val="single" w:color="auto" w:sz="6" w:space="0"/>
                    <w:left w:val="single" w:color="auto" w:sz="6" w:space="0"/>
                    <w:bottom w:val="double" w:color="auto" w:sz="4" w:space="0"/>
                    <w:right w:val="single" w:color="auto" w:sz="6" w:space="0"/>
                  </w:tcBorders>
                  <w:vAlign w:val="center"/>
                </w:tcPr>
                <w:p>
                  <w:pPr>
                    <w:widowControl/>
                    <w:jc w:val="center"/>
                    <w:rPr>
                      <w:rFonts w:ascii="Times New Roman" w:hAnsi="Times New Roman" w:eastAsia="等线"/>
                      <w:b/>
                      <w:bCs/>
                      <w:kern w:val="0"/>
                      <w:sz w:val="22"/>
                    </w:rPr>
                  </w:pPr>
                  <w:r>
                    <w:rPr>
                      <w:rFonts w:ascii="Times New Roman" w:hAnsi="Times New Roman" w:eastAsia="等线"/>
                      <w:b/>
                      <w:bCs/>
                      <w:kern w:val="0"/>
                      <w:sz w:val="22"/>
                    </w:rPr>
                    <w:t>Y</w:t>
                  </w:r>
                </w:p>
              </w:tc>
              <w:tc>
                <w:tcPr>
                  <w:tcW w:w="905" w:type="dxa"/>
                  <w:vMerge w:val="continue"/>
                  <w:tcBorders>
                    <w:top w:val="single" w:color="auto" w:sz="6" w:space="0"/>
                    <w:left w:val="single" w:color="auto" w:sz="6" w:space="0"/>
                    <w:bottom w:val="double" w:color="auto" w:sz="4" w:space="0"/>
                    <w:right w:val="single" w:color="auto" w:sz="6" w:space="0"/>
                  </w:tcBorders>
                  <w:vAlign w:val="center"/>
                </w:tcPr>
                <w:p>
                  <w:pPr>
                    <w:widowControl/>
                    <w:jc w:val="left"/>
                    <w:rPr>
                      <w:rFonts w:ascii="Times New Roman" w:hAnsi="Times New Roman" w:eastAsia="等线"/>
                      <w:b/>
                      <w:bCs/>
                      <w:kern w:val="0"/>
                      <w:sz w:val="22"/>
                    </w:rPr>
                  </w:pPr>
                </w:p>
              </w:tc>
              <w:tc>
                <w:tcPr>
                  <w:tcW w:w="714" w:type="dxa"/>
                  <w:vMerge w:val="continue"/>
                  <w:tcBorders>
                    <w:top w:val="single" w:color="auto" w:sz="6" w:space="0"/>
                    <w:left w:val="single" w:color="auto" w:sz="6" w:space="0"/>
                    <w:bottom w:val="double" w:color="auto" w:sz="4" w:space="0"/>
                    <w:right w:val="single" w:color="auto" w:sz="6" w:space="0"/>
                  </w:tcBorders>
                  <w:vAlign w:val="center"/>
                </w:tcPr>
                <w:p>
                  <w:pPr>
                    <w:widowControl/>
                    <w:jc w:val="left"/>
                    <w:rPr>
                      <w:rFonts w:ascii="Times New Roman" w:hAnsi="Times New Roman" w:eastAsia="等线"/>
                      <w:b/>
                      <w:bCs/>
                      <w:kern w:val="0"/>
                      <w:sz w:val="22"/>
                    </w:rPr>
                  </w:pPr>
                </w:p>
              </w:tc>
              <w:tc>
                <w:tcPr>
                  <w:tcW w:w="708" w:type="dxa"/>
                  <w:vMerge w:val="continue"/>
                  <w:tcBorders>
                    <w:top w:val="single" w:color="auto" w:sz="6" w:space="0"/>
                    <w:left w:val="single" w:color="auto" w:sz="6" w:space="0"/>
                    <w:bottom w:val="double" w:color="auto" w:sz="4" w:space="0"/>
                    <w:right w:val="single" w:color="auto" w:sz="6" w:space="0"/>
                  </w:tcBorders>
                  <w:vAlign w:val="center"/>
                </w:tcPr>
                <w:p>
                  <w:pPr>
                    <w:widowControl/>
                    <w:jc w:val="left"/>
                    <w:rPr>
                      <w:rFonts w:ascii="Times New Roman" w:hAnsi="Times New Roman" w:eastAsia="等线"/>
                      <w:b/>
                      <w:bCs/>
                      <w:kern w:val="0"/>
                      <w:sz w:val="22"/>
                    </w:rPr>
                  </w:pPr>
                </w:p>
              </w:tc>
              <w:tc>
                <w:tcPr>
                  <w:tcW w:w="803" w:type="dxa"/>
                  <w:vMerge w:val="continue"/>
                  <w:tcBorders>
                    <w:top w:val="single" w:color="auto" w:sz="6" w:space="0"/>
                    <w:left w:val="single" w:color="auto" w:sz="6" w:space="0"/>
                    <w:bottom w:val="double" w:color="auto" w:sz="4" w:space="0"/>
                    <w:right w:val="single" w:color="auto" w:sz="6" w:space="0"/>
                  </w:tcBorders>
                  <w:vAlign w:val="center"/>
                </w:tcPr>
                <w:p>
                  <w:pPr>
                    <w:widowControl/>
                    <w:jc w:val="left"/>
                    <w:rPr>
                      <w:rFonts w:ascii="Times New Roman" w:hAnsi="Times New Roman" w:eastAsia="等线"/>
                      <w:b/>
                      <w:bCs/>
                      <w:kern w:val="0"/>
                      <w:sz w:val="22"/>
                    </w:rPr>
                  </w:pPr>
                </w:p>
              </w:tc>
              <w:tc>
                <w:tcPr>
                  <w:tcW w:w="1627" w:type="dxa"/>
                  <w:vMerge w:val="continue"/>
                  <w:tcBorders>
                    <w:top w:val="single" w:color="auto" w:sz="6" w:space="0"/>
                    <w:left w:val="single" w:color="auto" w:sz="6" w:space="0"/>
                    <w:bottom w:val="double" w:color="auto" w:sz="4" w:space="0"/>
                    <w:right w:val="single" w:color="auto" w:sz="12" w:space="0"/>
                  </w:tcBorders>
                  <w:vAlign w:val="center"/>
                </w:tcPr>
                <w:p>
                  <w:pPr>
                    <w:widowControl/>
                    <w:jc w:val="left"/>
                    <w:rPr>
                      <w:rFonts w:ascii="黑体" w:hAnsi="黑体" w:eastAsia="黑体" w:cs="宋体"/>
                      <w:b/>
                      <w:bCs/>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trPr>
              <w:tc>
                <w:tcPr>
                  <w:tcW w:w="465" w:type="dxa"/>
                  <w:tcBorders>
                    <w:top w:val="double" w:color="auto" w:sz="4"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w:t>
                  </w:r>
                </w:p>
              </w:tc>
              <w:tc>
                <w:tcPr>
                  <w:tcW w:w="2416" w:type="dxa"/>
                  <w:tcBorders>
                    <w:top w:val="double" w:color="auto" w:sz="4"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白沙村</w:t>
                  </w:r>
                </w:p>
              </w:tc>
              <w:tc>
                <w:tcPr>
                  <w:tcW w:w="730" w:type="dxa"/>
                  <w:tcBorders>
                    <w:top w:val="double" w:color="auto" w:sz="4"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506</w:t>
                  </w:r>
                </w:p>
              </w:tc>
              <w:tc>
                <w:tcPr>
                  <w:tcW w:w="730" w:type="dxa"/>
                  <w:tcBorders>
                    <w:top w:val="double" w:color="auto" w:sz="4"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-201</w:t>
                  </w:r>
                </w:p>
              </w:tc>
              <w:tc>
                <w:tcPr>
                  <w:tcW w:w="905" w:type="dxa"/>
                  <w:tcBorders>
                    <w:top w:val="double" w:color="auto" w:sz="4"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double" w:color="auto" w:sz="4"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double" w:color="auto" w:sz="4"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SE</w:t>
                  </w:r>
                </w:p>
              </w:tc>
              <w:tc>
                <w:tcPr>
                  <w:tcW w:w="803" w:type="dxa"/>
                  <w:tcBorders>
                    <w:top w:val="double" w:color="auto" w:sz="4"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300</w:t>
                  </w:r>
                </w:p>
              </w:tc>
              <w:tc>
                <w:tcPr>
                  <w:tcW w:w="1627" w:type="dxa"/>
                  <w:vMerge w:val="restart"/>
                  <w:tcBorders>
                    <w:top w:val="double" w:color="auto" w:sz="4" w:space="0"/>
                    <w:left w:val="single" w:color="auto" w:sz="6" w:space="0"/>
                    <w:bottom w:val="single" w:color="auto" w:sz="6" w:space="0"/>
                    <w:right w:val="single" w:color="auto" w:sz="12" w:space="0"/>
                  </w:tcBorders>
                  <w:vAlign w:val="center"/>
                </w:tcPr>
                <w:p>
                  <w:pPr>
                    <w:widowControl/>
                    <w:jc w:val="center"/>
                    <w:rPr>
                      <w:rFonts w:ascii="Times New Roman" w:hAnsi="Times New Roman"/>
                      <w:kern w:val="0"/>
                      <w:szCs w:val="21"/>
                    </w:rPr>
                  </w:pPr>
                  <w:r>
                    <w:rPr>
                      <w:rFonts w:hint="eastAsia" w:ascii="Times New Roman" w:hAnsi="宋体"/>
                      <w:kern w:val="0"/>
                      <w:szCs w:val="21"/>
                    </w:rPr>
                    <w:t>《环境空气质量标准》（</w:t>
                  </w:r>
                  <w:r>
                    <w:rPr>
                      <w:rFonts w:ascii="Times New Roman" w:hAnsi="Times New Roman"/>
                      <w:kern w:val="0"/>
                      <w:szCs w:val="21"/>
                    </w:rPr>
                    <w:t>GB3095-2012)</w:t>
                  </w:r>
                  <w:r>
                    <w:rPr>
                      <w:rFonts w:hint="eastAsia" w:ascii="Times New Roman" w:hAnsi="宋体"/>
                      <w:kern w:val="0"/>
                      <w:szCs w:val="21"/>
                    </w:rPr>
                    <w:t>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2</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下岭村</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1053</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-805</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SE</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1350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3</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仙屯村</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1224</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-242</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SE</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1250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3</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定安县定城镇仙屯小学</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1732</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-463</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学校</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学生</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SE</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1800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4</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海南定安思源实验学校</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2213</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-1921</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学校</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学生</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SE</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3000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5</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仙沟岭</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2259</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-2510</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SE</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3300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6</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定安中学</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1305</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-2169</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学校</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学生</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SE</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2600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7</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定安新城区</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0</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-908</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900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8</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安定县第一小学</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0</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-1233</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学校</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学生</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1250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9</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排坡小学</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-1408</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-99</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学校</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学生</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SW</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1400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10</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定安老城区</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-279</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-2447</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SW</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2450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11</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定安县定城镇山椒小学</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ascii="Times New Roman" w:hAnsi="Times New Roman"/>
                      <w:kern w:val="0"/>
                      <w:sz w:val="22"/>
                    </w:rPr>
                    <w:t>-2267</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ascii="Times New Roman" w:hAnsi="Times New Roman"/>
                      <w:kern w:val="0"/>
                      <w:sz w:val="22"/>
                    </w:rPr>
                    <w:t>571</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学校</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学生</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ascii="Times New Roman" w:hAnsi="Times New Roman"/>
                      <w:kern w:val="0"/>
                      <w:sz w:val="22"/>
                    </w:rPr>
                    <w:t>NW</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ascii="Times New Roman" w:hAnsi="Times New Roman"/>
                      <w:kern w:val="0"/>
                      <w:sz w:val="22"/>
                    </w:rPr>
                    <w:t>2300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12</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佳龙坎村</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-301</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851</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NW</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900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13</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高龙村</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-247</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1094</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NW</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1100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14</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新村头</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1980</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2230</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NE</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2900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15</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文丰小学</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413</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2489</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学校</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kern w:val="0"/>
                      <w:sz w:val="22"/>
                    </w:rPr>
                  </w:pPr>
                  <w:r>
                    <w:rPr>
                      <w:rFonts w:hint="eastAsia" w:ascii="Times New Roman" w:hAnsi="宋体"/>
                      <w:kern w:val="0"/>
                      <w:sz w:val="22"/>
                    </w:rPr>
                    <w:t>学生</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NE</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2500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16</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文丰村</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180</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2438</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NE</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1450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465" w:type="dxa"/>
                  <w:tcBorders>
                    <w:top w:val="single" w:color="auto" w:sz="6" w:space="0"/>
                    <w:left w:val="single" w:color="auto" w:sz="12" w:space="0"/>
                    <w:bottom w:val="single" w:color="auto" w:sz="6"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17</w:t>
                  </w:r>
                </w:p>
              </w:tc>
              <w:tc>
                <w:tcPr>
                  <w:tcW w:w="2416" w:type="dxa"/>
                  <w:tcBorders>
                    <w:top w:val="single" w:color="auto" w:sz="6" w:space="0"/>
                    <w:left w:val="single" w:color="auto" w:sz="4"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仙头村</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-261</w:t>
                  </w:r>
                </w:p>
              </w:tc>
              <w:tc>
                <w:tcPr>
                  <w:tcW w:w="730"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2483</w:t>
                  </w:r>
                </w:p>
              </w:tc>
              <w:tc>
                <w:tcPr>
                  <w:tcW w:w="90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NW</w:t>
                  </w:r>
                </w:p>
              </w:tc>
              <w:tc>
                <w:tcPr>
                  <w:tcW w:w="80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2500</w:t>
                  </w:r>
                </w:p>
              </w:tc>
              <w:tc>
                <w:tcPr>
                  <w:tcW w:w="1627" w:type="dxa"/>
                  <w:vMerge w:val="continue"/>
                  <w:tcBorders>
                    <w:top w:val="single" w:color="auto" w:sz="6" w:space="0"/>
                    <w:left w:val="single" w:color="auto" w:sz="6" w:space="0"/>
                    <w:bottom w:val="single" w:color="auto" w:sz="6" w:space="0"/>
                    <w:right w:val="single" w:color="auto" w:sz="12" w:space="0"/>
                  </w:tcBorders>
                  <w:vAlign w:val="center"/>
                </w:tcPr>
                <w:p>
                  <w:pPr>
                    <w:widowControl/>
                    <w:jc w:val="left"/>
                    <w:rPr>
                      <w:rFonts w:ascii="宋体" w:cs="宋体"/>
                      <w:kern w:val="0"/>
                      <w:sz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5" w:hRule="atLeast"/>
              </w:trPr>
              <w:tc>
                <w:tcPr>
                  <w:tcW w:w="465" w:type="dxa"/>
                  <w:tcBorders>
                    <w:top w:val="single" w:color="auto" w:sz="6" w:space="0"/>
                    <w:left w:val="single" w:color="auto" w:sz="12" w:space="0"/>
                    <w:bottom w:val="single" w:color="auto" w:sz="12" w:space="0"/>
                    <w:right w:val="single" w:color="auto" w:sz="4" w:space="0"/>
                  </w:tcBorders>
                  <w:vAlign w:val="center"/>
                </w:tcPr>
                <w:p>
                  <w:pPr>
                    <w:widowControl/>
                    <w:jc w:val="center"/>
                    <w:rPr>
                      <w:rFonts w:ascii="Times New Roman" w:hAnsi="Times New Roman"/>
                      <w:kern w:val="0"/>
                      <w:sz w:val="22"/>
                    </w:rPr>
                  </w:pPr>
                  <w:r>
                    <w:rPr>
                      <w:rFonts w:ascii="Times New Roman" w:hAnsi="Times New Roman"/>
                      <w:kern w:val="0"/>
                      <w:sz w:val="22"/>
                    </w:rPr>
                    <w:t>18</w:t>
                  </w:r>
                </w:p>
              </w:tc>
              <w:tc>
                <w:tcPr>
                  <w:tcW w:w="2416" w:type="dxa"/>
                  <w:tcBorders>
                    <w:top w:val="single" w:color="auto" w:sz="6" w:space="0"/>
                    <w:left w:val="single" w:color="auto" w:sz="4" w:space="0"/>
                    <w:bottom w:val="single" w:color="auto" w:sz="12"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塘边村</w:t>
                  </w:r>
                </w:p>
              </w:tc>
              <w:tc>
                <w:tcPr>
                  <w:tcW w:w="730"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-2285</w:t>
                  </w:r>
                </w:p>
              </w:tc>
              <w:tc>
                <w:tcPr>
                  <w:tcW w:w="730"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2554</w:t>
                  </w:r>
                </w:p>
              </w:tc>
              <w:tc>
                <w:tcPr>
                  <w:tcW w:w="905"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居民区</w:t>
                  </w:r>
                </w:p>
              </w:tc>
              <w:tc>
                <w:tcPr>
                  <w:tcW w:w="714"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Times New Roman" w:hAnsi="Times New Roman" w:eastAsia="等线"/>
                      <w:kern w:val="0"/>
                      <w:sz w:val="22"/>
                    </w:rPr>
                  </w:pPr>
                  <w:r>
                    <w:rPr>
                      <w:rFonts w:hint="eastAsia" w:ascii="Times New Roman" w:hAnsi="宋体"/>
                      <w:kern w:val="0"/>
                      <w:sz w:val="22"/>
                    </w:rPr>
                    <w:t>人群</w:t>
                  </w:r>
                </w:p>
              </w:tc>
              <w:tc>
                <w:tcPr>
                  <w:tcW w:w="708"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NW</w:t>
                  </w:r>
                </w:p>
              </w:tc>
              <w:tc>
                <w:tcPr>
                  <w:tcW w:w="803"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Times New Roman" w:hAnsi="Times New Roman" w:eastAsia="等线"/>
                      <w:kern w:val="0"/>
                      <w:sz w:val="22"/>
                    </w:rPr>
                  </w:pPr>
                  <w:r>
                    <w:rPr>
                      <w:rFonts w:ascii="Times New Roman" w:hAnsi="Times New Roman" w:eastAsia="等线"/>
                      <w:kern w:val="0"/>
                      <w:sz w:val="22"/>
                    </w:rPr>
                    <w:t>3400</w:t>
                  </w:r>
                </w:p>
              </w:tc>
              <w:tc>
                <w:tcPr>
                  <w:tcW w:w="1627" w:type="dxa"/>
                  <w:vMerge w:val="continue"/>
                  <w:tcBorders>
                    <w:top w:val="single" w:color="auto" w:sz="6" w:space="0"/>
                    <w:left w:val="single" w:color="auto" w:sz="6" w:space="0"/>
                    <w:bottom w:val="single" w:color="auto" w:sz="12" w:space="0"/>
                    <w:right w:val="single" w:color="auto" w:sz="12" w:space="0"/>
                  </w:tcBorders>
                  <w:vAlign w:val="center"/>
                </w:tcPr>
                <w:p>
                  <w:pPr>
                    <w:widowControl/>
                    <w:jc w:val="left"/>
                    <w:rPr>
                      <w:rFonts w:ascii="宋体" w:cs="宋体"/>
                      <w:kern w:val="0"/>
                      <w:sz w:val="22"/>
                    </w:rPr>
                  </w:pPr>
                </w:p>
              </w:tc>
            </w:tr>
          </w:tbl>
          <w:p>
            <w:pPr>
              <w:pStyle w:val="122"/>
            </w:pPr>
          </w:p>
          <w:p>
            <w:pPr>
              <w:pStyle w:val="122"/>
            </w:pPr>
            <w:r>
              <w:rPr>
                <w:rFonts w:hint="eastAsia"/>
              </w:rPr>
              <w:t>表</w:t>
            </w:r>
            <w:r>
              <w:t xml:space="preserve">3-19   </w:t>
            </w:r>
            <w:r>
              <w:rPr>
                <w:rFonts w:hint="eastAsia"/>
              </w:rPr>
              <w:t>其他环境保护目标一览表</w:t>
            </w:r>
          </w:p>
          <w:tbl>
            <w:tblPr>
              <w:tblStyle w:val="37"/>
              <w:tblW w:w="928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8"/>
              <w:gridCol w:w="3169"/>
              <w:gridCol w:w="1274"/>
              <w:gridCol w:w="1208"/>
              <w:gridCol w:w="1629"/>
              <w:gridCol w:w="10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908" w:type="dxa"/>
                  <w:tcBorders>
                    <w:top w:val="single" w:color="auto" w:sz="12" w:space="0"/>
                    <w:left w:val="single" w:color="auto" w:sz="12" w:space="0"/>
                    <w:bottom w:val="double" w:color="auto" w:sz="4" w:space="0"/>
                    <w:right w:val="single" w:color="auto" w:sz="4" w:space="0"/>
                  </w:tcBorders>
                  <w:vAlign w:val="center"/>
                </w:tcPr>
                <w:p>
                  <w:pPr>
                    <w:pStyle w:val="77"/>
                  </w:pPr>
                  <w:r>
                    <w:rPr>
                      <w:rFonts w:hint="eastAsia"/>
                    </w:rPr>
                    <w:t>环境</w:t>
                  </w:r>
                </w:p>
                <w:p>
                  <w:pPr>
                    <w:pStyle w:val="77"/>
                  </w:pPr>
                  <w:r>
                    <w:rPr>
                      <w:rFonts w:hint="eastAsia"/>
                    </w:rPr>
                    <w:t>要素</w:t>
                  </w:r>
                </w:p>
              </w:tc>
              <w:tc>
                <w:tcPr>
                  <w:tcW w:w="3169"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保护目标</w:t>
                  </w:r>
                </w:p>
              </w:tc>
              <w:tc>
                <w:tcPr>
                  <w:tcW w:w="1274" w:type="dxa"/>
                  <w:tcBorders>
                    <w:top w:val="single" w:color="auto" w:sz="12" w:space="0"/>
                    <w:left w:val="single" w:color="auto" w:sz="4" w:space="0"/>
                    <w:bottom w:val="double" w:color="auto" w:sz="4" w:space="0"/>
                    <w:right w:val="single" w:color="auto" w:sz="4" w:space="0"/>
                  </w:tcBorders>
                  <w:vAlign w:val="center"/>
                </w:tcPr>
                <w:p>
                  <w:pPr>
                    <w:pStyle w:val="77"/>
                  </w:pPr>
                  <w:r>
                    <w:rPr>
                      <w:rFonts w:hint="eastAsia"/>
                    </w:rPr>
                    <w:t>相对拟建项目方位</w:t>
                  </w:r>
                </w:p>
              </w:tc>
              <w:tc>
                <w:tcPr>
                  <w:tcW w:w="1208" w:type="dxa"/>
                  <w:tcBorders>
                    <w:top w:val="single" w:color="auto" w:sz="12" w:space="0"/>
                    <w:left w:val="single" w:color="auto" w:sz="4" w:space="0"/>
                    <w:bottom w:val="double" w:color="auto" w:sz="4" w:space="0"/>
                    <w:right w:val="single" w:color="auto" w:sz="4" w:space="0"/>
                  </w:tcBorders>
                  <w:tcMar>
                    <w:top w:w="0" w:type="dxa"/>
                    <w:left w:w="11" w:type="dxa"/>
                    <w:bottom w:w="0" w:type="dxa"/>
                    <w:right w:w="11" w:type="dxa"/>
                  </w:tcMar>
                  <w:vAlign w:val="center"/>
                </w:tcPr>
                <w:p>
                  <w:pPr>
                    <w:pStyle w:val="77"/>
                  </w:pPr>
                  <w:r>
                    <w:rPr>
                      <w:rFonts w:hint="eastAsia"/>
                    </w:rPr>
                    <w:t>最近距离</w:t>
                  </w:r>
                  <w:r>
                    <w:t>(m)</w:t>
                  </w:r>
                </w:p>
              </w:tc>
              <w:tc>
                <w:tcPr>
                  <w:tcW w:w="1629" w:type="dxa"/>
                  <w:tcBorders>
                    <w:top w:val="single" w:color="auto" w:sz="12" w:space="0"/>
                    <w:left w:val="single" w:color="auto" w:sz="4" w:space="0"/>
                    <w:bottom w:val="double" w:color="auto" w:sz="4" w:space="0"/>
                    <w:right w:val="single" w:color="auto" w:sz="4" w:space="0"/>
                  </w:tcBorders>
                  <w:tcMar>
                    <w:top w:w="0" w:type="dxa"/>
                    <w:left w:w="11" w:type="dxa"/>
                    <w:bottom w:w="0" w:type="dxa"/>
                    <w:right w:w="11" w:type="dxa"/>
                  </w:tcMar>
                  <w:vAlign w:val="center"/>
                </w:tcPr>
                <w:p>
                  <w:pPr>
                    <w:pStyle w:val="77"/>
                  </w:pPr>
                  <w:r>
                    <w:rPr>
                      <w:rFonts w:hint="eastAsia"/>
                    </w:rPr>
                    <w:t>基本情况</w:t>
                  </w:r>
                </w:p>
              </w:tc>
              <w:tc>
                <w:tcPr>
                  <w:tcW w:w="1098" w:type="dxa"/>
                  <w:tcBorders>
                    <w:top w:val="single" w:color="auto" w:sz="12" w:space="0"/>
                    <w:left w:val="single" w:color="auto" w:sz="4" w:space="0"/>
                    <w:bottom w:val="double" w:color="auto" w:sz="4" w:space="0"/>
                    <w:right w:val="single" w:color="auto" w:sz="12" w:space="0"/>
                  </w:tcBorders>
                  <w:vAlign w:val="center"/>
                </w:tcPr>
                <w:p>
                  <w:pPr>
                    <w:pStyle w:val="77"/>
                  </w:pPr>
                  <w:r>
                    <w:rPr>
                      <w:rFonts w:hint="eastAsia"/>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08" w:type="dxa"/>
                  <w:vMerge w:val="restart"/>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地表水</w:t>
                  </w:r>
                </w:p>
              </w:tc>
              <w:tc>
                <w:tcPr>
                  <w:tcW w:w="3169"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潭榄溪</w:t>
                  </w:r>
                </w:p>
              </w:tc>
              <w:tc>
                <w:tcPr>
                  <w:tcW w:w="127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北</w:t>
                  </w:r>
                </w:p>
              </w:tc>
              <w:tc>
                <w:tcPr>
                  <w:tcW w:w="1208" w:type="dxa"/>
                  <w:tcBorders>
                    <w:top w:val="single" w:color="auto" w:sz="4" w:space="0"/>
                    <w:left w:val="single" w:color="auto" w:sz="4" w:space="0"/>
                    <w:bottom w:val="single" w:color="auto" w:sz="4" w:space="0"/>
                    <w:right w:val="single" w:color="auto" w:sz="4" w:space="0"/>
                  </w:tcBorders>
                  <w:vAlign w:val="center"/>
                </w:tcPr>
                <w:p>
                  <w:pPr>
                    <w:pStyle w:val="77"/>
                  </w:pPr>
                  <w:r>
                    <w:t>35</w:t>
                  </w:r>
                </w:p>
              </w:tc>
              <w:tc>
                <w:tcPr>
                  <w:tcW w:w="1629" w:type="dxa"/>
                  <w:tcBorders>
                    <w:top w:val="single" w:color="auto" w:sz="4" w:space="0"/>
                    <w:left w:val="single" w:color="auto" w:sz="4" w:space="0"/>
                    <w:bottom w:val="single" w:color="auto" w:sz="4" w:space="0"/>
                    <w:right w:val="single" w:color="auto" w:sz="4" w:space="0"/>
                  </w:tcBorders>
                  <w:vAlign w:val="center"/>
                </w:tcPr>
                <w:p>
                  <w:pPr>
                    <w:pStyle w:val="77"/>
                  </w:pPr>
                  <w:r>
                    <w:t>/</w:t>
                  </w:r>
                </w:p>
              </w:tc>
              <w:tc>
                <w:tcPr>
                  <w:tcW w:w="1098" w:type="dxa"/>
                  <w:vMerge w:val="restart"/>
                  <w:tcBorders>
                    <w:top w:val="single" w:color="auto" w:sz="4" w:space="0"/>
                    <w:left w:val="single" w:color="auto" w:sz="4" w:space="0"/>
                    <w:bottom w:val="single" w:color="auto" w:sz="4" w:space="0"/>
                    <w:right w:val="single" w:color="auto" w:sz="12" w:space="0"/>
                  </w:tcBorders>
                  <w:vAlign w:val="center"/>
                </w:tcPr>
                <w:p>
                  <w:pPr>
                    <w:pStyle w:val="77"/>
                  </w:pPr>
                  <w:r>
                    <w:t>III</w:t>
                  </w:r>
                  <w:r>
                    <w:rPr>
                      <w:rFonts w:hint="eastAsia"/>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08"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3169"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南渡江</w:t>
                  </w:r>
                </w:p>
              </w:tc>
              <w:tc>
                <w:tcPr>
                  <w:tcW w:w="1274"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北</w:t>
                  </w:r>
                </w:p>
              </w:tc>
              <w:tc>
                <w:tcPr>
                  <w:tcW w:w="1208" w:type="dxa"/>
                  <w:tcBorders>
                    <w:top w:val="single" w:color="auto" w:sz="4" w:space="0"/>
                    <w:left w:val="single" w:color="auto" w:sz="4" w:space="0"/>
                    <w:bottom w:val="single" w:color="auto" w:sz="4" w:space="0"/>
                    <w:right w:val="single" w:color="auto" w:sz="4" w:space="0"/>
                  </w:tcBorders>
                  <w:vAlign w:val="center"/>
                </w:tcPr>
                <w:p>
                  <w:pPr>
                    <w:pStyle w:val="77"/>
                  </w:pPr>
                  <w:r>
                    <w:t>1600</w:t>
                  </w:r>
                </w:p>
              </w:tc>
              <w:tc>
                <w:tcPr>
                  <w:tcW w:w="1629" w:type="dxa"/>
                  <w:tcBorders>
                    <w:top w:val="single" w:color="auto" w:sz="4" w:space="0"/>
                    <w:left w:val="single" w:color="auto" w:sz="4" w:space="0"/>
                    <w:bottom w:val="single" w:color="auto" w:sz="4" w:space="0"/>
                    <w:right w:val="single" w:color="auto" w:sz="4" w:space="0"/>
                  </w:tcBorders>
                  <w:vAlign w:val="center"/>
                </w:tcPr>
                <w:p>
                  <w:pPr>
                    <w:pStyle w:val="77"/>
                  </w:pPr>
                  <w:r>
                    <w:t>/</w:t>
                  </w:r>
                </w:p>
              </w:tc>
              <w:tc>
                <w:tcPr>
                  <w:tcW w:w="1098" w:type="dxa"/>
                  <w:vMerge w:val="continue"/>
                  <w:tcBorders>
                    <w:top w:val="single" w:color="auto" w:sz="4" w:space="0"/>
                    <w:left w:val="single" w:color="auto" w:sz="4" w:space="0"/>
                    <w:bottom w:val="sing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08" w:type="dxa"/>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地下水</w:t>
                  </w:r>
                </w:p>
              </w:tc>
              <w:tc>
                <w:tcPr>
                  <w:tcW w:w="7280" w:type="dxa"/>
                  <w:gridSpan w:val="4"/>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区域地下水环境</w:t>
                  </w:r>
                </w:p>
              </w:tc>
              <w:tc>
                <w:tcPr>
                  <w:tcW w:w="1098" w:type="dxa"/>
                  <w:tcBorders>
                    <w:top w:val="single" w:color="auto" w:sz="4" w:space="0"/>
                    <w:left w:val="single" w:color="auto" w:sz="4" w:space="0"/>
                    <w:bottom w:val="single" w:color="auto" w:sz="4" w:space="0"/>
                    <w:right w:val="single" w:color="auto" w:sz="12" w:space="0"/>
                  </w:tcBorders>
                  <w:vAlign w:val="center"/>
                </w:tcPr>
                <w:p>
                  <w:pPr>
                    <w:pStyle w:val="77"/>
                  </w:pPr>
                  <w:r>
                    <w:t>III</w:t>
                  </w:r>
                  <w:r>
                    <w:rPr>
                      <w:rFonts w:hint="eastAsia"/>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08" w:type="dxa"/>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声环境</w:t>
                  </w:r>
                </w:p>
              </w:tc>
              <w:tc>
                <w:tcPr>
                  <w:tcW w:w="7280" w:type="dxa"/>
                  <w:gridSpan w:val="4"/>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厂区边界外</w:t>
                  </w:r>
                  <w:r>
                    <w:t>200m</w:t>
                  </w:r>
                  <w:r>
                    <w:rPr>
                      <w:rFonts w:hint="eastAsia"/>
                    </w:rPr>
                    <w:t>范围内的区域</w:t>
                  </w:r>
                </w:p>
              </w:tc>
              <w:tc>
                <w:tcPr>
                  <w:tcW w:w="1098" w:type="dxa"/>
                  <w:tcBorders>
                    <w:top w:val="single" w:color="auto" w:sz="4" w:space="0"/>
                    <w:left w:val="single" w:color="auto" w:sz="4" w:space="0"/>
                    <w:bottom w:val="single" w:color="auto" w:sz="4" w:space="0"/>
                    <w:right w:val="single" w:color="auto" w:sz="12" w:space="0"/>
                  </w:tcBorders>
                  <w:vAlign w:val="center"/>
                </w:tcPr>
                <w:p>
                  <w:pPr>
                    <w:pStyle w:val="77"/>
                  </w:pPr>
                  <w:r>
                    <w:t>2</w:t>
                  </w:r>
                  <w:r>
                    <w:rPr>
                      <w:rFonts w:hint="eastAsia"/>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08" w:type="dxa"/>
                  <w:tcBorders>
                    <w:top w:val="single" w:color="auto" w:sz="4" w:space="0"/>
                    <w:left w:val="single" w:color="auto" w:sz="12" w:space="0"/>
                    <w:bottom w:val="single" w:color="auto" w:sz="4" w:space="0"/>
                    <w:right w:val="single" w:color="auto" w:sz="4" w:space="0"/>
                  </w:tcBorders>
                  <w:tcMar>
                    <w:top w:w="0" w:type="dxa"/>
                    <w:left w:w="11" w:type="dxa"/>
                    <w:bottom w:w="0" w:type="dxa"/>
                    <w:right w:w="11" w:type="dxa"/>
                  </w:tcMar>
                  <w:vAlign w:val="center"/>
                </w:tcPr>
                <w:p>
                  <w:pPr>
                    <w:pStyle w:val="77"/>
                  </w:pPr>
                  <w:r>
                    <w:rPr>
                      <w:rFonts w:hint="eastAsia"/>
                    </w:rPr>
                    <w:t>土壤环境</w:t>
                  </w:r>
                </w:p>
              </w:tc>
              <w:tc>
                <w:tcPr>
                  <w:tcW w:w="7280" w:type="dxa"/>
                  <w:gridSpan w:val="4"/>
                  <w:tcBorders>
                    <w:top w:val="single" w:color="auto" w:sz="4" w:space="0"/>
                    <w:left w:val="single" w:color="auto" w:sz="4" w:space="0"/>
                    <w:bottom w:val="single" w:color="auto" w:sz="4" w:space="0"/>
                    <w:right w:val="single" w:color="auto" w:sz="4" w:space="0"/>
                  </w:tcBorders>
                  <w:vAlign w:val="center"/>
                </w:tcPr>
                <w:p>
                  <w:pPr>
                    <w:pStyle w:val="77"/>
                  </w:pPr>
                  <w:r>
                    <w:rPr>
                      <w:rFonts w:hint="eastAsia"/>
                    </w:rPr>
                    <w:t>项目占地红线范围外</w:t>
                  </w:r>
                  <w:r>
                    <w:t>50m</w:t>
                  </w:r>
                  <w:r>
                    <w:rPr>
                      <w:rFonts w:hint="eastAsia"/>
                    </w:rPr>
                    <w:t>范围内土壤环境。</w:t>
                  </w:r>
                </w:p>
              </w:tc>
              <w:tc>
                <w:tcPr>
                  <w:tcW w:w="1098" w:type="dxa"/>
                  <w:tcBorders>
                    <w:top w:val="single" w:color="auto" w:sz="4" w:space="0"/>
                    <w:left w:val="single" w:color="auto" w:sz="4" w:space="0"/>
                    <w:bottom w:val="single" w:color="auto" w:sz="4" w:space="0"/>
                    <w:right w:val="single" w:color="auto" w:sz="12" w:space="0"/>
                  </w:tcBorders>
                  <w:vAlign w:val="center"/>
                </w:tcPr>
                <w:p>
                  <w:pPr>
                    <w:pStyle w:val="77"/>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08" w:type="dxa"/>
                  <w:tcBorders>
                    <w:top w:val="single" w:color="auto" w:sz="4" w:space="0"/>
                    <w:left w:val="single" w:color="auto" w:sz="12" w:space="0"/>
                    <w:bottom w:val="single" w:color="auto" w:sz="12" w:space="0"/>
                    <w:right w:val="single" w:color="auto" w:sz="4" w:space="0"/>
                  </w:tcBorders>
                  <w:tcMar>
                    <w:top w:w="0" w:type="dxa"/>
                    <w:left w:w="11" w:type="dxa"/>
                    <w:bottom w:w="0" w:type="dxa"/>
                    <w:right w:w="11" w:type="dxa"/>
                  </w:tcMar>
                  <w:vAlign w:val="center"/>
                </w:tcPr>
                <w:p>
                  <w:pPr>
                    <w:pStyle w:val="77"/>
                  </w:pPr>
                  <w:r>
                    <w:rPr>
                      <w:rFonts w:hint="eastAsia"/>
                    </w:rPr>
                    <w:t>生态环境</w:t>
                  </w:r>
                </w:p>
              </w:tc>
              <w:tc>
                <w:tcPr>
                  <w:tcW w:w="3169"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Ⅱ</w:t>
                  </w:r>
                  <w:r>
                    <w:t>3</w:t>
                  </w:r>
                  <w:r>
                    <w:rPr>
                      <w:rFonts w:hint="eastAsia"/>
                    </w:rPr>
                    <w:t>海南岛防洪调蓄Ⅱ类红线区</w:t>
                  </w:r>
                </w:p>
              </w:tc>
              <w:tc>
                <w:tcPr>
                  <w:tcW w:w="1274"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北</w:t>
                  </w:r>
                </w:p>
              </w:tc>
              <w:tc>
                <w:tcPr>
                  <w:tcW w:w="1208" w:type="dxa"/>
                  <w:tcBorders>
                    <w:top w:val="single" w:color="auto" w:sz="4" w:space="0"/>
                    <w:left w:val="single" w:color="auto" w:sz="4" w:space="0"/>
                    <w:bottom w:val="single" w:color="auto" w:sz="12" w:space="0"/>
                    <w:right w:val="single" w:color="auto" w:sz="4" w:space="0"/>
                  </w:tcBorders>
                  <w:vAlign w:val="center"/>
                </w:tcPr>
                <w:p>
                  <w:pPr>
                    <w:pStyle w:val="77"/>
                  </w:pPr>
                  <w:r>
                    <w:t>1350</w:t>
                  </w:r>
                </w:p>
              </w:tc>
              <w:tc>
                <w:tcPr>
                  <w:tcW w:w="1629" w:type="dxa"/>
                  <w:tcBorders>
                    <w:top w:val="single" w:color="auto" w:sz="4" w:space="0"/>
                    <w:left w:val="single" w:color="auto" w:sz="4" w:space="0"/>
                    <w:bottom w:val="single" w:color="auto" w:sz="12" w:space="0"/>
                    <w:right w:val="single" w:color="auto" w:sz="4" w:space="0"/>
                  </w:tcBorders>
                  <w:vAlign w:val="center"/>
                </w:tcPr>
                <w:p>
                  <w:pPr>
                    <w:pStyle w:val="77"/>
                  </w:pPr>
                  <w:r>
                    <w:t>/</w:t>
                  </w:r>
                </w:p>
              </w:tc>
              <w:tc>
                <w:tcPr>
                  <w:tcW w:w="1098" w:type="dxa"/>
                  <w:tcBorders>
                    <w:top w:val="single" w:color="auto" w:sz="4" w:space="0"/>
                    <w:left w:val="single" w:color="auto" w:sz="4" w:space="0"/>
                    <w:bottom w:val="single" w:color="auto" w:sz="12" w:space="0"/>
                    <w:right w:val="single" w:color="auto" w:sz="12" w:space="0"/>
                  </w:tcBorders>
                  <w:vAlign w:val="center"/>
                </w:tcPr>
                <w:p>
                  <w:pPr>
                    <w:pStyle w:val="77"/>
                  </w:pPr>
                  <w:r>
                    <w:rPr>
                      <w:rFonts w:hint="eastAsia"/>
                    </w:rPr>
                    <w:t>Ⅱ类生态红线区</w:t>
                  </w:r>
                </w:p>
              </w:tc>
            </w:tr>
          </w:tbl>
          <w:p>
            <w:pPr>
              <w:spacing w:line="580" w:lineRule="exact"/>
              <w:ind w:firstLine="482" w:firstLineChars="200"/>
              <w:rPr>
                <w:rFonts w:ascii="Times New Roman" w:hAnsi="Times New Roman"/>
                <w:b/>
                <w:bCs/>
                <w:sz w:val="24"/>
                <w:szCs w:val="24"/>
              </w:rPr>
            </w:pPr>
          </w:p>
        </w:tc>
      </w:tr>
    </w:tbl>
    <w:p>
      <w:pPr>
        <w:spacing w:before="240" w:after="60"/>
        <w:jc w:val="left"/>
        <w:outlineLvl w:val="0"/>
        <w:rPr>
          <w:rFonts w:ascii="Times New Roman" w:hAnsi="Times New Roman"/>
          <w:b/>
          <w:bCs/>
          <w:sz w:val="32"/>
          <w:szCs w:val="32"/>
        </w:rPr>
      </w:pPr>
      <w:bookmarkStart w:id="29" w:name="_Toc354673214"/>
      <w:bookmarkStart w:id="30" w:name="_Toc404248793"/>
      <w:r>
        <w:rPr>
          <w:rFonts w:hint="eastAsia" w:ascii="Times New Roman" w:hAnsi="Times New Roman"/>
          <w:b/>
          <w:bCs/>
          <w:sz w:val="32"/>
          <w:szCs w:val="32"/>
        </w:rPr>
        <w:t>评价适用标准</w:t>
      </w:r>
      <w:bookmarkEnd w:id="29"/>
      <w:bookmarkEnd w:id="30"/>
    </w:p>
    <w:tbl>
      <w:tblPr>
        <w:tblStyle w:val="37"/>
        <w:tblW w:w="9732" w:type="dxa"/>
        <w:tblInd w:w="-1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5"/>
        <w:gridCol w:w="8817"/>
        <w:gridCol w:w="1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26" w:hRule="atLeast"/>
        </w:trPr>
        <w:tc>
          <w:tcPr>
            <w:tcW w:w="735"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bCs/>
                <w:sz w:val="24"/>
                <w:szCs w:val="24"/>
              </w:rPr>
            </w:pPr>
            <w:r>
              <w:rPr>
                <w:rFonts w:hint="eastAsia" w:ascii="Times New Roman" w:hAnsi="Times New Roman"/>
                <w:bCs/>
                <w:sz w:val="24"/>
                <w:szCs w:val="24"/>
              </w:rPr>
              <w:t>环</w:t>
            </w:r>
          </w:p>
          <w:p>
            <w:pPr>
              <w:spacing w:line="360" w:lineRule="auto"/>
              <w:jc w:val="center"/>
              <w:rPr>
                <w:rFonts w:ascii="Times New Roman" w:hAnsi="Times New Roman"/>
                <w:bCs/>
                <w:sz w:val="24"/>
                <w:szCs w:val="24"/>
              </w:rPr>
            </w:pPr>
            <w:r>
              <w:rPr>
                <w:rFonts w:hint="eastAsia" w:ascii="Times New Roman" w:hAnsi="Times New Roman"/>
                <w:bCs/>
                <w:sz w:val="24"/>
                <w:szCs w:val="24"/>
              </w:rPr>
              <w:t>境</w:t>
            </w:r>
          </w:p>
          <w:p>
            <w:pPr>
              <w:spacing w:line="360" w:lineRule="auto"/>
              <w:jc w:val="center"/>
              <w:rPr>
                <w:rFonts w:ascii="Times New Roman" w:hAnsi="Times New Roman"/>
                <w:bCs/>
                <w:sz w:val="24"/>
                <w:szCs w:val="24"/>
              </w:rPr>
            </w:pPr>
            <w:r>
              <w:rPr>
                <w:rFonts w:hint="eastAsia" w:ascii="Times New Roman" w:hAnsi="Times New Roman"/>
                <w:bCs/>
                <w:sz w:val="24"/>
                <w:szCs w:val="24"/>
              </w:rPr>
              <w:t>质</w:t>
            </w:r>
          </w:p>
          <w:p>
            <w:pPr>
              <w:spacing w:line="360" w:lineRule="auto"/>
              <w:jc w:val="center"/>
              <w:rPr>
                <w:rFonts w:ascii="Times New Roman" w:hAnsi="Times New Roman"/>
                <w:bCs/>
                <w:sz w:val="24"/>
                <w:szCs w:val="24"/>
              </w:rPr>
            </w:pPr>
            <w:r>
              <w:rPr>
                <w:rFonts w:hint="eastAsia" w:ascii="Times New Roman" w:hAnsi="Times New Roman"/>
                <w:bCs/>
                <w:sz w:val="24"/>
                <w:szCs w:val="24"/>
              </w:rPr>
              <w:t>量</w:t>
            </w:r>
          </w:p>
          <w:p>
            <w:pPr>
              <w:spacing w:line="360" w:lineRule="auto"/>
              <w:jc w:val="center"/>
              <w:rPr>
                <w:rFonts w:ascii="Times New Roman" w:hAnsi="Times New Roman"/>
                <w:bCs/>
                <w:sz w:val="24"/>
                <w:szCs w:val="24"/>
              </w:rPr>
            </w:pPr>
            <w:r>
              <w:rPr>
                <w:rFonts w:hint="eastAsia" w:ascii="Times New Roman" w:hAnsi="Times New Roman"/>
                <w:bCs/>
                <w:sz w:val="24"/>
                <w:szCs w:val="24"/>
              </w:rPr>
              <w:t>标</w:t>
            </w:r>
          </w:p>
          <w:p>
            <w:pPr>
              <w:spacing w:line="360" w:lineRule="auto"/>
              <w:jc w:val="center"/>
              <w:rPr>
                <w:rFonts w:ascii="Times New Roman" w:hAnsi="Times New Roman"/>
                <w:bCs/>
                <w:sz w:val="24"/>
                <w:szCs w:val="24"/>
              </w:rPr>
            </w:pPr>
            <w:r>
              <w:rPr>
                <w:rFonts w:hint="eastAsia" w:ascii="Times New Roman" w:hAnsi="Times New Roman"/>
                <w:bCs/>
                <w:sz w:val="24"/>
                <w:szCs w:val="24"/>
              </w:rPr>
              <w:t>准</w:t>
            </w:r>
          </w:p>
        </w:tc>
        <w:tc>
          <w:tcPr>
            <w:tcW w:w="8997" w:type="dxa"/>
            <w:gridSpan w:val="2"/>
            <w:tcBorders>
              <w:top w:val="single" w:color="auto" w:sz="4" w:space="0"/>
              <w:left w:val="single" w:color="auto" w:sz="4" w:space="0"/>
              <w:bottom w:val="single" w:color="auto" w:sz="4" w:space="0"/>
            </w:tcBorders>
            <w:vAlign w:val="center"/>
          </w:tcPr>
          <w:p>
            <w:pPr>
              <w:adjustRightInd w:val="0"/>
              <w:snapToGrid w:val="0"/>
              <w:spacing w:line="360" w:lineRule="auto"/>
              <w:ind w:firstLine="482" w:firstLineChars="200"/>
              <w:rPr>
                <w:rFonts w:ascii="Times New Roman" w:hAnsi="Times New Roman"/>
                <w:b/>
                <w:sz w:val="24"/>
              </w:rPr>
            </w:pPr>
            <w:r>
              <w:rPr>
                <w:rFonts w:ascii="Times New Roman" w:hAnsi="Times New Roman"/>
                <w:b/>
                <w:sz w:val="24"/>
              </w:rPr>
              <w:t>1</w:t>
            </w:r>
            <w:r>
              <w:rPr>
                <w:rFonts w:hint="eastAsia" w:ascii="Times New Roman" w:hAnsi="Times New Roman"/>
                <w:b/>
                <w:sz w:val="24"/>
              </w:rPr>
              <w:t>、环境空气</w:t>
            </w:r>
          </w:p>
          <w:p>
            <w:pPr>
              <w:pStyle w:val="114"/>
              <w:rPr>
                <w:rStyle w:val="36"/>
              </w:rPr>
            </w:pPr>
            <w:r>
              <w:rPr>
                <w:rFonts w:hint="eastAsia"/>
              </w:rPr>
              <w:t>二氧化硫、二氧化氮、</w:t>
            </w:r>
            <w:r>
              <w:t>PM</w:t>
            </w:r>
            <w:r>
              <w:rPr>
                <w:vertAlign w:val="subscript"/>
              </w:rPr>
              <w:t>10</w:t>
            </w:r>
            <w:r>
              <w:rPr>
                <w:rFonts w:hint="eastAsia"/>
              </w:rPr>
              <w:t>、</w:t>
            </w:r>
            <w:r>
              <w:t>PM</w:t>
            </w:r>
            <w:r>
              <w:rPr>
                <w:vertAlign w:val="subscript"/>
              </w:rPr>
              <w:t>2.5</w:t>
            </w:r>
            <w:r>
              <w:rPr>
                <w:rFonts w:hint="eastAsia"/>
              </w:rPr>
              <w:t>、</w:t>
            </w:r>
            <w:r>
              <w:t>CO</w:t>
            </w:r>
            <w:r>
              <w:rPr>
                <w:rFonts w:hint="eastAsia"/>
              </w:rPr>
              <w:t>、</w:t>
            </w:r>
            <w:r>
              <w:t>O</w:t>
            </w:r>
            <w:r>
              <w:rPr>
                <w:vertAlign w:val="subscript"/>
              </w:rPr>
              <w:t>3</w:t>
            </w:r>
            <w:r>
              <w:rPr>
                <w:rFonts w:hint="eastAsia"/>
              </w:rPr>
              <w:t>执行《环境空气质量标准</w:t>
            </w:r>
            <w:r>
              <w:t>(GB3095-2012)</w:t>
            </w:r>
            <w:r>
              <w:rPr>
                <w:rFonts w:hint="eastAsia"/>
              </w:rPr>
              <w:t>》二级标准。</w:t>
            </w:r>
            <w:r>
              <w:rPr>
                <w:rStyle w:val="36"/>
                <w:rFonts w:hint="eastAsia"/>
                <w:sz w:val="24"/>
                <w:szCs w:val="24"/>
              </w:rPr>
              <w:t>氨气、硫化氢执行《环境影响评价技术导则</w:t>
            </w:r>
            <w:r>
              <w:rPr>
                <w:rStyle w:val="36"/>
                <w:sz w:val="24"/>
                <w:szCs w:val="24"/>
              </w:rPr>
              <w:t>-</w:t>
            </w:r>
            <w:r>
              <w:rPr>
                <w:rStyle w:val="36"/>
                <w:rFonts w:hint="eastAsia"/>
                <w:sz w:val="24"/>
                <w:szCs w:val="24"/>
              </w:rPr>
              <w:t>大气环境》（</w:t>
            </w:r>
            <w:r>
              <w:rPr>
                <w:rStyle w:val="36"/>
                <w:sz w:val="24"/>
                <w:szCs w:val="24"/>
              </w:rPr>
              <w:t>HJ2.2-2018</w:t>
            </w:r>
            <w:r>
              <w:rPr>
                <w:rStyle w:val="36"/>
                <w:rFonts w:hint="eastAsia"/>
                <w:sz w:val="24"/>
                <w:szCs w:val="24"/>
              </w:rPr>
              <w:t>）表</w:t>
            </w:r>
            <w:r>
              <w:rPr>
                <w:rStyle w:val="36"/>
                <w:sz w:val="24"/>
                <w:szCs w:val="24"/>
              </w:rPr>
              <w:t>D.1</w:t>
            </w:r>
            <w:r>
              <w:rPr>
                <w:rStyle w:val="36"/>
                <w:rFonts w:hint="eastAsia"/>
                <w:sz w:val="24"/>
                <w:szCs w:val="24"/>
              </w:rPr>
              <w:t>其他污染物空气质量浓度参考限值。</w:t>
            </w:r>
          </w:p>
          <w:p>
            <w:pPr>
              <w:pStyle w:val="111"/>
            </w:pPr>
            <w:r>
              <w:rPr>
                <w:rFonts w:hint="eastAsia"/>
              </w:rPr>
              <w:t>表</w:t>
            </w:r>
            <w:r>
              <w:t>4-1</w:t>
            </w:r>
            <w:r>
              <w:rPr>
                <w:rFonts w:hint="eastAsia"/>
              </w:rPr>
              <w:t>环境空气评价因子和评价标准一览表</w:t>
            </w:r>
          </w:p>
          <w:tbl>
            <w:tblPr>
              <w:tblStyle w:val="37"/>
              <w:tblW w:w="875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9"/>
              <w:gridCol w:w="2657"/>
              <w:gridCol w:w="1729"/>
              <w:gridCol w:w="32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59" w:type="dxa"/>
                  <w:tcBorders>
                    <w:top w:val="single" w:color="auto" w:sz="12" w:space="0"/>
                    <w:left w:val="single" w:color="auto" w:sz="12"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b/>
                    </w:rPr>
                  </w:pPr>
                  <w:r>
                    <w:rPr>
                      <w:rFonts w:hint="eastAsia" w:ascii="Times New Roman" w:hAnsi="Times New Roman"/>
                      <w:b/>
                    </w:rPr>
                    <w:t>评价因子</w:t>
                  </w:r>
                </w:p>
              </w:tc>
              <w:tc>
                <w:tcPr>
                  <w:tcW w:w="2657"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b/>
                    </w:rPr>
                  </w:pPr>
                  <w:r>
                    <w:rPr>
                      <w:rFonts w:hint="eastAsia" w:ascii="Times New Roman" w:hAnsi="Times New Roman"/>
                      <w:b/>
                    </w:rPr>
                    <w:t>平均时段</w:t>
                  </w:r>
                </w:p>
              </w:tc>
              <w:tc>
                <w:tcPr>
                  <w:tcW w:w="1729"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40" w:lineRule="atLeast"/>
                    <w:jc w:val="center"/>
                    <w:rPr>
                      <w:rFonts w:ascii="Times New Roman" w:hAnsi="Times New Roman"/>
                      <w:b/>
                    </w:rPr>
                  </w:pPr>
                  <w:r>
                    <w:rPr>
                      <w:rFonts w:hint="eastAsia" w:ascii="Times New Roman" w:hAnsi="Times New Roman"/>
                      <w:b/>
                    </w:rPr>
                    <w:t>标准值（</w:t>
                  </w:r>
                  <w:r>
                    <w:rPr>
                      <w:rFonts w:ascii="Times New Roman" w:hAnsi="Times New Roman"/>
                      <w:b/>
                    </w:rPr>
                    <w:t>μg/m</w:t>
                  </w:r>
                  <w:r>
                    <w:rPr>
                      <w:rFonts w:ascii="Times New Roman" w:hAnsi="Times New Roman"/>
                      <w:b/>
                      <w:vertAlign w:val="superscript"/>
                    </w:rPr>
                    <w:t>3</w:t>
                  </w:r>
                  <w:r>
                    <w:rPr>
                      <w:rFonts w:hint="eastAsia" w:ascii="Times New Roman" w:hAnsi="Times New Roman"/>
                      <w:b/>
                    </w:rPr>
                    <w:t>）</w:t>
                  </w:r>
                </w:p>
              </w:tc>
              <w:tc>
                <w:tcPr>
                  <w:tcW w:w="3206" w:type="dxa"/>
                  <w:tcBorders>
                    <w:top w:val="single" w:color="auto" w:sz="12" w:space="0"/>
                    <w:left w:val="single" w:color="auto" w:sz="6" w:space="0"/>
                    <w:bottom w:val="double" w:color="auto" w:sz="4" w:space="0"/>
                    <w:right w:val="single" w:color="auto" w:sz="12" w:space="0"/>
                  </w:tcBorders>
                  <w:vAlign w:val="center"/>
                </w:tcPr>
                <w:p>
                  <w:pPr>
                    <w:adjustRightInd w:val="0"/>
                    <w:snapToGrid w:val="0"/>
                    <w:spacing w:line="240" w:lineRule="atLeast"/>
                    <w:jc w:val="center"/>
                    <w:rPr>
                      <w:rFonts w:ascii="Times New Roman" w:hAnsi="Times New Roman"/>
                      <w:b/>
                    </w:rPr>
                  </w:pPr>
                  <w:r>
                    <w:rPr>
                      <w:rFonts w:hint="eastAsia" w:ascii="Times New Roman" w:hAnsi="Times New Roman"/>
                      <w:b/>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59" w:type="dxa"/>
                  <w:vMerge w:val="restart"/>
                  <w:tcBorders>
                    <w:top w:val="double" w:color="auto" w:sz="4"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SO</w:t>
                  </w:r>
                  <w:r>
                    <w:rPr>
                      <w:rFonts w:ascii="Times New Roman" w:hAnsi="Times New Roman"/>
                      <w:vertAlign w:val="subscript"/>
                    </w:rPr>
                    <w:t>2</w:t>
                  </w:r>
                </w:p>
              </w:tc>
              <w:tc>
                <w:tcPr>
                  <w:tcW w:w="2657" w:type="dxa"/>
                  <w:tcBorders>
                    <w:top w:val="doub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1</w:t>
                  </w:r>
                  <w:r>
                    <w:rPr>
                      <w:rFonts w:hint="eastAsia" w:ascii="Times New Roman" w:hAnsi="Times New Roman"/>
                    </w:rPr>
                    <w:t>小时平均</w:t>
                  </w:r>
                </w:p>
              </w:tc>
              <w:tc>
                <w:tcPr>
                  <w:tcW w:w="1729" w:type="dxa"/>
                  <w:tcBorders>
                    <w:top w:val="doub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500</w:t>
                  </w:r>
                </w:p>
              </w:tc>
              <w:tc>
                <w:tcPr>
                  <w:tcW w:w="3206" w:type="dxa"/>
                  <w:vMerge w:val="restart"/>
                  <w:tcBorders>
                    <w:top w:val="double" w:color="auto" w:sz="4"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r>
                    <w:rPr>
                      <w:rFonts w:hint="eastAsia" w:ascii="Times New Roman" w:hAnsi="Times New Roman"/>
                    </w:rPr>
                    <w:t>《环境空气质量标准</w:t>
                  </w:r>
                  <w:r>
                    <w:rPr>
                      <w:rFonts w:ascii="Times New Roman" w:hAnsi="Times New Roman"/>
                    </w:rPr>
                    <w:t>(GB3095-2012)</w:t>
                  </w:r>
                  <w:r>
                    <w:rPr>
                      <w:rFonts w:hint="eastAsia" w:ascii="Times New Roman" w:hAnsi="Times New Roman"/>
                    </w:rPr>
                    <w:t>》二级标准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159" w:type="dxa"/>
                  <w:vMerge w:val="continue"/>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p>
              </w:tc>
              <w:tc>
                <w:tcPr>
                  <w:tcW w:w="2657"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24</w:t>
                  </w:r>
                  <w:r>
                    <w:rPr>
                      <w:rFonts w:hint="eastAsia" w:ascii="Times New Roman" w:hAnsi="Times New Roman"/>
                    </w:rPr>
                    <w:t>小时平均</w:t>
                  </w:r>
                </w:p>
              </w:tc>
              <w:tc>
                <w:tcPr>
                  <w:tcW w:w="1729"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150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trPr>
              <w:tc>
                <w:tcPr>
                  <w:tcW w:w="1159" w:type="dxa"/>
                  <w:vMerge w:val="continue"/>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p>
              </w:tc>
              <w:tc>
                <w:tcPr>
                  <w:tcW w:w="2657"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hint="eastAsia" w:ascii="Times New Roman" w:hAnsi="Times New Roman"/>
                    </w:rPr>
                    <w:t>年平均</w:t>
                  </w:r>
                </w:p>
              </w:tc>
              <w:tc>
                <w:tcPr>
                  <w:tcW w:w="1729"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60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59"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2657"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1</w:t>
                  </w:r>
                  <w:r>
                    <w:rPr>
                      <w:rFonts w:hint="eastAsia" w:ascii="Times New Roman" w:hAnsi="Times New Roman"/>
                    </w:rPr>
                    <w:t>小时平均</w:t>
                  </w:r>
                </w:p>
              </w:tc>
              <w:tc>
                <w:tcPr>
                  <w:tcW w:w="172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200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trPr>
              <w:tc>
                <w:tcPr>
                  <w:tcW w:w="1159" w:type="dxa"/>
                  <w:vMerge w:val="continue"/>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p>
              </w:tc>
              <w:tc>
                <w:tcPr>
                  <w:tcW w:w="2657"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24</w:t>
                  </w:r>
                  <w:r>
                    <w:rPr>
                      <w:rFonts w:hint="eastAsia" w:ascii="Times New Roman" w:hAnsi="Times New Roman"/>
                    </w:rPr>
                    <w:t>小时平均</w:t>
                  </w:r>
                </w:p>
              </w:tc>
              <w:tc>
                <w:tcPr>
                  <w:tcW w:w="1729"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80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159" w:type="dxa"/>
                  <w:vMerge w:val="continue"/>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p>
              </w:tc>
              <w:tc>
                <w:tcPr>
                  <w:tcW w:w="2657"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hint="eastAsia" w:ascii="Times New Roman" w:hAnsi="Times New Roman"/>
                    </w:rPr>
                    <w:t>年平均</w:t>
                  </w:r>
                </w:p>
              </w:tc>
              <w:tc>
                <w:tcPr>
                  <w:tcW w:w="1729"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40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trPr>
              <w:tc>
                <w:tcPr>
                  <w:tcW w:w="1159"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PM</w:t>
                  </w:r>
                  <w:r>
                    <w:rPr>
                      <w:rFonts w:ascii="Times New Roman" w:hAnsi="Times New Roman"/>
                      <w:vertAlign w:val="subscript"/>
                    </w:rPr>
                    <w:t>10</w:t>
                  </w:r>
                </w:p>
              </w:tc>
              <w:tc>
                <w:tcPr>
                  <w:tcW w:w="2657"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24</w:t>
                  </w:r>
                  <w:r>
                    <w:rPr>
                      <w:rFonts w:hint="eastAsia" w:ascii="Times New Roman" w:hAnsi="Times New Roman"/>
                    </w:rPr>
                    <w:t>小时平均</w:t>
                  </w:r>
                </w:p>
              </w:tc>
              <w:tc>
                <w:tcPr>
                  <w:tcW w:w="1729"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150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trPr>
              <w:tc>
                <w:tcPr>
                  <w:tcW w:w="1159" w:type="dxa"/>
                  <w:vMerge w:val="continue"/>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p>
              </w:tc>
              <w:tc>
                <w:tcPr>
                  <w:tcW w:w="2657"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hint="eastAsia" w:ascii="Times New Roman" w:hAnsi="Times New Roman"/>
                    </w:rPr>
                    <w:t>年平均</w:t>
                  </w:r>
                </w:p>
              </w:tc>
              <w:tc>
                <w:tcPr>
                  <w:tcW w:w="1729"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70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trPr>
              <w:tc>
                <w:tcPr>
                  <w:tcW w:w="1159"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PM</w:t>
                  </w:r>
                  <w:r>
                    <w:rPr>
                      <w:rFonts w:ascii="Times New Roman" w:hAnsi="Times New Roman"/>
                      <w:vertAlign w:val="subscript"/>
                    </w:rPr>
                    <w:t>2.5</w:t>
                  </w:r>
                </w:p>
              </w:tc>
              <w:tc>
                <w:tcPr>
                  <w:tcW w:w="2657"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24</w:t>
                  </w:r>
                  <w:r>
                    <w:rPr>
                      <w:rFonts w:hint="eastAsia" w:ascii="Times New Roman" w:hAnsi="Times New Roman"/>
                    </w:rPr>
                    <w:t>小时平均</w:t>
                  </w:r>
                </w:p>
              </w:tc>
              <w:tc>
                <w:tcPr>
                  <w:tcW w:w="1729"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75</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159" w:type="dxa"/>
                  <w:vMerge w:val="continue"/>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p>
              </w:tc>
              <w:tc>
                <w:tcPr>
                  <w:tcW w:w="2657"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hint="eastAsia" w:ascii="Times New Roman" w:hAnsi="Times New Roman"/>
                    </w:rPr>
                    <w:t>年平均</w:t>
                  </w:r>
                </w:p>
              </w:tc>
              <w:tc>
                <w:tcPr>
                  <w:tcW w:w="1729"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35</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trPr>
              <w:tc>
                <w:tcPr>
                  <w:tcW w:w="1159" w:type="dxa"/>
                  <w:vMerge w:val="restart"/>
                  <w:tcBorders>
                    <w:top w:val="single" w:color="auto" w:sz="6" w:space="0"/>
                    <w:left w:val="single" w:color="auto" w:sz="12" w:space="0"/>
                    <w:bottom w:val="single" w:color="auto" w:sz="6" w:space="0"/>
                    <w:right w:val="single" w:color="auto" w:sz="4" w:space="0"/>
                  </w:tcBorders>
                  <w:vAlign w:val="center"/>
                </w:tcPr>
                <w:p>
                  <w:pPr>
                    <w:adjustRightInd w:val="0"/>
                    <w:snapToGrid w:val="0"/>
                    <w:spacing w:line="240" w:lineRule="atLeast"/>
                    <w:jc w:val="center"/>
                    <w:rPr>
                      <w:rFonts w:ascii="Times New Roman" w:hAnsi="Times New Roman"/>
                    </w:rPr>
                  </w:pPr>
                  <w:r>
                    <w:rPr>
                      <w:rFonts w:ascii="Times New Roman" w:hAnsi="Times New Roman"/>
                    </w:rPr>
                    <w:t>O</w:t>
                  </w:r>
                  <w:r>
                    <w:rPr>
                      <w:rFonts w:ascii="Times New Roman" w:hAnsi="Times New Roman"/>
                      <w:vertAlign w:val="subscript"/>
                    </w:rPr>
                    <w:t>3</w:t>
                  </w:r>
                </w:p>
              </w:tc>
              <w:tc>
                <w:tcPr>
                  <w:tcW w:w="2657" w:type="dxa"/>
                  <w:tcBorders>
                    <w:top w:val="single" w:color="auto" w:sz="6" w:space="0"/>
                    <w:left w:val="single" w:color="auto" w:sz="4"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b/>
                    </w:rPr>
                  </w:pPr>
                  <w:r>
                    <w:rPr>
                      <w:rFonts w:ascii="Times New Roman" w:hAnsi="Times New Roman"/>
                    </w:rPr>
                    <w:t>1</w:t>
                  </w:r>
                  <w:r>
                    <w:rPr>
                      <w:rFonts w:hint="eastAsia" w:ascii="Times New Roman" w:hAnsi="Times New Roman"/>
                    </w:rPr>
                    <w:t>小时平均</w:t>
                  </w:r>
                </w:p>
              </w:tc>
              <w:tc>
                <w:tcPr>
                  <w:tcW w:w="1729"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200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trPr>
              <w:tc>
                <w:tcPr>
                  <w:tcW w:w="1159" w:type="dxa"/>
                  <w:vMerge w:val="continue"/>
                  <w:tcBorders>
                    <w:top w:val="single" w:color="auto" w:sz="6" w:space="0"/>
                    <w:left w:val="single" w:color="auto" w:sz="12" w:space="0"/>
                    <w:bottom w:val="single" w:color="auto" w:sz="6" w:space="0"/>
                    <w:right w:val="single" w:color="auto" w:sz="4" w:space="0"/>
                  </w:tcBorders>
                  <w:vAlign w:val="center"/>
                </w:tcPr>
                <w:p>
                  <w:pPr>
                    <w:adjustRightInd w:val="0"/>
                    <w:snapToGrid w:val="0"/>
                    <w:spacing w:line="240" w:lineRule="atLeast"/>
                    <w:jc w:val="center"/>
                    <w:rPr>
                      <w:rFonts w:ascii="Times New Roman" w:hAnsi="Times New Roman"/>
                    </w:rPr>
                  </w:pPr>
                </w:p>
              </w:tc>
              <w:tc>
                <w:tcPr>
                  <w:tcW w:w="2657" w:type="dxa"/>
                  <w:tcBorders>
                    <w:top w:val="single" w:color="auto" w:sz="6" w:space="0"/>
                    <w:left w:val="single" w:color="auto" w:sz="4"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hint="eastAsia" w:ascii="Times New Roman" w:hAnsi="Times New Roman"/>
                    </w:rPr>
                    <w:t>日最大</w:t>
                  </w:r>
                  <w:r>
                    <w:rPr>
                      <w:rFonts w:ascii="Times New Roman" w:hAnsi="Times New Roman"/>
                    </w:rPr>
                    <w:t>8</w:t>
                  </w:r>
                  <w:r>
                    <w:rPr>
                      <w:rFonts w:hint="eastAsia" w:ascii="Times New Roman" w:hAnsi="Times New Roman"/>
                    </w:rPr>
                    <w:t>小时平均值</w:t>
                  </w:r>
                </w:p>
              </w:tc>
              <w:tc>
                <w:tcPr>
                  <w:tcW w:w="1729"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160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0" w:hRule="atLeast"/>
              </w:trPr>
              <w:tc>
                <w:tcPr>
                  <w:tcW w:w="1159" w:type="dxa"/>
                  <w:vMerge w:val="restart"/>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CO</w:t>
                  </w:r>
                </w:p>
              </w:tc>
              <w:tc>
                <w:tcPr>
                  <w:tcW w:w="2657"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1</w:t>
                  </w:r>
                  <w:r>
                    <w:rPr>
                      <w:rFonts w:hint="eastAsia" w:ascii="Times New Roman" w:hAnsi="Times New Roman"/>
                    </w:rPr>
                    <w:t>小时平均</w:t>
                  </w:r>
                </w:p>
              </w:tc>
              <w:tc>
                <w:tcPr>
                  <w:tcW w:w="1729"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10000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59" w:type="dxa"/>
                  <w:vMerge w:val="continue"/>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p>
              </w:tc>
              <w:tc>
                <w:tcPr>
                  <w:tcW w:w="2657"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24</w:t>
                  </w:r>
                  <w:r>
                    <w:rPr>
                      <w:rFonts w:hint="eastAsia" w:ascii="Times New Roman" w:hAnsi="Times New Roman"/>
                    </w:rPr>
                    <w:t>小时平均</w:t>
                  </w:r>
                </w:p>
              </w:tc>
              <w:tc>
                <w:tcPr>
                  <w:tcW w:w="172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4000</w:t>
                  </w:r>
                </w:p>
              </w:tc>
              <w:tc>
                <w:tcPr>
                  <w:tcW w:w="3206" w:type="dxa"/>
                  <w:vMerge w:val="continue"/>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0" w:hRule="atLeast"/>
              </w:trPr>
              <w:tc>
                <w:tcPr>
                  <w:tcW w:w="1159" w:type="dxa"/>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tLeast"/>
                    <w:jc w:val="center"/>
                    <w:rPr>
                      <w:rFonts w:ascii="Times New Roman" w:hAnsi="Times New Roman"/>
                      <w:vertAlign w:val="subscript"/>
                    </w:rPr>
                  </w:pPr>
                  <w:r>
                    <w:rPr>
                      <w:rFonts w:ascii="Times New Roman" w:hAnsi="Times New Roman"/>
                    </w:rPr>
                    <w:t>NH</w:t>
                  </w:r>
                  <w:r>
                    <w:rPr>
                      <w:rFonts w:ascii="Times New Roman" w:hAnsi="Times New Roman"/>
                      <w:vertAlign w:val="subscript"/>
                    </w:rPr>
                    <w:t>3</w:t>
                  </w:r>
                </w:p>
              </w:tc>
              <w:tc>
                <w:tcPr>
                  <w:tcW w:w="2657"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1</w:t>
                  </w:r>
                  <w:r>
                    <w:rPr>
                      <w:rFonts w:hint="eastAsia" w:ascii="Times New Roman" w:hAnsi="Times New Roman"/>
                    </w:rPr>
                    <w:t>小时平均</w:t>
                  </w:r>
                </w:p>
              </w:tc>
              <w:tc>
                <w:tcPr>
                  <w:tcW w:w="1729"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t>200</w:t>
                  </w:r>
                </w:p>
              </w:tc>
              <w:tc>
                <w:tcPr>
                  <w:tcW w:w="3206" w:type="dxa"/>
                  <w:vMerge w:val="restart"/>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tLeast"/>
                    <w:jc w:val="center"/>
                    <w:rPr>
                      <w:rFonts w:ascii="Times New Roman" w:hAnsi="Times New Roman"/>
                    </w:rPr>
                  </w:pPr>
                  <w:r>
                    <w:rPr>
                      <w:rFonts w:hint="eastAsia" w:ascii="Times New Roman" w:hAnsi="Times New Roman"/>
                    </w:rPr>
                    <w:t>《环境影响评价技术导则</w:t>
                  </w:r>
                  <w:r>
                    <w:rPr>
                      <w:rFonts w:ascii="Times New Roman" w:hAnsi="Times New Roman"/>
                    </w:rPr>
                    <w:t>-</w:t>
                  </w:r>
                  <w:r>
                    <w:rPr>
                      <w:rFonts w:hint="eastAsia" w:ascii="Times New Roman" w:hAnsi="Times New Roman"/>
                    </w:rPr>
                    <w:t>大气环境》（</w:t>
                  </w:r>
                  <w:r>
                    <w:rPr>
                      <w:rFonts w:ascii="Times New Roman" w:hAnsi="Times New Roman"/>
                    </w:rPr>
                    <w:t>HJ2.2-2018</w:t>
                  </w:r>
                  <w:r>
                    <w:rPr>
                      <w:rFonts w:hint="eastAsia" w:ascii="Times New Roman" w:hAnsi="Times New Roman"/>
                    </w:rPr>
                    <w:t>）表</w:t>
                  </w:r>
                  <w:r>
                    <w:rPr>
                      <w:rFonts w:ascii="Times New Roman" w:hAnsi="Times New Roman"/>
                    </w:rPr>
                    <w:t>D.1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5" w:hRule="atLeast"/>
              </w:trPr>
              <w:tc>
                <w:tcPr>
                  <w:tcW w:w="1159" w:type="dxa"/>
                  <w:tcBorders>
                    <w:top w:val="single" w:color="auto" w:sz="6" w:space="0"/>
                    <w:left w:val="single" w:color="auto" w:sz="12" w:space="0"/>
                    <w:bottom w:val="single" w:color="auto" w:sz="12"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2657"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rPr>
                      <w:rFonts w:ascii="Times New Roman" w:hAnsi="Times New Roman"/>
                    </w:rPr>
                    <w:t>1</w:t>
                  </w:r>
                  <w:r>
                    <w:rPr>
                      <w:rFonts w:hint="eastAsia" w:ascii="Times New Roman" w:hAnsi="Times New Roman"/>
                    </w:rPr>
                    <w:t>小时平均</w:t>
                  </w:r>
                </w:p>
              </w:tc>
              <w:tc>
                <w:tcPr>
                  <w:tcW w:w="1729" w:type="dxa"/>
                  <w:tcBorders>
                    <w:top w:val="single" w:color="auto" w:sz="6" w:space="0"/>
                    <w:left w:val="single" w:color="auto" w:sz="6" w:space="0"/>
                    <w:bottom w:val="single" w:color="auto" w:sz="4" w:space="0"/>
                    <w:right w:val="single" w:color="auto" w:sz="6" w:space="0"/>
                  </w:tcBorders>
                  <w:vAlign w:val="center"/>
                </w:tcPr>
                <w:p>
                  <w:pPr>
                    <w:adjustRightInd w:val="0"/>
                    <w:snapToGrid w:val="0"/>
                    <w:spacing w:line="240" w:lineRule="atLeast"/>
                    <w:jc w:val="center"/>
                    <w:rPr>
                      <w:rFonts w:ascii="Times New Roman" w:hAnsi="Times New Roman"/>
                    </w:rPr>
                  </w:pPr>
                  <w:r>
                    <w:t>10</w:t>
                  </w:r>
                </w:p>
              </w:tc>
              <w:tc>
                <w:tcPr>
                  <w:tcW w:w="3206" w:type="dxa"/>
                  <w:vMerge w:val="continue"/>
                  <w:tcBorders>
                    <w:top w:val="single" w:color="auto" w:sz="6" w:space="0"/>
                    <w:left w:val="single" w:color="auto" w:sz="6" w:space="0"/>
                    <w:bottom w:val="single" w:color="auto" w:sz="12" w:space="0"/>
                    <w:right w:val="single" w:color="auto" w:sz="12" w:space="0"/>
                  </w:tcBorders>
                  <w:vAlign w:val="center"/>
                </w:tcPr>
                <w:p>
                  <w:pPr>
                    <w:adjustRightInd w:val="0"/>
                    <w:snapToGrid w:val="0"/>
                    <w:spacing w:line="240" w:lineRule="atLeast"/>
                    <w:jc w:val="center"/>
                    <w:rPr>
                      <w:rFonts w:ascii="Times New Roman" w:hAnsi="Times New Roman"/>
                    </w:rPr>
                  </w:pPr>
                </w:p>
              </w:tc>
            </w:tr>
          </w:tbl>
          <w:p>
            <w:pPr>
              <w:adjustRightInd w:val="0"/>
              <w:snapToGrid w:val="0"/>
              <w:spacing w:line="360" w:lineRule="auto"/>
              <w:ind w:firstLine="482" w:firstLineChars="200"/>
              <w:rPr>
                <w:rFonts w:ascii="Times New Roman" w:hAnsi="Times New Roman"/>
                <w:b/>
                <w:sz w:val="24"/>
              </w:rPr>
            </w:pPr>
            <w:r>
              <w:rPr>
                <w:rFonts w:ascii="Times New Roman" w:hAnsi="Times New Roman"/>
                <w:b/>
                <w:sz w:val="24"/>
              </w:rPr>
              <w:t>2</w:t>
            </w:r>
            <w:r>
              <w:rPr>
                <w:rFonts w:hint="eastAsia" w:ascii="Times New Roman" w:hAnsi="Times New Roman"/>
                <w:b/>
                <w:sz w:val="24"/>
              </w:rPr>
              <w:t>、地表水环境</w:t>
            </w:r>
          </w:p>
          <w:p>
            <w:pPr>
              <w:pStyle w:val="114"/>
            </w:pPr>
            <w:r>
              <w:rPr>
                <w:rFonts w:hint="eastAsia"/>
              </w:rPr>
              <w:t>潭榄溪为温村水定城河段，执行《地表水环境质量标准》）</w:t>
            </w:r>
            <w:r>
              <w:t>GB3838-2002</w:t>
            </w:r>
            <w:r>
              <w:rPr>
                <w:rFonts w:hint="eastAsia"/>
              </w:rPr>
              <w:t>）Ⅲ类标准，</w:t>
            </w:r>
            <w:r>
              <w:t>SS</w:t>
            </w:r>
            <w:r>
              <w:rPr>
                <w:rFonts w:hint="eastAsia"/>
              </w:rPr>
              <w:t>执行《地表水资源质量标准》（</w:t>
            </w:r>
            <w:r>
              <w:t>SL63-94</w:t>
            </w:r>
            <w:r>
              <w:rPr>
                <w:rFonts w:hint="eastAsia"/>
              </w:rPr>
              <w:t>）三级标准；据定安县人民政府办公室《关于印发定安县污染水体治理三年行动实施方案（</w:t>
            </w:r>
            <w:r>
              <w:t>2018—2020</w:t>
            </w:r>
            <w:r>
              <w:rPr>
                <w:rFonts w:hint="eastAsia"/>
              </w:rPr>
              <w:t>年）的通知》（定府办</w:t>
            </w:r>
            <w:r>
              <w:t>[2018]85</w:t>
            </w:r>
            <w:r>
              <w:rPr>
                <w:rFonts w:hint="eastAsia"/>
              </w:rPr>
              <w:t>号）中相关内容：潭榄溪潭榄桥断面力争提升水质目标为Ⅳ类，完成时间为</w:t>
            </w:r>
            <w:r>
              <w:t>2020</w:t>
            </w:r>
            <w:r>
              <w:rPr>
                <w:rFonts w:hint="eastAsia"/>
              </w:rPr>
              <w:t>年。</w:t>
            </w:r>
          </w:p>
          <w:p>
            <w:pPr>
              <w:pStyle w:val="111"/>
            </w:pPr>
            <w:r>
              <w:rPr>
                <w:rFonts w:hint="eastAsia"/>
              </w:rPr>
              <w:t>表</w:t>
            </w:r>
            <w:r>
              <w:t xml:space="preserve">4-2  </w:t>
            </w:r>
            <w:r>
              <w:rPr>
                <w:rFonts w:hint="eastAsia"/>
              </w:rPr>
              <w:t>地表水评价因子和评价标准一览表</w:t>
            </w:r>
          </w:p>
          <w:tbl>
            <w:tblPr>
              <w:tblStyle w:val="37"/>
              <w:tblW w:w="8751" w:type="dxa"/>
              <w:jc w:val="center"/>
              <w:tblInd w:w="0" w:type="dxa"/>
              <w:tblBorders>
                <w:top w:val="single" w:color="auto" w:sz="12" w:space="0"/>
                <w:left w:val="single" w:color="auto" w:sz="12" w:space="0"/>
                <w:bottom w:val="single" w:color="auto" w:sz="12" w:space="0"/>
                <w:right w:val="single" w:color="auto" w:sz="12" w:space="0"/>
                <w:insideH w:val="double" w:color="auto" w:sz="4" w:space="0"/>
                <w:insideV w:val="single" w:color="auto" w:sz="4" w:space="0"/>
              </w:tblBorders>
              <w:tblLayout w:type="fixed"/>
              <w:tblCellMar>
                <w:top w:w="0" w:type="dxa"/>
                <w:left w:w="108" w:type="dxa"/>
                <w:bottom w:w="0" w:type="dxa"/>
                <w:right w:w="108" w:type="dxa"/>
              </w:tblCellMar>
            </w:tblPr>
            <w:tblGrid>
              <w:gridCol w:w="1959"/>
              <w:gridCol w:w="1162"/>
              <w:gridCol w:w="1043"/>
              <w:gridCol w:w="1304"/>
              <w:gridCol w:w="1199"/>
              <w:gridCol w:w="1043"/>
              <w:gridCol w:w="1041"/>
            </w:tblGrid>
            <w:tr>
              <w:tblPrEx>
                <w:tblBorders>
                  <w:top w:val="single" w:color="auto" w:sz="12" w:space="0"/>
                  <w:left w:val="single" w:color="auto" w:sz="12" w:space="0"/>
                  <w:bottom w:val="single" w:color="auto" w:sz="12" w:space="0"/>
                  <w:right w:val="single" w:color="auto" w:sz="12" w:space="0"/>
                  <w:insideH w:val="doub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59" w:type="dxa"/>
                  <w:tcBorders>
                    <w:top w:val="single" w:color="auto" w:sz="12" w:space="0"/>
                    <w:left w:val="single" w:color="auto" w:sz="12" w:space="0"/>
                    <w:bottom w:val="doub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hint="eastAsia" w:ascii="Times New Roman" w:hAnsi="Times New Roman" w:cs="Times New Roman"/>
                      <w:b/>
                      <w:bCs/>
                      <w:kern w:val="0"/>
                      <w:szCs w:val="21"/>
                    </w:rPr>
                    <w:t>监测因子</w:t>
                  </w:r>
                </w:p>
              </w:tc>
              <w:tc>
                <w:tcPr>
                  <w:tcW w:w="1162" w:type="dxa"/>
                  <w:tcBorders>
                    <w:top w:val="single" w:color="auto" w:sz="12" w:space="0"/>
                    <w:left w:val="single" w:color="auto" w:sz="4" w:space="0"/>
                    <w:bottom w:val="doub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ascii="Times New Roman" w:hAnsi="Times New Roman" w:cs="Times New Roman"/>
                      <w:b/>
                      <w:bCs/>
                      <w:kern w:val="0"/>
                      <w:szCs w:val="21"/>
                    </w:rPr>
                    <w:t>pH</w:t>
                  </w:r>
                </w:p>
              </w:tc>
              <w:tc>
                <w:tcPr>
                  <w:tcW w:w="1043" w:type="dxa"/>
                  <w:tcBorders>
                    <w:top w:val="single" w:color="auto" w:sz="12" w:space="0"/>
                    <w:left w:val="single" w:color="auto" w:sz="4" w:space="0"/>
                    <w:bottom w:val="doub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ascii="Times New Roman" w:hAnsi="Times New Roman" w:cs="Times New Roman"/>
                      <w:b/>
                      <w:bCs/>
                      <w:kern w:val="0"/>
                      <w:szCs w:val="21"/>
                    </w:rPr>
                    <w:t>DO</w:t>
                  </w:r>
                </w:p>
              </w:tc>
              <w:tc>
                <w:tcPr>
                  <w:tcW w:w="1304" w:type="dxa"/>
                  <w:tcBorders>
                    <w:top w:val="single" w:color="auto" w:sz="12" w:space="0"/>
                    <w:left w:val="single" w:color="auto" w:sz="4" w:space="0"/>
                    <w:bottom w:val="doub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ascii="Times New Roman" w:hAnsi="Times New Roman" w:cs="Times New Roman"/>
                      <w:b/>
                      <w:bCs/>
                      <w:kern w:val="0"/>
                      <w:szCs w:val="21"/>
                    </w:rPr>
                    <w:t>BOD</w:t>
                  </w:r>
                  <w:r>
                    <w:rPr>
                      <w:rFonts w:ascii="Times New Roman" w:hAnsi="Times New Roman" w:cs="Times New Roman"/>
                      <w:b/>
                      <w:bCs/>
                      <w:kern w:val="0"/>
                      <w:szCs w:val="21"/>
                      <w:vertAlign w:val="subscript"/>
                    </w:rPr>
                    <w:t>5</w:t>
                  </w:r>
                </w:p>
              </w:tc>
              <w:tc>
                <w:tcPr>
                  <w:tcW w:w="1199" w:type="dxa"/>
                  <w:tcBorders>
                    <w:top w:val="single" w:color="auto" w:sz="12" w:space="0"/>
                    <w:left w:val="single" w:color="auto" w:sz="4" w:space="0"/>
                    <w:bottom w:val="doub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ascii="Times New Roman" w:hAnsi="Times New Roman" w:cs="Times New Roman"/>
                      <w:b/>
                      <w:bCs/>
                      <w:kern w:val="0"/>
                      <w:szCs w:val="21"/>
                    </w:rPr>
                    <w:t>COD</w:t>
                  </w:r>
                </w:p>
              </w:tc>
              <w:tc>
                <w:tcPr>
                  <w:tcW w:w="1043" w:type="dxa"/>
                  <w:tcBorders>
                    <w:top w:val="single" w:color="auto" w:sz="12" w:space="0"/>
                    <w:left w:val="single" w:color="auto" w:sz="4" w:space="0"/>
                    <w:bottom w:val="doub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ascii="Times New Roman" w:hAnsi="Times New Roman" w:cs="Times New Roman"/>
                      <w:b/>
                      <w:bCs/>
                      <w:kern w:val="0"/>
                      <w:szCs w:val="21"/>
                    </w:rPr>
                    <w:t>SS</w:t>
                  </w:r>
                </w:p>
              </w:tc>
              <w:tc>
                <w:tcPr>
                  <w:tcW w:w="1041" w:type="dxa"/>
                  <w:tcBorders>
                    <w:top w:val="single" w:color="auto" w:sz="12" w:space="0"/>
                    <w:left w:val="single" w:color="auto" w:sz="4" w:space="0"/>
                    <w:bottom w:val="double" w:color="auto" w:sz="4" w:space="0"/>
                    <w:right w:val="single" w:color="auto" w:sz="12" w:space="0"/>
                  </w:tcBorders>
                  <w:vAlign w:val="center"/>
                </w:tcPr>
                <w:p>
                  <w:pPr>
                    <w:pStyle w:val="97"/>
                    <w:spacing w:line="240" w:lineRule="auto"/>
                    <w:rPr>
                      <w:rFonts w:ascii="Times New Roman" w:hAnsi="Times New Roman" w:cs="Times New Roman"/>
                      <w:b/>
                      <w:bCs/>
                      <w:kern w:val="0"/>
                      <w:szCs w:val="21"/>
                    </w:rPr>
                  </w:pPr>
                  <w:r>
                    <w:rPr>
                      <w:rFonts w:hint="eastAsia" w:ascii="Times New Roman" w:hAnsi="Times New Roman" w:cs="Times New Roman"/>
                      <w:b/>
                      <w:bCs/>
                      <w:kern w:val="0"/>
                      <w:szCs w:val="21"/>
                    </w:rPr>
                    <w:t>氨氮</w:t>
                  </w:r>
                </w:p>
              </w:tc>
            </w:tr>
            <w:tr>
              <w:tblPrEx>
                <w:tblBorders>
                  <w:top w:val="single" w:color="auto" w:sz="12" w:space="0"/>
                  <w:left w:val="single" w:color="auto" w:sz="12" w:space="0"/>
                  <w:bottom w:val="single" w:color="auto" w:sz="12" w:space="0"/>
                  <w:right w:val="single" w:color="auto" w:sz="12" w:space="0"/>
                  <w:insideH w:val="doub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59" w:type="dxa"/>
                  <w:tcBorders>
                    <w:top w:val="double" w:color="auto" w:sz="4" w:space="0"/>
                    <w:left w:val="single" w:color="auto" w:sz="12"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Ⅲ类标准值</w:t>
                  </w:r>
                  <w:r>
                    <w:rPr>
                      <w:rFonts w:ascii="Times New Roman" w:hAnsi="Times New Roman"/>
                      <w:szCs w:val="21"/>
                    </w:rPr>
                    <w:t>mg/L</w:t>
                  </w:r>
                </w:p>
              </w:tc>
              <w:tc>
                <w:tcPr>
                  <w:tcW w:w="1162" w:type="dxa"/>
                  <w:tcBorders>
                    <w:top w:val="doub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w:t>
                  </w:r>
                  <w:r>
                    <w:rPr>
                      <w:rFonts w:ascii="Times New Roman" w:hAnsi="Times New Roman" w:cs="Times New Roman"/>
                      <w:szCs w:val="21"/>
                    </w:rPr>
                    <w:t>9</w:t>
                  </w:r>
                </w:p>
              </w:tc>
              <w:tc>
                <w:tcPr>
                  <w:tcW w:w="1043" w:type="dxa"/>
                  <w:tcBorders>
                    <w:top w:val="doub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hint="eastAsia" w:ascii="Times New Roman" w:hAnsi="Times New Roman" w:cs="Times New Roman"/>
                      <w:kern w:val="0"/>
                      <w:szCs w:val="21"/>
                    </w:rPr>
                    <w:t>≥</w:t>
                  </w:r>
                  <w:r>
                    <w:rPr>
                      <w:rFonts w:ascii="Times New Roman" w:hAnsi="Times New Roman" w:cs="Times New Roman"/>
                      <w:kern w:val="0"/>
                      <w:szCs w:val="21"/>
                    </w:rPr>
                    <w:t>5</w:t>
                  </w:r>
                </w:p>
              </w:tc>
              <w:tc>
                <w:tcPr>
                  <w:tcW w:w="1304" w:type="dxa"/>
                  <w:tcBorders>
                    <w:top w:val="doub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ascii="Times New Roman" w:hAnsi="Times New Roman" w:cs="Times New Roman"/>
                      <w:caps/>
                      <w:szCs w:val="21"/>
                    </w:rPr>
                    <w:t>≤</w:t>
                  </w:r>
                  <w:r>
                    <w:rPr>
                      <w:rFonts w:ascii="Times New Roman" w:hAnsi="Times New Roman" w:cs="Times New Roman"/>
                      <w:szCs w:val="21"/>
                    </w:rPr>
                    <w:t>4</w:t>
                  </w:r>
                </w:p>
              </w:tc>
              <w:tc>
                <w:tcPr>
                  <w:tcW w:w="1199" w:type="dxa"/>
                  <w:tcBorders>
                    <w:top w:val="doub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ascii="Times New Roman" w:hAnsi="Times New Roman" w:cs="Times New Roman"/>
                      <w:caps/>
                      <w:szCs w:val="21"/>
                    </w:rPr>
                    <w:t>≤</w:t>
                  </w:r>
                  <w:r>
                    <w:rPr>
                      <w:rFonts w:ascii="Times New Roman" w:hAnsi="Times New Roman" w:cs="Times New Roman"/>
                      <w:szCs w:val="21"/>
                    </w:rPr>
                    <w:t>20</w:t>
                  </w:r>
                </w:p>
              </w:tc>
              <w:tc>
                <w:tcPr>
                  <w:tcW w:w="1043" w:type="dxa"/>
                  <w:tcBorders>
                    <w:top w:val="doub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w:t>
                  </w:r>
                  <w:r>
                    <w:rPr>
                      <w:rFonts w:ascii="Times New Roman" w:hAnsi="Times New Roman" w:cs="Times New Roman"/>
                      <w:szCs w:val="21"/>
                    </w:rPr>
                    <w:t>30</w:t>
                  </w:r>
                </w:p>
              </w:tc>
              <w:tc>
                <w:tcPr>
                  <w:tcW w:w="1041" w:type="dxa"/>
                  <w:tcBorders>
                    <w:top w:val="double" w:color="auto" w:sz="4" w:space="0"/>
                    <w:left w:val="single" w:color="auto" w:sz="4" w:space="0"/>
                    <w:bottom w:val="single" w:color="auto" w:sz="4" w:space="0"/>
                    <w:right w:val="single" w:color="auto" w:sz="12" w:space="0"/>
                  </w:tcBorders>
                  <w:vAlign w:val="center"/>
                </w:tcPr>
                <w:p>
                  <w:pPr>
                    <w:pStyle w:val="97"/>
                    <w:spacing w:line="240" w:lineRule="auto"/>
                    <w:rPr>
                      <w:rFonts w:ascii="Times New Roman" w:hAnsi="Times New Roman" w:cs="Times New Roman"/>
                      <w:szCs w:val="21"/>
                    </w:rPr>
                  </w:pPr>
                  <w:r>
                    <w:rPr>
                      <w:rFonts w:ascii="Times New Roman" w:hAnsi="Times New Roman" w:cs="Times New Roman"/>
                      <w:caps/>
                      <w:szCs w:val="21"/>
                    </w:rPr>
                    <w:t>≤</w:t>
                  </w:r>
                  <w:r>
                    <w:rPr>
                      <w:rFonts w:ascii="Times New Roman" w:hAnsi="Times New Roman" w:cs="Times New Roman"/>
                      <w:szCs w:val="21"/>
                    </w:rPr>
                    <w:t>1.0</w:t>
                  </w:r>
                </w:p>
              </w:tc>
            </w:tr>
            <w:tr>
              <w:tblPrEx>
                <w:tblBorders>
                  <w:top w:val="single" w:color="auto" w:sz="12" w:space="0"/>
                  <w:left w:val="single" w:color="auto" w:sz="12" w:space="0"/>
                  <w:bottom w:val="single" w:color="auto" w:sz="12" w:space="0"/>
                  <w:right w:val="single" w:color="auto" w:sz="12" w:space="0"/>
                  <w:insideH w:val="doub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Ⅳ类标准值</w:t>
                  </w:r>
                  <w:r>
                    <w:rPr>
                      <w:rFonts w:ascii="Times New Roman" w:hAnsi="Times New Roman"/>
                      <w:szCs w:val="21"/>
                    </w:rPr>
                    <w:t>mg/L</w:t>
                  </w:r>
                </w:p>
              </w:tc>
              <w:tc>
                <w:tcPr>
                  <w:tcW w:w="1162"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w:t>
                  </w:r>
                  <w:r>
                    <w:rPr>
                      <w:rFonts w:ascii="Times New Roman" w:hAnsi="Times New Roman" w:cs="Times New Roman"/>
                      <w:szCs w:val="21"/>
                    </w:rPr>
                    <w:t>9</w:t>
                  </w:r>
                </w:p>
              </w:tc>
              <w:tc>
                <w:tcPr>
                  <w:tcW w:w="1043"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kern w:val="0"/>
                      <w:szCs w:val="21"/>
                    </w:rPr>
                  </w:pPr>
                  <w:r>
                    <w:rPr>
                      <w:rFonts w:hint="eastAsia" w:ascii="Times New Roman" w:hAnsi="Times New Roman" w:cs="Times New Roman"/>
                      <w:kern w:val="0"/>
                      <w:szCs w:val="21"/>
                    </w:rPr>
                    <w:t>≥</w:t>
                  </w:r>
                  <w:r>
                    <w:rPr>
                      <w:rFonts w:ascii="Times New Roman" w:hAnsi="Times New Roman" w:cs="Times New Roman"/>
                      <w:kern w:val="0"/>
                      <w:szCs w:val="21"/>
                    </w:rPr>
                    <w:t>3</w:t>
                  </w:r>
                </w:p>
              </w:tc>
              <w:tc>
                <w:tcPr>
                  <w:tcW w:w="1304"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w:t>
                  </w:r>
                  <w:r>
                    <w:rPr>
                      <w:rFonts w:ascii="Times New Roman" w:hAnsi="Times New Roman" w:cs="Times New Roman"/>
                      <w:szCs w:val="21"/>
                    </w:rPr>
                    <w:t>6</w:t>
                  </w:r>
                </w:p>
              </w:tc>
              <w:tc>
                <w:tcPr>
                  <w:tcW w:w="1199"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w:t>
                  </w:r>
                  <w:r>
                    <w:rPr>
                      <w:rFonts w:ascii="Times New Roman" w:hAnsi="Times New Roman" w:cs="Times New Roman"/>
                      <w:szCs w:val="21"/>
                    </w:rPr>
                    <w:t>30</w:t>
                  </w:r>
                </w:p>
              </w:tc>
              <w:tc>
                <w:tcPr>
                  <w:tcW w:w="1043"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ascii="Times New Roman" w:hAnsi="Times New Roman" w:cs="Times New Roman"/>
                      <w:caps/>
                      <w:szCs w:val="21"/>
                    </w:rPr>
                    <w:t>≤</w:t>
                  </w:r>
                  <w:r>
                    <w:rPr>
                      <w:rFonts w:ascii="Times New Roman" w:hAnsi="Times New Roman" w:cs="Times New Roman"/>
                      <w:szCs w:val="21"/>
                    </w:rPr>
                    <w:t>60</w:t>
                  </w:r>
                </w:p>
              </w:tc>
              <w:tc>
                <w:tcPr>
                  <w:tcW w:w="1041" w:type="dxa"/>
                  <w:tcBorders>
                    <w:top w:val="single" w:color="auto" w:sz="4" w:space="0"/>
                    <w:left w:val="single" w:color="auto" w:sz="4" w:space="0"/>
                    <w:bottom w:val="single" w:color="auto" w:sz="4" w:space="0"/>
                    <w:right w:val="single" w:color="auto" w:sz="12"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w:t>
                  </w:r>
                  <w:r>
                    <w:rPr>
                      <w:rFonts w:ascii="Times New Roman" w:hAnsi="Times New Roman" w:cs="Times New Roman"/>
                      <w:szCs w:val="21"/>
                    </w:rPr>
                    <w:t>1.5</w:t>
                  </w:r>
                </w:p>
              </w:tc>
            </w:tr>
            <w:tr>
              <w:tblPrEx>
                <w:tblBorders>
                  <w:top w:val="single" w:color="auto" w:sz="12" w:space="0"/>
                  <w:left w:val="single" w:color="auto" w:sz="12" w:space="0"/>
                  <w:bottom w:val="single" w:color="auto" w:sz="12" w:space="0"/>
                  <w:right w:val="single" w:color="auto" w:sz="12" w:space="0"/>
                  <w:insideH w:val="doub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hint="eastAsia" w:ascii="Times New Roman" w:hAnsi="Times New Roman"/>
                      <w:b/>
                      <w:bCs/>
                      <w:kern w:val="0"/>
                      <w:szCs w:val="21"/>
                    </w:rPr>
                    <w:t>监测因子</w:t>
                  </w:r>
                </w:p>
              </w:tc>
              <w:tc>
                <w:tcPr>
                  <w:tcW w:w="1162"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hint="eastAsia" w:ascii="Times New Roman" w:hAnsi="Times New Roman" w:cs="Times New Roman"/>
                      <w:b/>
                      <w:bCs/>
                      <w:kern w:val="0"/>
                      <w:szCs w:val="21"/>
                    </w:rPr>
                    <w:t>总氮</w:t>
                  </w:r>
                </w:p>
              </w:tc>
              <w:tc>
                <w:tcPr>
                  <w:tcW w:w="1043"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hint="eastAsia" w:ascii="Times New Roman" w:hAnsi="Times New Roman" w:cs="Times New Roman"/>
                      <w:b/>
                      <w:bCs/>
                      <w:szCs w:val="21"/>
                    </w:rPr>
                    <w:t>总磷</w:t>
                  </w:r>
                </w:p>
              </w:tc>
              <w:tc>
                <w:tcPr>
                  <w:tcW w:w="1304"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hint="eastAsia" w:ascii="Times New Roman" w:hAnsi="Times New Roman" w:cs="Times New Roman"/>
                      <w:b/>
                      <w:bCs/>
                      <w:kern w:val="0"/>
                      <w:szCs w:val="21"/>
                    </w:rPr>
                    <w:t>石油类</w:t>
                  </w:r>
                </w:p>
              </w:tc>
              <w:tc>
                <w:tcPr>
                  <w:tcW w:w="1199"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hint="eastAsia" w:ascii="Times New Roman" w:hAnsi="Times New Roman" w:cs="Times New Roman"/>
                      <w:b/>
                      <w:bCs/>
                      <w:kern w:val="0"/>
                      <w:szCs w:val="21"/>
                    </w:rPr>
                    <w:t>高锰酸盐指数</w:t>
                  </w:r>
                </w:p>
              </w:tc>
              <w:tc>
                <w:tcPr>
                  <w:tcW w:w="1043"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b/>
                      <w:bCs/>
                      <w:kern w:val="0"/>
                      <w:szCs w:val="21"/>
                    </w:rPr>
                  </w:pPr>
                  <w:r>
                    <w:rPr>
                      <w:rFonts w:hint="eastAsia" w:ascii="Times New Roman" w:hAnsi="Times New Roman" w:cs="Times New Roman"/>
                      <w:b/>
                      <w:bCs/>
                      <w:kern w:val="0"/>
                      <w:szCs w:val="21"/>
                    </w:rPr>
                    <w:t>阴离子表面活性剂</w:t>
                  </w:r>
                </w:p>
              </w:tc>
              <w:tc>
                <w:tcPr>
                  <w:tcW w:w="1041" w:type="dxa"/>
                  <w:tcBorders>
                    <w:top w:val="single" w:color="auto" w:sz="4" w:space="0"/>
                    <w:left w:val="single" w:color="auto" w:sz="4" w:space="0"/>
                    <w:bottom w:val="single" w:color="auto" w:sz="4" w:space="0"/>
                    <w:right w:val="single" w:color="auto" w:sz="12" w:space="0"/>
                  </w:tcBorders>
                  <w:vAlign w:val="center"/>
                </w:tcPr>
                <w:p>
                  <w:pPr>
                    <w:pStyle w:val="97"/>
                    <w:spacing w:line="240" w:lineRule="auto"/>
                    <w:rPr>
                      <w:rFonts w:ascii="Times New Roman" w:hAnsi="Times New Roman" w:cs="Times New Roman"/>
                      <w:b/>
                      <w:caps/>
                      <w:szCs w:val="21"/>
                    </w:rPr>
                  </w:pPr>
                  <w:r>
                    <w:rPr>
                      <w:rFonts w:hint="eastAsia"/>
                      <w:b/>
                    </w:rPr>
                    <w:t>粪大肠菌群（个</w:t>
                  </w:r>
                  <w:r>
                    <w:rPr>
                      <w:rFonts w:ascii="Times New Roman" w:hAnsi="Times New Roman" w:cs="Times New Roman"/>
                      <w:b/>
                    </w:rPr>
                    <w:t>/L</w:t>
                  </w:r>
                  <w:r>
                    <w:rPr>
                      <w:rFonts w:hint="eastAsia"/>
                      <w:b/>
                    </w:rPr>
                    <w:t>）</w:t>
                  </w:r>
                </w:p>
              </w:tc>
            </w:tr>
            <w:tr>
              <w:tblPrEx>
                <w:tblBorders>
                  <w:top w:val="single" w:color="auto" w:sz="12" w:space="0"/>
                  <w:left w:val="single" w:color="auto" w:sz="12" w:space="0"/>
                  <w:bottom w:val="single" w:color="auto" w:sz="12" w:space="0"/>
                  <w:right w:val="single" w:color="auto" w:sz="12" w:space="0"/>
                  <w:insideH w:val="doub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Ⅲ类标准值</w:t>
                  </w:r>
                  <w:r>
                    <w:rPr>
                      <w:rFonts w:ascii="Times New Roman" w:hAnsi="Times New Roman"/>
                      <w:szCs w:val="21"/>
                    </w:rPr>
                    <w:t>mg/L</w:t>
                  </w:r>
                </w:p>
              </w:tc>
              <w:tc>
                <w:tcPr>
                  <w:tcW w:w="1162"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ascii="Times New Roman" w:hAnsi="Times New Roman" w:cs="Times New Roman"/>
                      <w:caps/>
                      <w:szCs w:val="21"/>
                    </w:rPr>
                    <w:t>≤</w:t>
                  </w:r>
                  <w:r>
                    <w:rPr>
                      <w:rFonts w:ascii="Times New Roman" w:hAnsi="Times New Roman" w:cs="Times New Roman"/>
                      <w:szCs w:val="21"/>
                    </w:rPr>
                    <w:t>1.0</w:t>
                  </w:r>
                </w:p>
              </w:tc>
              <w:tc>
                <w:tcPr>
                  <w:tcW w:w="1043"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ascii="Times New Roman" w:hAnsi="Times New Roman" w:cs="Times New Roman"/>
                      <w:caps/>
                      <w:szCs w:val="21"/>
                    </w:rPr>
                    <w:t>≤</w:t>
                  </w:r>
                  <w:r>
                    <w:rPr>
                      <w:rFonts w:ascii="Times New Roman" w:hAnsi="Times New Roman" w:cs="Times New Roman"/>
                      <w:szCs w:val="21"/>
                    </w:rPr>
                    <w:t>0.2</w:t>
                  </w:r>
                </w:p>
              </w:tc>
              <w:tc>
                <w:tcPr>
                  <w:tcW w:w="1304"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ascii="Times New Roman" w:hAnsi="Times New Roman" w:cs="Times New Roman"/>
                      <w:caps/>
                      <w:szCs w:val="21"/>
                    </w:rPr>
                    <w:t>≤</w:t>
                  </w:r>
                  <w:r>
                    <w:rPr>
                      <w:rFonts w:ascii="Times New Roman" w:hAnsi="Times New Roman" w:cs="Times New Roman"/>
                      <w:szCs w:val="21"/>
                    </w:rPr>
                    <w:t>0.05</w:t>
                  </w:r>
                </w:p>
              </w:tc>
              <w:tc>
                <w:tcPr>
                  <w:tcW w:w="1199"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≤6</w:t>
                  </w:r>
                </w:p>
              </w:tc>
              <w:tc>
                <w:tcPr>
                  <w:tcW w:w="1043" w:type="dxa"/>
                  <w:tcBorders>
                    <w:top w:val="single" w:color="auto" w:sz="4" w:space="0"/>
                    <w:left w:val="single" w:color="auto" w:sz="4" w:space="0"/>
                    <w:bottom w:val="single" w:color="auto" w:sz="4" w:space="0"/>
                    <w:right w:val="single" w:color="auto" w:sz="4" w:space="0"/>
                  </w:tcBorders>
                  <w:vAlign w:val="center"/>
                </w:tcPr>
                <w:p>
                  <w:pPr>
                    <w:pStyle w:val="97"/>
                    <w:spacing w:line="240" w:lineRule="auto"/>
                    <w:rPr>
                      <w:rFonts w:ascii="Times New Roman" w:hAnsi="Times New Roman" w:cs="Times New Roman"/>
                      <w:szCs w:val="21"/>
                    </w:rPr>
                  </w:pPr>
                  <w:r>
                    <w:rPr>
                      <w:rFonts w:ascii="Times New Roman" w:hAnsi="Times New Roman" w:cs="Times New Roman"/>
                      <w:caps/>
                      <w:szCs w:val="21"/>
                    </w:rPr>
                    <w:t>≤</w:t>
                  </w:r>
                  <w:r>
                    <w:rPr>
                      <w:rFonts w:ascii="Times New Roman" w:hAnsi="Times New Roman" w:cs="Times New Roman"/>
                      <w:szCs w:val="21"/>
                    </w:rPr>
                    <w:t>0.2</w:t>
                  </w:r>
                </w:p>
              </w:tc>
              <w:tc>
                <w:tcPr>
                  <w:tcW w:w="1041" w:type="dxa"/>
                  <w:tcBorders>
                    <w:top w:val="single" w:color="auto" w:sz="4" w:space="0"/>
                    <w:left w:val="single" w:color="auto" w:sz="4" w:space="0"/>
                    <w:bottom w:val="single" w:color="auto" w:sz="4" w:space="0"/>
                    <w:right w:val="single" w:color="auto" w:sz="12"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≤10000</w:t>
                  </w:r>
                </w:p>
              </w:tc>
            </w:tr>
            <w:tr>
              <w:tblPrEx>
                <w:tblBorders>
                  <w:top w:val="single" w:color="auto" w:sz="12" w:space="0"/>
                  <w:left w:val="single" w:color="auto" w:sz="12" w:space="0"/>
                  <w:bottom w:val="single" w:color="auto" w:sz="12" w:space="0"/>
                  <w:right w:val="single" w:color="auto" w:sz="12" w:space="0"/>
                  <w:insideH w:val="doub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59"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rFonts w:ascii="Times New Roman" w:hAnsi="Times New Roman"/>
                      <w:szCs w:val="21"/>
                    </w:rPr>
                  </w:pPr>
                  <w:r>
                    <w:rPr>
                      <w:rFonts w:hint="eastAsia" w:ascii="Times New Roman" w:hAnsi="Times New Roman"/>
                      <w:szCs w:val="21"/>
                    </w:rPr>
                    <w:t>Ⅳ类标准值</w:t>
                  </w:r>
                  <w:r>
                    <w:rPr>
                      <w:rFonts w:ascii="Times New Roman" w:hAnsi="Times New Roman"/>
                      <w:szCs w:val="21"/>
                    </w:rPr>
                    <w:t>mg/L</w:t>
                  </w:r>
                </w:p>
              </w:tc>
              <w:tc>
                <w:tcPr>
                  <w:tcW w:w="1162" w:type="dxa"/>
                  <w:tcBorders>
                    <w:top w:val="single" w:color="auto" w:sz="4" w:space="0"/>
                    <w:left w:val="single" w:color="auto" w:sz="4" w:space="0"/>
                    <w:bottom w:val="single" w:color="auto" w:sz="12" w:space="0"/>
                    <w:right w:val="single" w:color="auto" w:sz="4"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w:t>
                  </w:r>
                  <w:r>
                    <w:rPr>
                      <w:rFonts w:ascii="Times New Roman" w:hAnsi="Times New Roman" w:cs="Times New Roman"/>
                      <w:szCs w:val="21"/>
                    </w:rPr>
                    <w:t>1.5</w:t>
                  </w:r>
                </w:p>
              </w:tc>
              <w:tc>
                <w:tcPr>
                  <w:tcW w:w="1043" w:type="dxa"/>
                  <w:tcBorders>
                    <w:top w:val="single" w:color="auto" w:sz="4" w:space="0"/>
                    <w:left w:val="single" w:color="auto" w:sz="4" w:space="0"/>
                    <w:bottom w:val="single" w:color="auto" w:sz="12" w:space="0"/>
                    <w:right w:val="single" w:color="auto" w:sz="4"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w:t>
                  </w:r>
                  <w:r>
                    <w:rPr>
                      <w:rFonts w:ascii="Times New Roman" w:hAnsi="Times New Roman" w:cs="Times New Roman"/>
                      <w:szCs w:val="21"/>
                    </w:rPr>
                    <w:t>0.3</w:t>
                  </w:r>
                </w:p>
              </w:tc>
              <w:tc>
                <w:tcPr>
                  <w:tcW w:w="1304" w:type="dxa"/>
                  <w:tcBorders>
                    <w:top w:val="single" w:color="auto" w:sz="4" w:space="0"/>
                    <w:left w:val="single" w:color="auto" w:sz="4" w:space="0"/>
                    <w:bottom w:val="single" w:color="auto" w:sz="12" w:space="0"/>
                    <w:right w:val="single" w:color="auto" w:sz="4"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w:t>
                  </w:r>
                  <w:r>
                    <w:rPr>
                      <w:rFonts w:ascii="Times New Roman" w:hAnsi="Times New Roman" w:cs="Times New Roman"/>
                      <w:szCs w:val="21"/>
                    </w:rPr>
                    <w:t>0.5</w:t>
                  </w:r>
                </w:p>
              </w:tc>
              <w:tc>
                <w:tcPr>
                  <w:tcW w:w="1199" w:type="dxa"/>
                  <w:tcBorders>
                    <w:top w:val="single" w:color="auto" w:sz="4" w:space="0"/>
                    <w:left w:val="single" w:color="auto" w:sz="4" w:space="0"/>
                    <w:bottom w:val="single" w:color="auto" w:sz="12" w:space="0"/>
                    <w:right w:val="single" w:color="auto" w:sz="4"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≤10</w:t>
                  </w:r>
                </w:p>
              </w:tc>
              <w:tc>
                <w:tcPr>
                  <w:tcW w:w="1043" w:type="dxa"/>
                  <w:tcBorders>
                    <w:top w:val="single" w:color="auto" w:sz="4" w:space="0"/>
                    <w:left w:val="single" w:color="auto" w:sz="4" w:space="0"/>
                    <w:bottom w:val="single" w:color="auto" w:sz="12" w:space="0"/>
                    <w:right w:val="single" w:color="auto" w:sz="4"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w:t>
                  </w:r>
                  <w:r>
                    <w:rPr>
                      <w:rFonts w:ascii="Times New Roman" w:hAnsi="Times New Roman" w:cs="Times New Roman"/>
                      <w:szCs w:val="21"/>
                    </w:rPr>
                    <w:t>0.3</w:t>
                  </w:r>
                </w:p>
              </w:tc>
              <w:tc>
                <w:tcPr>
                  <w:tcW w:w="1041" w:type="dxa"/>
                  <w:tcBorders>
                    <w:top w:val="single" w:color="auto" w:sz="4" w:space="0"/>
                    <w:left w:val="single" w:color="auto" w:sz="4" w:space="0"/>
                    <w:bottom w:val="single" w:color="auto" w:sz="12" w:space="0"/>
                    <w:right w:val="single" w:color="auto" w:sz="12" w:space="0"/>
                  </w:tcBorders>
                  <w:vAlign w:val="center"/>
                </w:tcPr>
                <w:p>
                  <w:pPr>
                    <w:pStyle w:val="97"/>
                    <w:spacing w:line="240" w:lineRule="auto"/>
                    <w:rPr>
                      <w:rFonts w:ascii="Times New Roman" w:hAnsi="Times New Roman" w:cs="Times New Roman"/>
                      <w:caps/>
                      <w:szCs w:val="21"/>
                    </w:rPr>
                  </w:pPr>
                  <w:r>
                    <w:rPr>
                      <w:rFonts w:ascii="Times New Roman" w:hAnsi="Times New Roman" w:cs="Times New Roman"/>
                      <w:caps/>
                      <w:szCs w:val="21"/>
                    </w:rPr>
                    <w:t>≤20000</w:t>
                  </w:r>
                </w:p>
              </w:tc>
            </w:tr>
          </w:tbl>
          <w:p>
            <w:pPr>
              <w:spacing w:line="360" w:lineRule="auto"/>
              <w:ind w:firstLine="590" w:firstLineChars="245"/>
              <w:rPr>
                <w:rFonts w:ascii="Times New Roman" w:hAnsi="Times New Roman"/>
                <w:b/>
                <w:sz w:val="24"/>
              </w:rPr>
            </w:pPr>
            <w:r>
              <w:rPr>
                <w:rFonts w:ascii="Times New Roman" w:hAnsi="Times New Roman"/>
                <w:b/>
                <w:sz w:val="24"/>
              </w:rPr>
              <w:t>3.</w:t>
            </w:r>
            <w:r>
              <w:rPr>
                <w:rFonts w:hint="eastAsia" w:ascii="Times New Roman" w:hAnsi="Times New Roman"/>
                <w:b/>
                <w:sz w:val="24"/>
              </w:rPr>
              <w:t>地下水环境</w:t>
            </w:r>
          </w:p>
          <w:p>
            <w:pPr>
              <w:pStyle w:val="114"/>
            </w:pPr>
            <w:r>
              <w:rPr>
                <w:rFonts w:hint="eastAsia"/>
              </w:rPr>
              <w:t>项目区域地下水水质执行国家</w:t>
            </w:r>
            <w:r>
              <w:rPr>
                <w:rFonts w:hint="eastAsia"/>
                <w:szCs w:val="20"/>
              </w:rPr>
              <w:t>《地下水质量标准》</w:t>
            </w:r>
            <w:r>
              <w:rPr>
                <w:rFonts w:hint="eastAsia"/>
              </w:rPr>
              <w:t>（</w:t>
            </w:r>
            <w:r>
              <w:t>GB/T14848-2017</w:t>
            </w:r>
            <w:r>
              <w:rPr>
                <w:rFonts w:hint="eastAsia"/>
              </w:rPr>
              <w:t>）中Ⅲ类标准。</w:t>
            </w:r>
          </w:p>
          <w:p>
            <w:pPr>
              <w:pStyle w:val="111"/>
            </w:pPr>
            <w:r>
              <w:rPr>
                <w:rFonts w:hint="eastAsia"/>
              </w:rPr>
              <w:t>表</w:t>
            </w:r>
            <w:r>
              <w:t xml:space="preserve">4-3  </w:t>
            </w:r>
            <w:r>
              <w:rPr>
                <w:rFonts w:hint="eastAsia"/>
              </w:rPr>
              <w:t>地下水评价因子和评价标准一览表</w:t>
            </w:r>
            <w:r>
              <w:t xml:space="preserve"> </w:t>
            </w:r>
            <w:r>
              <w:rPr>
                <w:rFonts w:hint="eastAsia"/>
              </w:rPr>
              <w:t>单位</w:t>
            </w:r>
            <w:r>
              <w:t>mg/L</w:t>
            </w:r>
          </w:p>
          <w:tbl>
            <w:tblPr>
              <w:tblStyle w:val="37"/>
              <w:tblW w:w="85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234"/>
              <w:gridCol w:w="851"/>
              <w:gridCol w:w="992"/>
              <w:gridCol w:w="1559"/>
              <w:gridCol w:w="709"/>
              <w:gridCol w:w="709"/>
              <w:gridCol w:w="850"/>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类别</w:t>
                  </w:r>
                </w:p>
              </w:tc>
              <w:tc>
                <w:tcPr>
                  <w:tcW w:w="12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ascii="Times New Roman" w:hAnsi="Times New Roman"/>
                      <w:b/>
                      <w:bCs/>
                      <w:szCs w:val="21"/>
                    </w:rPr>
                    <w:t>pH</w:t>
                  </w:r>
                  <w:r>
                    <w:rPr>
                      <w:rFonts w:hint="eastAsia" w:ascii="Times New Roman"/>
                      <w:b/>
                      <w:bCs/>
                      <w:szCs w:val="21"/>
                    </w:rPr>
                    <w:t>值</w:t>
                  </w:r>
                </w:p>
              </w:tc>
              <w:tc>
                <w:tcPr>
                  <w:tcW w:w="85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氨氮</w:t>
                  </w:r>
                </w:p>
              </w:tc>
              <w:tc>
                <w:tcPr>
                  <w:tcW w:w="99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硝酸盐</w:t>
                  </w:r>
                </w:p>
                <w:p>
                  <w:pPr>
                    <w:pStyle w:val="104"/>
                    <w:spacing w:line="240" w:lineRule="atLeast"/>
                    <w:rPr>
                      <w:rFonts w:ascii="Times New Roman" w:hAnsi="Times New Roman"/>
                      <w:b/>
                      <w:bCs/>
                      <w:szCs w:val="21"/>
                    </w:rPr>
                  </w:pPr>
                  <w:r>
                    <w:rPr>
                      <w:rFonts w:ascii="Times New Roman" w:hAnsi="Times New Roman"/>
                      <w:b/>
                      <w:bCs/>
                      <w:szCs w:val="21"/>
                    </w:rPr>
                    <w:t>(</w:t>
                  </w:r>
                  <w:r>
                    <w:rPr>
                      <w:rFonts w:hint="eastAsia" w:ascii="Times New Roman"/>
                      <w:b/>
                      <w:bCs/>
                      <w:szCs w:val="21"/>
                    </w:rPr>
                    <w:t>以</w:t>
                  </w:r>
                  <w:r>
                    <w:rPr>
                      <w:rFonts w:ascii="Times New Roman" w:hAnsi="Times New Roman"/>
                      <w:b/>
                      <w:bCs/>
                      <w:szCs w:val="21"/>
                    </w:rPr>
                    <w:t>N</w:t>
                  </w:r>
                  <w:r>
                    <w:rPr>
                      <w:rFonts w:hint="eastAsia" w:ascii="Times New Roman"/>
                      <w:b/>
                      <w:bCs/>
                      <w:szCs w:val="21"/>
                    </w:rPr>
                    <w:t>计</w:t>
                  </w:r>
                  <w:r>
                    <w:rPr>
                      <w:rFonts w:ascii="Times New Roman" w:hAnsi="Times New Roman"/>
                      <w:b/>
                      <w:bCs/>
                      <w:szCs w:val="21"/>
                    </w:rPr>
                    <w:t>)</w:t>
                  </w:r>
                </w:p>
              </w:tc>
              <w:tc>
                <w:tcPr>
                  <w:tcW w:w="1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亚硝酸盐</w:t>
                  </w:r>
                </w:p>
                <w:p>
                  <w:pPr>
                    <w:pStyle w:val="104"/>
                    <w:spacing w:line="240" w:lineRule="atLeast"/>
                    <w:rPr>
                      <w:rFonts w:ascii="Times New Roman" w:hAnsi="Times New Roman"/>
                      <w:b/>
                      <w:bCs/>
                      <w:szCs w:val="21"/>
                    </w:rPr>
                  </w:pPr>
                  <w:r>
                    <w:rPr>
                      <w:rFonts w:ascii="Times New Roman" w:hAnsi="Times New Roman"/>
                      <w:b/>
                      <w:bCs/>
                      <w:szCs w:val="21"/>
                    </w:rPr>
                    <w:t>(</w:t>
                  </w:r>
                  <w:r>
                    <w:rPr>
                      <w:rFonts w:hint="eastAsia" w:ascii="Times New Roman"/>
                      <w:b/>
                      <w:bCs/>
                      <w:szCs w:val="21"/>
                    </w:rPr>
                    <w:t>以</w:t>
                  </w:r>
                  <w:r>
                    <w:rPr>
                      <w:rFonts w:ascii="Times New Roman" w:hAnsi="Times New Roman"/>
                      <w:b/>
                      <w:bCs/>
                      <w:szCs w:val="21"/>
                    </w:rPr>
                    <w:t>N</w:t>
                  </w:r>
                  <w:r>
                    <w:rPr>
                      <w:rFonts w:hint="eastAsia" w:ascii="Times New Roman"/>
                      <w:b/>
                      <w:bCs/>
                      <w:szCs w:val="21"/>
                    </w:rPr>
                    <w:t>计</w:t>
                  </w:r>
                  <w:r>
                    <w:rPr>
                      <w:rFonts w:ascii="Times New Roman" w:hAnsi="Times New Roman"/>
                      <w:b/>
                      <w:bCs/>
                      <w:szCs w:val="21"/>
                    </w:rPr>
                    <w:t>)</w:t>
                  </w:r>
                </w:p>
              </w:tc>
              <w:tc>
                <w:tcPr>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氰化物</w:t>
                  </w:r>
                </w:p>
              </w:tc>
              <w:tc>
                <w:tcPr>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砷</w:t>
                  </w:r>
                </w:p>
              </w:tc>
              <w:tc>
                <w:tcPr>
                  <w:tcW w:w="850" w:type="dxa"/>
                  <w:tcBorders>
                    <w:top w:val="single" w:color="auto" w:sz="4" w:space="0"/>
                    <w:left w:val="single" w:color="auto" w:sz="4" w:space="0"/>
                    <w:bottom w:val="single" w:color="auto" w:sz="4" w:space="0"/>
                    <w:right w:val="single" w:color="auto" w:sz="4" w:space="0"/>
                  </w:tcBorders>
                  <w:vAlign w:val="center"/>
                </w:tcPr>
                <w:p>
                  <w:pPr>
                    <w:pStyle w:val="104"/>
                    <w:spacing w:line="240" w:lineRule="atLeast"/>
                    <w:rPr>
                      <w:rFonts w:ascii="Times New Roman" w:hAnsi="Times New Roman"/>
                      <w:b/>
                      <w:bCs/>
                      <w:szCs w:val="21"/>
                    </w:rPr>
                  </w:pPr>
                  <w:r>
                    <w:rPr>
                      <w:rFonts w:hint="eastAsia" w:ascii="Times New Roman"/>
                      <w:b/>
                      <w:bCs/>
                      <w:szCs w:val="21"/>
                    </w:rPr>
                    <w:t>汞</w:t>
                  </w:r>
                </w:p>
              </w:tc>
              <w:tc>
                <w:tcPr>
                  <w:tcW w:w="1117" w:type="dxa"/>
                  <w:tcBorders>
                    <w:top w:val="single" w:color="auto" w:sz="4" w:space="0"/>
                    <w:left w:val="single" w:color="auto" w:sz="4" w:space="0"/>
                    <w:bottom w:val="single" w:color="auto" w:sz="4" w:space="0"/>
                    <w:right w:val="single" w:color="auto" w:sz="4" w:space="0"/>
                  </w:tcBorders>
                  <w:vAlign w:val="center"/>
                </w:tcPr>
                <w:p>
                  <w:pPr>
                    <w:pStyle w:val="104"/>
                    <w:spacing w:line="240" w:lineRule="atLeast"/>
                    <w:rPr>
                      <w:rFonts w:ascii="Times New Roman" w:hAnsi="Times New Roman"/>
                      <w:b/>
                      <w:bCs/>
                      <w:szCs w:val="21"/>
                    </w:rPr>
                  </w:pPr>
                  <w:r>
                    <w:rPr>
                      <w:rFonts w:hint="eastAsia" w:ascii="Times New Roman"/>
                      <w:b/>
                      <w:bCs/>
                      <w:szCs w:val="21"/>
                    </w:rPr>
                    <w:t>六价铬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hint="eastAsia" w:ascii="宋体" w:hAnsi="宋体" w:cs="宋体"/>
                      <w:szCs w:val="21"/>
                    </w:rPr>
                    <w:t>Ⅲ</w:t>
                  </w:r>
                  <w:r>
                    <w:rPr>
                      <w:rFonts w:hint="eastAsia" w:ascii="Times New Roman"/>
                      <w:szCs w:val="21"/>
                    </w:rPr>
                    <w:t>类</w:t>
                  </w:r>
                </w:p>
              </w:tc>
              <w:tc>
                <w:tcPr>
                  <w:tcW w:w="12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szCs w:val="21"/>
                    </w:rPr>
                    <w:t>6.5~8.5</w:t>
                  </w:r>
                </w:p>
              </w:tc>
              <w:tc>
                <w:tcPr>
                  <w:tcW w:w="85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0.5</w:t>
                  </w:r>
                </w:p>
              </w:tc>
              <w:tc>
                <w:tcPr>
                  <w:tcW w:w="99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20</w:t>
                  </w:r>
                </w:p>
              </w:tc>
              <w:tc>
                <w:tcPr>
                  <w:tcW w:w="1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1.0</w:t>
                  </w:r>
                </w:p>
              </w:tc>
              <w:tc>
                <w:tcPr>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0.05</w:t>
                  </w:r>
                </w:p>
              </w:tc>
              <w:tc>
                <w:tcPr>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0.01</w:t>
                  </w:r>
                </w:p>
              </w:tc>
              <w:tc>
                <w:tcPr>
                  <w:tcW w:w="850" w:type="dxa"/>
                  <w:tcBorders>
                    <w:top w:val="single" w:color="auto" w:sz="4" w:space="0"/>
                    <w:left w:val="single" w:color="auto" w:sz="4" w:space="0"/>
                    <w:bottom w:val="single" w:color="auto" w:sz="4" w:space="0"/>
                    <w:right w:val="single" w:color="auto" w:sz="4" w:space="0"/>
                  </w:tcBorders>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0.001</w:t>
                  </w:r>
                </w:p>
              </w:tc>
              <w:tc>
                <w:tcPr>
                  <w:tcW w:w="1117" w:type="dxa"/>
                  <w:tcBorders>
                    <w:top w:val="single" w:color="auto" w:sz="4" w:space="0"/>
                    <w:left w:val="single" w:color="auto" w:sz="4" w:space="0"/>
                    <w:bottom w:val="single" w:color="auto" w:sz="4" w:space="0"/>
                    <w:right w:val="single" w:color="auto" w:sz="4" w:space="0"/>
                  </w:tcBorders>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类别</w:t>
                  </w:r>
                </w:p>
              </w:tc>
              <w:tc>
                <w:tcPr>
                  <w:tcW w:w="12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总硬度</w:t>
                  </w:r>
                </w:p>
              </w:tc>
              <w:tc>
                <w:tcPr>
                  <w:tcW w:w="85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铅</w:t>
                  </w:r>
                </w:p>
              </w:tc>
              <w:tc>
                <w:tcPr>
                  <w:tcW w:w="99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氟化物</w:t>
                  </w:r>
                </w:p>
              </w:tc>
              <w:tc>
                <w:tcPr>
                  <w:tcW w:w="1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镉</w:t>
                  </w:r>
                </w:p>
              </w:tc>
              <w:tc>
                <w:tcPr>
                  <w:tcW w:w="1418"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铁</w:t>
                  </w:r>
                </w:p>
              </w:tc>
              <w:tc>
                <w:tcPr>
                  <w:tcW w:w="1967" w:type="dxa"/>
                  <w:gridSpan w:val="2"/>
                  <w:tcBorders>
                    <w:top w:val="single" w:color="auto" w:sz="4" w:space="0"/>
                    <w:left w:val="single" w:color="auto" w:sz="4" w:space="0"/>
                    <w:bottom w:val="single" w:color="auto" w:sz="4" w:space="0"/>
                    <w:right w:val="single" w:color="auto" w:sz="4" w:space="0"/>
                  </w:tcBorders>
                  <w:vAlign w:val="center"/>
                </w:tcPr>
                <w:p>
                  <w:pPr>
                    <w:pStyle w:val="104"/>
                    <w:spacing w:line="240" w:lineRule="atLeast"/>
                    <w:rPr>
                      <w:rFonts w:ascii="Times New Roman" w:hAnsi="Times New Roman"/>
                      <w:b/>
                      <w:bCs/>
                      <w:szCs w:val="21"/>
                    </w:rPr>
                  </w:pPr>
                  <w:r>
                    <w:rPr>
                      <w:rFonts w:hint="eastAsia" w:ascii="Times New Roman"/>
                      <w:b/>
                      <w:bCs/>
                      <w:szCs w:val="21"/>
                    </w:rPr>
                    <w:t>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hint="eastAsia" w:ascii="宋体" w:hAnsi="宋体" w:cs="宋体"/>
                      <w:szCs w:val="21"/>
                    </w:rPr>
                    <w:t>Ⅲ</w:t>
                  </w:r>
                  <w:r>
                    <w:rPr>
                      <w:rFonts w:hint="eastAsia" w:ascii="Times New Roman"/>
                      <w:szCs w:val="21"/>
                    </w:rPr>
                    <w:t>类</w:t>
                  </w:r>
                </w:p>
              </w:tc>
              <w:tc>
                <w:tcPr>
                  <w:tcW w:w="12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450</w:t>
                  </w:r>
                </w:p>
              </w:tc>
              <w:tc>
                <w:tcPr>
                  <w:tcW w:w="85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0.01</w:t>
                  </w:r>
                </w:p>
              </w:tc>
              <w:tc>
                <w:tcPr>
                  <w:tcW w:w="99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1.0</w:t>
                  </w:r>
                </w:p>
              </w:tc>
              <w:tc>
                <w:tcPr>
                  <w:tcW w:w="1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0.005</w:t>
                  </w:r>
                </w:p>
              </w:tc>
              <w:tc>
                <w:tcPr>
                  <w:tcW w:w="1418"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0.3</w:t>
                  </w:r>
                </w:p>
              </w:tc>
              <w:tc>
                <w:tcPr>
                  <w:tcW w:w="1967" w:type="dxa"/>
                  <w:gridSpan w:val="2"/>
                  <w:tcBorders>
                    <w:top w:val="single" w:color="auto" w:sz="4" w:space="0"/>
                    <w:left w:val="single" w:color="auto" w:sz="4" w:space="0"/>
                    <w:bottom w:val="single" w:color="auto" w:sz="4" w:space="0"/>
                    <w:right w:val="single" w:color="auto" w:sz="4" w:space="0"/>
                  </w:tcBorders>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类别</w:t>
                  </w:r>
                </w:p>
              </w:tc>
              <w:tc>
                <w:tcPr>
                  <w:tcW w:w="12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挥发性酚类</w:t>
                  </w:r>
                </w:p>
              </w:tc>
              <w:tc>
                <w:tcPr>
                  <w:tcW w:w="85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硫酸盐</w:t>
                  </w:r>
                </w:p>
              </w:tc>
              <w:tc>
                <w:tcPr>
                  <w:tcW w:w="99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氯化物</w:t>
                  </w:r>
                </w:p>
              </w:tc>
              <w:tc>
                <w:tcPr>
                  <w:tcW w:w="1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总大肠菌群</w:t>
                  </w:r>
                </w:p>
              </w:tc>
              <w:tc>
                <w:tcPr>
                  <w:tcW w:w="1418"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b/>
                      <w:bCs/>
                      <w:szCs w:val="21"/>
                    </w:rPr>
                  </w:pPr>
                  <w:r>
                    <w:rPr>
                      <w:rFonts w:hint="eastAsia" w:ascii="Times New Roman"/>
                      <w:b/>
                      <w:bCs/>
                      <w:szCs w:val="21"/>
                    </w:rPr>
                    <w:t>菌落总数</w:t>
                  </w:r>
                </w:p>
              </w:tc>
              <w:tc>
                <w:tcPr>
                  <w:tcW w:w="1967" w:type="dxa"/>
                  <w:gridSpan w:val="2"/>
                  <w:tcBorders>
                    <w:top w:val="single" w:color="auto" w:sz="4" w:space="0"/>
                    <w:left w:val="single" w:color="auto" w:sz="4" w:space="0"/>
                    <w:bottom w:val="single" w:color="auto" w:sz="4" w:space="0"/>
                    <w:right w:val="single" w:color="auto" w:sz="4" w:space="0"/>
                  </w:tcBorders>
                  <w:vAlign w:val="center"/>
                </w:tcPr>
                <w:p>
                  <w:pPr>
                    <w:pStyle w:val="104"/>
                    <w:spacing w:line="240" w:lineRule="atLeast"/>
                    <w:rPr>
                      <w:rFonts w:ascii="Times New Roman" w:hAnsi="Times New Roman"/>
                      <w:b/>
                      <w:bCs/>
                      <w:szCs w:val="21"/>
                    </w:rPr>
                  </w:pPr>
                  <w:r>
                    <w:rPr>
                      <w:rFonts w:hint="eastAsia" w:ascii="Times New Roman" w:hAnsi="Times New Roman"/>
                      <w:b/>
                      <w:bCs/>
                      <w:szCs w:val="21"/>
                    </w:rPr>
                    <w:t>溶解性总固体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5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hint="eastAsia" w:ascii="宋体" w:hAnsi="宋体" w:cs="宋体"/>
                      <w:szCs w:val="21"/>
                    </w:rPr>
                    <w:t>Ⅲ</w:t>
                  </w:r>
                  <w:r>
                    <w:rPr>
                      <w:rFonts w:hint="eastAsia" w:ascii="Times New Roman"/>
                      <w:szCs w:val="21"/>
                    </w:rPr>
                    <w:t>类</w:t>
                  </w:r>
                </w:p>
              </w:tc>
              <w:tc>
                <w:tcPr>
                  <w:tcW w:w="12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0.002</w:t>
                  </w:r>
                </w:p>
              </w:tc>
              <w:tc>
                <w:tcPr>
                  <w:tcW w:w="85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250</w:t>
                  </w:r>
                </w:p>
              </w:tc>
              <w:tc>
                <w:tcPr>
                  <w:tcW w:w="99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250</w:t>
                  </w:r>
                </w:p>
              </w:tc>
              <w:tc>
                <w:tcPr>
                  <w:tcW w:w="1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3.0MPN/100mL</w:t>
                  </w:r>
                </w:p>
              </w:tc>
              <w:tc>
                <w:tcPr>
                  <w:tcW w:w="1418"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100CFU/mL</w:t>
                  </w:r>
                </w:p>
              </w:tc>
              <w:tc>
                <w:tcPr>
                  <w:tcW w:w="1967" w:type="dxa"/>
                  <w:gridSpan w:val="2"/>
                  <w:tcBorders>
                    <w:top w:val="single" w:color="auto" w:sz="4" w:space="0"/>
                    <w:left w:val="single" w:color="auto" w:sz="4" w:space="0"/>
                    <w:bottom w:val="single" w:color="auto" w:sz="4" w:space="0"/>
                    <w:right w:val="single" w:color="auto" w:sz="4" w:space="0"/>
                  </w:tcBorders>
                  <w:vAlign w:val="center"/>
                </w:tcPr>
                <w:p>
                  <w:pPr>
                    <w:pStyle w:val="104"/>
                    <w:spacing w:line="240" w:lineRule="atLeast"/>
                    <w:rPr>
                      <w:rFonts w:ascii="Times New Roman" w:hAnsi="Times New Roman"/>
                      <w:szCs w:val="21"/>
                    </w:rPr>
                  </w:pPr>
                  <w:r>
                    <w:rPr>
                      <w:rFonts w:ascii="Times New Roman" w:hAnsi="Times New Roman"/>
                    </w:rPr>
                    <w:sym w:font="Symbol" w:char="F0A3"/>
                  </w:r>
                  <w:r>
                    <w:rPr>
                      <w:rFonts w:ascii="Times New Roman" w:hAnsi="Times New Roman"/>
                      <w:szCs w:val="21"/>
                    </w:rPr>
                    <w:t>1000</w:t>
                  </w:r>
                </w:p>
              </w:tc>
            </w:tr>
          </w:tbl>
          <w:p>
            <w:pPr>
              <w:spacing w:line="360" w:lineRule="auto"/>
              <w:ind w:firstLine="482" w:firstLineChars="200"/>
              <w:rPr>
                <w:rFonts w:ascii="Times New Roman" w:hAnsi="Times New Roman"/>
                <w:b/>
                <w:sz w:val="24"/>
              </w:rPr>
            </w:pPr>
            <w:r>
              <w:rPr>
                <w:rFonts w:ascii="Times New Roman" w:hAnsi="Times New Roman"/>
                <w:b/>
                <w:sz w:val="24"/>
              </w:rPr>
              <w:t>4</w:t>
            </w:r>
            <w:r>
              <w:rPr>
                <w:rFonts w:hint="eastAsia" w:ascii="Times New Roman" w:hAnsi="Times New Roman"/>
                <w:b/>
                <w:sz w:val="24"/>
              </w:rPr>
              <w:t>、声环境</w:t>
            </w:r>
          </w:p>
          <w:p>
            <w:pPr>
              <w:pStyle w:val="114"/>
            </w:pPr>
            <w:r>
              <w:rPr>
                <w:rFonts w:hint="eastAsia"/>
              </w:rPr>
              <w:t>本项目厂区声环境执行《声环境质量标准》（</w:t>
            </w:r>
            <w:r>
              <w:t>GB3096-2008</w:t>
            </w:r>
            <w:r>
              <w:rPr>
                <w:rFonts w:hint="eastAsia"/>
              </w:rPr>
              <w:t>）</w:t>
            </w:r>
            <w:r>
              <w:t>2</w:t>
            </w:r>
            <w:r>
              <w:rPr>
                <w:rFonts w:hint="eastAsia"/>
              </w:rPr>
              <w:t>类环境噪声限值</w:t>
            </w:r>
          </w:p>
          <w:p>
            <w:pPr>
              <w:pStyle w:val="111"/>
            </w:pPr>
            <w:r>
              <w:rPr>
                <w:rFonts w:hint="eastAsia"/>
              </w:rPr>
              <w:t>表</w:t>
            </w:r>
            <w:r>
              <w:t xml:space="preserve">4-4  </w:t>
            </w:r>
            <w:r>
              <w:rPr>
                <w:rFonts w:hint="eastAsia"/>
              </w:rPr>
              <w:t>声环境评价标准一览表</w:t>
            </w:r>
          </w:p>
          <w:tbl>
            <w:tblPr>
              <w:tblStyle w:val="37"/>
              <w:tblW w:w="854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88"/>
              <w:gridCol w:w="2972"/>
              <w:gridCol w:w="27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blHeader/>
                <w:jc w:val="center"/>
              </w:trPr>
              <w:tc>
                <w:tcPr>
                  <w:tcW w:w="2788" w:type="dxa"/>
                  <w:tcBorders>
                    <w:top w:val="single" w:color="auto" w:sz="12" w:space="0"/>
                    <w:left w:val="single" w:color="auto" w:sz="12" w:space="0"/>
                    <w:bottom w:val="double" w:color="auto" w:sz="4" w:space="0"/>
                    <w:right w:val="single" w:color="auto" w:sz="6" w:space="0"/>
                  </w:tcBorders>
                  <w:vAlign w:val="center"/>
                </w:tcPr>
                <w:p>
                  <w:pPr>
                    <w:spacing w:line="280" w:lineRule="exact"/>
                    <w:jc w:val="center"/>
                    <w:rPr>
                      <w:rFonts w:ascii="Times New Roman" w:hAnsi="Times New Roman"/>
                      <w:b/>
                      <w:bCs/>
                      <w:szCs w:val="21"/>
                    </w:rPr>
                  </w:pPr>
                  <w:r>
                    <w:rPr>
                      <w:rFonts w:hint="eastAsia" w:ascii="Times New Roman" w:hAnsi="Times New Roman"/>
                      <w:b/>
                      <w:bCs/>
                      <w:szCs w:val="21"/>
                    </w:rPr>
                    <w:t>类别</w:t>
                  </w:r>
                </w:p>
              </w:tc>
              <w:tc>
                <w:tcPr>
                  <w:tcW w:w="2972" w:type="dxa"/>
                  <w:tcBorders>
                    <w:top w:val="single" w:color="auto" w:sz="12" w:space="0"/>
                    <w:left w:val="single" w:color="auto" w:sz="6" w:space="0"/>
                    <w:bottom w:val="double" w:color="auto" w:sz="4" w:space="0"/>
                    <w:right w:val="single" w:color="auto" w:sz="6" w:space="0"/>
                  </w:tcBorders>
                  <w:vAlign w:val="center"/>
                </w:tcPr>
                <w:p>
                  <w:pPr>
                    <w:pStyle w:val="98"/>
                    <w:widowControl w:val="0"/>
                    <w:pBdr>
                      <w:left w:val="none" w:color="auto" w:sz="0" w:space="0"/>
                      <w:bottom w:val="none" w:color="auto" w:sz="0" w:space="0"/>
                      <w:right w:val="none" w:color="auto" w:sz="0" w:space="0"/>
                    </w:pBdr>
                    <w:spacing w:before="0" w:beforeAutospacing="0" w:after="0" w:afterAutospacing="0" w:line="280" w:lineRule="exact"/>
                    <w:rPr>
                      <w:rFonts w:ascii="Times New Roman" w:hAnsi="Times New Roman"/>
                      <w:b/>
                      <w:bCs/>
                      <w:kern w:val="2"/>
                      <w:sz w:val="21"/>
                      <w:szCs w:val="21"/>
                    </w:rPr>
                  </w:pPr>
                  <w:r>
                    <w:rPr>
                      <w:rFonts w:hint="eastAsia" w:ascii="Times New Roman" w:hAnsi="Times New Roman"/>
                      <w:b/>
                      <w:bCs/>
                      <w:kern w:val="2"/>
                      <w:sz w:val="21"/>
                      <w:szCs w:val="21"/>
                    </w:rPr>
                    <w:t>昼间</w:t>
                  </w:r>
                </w:p>
              </w:tc>
              <w:tc>
                <w:tcPr>
                  <w:tcW w:w="2786" w:type="dxa"/>
                  <w:tcBorders>
                    <w:top w:val="single" w:color="auto" w:sz="12" w:space="0"/>
                    <w:left w:val="single" w:color="auto" w:sz="6" w:space="0"/>
                    <w:bottom w:val="double" w:color="auto" w:sz="4" w:space="0"/>
                    <w:right w:val="single" w:color="auto" w:sz="12" w:space="0"/>
                  </w:tcBorders>
                  <w:vAlign w:val="center"/>
                </w:tcPr>
                <w:p>
                  <w:pPr>
                    <w:spacing w:line="280" w:lineRule="exact"/>
                    <w:jc w:val="center"/>
                    <w:rPr>
                      <w:rFonts w:ascii="Times New Roman" w:hAnsi="Times New Roman"/>
                      <w:b/>
                      <w:bCs/>
                      <w:szCs w:val="21"/>
                    </w:rPr>
                  </w:pPr>
                  <w:r>
                    <w:rPr>
                      <w:rFonts w:hint="eastAsia" w:ascii="Times New Roman" w:hAnsi="Times New Roman"/>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jc w:val="center"/>
              </w:trPr>
              <w:tc>
                <w:tcPr>
                  <w:tcW w:w="2788" w:type="dxa"/>
                  <w:tcBorders>
                    <w:top w:val="double" w:color="auto" w:sz="4" w:space="0"/>
                    <w:left w:val="single" w:color="auto" w:sz="12" w:space="0"/>
                    <w:bottom w:val="single" w:color="auto" w:sz="12" w:space="0"/>
                    <w:right w:val="single" w:color="auto" w:sz="6" w:space="0"/>
                  </w:tcBorders>
                  <w:vAlign w:val="center"/>
                </w:tcPr>
                <w:p>
                  <w:pPr>
                    <w:spacing w:line="280" w:lineRule="exact"/>
                    <w:jc w:val="center"/>
                    <w:rPr>
                      <w:rFonts w:ascii="Times New Roman" w:hAnsi="Times New Roman"/>
                      <w:szCs w:val="21"/>
                    </w:rPr>
                  </w:pPr>
                  <w:r>
                    <w:rPr>
                      <w:rFonts w:ascii="Times New Roman" w:hAnsi="Times New Roman"/>
                      <w:szCs w:val="21"/>
                    </w:rPr>
                    <w:t>2</w:t>
                  </w:r>
                </w:p>
              </w:tc>
              <w:tc>
                <w:tcPr>
                  <w:tcW w:w="2972" w:type="dxa"/>
                  <w:tcBorders>
                    <w:top w:val="double" w:color="auto" w:sz="4" w:space="0"/>
                    <w:left w:val="single" w:color="auto" w:sz="6" w:space="0"/>
                    <w:bottom w:val="single" w:color="auto" w:sz="12" w:space="0"/>
                    <w:right w:val="single" w:color="auto" w:sz="6" w:space="0"/>
                  </w:tcBorders>
                  <w:vAlign w:val="center"/>
                </w:tcPr>
                <w:p>
                  <w:pPr>
                    <w:spacing w:line="280" w:lineRule="exact"/>
                    <w:jc w:val="center"/>
                    <w:rPr>
                      <w:rFonts w:ascii="Times New Roman" w:hAnsi="Times New Roman"/>
                      <w:szCs w:val="21"/>
                    </w:rPr>
                  </w:pPr>
                  <w:r>
                    <w:rPr>
                      <w:rFonts w:ascii="Times New Roman" w:hAnsi="Times New Roman"/>
                      <w:szCs w:val="21"/>
                    </w:rPr>
                    <w:t>60</w:t>
                  </w:r>
                  <w:r>
                    <w:rPr>
                      <w:rFonts w:ascii="Times New Roman" w:hAnsi="Times New Roman"/>
                      <w:kern w:val="0"/>
                      <w:szCs w:val="21"/>
                    </w:rPr>
                    <w:t>dB(A)</w:t>
                  </w:r>
                </w:p>
              </w:tc>
              <w:tc>
                <w:tcPr>
                  <w:tcW w:w="2786" w:type="dxa"/>
                  <w:tcBorders>
                    <w:top w:val="double" w:color="auto" w:sz="4" w:space="0"/>
                    <w:left w:val="single" w:color="auto" w:sz="6" w:space="0"/>
                    <w:bottom w:val="single" w:color="auto" w:sz="12" w:space="0"/>
                    <w:right w:val="single" w:color="auto" w:sz="12" w:space="0"/>
                  </w:tcBorders>
                  <w:vAlign w:val="center"/>
                </w:tcPr>
                <w:p>
                  <w:pPr>
                    <w:spacing w:line="280" w:lineRule="exact"/>
                    <w:jc w:val="center"/>
                    <w:rPr>
                      <w:rFonts w:ascii="Times New Roman" w:hAnsi="Times New Roman"/>
                      <w:szCs w:val="21"/>
                    </w:rPr>
                  </w:pPr>
                  <w:r>
                    <w:rPr>
                      <w:rFonts w:ascii="Times New Roman" w:hAnsi="Times New Roman"/>
                      <w:szCs w:val="21"/>
                    </w:rPr>
                    <w:t>50</w:t>
                  </w:r>
                  <w:r>
                    <w:rPr>
                      <w:rFonts w:ascii="Times New Roman" w:hAnsi="Times New Roman"/>
                      <w:kern w:val="0"/>
                      <w:szCs w:val="21"/>
                    </w:rPr>
                    <w:t>dB(A)</w:t>
                  </w:r>
                </w:p>
              </w:tc>
            </w:tr>
          </w:tbl>
          <w:p>
            <w:pPr>
              <w:spacing w:line="360" w:lineRule="auto"/>
              <w:ind w:firstLine="482" w:firstLineChars="200"/>
              <w:rPr>
                <w:rFonts w:ascii="Times New Roman" w:hAnsi="Times New Roman"/>
                <w:b/>
                <w:sz w:val="24"/>
              </w:rPr>
            </w:pPr>
            <w:r>
              <w:rPr>
                <w:rFonts w:ascii="Times New Roman" w:hAnsi="Times New Roman"/>
                <w:b/>
                <w:sz w:val="24"/>
              </w:rPr>
              <w:t>5</w:t>
            </w:r>
            <w:r>
              <w:rPr>
                <w:rFonts w:hint="eastAsia" w:ascii="Times New Roman" w:hAnsi="Times New Roman"/>
                <w:b/>
                <w:sz w:val="24"/>
              </w:rPr>
              <w:t>、土壤环境</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本项目占地范围内土壤执行</w:t>
            </w:r>
            <w:bookmarkStart w:id="31" w:name="OLE_LINK1"/>
            <w:r>
              <w:rPr>
                <w:rFonts w:hint="eastAsia" w:ascii="Times New Roman" w:hAnsi="Times New Roman"/>
                <w:sz w:val="24"/>
                <w:szCs w:val="24"/>
              </w:rPr>
              <w:t>《土壤环境质量</w:t>
            </w:r>
            <w:r>
              <w:rPr>
                <w:rFonts w:ascii="Times New Roman" w:hAnsi="Times New Roman"/>
                <w:sz w:val="24"/>
                <w:szCs w:val="24"/>
              </w:rPr>
              <w:t xml:space="preserve"> </w:t>
            </w:r>
            <w:r>
              <w:rPr>
                <w:rFonts w:hint="eastAsia" w:ascii="Times New Roman" w:hAnsi="Times New Roman"/>
                <w:sz w:val="24"/>
                <w:szCs w:val="24"/>
              </w:rPr>
              <w:t>建设用地土壤污染风险管控标准（试行）》</w:t>
            </w:r>
            <w:r>
              <w:rPr>
                <w:rFonts w:ascii="Times New Roman" w:hAnsi="Times New Roman"/>
                <w:sz w:val="24"/>
                <w:szCs w:val="24"/>
              </w:rPr>
              <w:t>(GB 36600-2018)</w:t>
            </w:r>
            <w:r>
              <w:rPr>
                <w:rFonts w:hint="eastAsia" w:ascii="Times New Roman" w:hAnsi="Times New Roman"/>
                <w:sz w:val="24"/>
                <w:szCs w:val="24"/>
              </w:rPr>
              <w:t>中第二类用地风险筛选值标准</w:t>
            </w:r>
            <w:bookmarkEnd w:id="31"/>
            <w:r>
              <w:rPr>
                <w:rFonts w:hint="eastAsia" w:ascii="Times New Roman" w:hAnsi="Times New Roman"/>
                <w:sz w:val="24"/>
                <w:szCs w:val="24"/>
              </w:rPr>
              <w:t>，见表</w:t>
            </w:r>
            <w:r>
              <w:rPr>
                <w:rFonts w:ascii="Times New Roman" w:hAnsi="Times New Roman"/>
                <w:sz w:val="24"/>
                <w:szCs w:val="24"/>
              </w:rPr>
              <w:t>4-5</w:t>
            </w:r>
            <w:r>
              <w:rPr>
                <w:rFonts w:hint="eastAsia" w:ascii="Times New Roman" w:hAnsi="Times New Roman"/>
                <w:sz w:val="24"/>
                <w:szCs w:val="24"/>
              </w:rPr>
              <w:t>。</w:t>
            </w:r>
          </w:p>
          <w:p>
            <w:pPr>
              <w:pStyle w:val="111"/>
            </w:pPr>
            <w:r>
              <w:rPr>
                <w:rFonts w:hint="eastAsia"/>
              </w:rPr>
              <w:t>表</w:t>
            </w:r>
            <w:r>
              <w:t xml:space="preserve">4-5  </w:t>
            </w:r>
            <w:r>
              <w:rPr>
                <w:rFonts w:hint="eastAsia"/>
              </w:rPr>
              <w:t>建设用地土壤污染风险筛选值和管制值（基本项目）单位：</w:t>
            </w:r>
            <w:r>
              <w:t>mg/kg</w:t>
            </w:r>
          </w:p>
          <w:tbl>
            <w:tblPr>
              <w:tblStyle w:val="37"/>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501"/>
              <w:gridCol w:w="1332"/>
              <w:gridCol w:w="1332"/>
              <w:gridCol w:w="1333"/>
              <w:gridCol w:w="1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9" w:type="dxa"/>
                  <w:vMerge w:val="restart"/>
                  <w:tcBorders>
                    <w:top w:val="single" w:color="auto" w:sz="12"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b/>
                      <w:bCs/>
                      <w:szCs w:val="21"/>
                    </w:rPr>
                  </w:pPr>
                  <w:r>
                    <w:rPr>
                      <w:rFonts w:hint="eastAsia" w:ascii="Times New Roman" w:hAnsi="Times New Roman"/>
                      <w:b/>
                      <w:bCs/>
                      <w:szCs w:val="21"/>
                    </w:rPr>
                    <w:t>序号</w:t>
                  </w:r>
                </w:p>
              </w:tc>
              <w:tc>
                <w:tcPr>
                  <w:tcW w:w="2501" w:type="dxa"/>
                  <w:vMerge w:val="restart"/>
                  <w:tcBorders>
                    <w:top w:val="single" w:color="auto" w:sz="12"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b/>
                      <w:bCs/>
                      <w:szCs w:val="21"/>
                    </w:rPr>
                  </w:pPr>
                  <w:r>
                    <w:rPr>
                      <w:rFonts w:hint="eastAsia" w:ascii="Times New Roman" w:hAnsi="Times New Roman"/>
                      <w:b/>
                      <w:bCs/>
                      <w:szCs w:val="21"/>
                    </w:rPr>
                    <w:t>污染物项目</w:t>
                  </w:r>
                </w:p>
              </w:tc>
              <w:tc>
                <w:tcPr>
                  <w:tcW w:w="2664" w:type="dxa"/>
                  <w:gridSpan w:val="2"/>
                  <w:tcBorders>
                    <w:top w:val="single" w:color="auto" w:sz="12"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b/>
                      <w:bCs/>
                      <w:szCs w:val="21"/>
                    </w:rPr>
                  </w:pPr>
                  <w:r>
                    <w:rPr>
                      <w:rFonts w:hint="eastAsia" w:ascii="Times New Roman" w:hAnsi="Times New Roman"/>
                      <w:b/>
                      <w:bCs/>
                      <w:szCs w:val="21"/>
                    </w:rPr>
                    <w:t>筛选值</w:t>
                  </w:r>
                </w:p>
              </w:tc>
              <w:tc>
                <w:tcPr>
                  <w:tcW w:w="2668" w:type="dxa"/>
                  <w:gridSpan w:val="2"/>
                  <w:tcBorders>
                    <w:top w:val="single" w:color="auto" w:sz="12"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b/>
                      <w:bCs/>
                      <w:szCs w:val="21"/>
                    </w:rPr>
                  </w:pPr>
                  <w:r>
                    <w:rPr>
                      <w:rFonts w:hint="eastAsia" w:ascii="Times New Roman" w:hAnsi="Times New Roman"/>
                      <w:b/>
                      <w:bCs/>
                      <w:szCs w:val="21"/>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9" w:type="dxa"/>
                  <w:vMerge w:val="continue"/>
                  <w:tcBorders>
                    <w:top w:val="single" w:color="auto" w:sz="4" w:space="0"/>
                    <w:left w:val="single" w:color="auto" w:sz="12" w:space="0"/>
                    <w:bottom w:val="single" w:color="auto" w:sz="4" w:space="0"/>
                    <w:right w:val="single" w:color="auto" w:sz="4" w:space="0"/>
                  </w:tcBorders>
                  <w:vAlign w:val="center"/>
                </w:tcPr>
                <w:p>
                  <w:pPr>
                    <w:widowControl/>
                    <w:spacing w:line="240" w:lineRule="atLeast"/>
                    <w:jc w:val="center"/>
                    <w:rPr>
                      <w:rFonts w:ascii="Times New Roman" w:hAnsi="Times New Roman"/>
                      <w:b/>
                      <w:bCs/>
                      <w:szCs w:val="21"/>
                    </w:rPr>
                  </w:pPr>
                </w:p>
              </w:tc>
              <w:tc>
                <w:tcPr>
                  <w:tcW w:w="2501"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b/>
                      <w:bCs/>
                      <w:szCs w:val="21"/>
                    </w:rPr>
                  </w:pP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b/>
                      <w:bCs/>
                      <w:szCs w:val="21"/>
                    </w:rPr>
                  </w:pPr>
                  <w:r>
                    <w:rPr>
                      <w:rFonts w:hint="eastAsia" w:ascii="Times New Roman" w:hAnsi="Times New Roman"/>
                      <w:b/>
                      <w:bCs/>
                      <w:szCs w:val="21"/>
                    </w:rPr>
                    <w:t>第一类用地</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b/>
                      <w:bCs/>
                      <w:szCs w:val="21"/>
                    </w:rPr>
                  </w:pPr>
                  <w:r>
                    <w:rPr>
                      <w:rFonts w:hint="eastAsia" w:ascii="Times New Roman" w:hAnsi="Times New Roman"/>
                      <w:b/>
                      <w:bCs/>
                      <w:szCs w:val="21"/>
                    </w:rPr>
                    <w:t>第二类用地</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b/>
                      <w:bCs/>
                      <w:szCs w:val="21"/>
                    </w:rPr>
                  </w:pPr>
                  <w:r>
                    <w:rPr>
                      <w:rFonts w:hint="eastAsia" w:ascii="Times New Roman" w:hAnsi="Times New Roman"/>
                      <w:b/>
                      <w:bCs/>
                      <w:szCs w:val="21"/>
                    </w:rPr>
                    <w:t>第一类用地</w:t>
                  </w:r>
                </w:p>
              </w:tc>
              <w:tc>
                <w:tcPr>
                  <w:tcW w:w="1335"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b/>
                      <w:bCs/>
                      <w:szCs w:val="21"/>
                    </w:rPr>
                  </w:pPr>
                  <w:r>
                    <w:rPr>
                      <w:rFonts w:hint="eastAsia" w:ascii="Times New Roman" w:hAnsi="Times New Roman"/>
                      <w:b/>
                      <w:bCs/>
                      <w:szCs w:val="21"/>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6"/>
                  <w:tcBorders>
                    <w:top w:val="single" w:color="auto" w:sz="4" w:space="0"/>
                    <w:left w:val="single" w:color="auto" w:sz="12" w:space="0"/>
                    <w:bottom w:val="single" w:color="auto" w:sz="4"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重金属和无机物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20</w:t>
                  </w:r>
                  <w:r>
                    <w:rPr>
                      <w:rFonts w:hint="eastAsia" w:ascii="宋体" w:hAnsi="宋体" w:cs="宋体"/>
                      <w:spacing w:val="6"/>
                      <w:szCs w:val="21"/>
                      <w:vertAlign w:val="superscript"/>
                    </w:rPr>
                    <w:t>①</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60</w:t>
                  </w:r>
                  <w:r>
                    <w:rPr>
                      <w:rFonts w:hint="eastAsia" w:ascii="宋体" w:hAnsi="宋体" w:cs="宋体"/>
                      <w:spacing w:val="6"/>
                      <w:szCs w:val="21"/>
                      <w:vertAlign w:val="superscript"/>
                    </w:rPr>
                    <w:t>①</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120</w:t>
                  </w:r>
                </w:p>
              </w:tc>
              <w:tc>
                <w:tcPr>
                  <w:tcW w:w="1335"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镉</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20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65</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47</w:t>
                  </w:r>
                </w:p>
              </w:tc>
              <w:tc>
                <w:tcPr>
                  <w:tcW w:w="1335"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172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3</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铬（六价）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3.0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5.7</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30</w:t>
                  </w:r>
                </w:p>
              </w:tc>
              <w:tc>
                <w:tcPr>
                  <w:tcW w:w="1335"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4</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铜</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2000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18000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8000</w:t>
                  </w:r>
                </w:p>
              </w:tc>
              <w:tc>
                <w:tcPr>
                  <w:tcW w:w="1335"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36000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铅</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400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800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800</w:t>
                  </w:r>
                </w:p>
              </w:tc>
              <w:tc>
                <w:tcPr>
                  <w:tcW w:w="1335"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6</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汞</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8</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38</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33</w:t>
                  </w:r>
                </w:p>
              </w:tc>
              <w:tc>
                <w:tcPr>
                  <w:tcW w:w="1335"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7</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镍</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150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900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ascii="Times New Roman" w:hAnsi="Times New Roman"/>
                      <w:szCs w:val="21"/>
                    </w:rPr>
                    <w:t>600</w:t>
                  </w:r>
                </w:p>
              </w:tc>
              <w:tc>
                <w:tcPr>
                  <w:tcW w:w="1335"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6"/>
                  <w:tcBorders>
                    <w:top w:val="single" w:color="auto" w:sz="4" w:space="0"/>
                    <w:left w:val="single" w:color="auto" w:sz="12"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hint="eastAsia" w:ascii="Times New Roman" w:hAnsi="Times New Roman"/>
                      <w:spacing w:val="6"/>
                      <w:szCs w:val="21"/>
                    </w:rPr>
                    <w:t>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8</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四氯化碳</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0.9</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2.8</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9</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9</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氯仿</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0.3</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0.9</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10</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氯甲烷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37</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21</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11</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1,1-</w:t>
                  </w:r>
                  <w:r>
                    <w:rPr>
                      <w:rFonts w:hint="eastAsia" w:ascii="Times New Roman" w:hAnsi="Times New Roman"/>
                      <w:spacing w:val="6"/>
                      <w:szCs w:val="21"/>
                    </w:rPr>
                    <w:t>二氯乙烷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3</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9</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12</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w:t>
                  </w:r>
                  <w:r>
                    <w:rPr>
                      <w:rFonts w:hint="eastAsia" w:ascii="Times New Roman" w:hAnsi="Times New Roman"/>
                      <w:spacing w:val="6"/>
                      <w:szCs w:val="21"/>
                    </w:rPr>
                    <w:t>二氯乙烷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0.52</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6</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13</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1,1-</w:t>
                  </w:r>
                  <w:r>
                    <w:rPr>
                      <w:rFonts w:hint="eastAsia" w:ascii="Times New Roman" w:hAnsi="Times New Roman"/>
                      <w:spacing w:val="6"/>
                      <w:szCs w:val="21"/>
                    </w:rPr>
                    <w:t>二氯乙烯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66</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40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14</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顺</w:t>
                  </w:r>
                  <w:r>
                    <w:rPr>
                      <w:rFonts w:ascii="Times New Roman" w:hAnsi="Times New Roman"/>
                      <w:spacing w:val="6"/>
                      <w:szCs w:val="21"/>
                    </w:rPr>
                    <w:t>-1,2-</w:t>
                  </w:r>
                  <w:r>
                    <w:rPr>
                      <w:rFonts w:hint="eastAsia" w:ascii="Times New Roman" w:hAnsi="Times New Roman"/>
                      <w:spacing w:val="6"/>
                      <w:szCs w:val="21"/>
                    </w:rPr>
                    <w:t>二氯乙烯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66</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596</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200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15</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反</w:t>
                  </w:r>
                  <w:r>
                    <w:rPr>
                      <w:rFonts w:ascii="Times New Roman" w:hAnsi="Times New Roman"/>
                      <w:spacing w:val="6"/>
                      <w:szCs w:val="21"/>
                    </w:rPr>
                    <w:t>-1,2-</w:t>
                  </w:r>
                  <w:r>
                    <w:rPr>
                      <w:rFonts w:hint="eastAsia" w:ascii="Times New Roman" w:hAnsi="Times New Roman"/>
                      <w:spacing w:val="6"/>
                      <w:szCs w:val="21"/>
                    </w:rPr>
                    <w:t>二氯乙烯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54</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31</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16</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二氯甲烷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94</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616</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300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17</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w:t>
                  </w:r>
                  <w:r>
                    <w:rPr>
                      <w:rFonts w:hint="eastAsia" w:ascii="Times New Roman" w:hAnsi="Times New Roman"/>
                      <w:spacing w:val="6"/>
                      <w:szCs w:val="21"/>
                    </w:rPr>
                    <w:t>二氯丙烷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18</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1,1,1,2-</w:t>
                  </w:r>
                  <w:r>
                    <w:rPr>
                      <w:rFonts w:hint="eastAsia" w:ascii="Times New Roman" w:hAnsi="Times New Roman"/>
                      <w:spacing w:val="6"/>
                      <w:szCs w:val="21"/>
                    </w:rPr>
                    <w:t>四氯乙烷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2.6</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26</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19</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1,1,2,2-</w:t>
                  </w:r>
                  <w:r>
                    <w:rPr>
                      <w:rFonts w:hint="eastAsia" w:ascii="Times New Roman" w:hAnsi="Times New Roman"/>
                      <w:spacing w:val="6"/>
                      <w:szCs w:val="21"/>
                    </w:rPr>
                    <w:t>四氯乙烷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1.6</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6.8</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14</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20</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四氯乙烯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11</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53</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34</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21</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1,1,1-</w:t>
                  </w:r>
                  <w:r>
                    <w:rPr>
                      <w:rFonts w:hint="eastAsia" w:ascii="Times New Roman" w:hAnsi="Times New Roman"/>
                      <w:spacing w:val="6"/>
                      <w:szCs w:val="21"/>
                    </w:rPr>
                    <w:t>三氯乙烷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701</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840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840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22</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1,1,2-</w:t>
                  </w:r>
                  <w:r>
                    <w:rPr>
                      <w:rFonts w:hint="eastAsia" w:ascii="Times New Roman" w:hAnsi="Times New Roman"/>
                      <w:spacing w:val="6"/>
                      <w:szCs w:val="21"/>
                    </w:rPr>
                    <w:t>三氯乙烷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0.6</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2.8</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23</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三氯乙烯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0.7</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2.8</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7</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24</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1,2,3-</w:t>
                  </w:r>
                  <w:r>
                    <w:rPr>
                      <w:rFonts w:hint="eastAsia" w:ascii="Times New Roman" w:hAnsi="Times New Roman"/>
                      <w:spacing w:val="6"/>
                      <w:szCs w:val="21"/>
                    </w:rPr>
                    <w:t>三氯丙烷</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0.05</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0.5</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0.5</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25</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氯乙烯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0.12</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0.43</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26</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4</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27</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氯苯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68</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270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200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28</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w:t>
                  </w:r>
                  <w:r>
                    <w:rPr>
                      <w:rFonts w:hint="eastAsia" w:ascii="Times New Roman" w:hAnsi="Times New Roman"/>
                      <w:spacing w:val="6"/>
                      <w:szCs w:val="21"/>
                    </w:rPr>
                    <w:t>二氯苯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560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560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560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29</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1,4-</w:t>
                  </w:r>
                  <w:r>
                    <w:rPr>
                      <w:rFonts w:hint="eastAsia" w:ascii="Times New Roman" w:hAnsi="Times New Roman"/>
                      <w:spacing w:val="6"/>
                      <w:szCs w:val="21"/>
                    </w:rPr>
                    <w:t>二氯苯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5.6</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56</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30</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乙苯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7.2</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28</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72</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31</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苯乙烯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1290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1290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1290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32</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甲苯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1200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1200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1200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33</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间二甲苯</w:t>
                  </w:r>
                  <w:r>
                    <w:rPr>
                      <w:rFonts w:ascii="Times New Roman" w:hAnsi="Times New Roman"/>
                      <w:spacing w:val="6"/>
                      <w:szCs w:val="21"/>
                    </w:rPr>
                    <w:t>+</w:t>
                  </w:r>
                  <w:r>
                    <w:rPr>
                      <w:rFonts w:hint="eastAsia" w:ascii="Times New Roman" w:hAnsi="Times New Roman"/>
                      <w:spacing w:val="6"/>
                      <w:szCs w:val="21"/>
                    </w:rPr>
                    <w:t>对二甲苯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163</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570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500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34</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邻二甲苯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222</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640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640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6"/>
                  <w:tcBorders>
                    <w:top w:val="single" w:color="auto" w:sz="4" w:space="0"/>
                    <w:left w:val="single" w:color="auto" w:sz="12"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hint="eastAsia" w:ascii="Times New Roman" w:hAnsi="Times New Roman"/>
                      <w:spacing w:val="6"/>
                      <w:szCs w:val="21"/>
                    </w:rPr>
                    <w:t>半挥发性有机物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35</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硝基苯</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34</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76</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190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36</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苯胺</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92</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260</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211</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37</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w:t>
                  </w:r>
                  <w:r>
                    <w:rPr>
                      <w:rFonts w:hint="eastAsia" w:ascii="Times New Roman" w:hAnsi="Times New Roman"/>
                      <w:spacing w:val="6"/>
                      <w:szCs w:val="21"/>
                    </w:rPr>
                    <w:t>氯酚</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250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2256</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500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4500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38</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苯并</w:t>
                  </w:r>
                  <w:r>
                    <w:rPr>
                      <w:rFonts w:ascii="Times New Roman" w:hAnsi="Times New Roman"/>
                      <w:spacing w:val="6"/>
                      <w:szCs w:val="21"/>
                    </w:rPr>
                    <w:t>[a]</w:t>
                  </w:r>
                  <w:r>
                    <w:rPr>
                      <w:rFonts w:hint="eastAsia" w:ascii="Times New Roman" w:hAnsi="Times New Roman"/>
                      <w:spacing w:val="6"/>
                      <w:szCs w:val="21"/>
                    </w:rPr>
                    <w:t>蒽</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15</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39</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苯并</w:t>
                  </w:r>
                  <w:r>
                    <w:rPr>
                      <w:rFonts w:ascii="Times New Roman" w:hAnsi="Times New Roman"/>
                      <w:spacing w:val="6"/>
                      <w:szCs w:val="21"/>
                    </w:rPr>
                    <w:t>[a]</w:t>
                  </w:r>
                  <w:r>
                    <w:rPr>
                      <w:rFonts w:hint="eastAsia" w:ascii="Times New Roman" w:hAnsi="Times New Roman"/>
                      <w:spacing w:val="6"/>
                      <w:szCs w:val="21"/>
                    </w:rPr>
                    <w:t>芘</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0.55</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1.5</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40</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苯并</w:t>
                  </w:r>
                  <w:r>
                    <w:rPr>
                      <w:rFonts w:ascii="Times New Roman" w:hAnsi="Times New Roman"/>
                      <w:spacing w:val="6"/>
                      <w:szCs w:val="21"/>
                    </w:rPr>
                    <w:t>[b]</w:t>
                  </w:r>
                  <w:r>
                    <w:rPr>
                      <w:rFonts w:hint="eastAsia" w:ascii="Times New Roman" w:hAnsi="Times New Roman"/>
                      <w:spacing w:val="6"/>
                      <w:szCs w:val="21"/>
                    </w:rPr>
                    <w:t>荧蒽</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15</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41</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苯并</w:t>
                  </w:r>
                  <w:r>
                    <w:rPr>
                      <w:rFonts w:ascii="Times New Roman" w:hAnsi="Times New Roman"/>
                      <w:spacing w:val="6"/>
                      <w:szCs w:val="21"/>
                    </w:rPr>
                    <w:t>[k]</w:t>
                  </w:r>
                  <w:r>
                    <w:rPr>
                      <w:rFonts w:hint="eastAsia" w:ascii="Times New Roman" w:hAnsi="Times New Roman"/>
                      <w:spacing w:val="6"/>
                      <w:szCs w:val="21"/>
                    </w:rPr>
                    <w:t>荧蒽</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151</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42</w:t>
                  </w:r>
                </w:p>
              </w:tc>
              <w:tc>
                <w:tcPr>
                  <w:tcW w:w="2501"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ascii="Times New Roman" w:hAnsi="Times New Roman"/>
                      <w:kern w:val="0"/>
                      <w:szCs w:val="21"/>
                    </w:rPr>
                  </w:pPr>
                  <w:r>
                    <w:rPr>
                      <w:rFonts w:hint="eastAsia" w:ascii="Times New Roman" w:hAnsi="Times New Roman"/>
                      <w:kern w:val="0"/>
                      <w:szCs w:val="21"/>
                    </w:rPr>
                    <w:t>䓛</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490</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1293</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4900</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12900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43</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二苯并</w:t>
                  </w:r>
                  <w:r>
                    <w:rPr>
                      <w:rFonts w:ascii="Times New Roman" w:hAnsi="Times New Roman"/>
                      <w:spacing w:val="6"/>
                      <w:szCs w:val="21"/>
                    </w:rPr>
                    <w:t>[a,h]</w:t>
                  </w:r>
                  <w:r>
                    <w:rPr>
                      <w:rFonts w:hint="eastAsia" w:ascii="Times New Roman" w:hAnsi="Times New Roman"/>
                      <w:spacing w:val="6"/>
                      <w:szCs w:val="21"/>
                    </w:rPr>
                    <w:t>蒽</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0.55</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1.5</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4"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44</w:t>
                  </w:r>
                </w:p>
              </w:tc>
              <w:tc>
                <w:tcPr>
                  <w:tcW w:w="250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茚并</w:t>
                  </w:r>
                  <w:r>
                    <w:rPr>
                      <w:rFonts w:ascii="Times New Roman" w:hAnsi="Times New Roman"/>
                      <w:spacing w:val="6"/>
                      <w:szCs w:val="21"/>
                    </w:rPr>
                    <w:t>[1,2,3-cd]</w:t>
                  </w:r>
                  <w:r>
                    <w:rPr>
                      <w:rFonts w:hint="eastAsia" w:ascii="Times New Roman" w:hAnsi="Times New Roman"/>
                      <w:spacing w:val="6"/>
                      <w:szCs w:val="21"/>
                    </w:rPr>
                    <w:t>芘</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w:t>
                  </w:r>
                </w:p>
              </w:tc>
              <w:tc>
                <w:tcPr>
                  <w:tcW w:w="133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15</w:t>
                  </w:r>
                </w:p>
              </w:tc>
              <w:tc>
                <w:tcPr>
                  <w:tcW w:w="133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55</w:t>
                  </w:r>
                </w:p>
              </w:tc>
              <w:tc>
                <w:tcPr>
                  <w:tcW w:w="1335" w:type="dxa"/>
                  <w:tcBorders>
                    <w:top w:val="single" w:color="auto" w:sz="4" w:space="0"/>
                    <w:left w:val="single" w:color="auto" w:sz="4" w:space="0"/>
                    <w:bottom w:val="single" w:color="auto" w:sz="4"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9" w:type="dxa"/>
                  <w:tcBorders>
                    <w:top w:val="single" w:color="auto" w:sz="4" w:space="0"/>
                    <w:left w:val="single" w:color="auto" w:sz="12" w:space="0"/>
                    <w:bottom w:val="single" w:color="auto" w:sz="12" w:space="0"/>
                    <w:right w:val="single" w:color="auto" w:sz="4" w:space="0"/>
                  </w:tcBorders>
                </w:tcPr>
                <w:p>
                  <w:pPr>
                    <w:spacing w:line="240" w:lineRule="atLeast"/>
                    <w:jc w:val="center"/>
                    <w:rPr>
                      <w:rFonts w:ascii="Times New Roman" w:hAnsi="Times New Roman"/>
                      <w:spacing w:val="6"/>
                      <w:szCs w:val="21"/>
                    </w:rPr>
                  </w:pPr>
                  <w:r>
                    <w:rPr>
                      <w:rFonts w:ascii="Times New Roman" w:hAnsi="Times New Roman"/>
                      <w:spacing w:val="6"/>
                      <w:szCs w:val="21"/>
                    </w:rPr>
                    <w:t>45</w:t>
                  </w:r>
                </w:p>
              </w:tc>
              <w:tc>
                <w:tcPr>
                  <w:tcW w:w="2501" w:type="dxa"/>
                  <w:tcBorders>
                    <w:top w:val="single" w:color="auto" w:sz="4" w:space="0"/>
                    <w:left w:val="single" w:color="auto" w:sz="4" w:space="0"/>
                    <w:bottom w:val="single" w:color="auto" w:sz="12" w:space="0"/>
                    <w:right w:val="single" w:color="auto" w:sz="4" w:space="0"/>
                  </w:tcBorders>
                  <w:vAlign w:val="center"/>
                </w:tcPr>
                <w:p>
                  <w:pPr>
                    <w:spacing w:line="240" w:lineRule="atLeast"/>
                    <w:jc w:val="center"/>
                    <w:rPr>
                      <w:rFonts w:ascii="Times New Roman" w:hAnsi="Times New Roman"/>
                      <w:spacing w:val="6"/>
                      <w:szCs w:val="21"/>
                    </w:rPr>
                  </w:pPr>
                  <w:r>
                    <w:rPr>
                      <w:rFonts w:hint="eastAsia" w:ascii="Times New Roman" w:hAnsi="Times New Roman"/>
                      <w:spacing w:val="6"/>
                      <w:szCs w:val="21"/>
                    </w:rPr>
                    <w:t>萘</w:t>
                  </w:r>
                </w:p>
              </w:tc>
              <w:tc>
                <w:tcPr>
                  <w:tcW w:w="1332" w:type="dxa"/>
                  <w:tcBorders>
                    <w:top w:val="single" w:color="auto" w:sz="4" w:space="0"/>
                    <w:left w:val="single" w:color="auto" w:sz="4" w:space="0"/>
                    <w:bottom w:val="single" w:color="auto" w:sz="12"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25</w:t>
                  </w:r>
                </w:p>
              </w:tc>
              <w:tc>
                <w:tcPr>
                  <w:tcW w:w="1332" w:type="dxa"/>
                  <w:tcBorders>
                    <w:top w:val="single" w:color="auto" w:sz="4" w:space="0"/>
                    <w:left w:val="single" w:color="auto" w:sz="4" w:space="0"/>
                    <w:bottom w:val="single" w:color="auto" w:sz="12"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70</w:t>
                  </w:r>
                </w:p>
              </w:tc>
              <w:tc>
                <w:tcPr>
                  <w:tcW w:w="1333" w:type="dxa"/>
                  <w:tcBorders>
                    <w:top w:val="single" w:color="auto" w:sz="4" w:space="0"/>
                    <w:left w:val="single" w:color="auto" w:sz="4" w:space="0"/>
                    <w:bottom w:val="single" w:color="auto" w:sz="12" w:space="0"/>
                    <w:right w:val="single" w:color="auto" w:sz="4" w:space="0"/>
                  </w:tcBorders>
                  <w:vAlign w:val="center"/>
                </w:tcPr>
                <w:p>
                  <w:pPr>
                    <w:spacing w:line="240" w:lineRule="atLeast"/>
                    <w:jc w:val="center"/>
                    <w:rPr>
                      <w:rFonts w:ascii="Times New Roman" w:hAnsi="Times New Roman"/>
                      <w:spacing w:val="6"/>
                      <w:szCs w:val="21"/>
                    </w:rPr>
                  </w:pPr>
                  <w:r>
                    <w:rPr>
                      <w:rFonts w:ascii="Times New Roman" w:hAnsi="Times New Roman"/>
                      <w:spacing w:val="6"/>
                      <w:szCs w:val="21"/>
                    </w:rPr>
                    <w:t>255</w:t>
                  </w:r>
                </w:p>
              </w:tc>
              <w:tc>
                <w:tcPr>
                  <w:tcW w:w="1335" w:type="dxa"/>
                  <w:tcBorders>
                    <w:top w:val="single" w:color="auto" w:sz="4" w:space="0"/>
                    <w:left w:val="single" w:color="auto" w:sz="4" w:space="0"/>
                    <w:bottom w:val="single" w:color="auto" w:sz="12" w:space="0"/>
                    <w:right w:val="single" w:color="auto" w:sz="12" w:space="0"/>
                  </w:tcBorders>
                </w:tcPr>
                <w:p>
                  <w:pPr>
                    <w:spacing w:line="240" w:lineRule="atLeast"/>
                    <w:jc w:val="center"/>
                    <w:rPr>
                      <w:rFonts w:ascii="Times New Roman" w:hAnsi="Times New Roman"/>
                      <w:spacing w:val="6"/>
                      <w:szCs w:val="21"/>
                    </w:rPr>
                  </w:pPr>
                  <w:r>
                    <w:rPr>
                      <w:rFonts w:ascii="Times New Roman" w:hAnsi="Times New Roman"/>
                      <w:spacing w:val="6"/>
                      <w:szCs w:val="21"/>
                    </w:rPr>
                    <w:t>700</w:t>
                  </w:r>
                </w:p>
              </w:tc>
            </w:tr>
          </w:tbl>
          <w:p>
            <w:pPr>
              <w:pStyle w:val="2"/>
              <w:spacing w:after="240"/>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01" w:hRule="atLeast"/>
        </w:trPr>
        <w:tc>
          <w:tcPr>
            <w:tcW w:w="735"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bCs/>
                <w:sz w:val="24"/>
                <w:szCs w:val="24"/>
              </w:rPr>
            </w:pPr>
            <w:r>
              <w:rPr>
                <w:rFonts w:ascii="Times New Roman" w:hAnsi="Times New Roman"/>
                <w:bCs/>
                <w:sz w:val="24"/>
                <w:szCs w:val="24"/>
              </w:rPr>
              <w:t>·</w:t>
            </w:r>
            <w:r>
              <w:rPr>
                <w:rFonts w:hint="eastAsia" w:ascii="Times New Roman" w:hAnsi="Times New Roman"/>
                <w:bCs/>
                <w:sz w:val="24"/>
                <w:szCs w:val="24"/>
              </w:rPr>
              <w:t>污</w:t>
            </w:r>
          </w:p>
          <w:p>
            <w:pPr>
              <w:spacing w:line="360" w:lineRule="auto"/>
              <w:jc w:val="center"/>
              <w:rPr>
                <w:rFonts w:ascii="Times New Roman" w:hAnsi="Times New Roman"/>
                <w:bCs/>
                <w:sz w:val="24"/>
                <w:szCs w:val="24"/>
              </w:rPr>
            </w:pPr>
            <w:r>
              <w:rPr>
                <w:rFonts w:hint="eastAsia" w:ascii="Times New Roman" w:hAnsi="Times New Roman"/>
                <w:bCs/>
                <w:sz w:val="24"/>
                <w:szCs w:val="24"/>
              </w:rPr>
              <w:t>染</w:t>
            </w:r>
          </w:p>
          <w:p>
            <w:pPr>
              <w:spacing w:line="360" w:lineRule="auto"/>
              <w:jc w:val="center"/>
              <w:rPr>
                <w:rFonts w:ascii="Times New Roman" w:hAnsi="Times New Roman"/>
                <w:bCs/>
                <w:sz w:val="24"/>
                <w:szCs w:val="24"/>
              </w:rPr>
            </w:pPr>
            <w:r>
              <w:rPr>
                <w:rFonts w:hint="eastAsia" w:ascii="Times New Roman" w:hAnsi="Times New Roman"/>
                <w:bCs/>
                <w:sz w:val="24"/>
                <w:szCs w:val="24"/>
              </w:rPr>
              <w:t>物</w:t>
            </w:r>
          </w:p>
          <w:p>
            <w:pPr>
              <w:spacing w:line="360" w:lineRule="auto"/>
              <w:jc w:val="center"/>
              <w:rPr>
                <w:rFonts w:ascii="Times New Roman" w:hAnsi="Times New Roman"/>
                <w:bCs/>
                <w:sz w:val="24"/>
                <w:szCs w:val="24"/>
              </w:rPr>
            </w:pPr>
            <w:r>
              <w:rPr>
                <w:rFonts w:hint="eastAsia" w:ascii="Times New Roman" w:hAnsi="Times New Roman"/>
                <w:bCs/>
                <w:sz w:val="24"/>
                <w:szCs w:val="24"/>
              </w:rPr>
              <w:t>排</w:t>
            </w:r>
          </w:p>
          <w:p>
            <w:pPr>
              <w:spacing w:line="360" w:lineRule="auto"/>
              <w:jc w:val="center"/>
              <w:rPr>
                <w:rFonts w:ascii="Times New Roman" w:hAnsi="Times New Roman"/>
                <w:bCs/>
                <w:sz w:val="24"/>
                <w:szCs w:val="24"/>
              </w:rPr>
            </w:pPr>
            <w:r>
              <w:rPr>
                <w:rFonts w:hint="eastAsia" w:ascii="Times New Roman" w:hAnsi="Times New Roman"/>
                <w:bCs/>
                <w:sz w:val="24"/>
                <w:szCs w:val="24"/>
              </w:rPr>
              <w:t>放</w:t>
            </w:r>
          </w:p>
          <w:p>
            <w:pPr>
              <w:spacing w:line="360" w:lineRule="auto"/>
              <w:jc w:val="center"/>
              <w:rPr>
                <w:rFonts w:ascii="Times New Roman" w:hAnsi="Times New Roman"/>
                <w:bCs/>
                <w:sz w:val="24"/>
                <w:szCs w:val="24"/>
              </w:rPr>
            </w:pPr>
            <w:r>
              <w:rPr>
                <w:rFonts w:hint="eastAsia" w:ascii="Times New Roman" w:hAnsi="Times New Roman"/>
                <w:bCs/>
                <w:sz w:val="24"/>
                <w:szCs w:val="24"/>
              </w:rPr>
              <w:t>标</w:t>
            </w:r>
          </w:p>
          <w:p>
            <w:pPr>
              <w:spacing w:line="360" w:lineRule="auto"/>
              <w:jc w:val="center"/>
              <w:rPr>
                <w:rFonts w:ascii="Times New Roman" w:hAnsi="Times New Roman"/>
                <w:bCs/>
                <w:sz w:val="24"/>
                <w:szCs w:val="24"/>
              </w:rPr>
            </w:pPr>
            <w:r>
              <w:rPr>
                <w:rFonts w:hint="eastAsia" w:ascii="Times New Roman" w:hAnsi="Times New Roman"/>
                <w:bCs/>
                <w:sz w:val="24"/>
                <w:szCs w:val="24"/>
              </w:rPr>
              <w:t>准</w:t>
            </w:r>
          </w:p>
          <w:p>
            <w:pPr>
              <w:spacing w:line="360" w:lineRule="auto"/>
              <w:jc w:val="center"/>
              <w:rPr>
                <w:rFonts w:ascii="Times New Roman" w:hAnsi="Times New Roman"/>
                <w:bCs/>
                <w:sz w:val="24"/>
                <w:szCs w:val="24"/>
              </w:rPr>
            </w:pPr>
          </w:p>
        </w:tc>
        <w:tc>
          <w:tcPr>
            <w:tcW w:w="8997" w:type="dxa"/>
            <w:gridSpan w:val="2"/>
            <w:tcBorders>
              <w:top w:val="single" w:color="auto" w:sz="4" w:space="0"/>
              <w:left w:val="single" w:color="auto" w:sz="4" w:space="0"/>
              <w:bottom w:val="single" w:color="auto" w:sz="4" w:space="0"/>
            </w:tcBorders>
            <w:vAlign w:val="center"/>
          </w:tcPr>
          <w:p>
            <w:pPr>
              <w:pStyle w:val="114"/>
              <w:ind w:firstLine="482"/>
            </w:pPr>
            <w:r>
              <w:rPr>
                <w:b/>
              </w:rPr>
              <w:t>1</w:t>
            </w:r>
            <w:r>
              <w:rPr>
                <w:rFonts w:hint="eastAsia"/>
                <w:b/>
              </w:rPr>
              <w:t>、废气：</w:t>
            </w:r>
            <w:r>
              <w:rPr>
                <w:rFonts w:hint="eastAsia"/>
              </w:rPr>
              <w:t>有组织废气执行《恶臭污染物排放标准》（</w:t>
            </w:r>
            <w:r>
              <w:t>GB14554-93</w:t>
            </w:r>
            <w:r>
              <w:rPr>
                <w:rFonts w:hint="eastAsia"/>
              </w:rPr>
              <w:t>）表</w:t>
            </w:r>
            <w:r>
              <w:t>1</w:t>
            </w:r>
            <w:r>
              <w:rPr>
                <w:rFonts w:hint="eastAsia"/>
              </w:rPr>
              <w:t>中二级新扩改建标准。无组织废气执行《城镇污水处理厂污染物排放标准》（</w:t>
            </w:r>
            <w:r>
              <w:t>GB18918-2002</w:t>
            </w:r>
            <w:r>
              <w:rPr>
                <w:rFonts w:hint="eastAsia"/>
              </w:rPr>
              <w:t>）表</w:t>
            </w:r>
            <w:r>
              <w:t>4</w:t>
            </w:r>
            <w:r>
              <w:rPr>
                <w:rFonts w:hint="eastAsia"/>
              </w:rPr>
              <w:t>二级标准；</w:t>
            </w:r>
          </w:p>
          <w:p>
            <w:pPr>
              <w:pStyle w:val="111"/>
            </w:pPr>
            <w:r>
              <w:rPr>
                <w:rFonts w:hint="eastAsia"/>
              </w:rPr>
              <w:t>表</w:t>
            </w:r>
            <w:r>
              <w:t>4-6</w:t>
            </w:r>
            <w:r>
              <w:rPr>
                <w:rFonts w:hint="eastAsia"/>
              </w:rPr>
              <w:t>有组织废气排放标准限值一览表（</w:t>
            </w:r>
            <w:r>
              <w:t>mg/m</w:t>
            </w:r>
            <w:r>
              <w:rPr>
                <w:vertAlign w:val="superscript"/>
              </w:rPr>
              <w:t>3</w:t>
            </w:r>
            <w:r>
              <w:rPr>
                <w:rFonts w:hint="eastAsia"/>
              </w:rPr>
              <w:t>）</w:t>
            </w:r>
          </w:p>
          <w:tbl>
            <w:tblPr>
              <w:tblStyle w:val="37"/>
              <w:tblW w:w="842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5"/>
              <w:gridCol w:w="2105"/>
              <w:gridCol w:w="2105"/>
              <w:gridCol w:w="2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05" w:type="dxa"/>
                  <w:tcBorders>
                    <w:top w:val="single" w:color="auto" w:sz="12" w:space="0"/>
                    <w:left w:val="single" w:color="auto" w:sz="12" w:space="0"/>
                    <w:bottom w:val="double" w:color="auto" w:sz="4" w:space="0"/>
                    <w:right w:val="single" w:color="auto" w:sz="4" w:space="0"/>
                  </w:tcBorders>
                  <w:shd w:val="clear" w:color="auto" w:fill="FFFFFF"/>
                </w:tcPr>
                <w:p>
                  <w:pPr>
                    <w:tabs>
                      <w:tab w:val="left" w:pos="0"/>
                    </w:tabs>
                    <w:spacing w:before="62" w:beforeLines="20"/>
                    <w:jc w:val="center"/>
                    <w:rPr>
                      <w:b/>
                    </w:rPr>
                  </w:pPr>
                  <w:r>
                    <w:rPr>
                      <w:rFonts w:hint="eastAsia"/>
                      <w:b/>
                    </w:rPr>
                    <w:t>序号</w:t>
                  </w:r>
                </w:p>
              </w:tc>
              <w:tc>
                <w:tcPr>
                  <w:tcW w:w="2105" w:type="dxa"/>
                  <w:tcBorders>
                    <w:top w:val="single" w:color="auto" w:sz="12" w:space="0"/>
                    <w:left w:val="single" w:color="auto" w:sz="4" w:space="0"/>
                    <w:bottom w:val="double" w:color="auto" w:sz="4" w:space="0"/>
                    <w:right w:val="single" w:color="auto" w:sz="4" w:space="0"/>
                  </w:tcBorders>
                  <w:shd w:val="clear" w:color="auto" w:fill="FFFFFF"/>
                </w:tcPr>
                <w:p>
                  <w:pPr>
                    <w:tabs>
                      <w:tab w:val="left" w:pos="0"/>
                    </w:tabs>
                    <w:spacing w:before="62" w:beforeLines="20"/>
                    <w:jc w:val="center"/>
                    <w:rPr>
                      <w:b/>
                    </w:rPr>
                  </w:pPr>
                  <w:r>
                    <w:rPr>
                      <w:rFonts w:hint="eastAsia"/>
                      <w:b/>
                    </w:rPr>
                    <w:t>控制项目</w:t>
                  </w:r>
                </w:p>
              </w:tc>
              <w:tc>
                <w:tcPr>
                  <w:tcW w:w="2105" w:type="dxa"/>
                  <w:tcBorders>
                    <w:top w:val="single" w:color="auto" w:sz="12" w:space="0"/>
                    <w:left w:val="single" w:color="auto" w:sz="4" w:space="0"/>
                    <w:bottom w:val="double" w:color="auto" w:sz="4" w:space="0"/>
                    <w:right w:val="single" w:color="auto" w:sz="4" w:space="0"/>
                  </w:tcBorders>
                  <w:shd w:val="clear" w:color="auto" w:fill="FFFFFF"/>
                </w:tcPr>
                <w:p>
                  <w:pPr>
                    <w:tabs>
                      <w:tab w:val="left" w:pos="0"/>
                    </w:tabs>
                    <w:spacing w:before="62" w:beforeLines="20"/>
                    <w:jc w:val="center"/>
                    <w:rPr>
                      <w:b/>
                    </w:rPr>
                  </w:pPr>
                  <w:r>
                    <w:rPr>
                      <w:rFonts w:hint="eastAsia"/>
                      <w:b/>
                    </w:rPr>
                    <w:t>排气筒高度（</w:t>
                  </w:r>
                  <w:r>
                    <w:rPr>
                      <w:b/>
                    </w:rPr>
                    <w:t>m</w:t>
                  </w:r>
                  <w:r>
                    <w:rPr>
                      <w:rFonts w:hint="eastAsia"/>
                      <w:b/>
                    </w:rPr>
                    <w:t>）</w:t>
                  </w:r>
                </w:p>
              </w:tc>
              <w:tc>
                <w:tcPr>
                  <w:tcW w:w="2106" w:type="dxa"/>
                  <w:tcBorders>
                    <w:top w:val="single" w:color="auto" w:sz="12" w:space="0"/>
                    <w:left w:val="single" w:color="auto" w:sz="4" w:space="0"/>
                    <w:bottom w:val="double" w:color="auto" w:sz="4" w:space="0"/>
                    <w:right w:val="single" w:color="auto" w:sz="12" w:space="0"/>
                  </w:tcBorders>
                  <w:shd w:val="clear" w:color="auto" w:fill="FFFFFF"/>
                </w:tcPr>
                <w:p>
                  <w:pPr>
                    <w:tabs>
                      <w:tab w:val="left" w:pos="0"/>
                    </w:tabs>
                    <w:spacing w:before="62" w:beforeLines="20"/>
                    <w:jc w:val="center"/>
                    <w:rPr>
                      <w:b/>
                    </w:rPr>
                  </w:pPr>
                  <w:r>
                    <w:rPr>
                      <w:rFonts w:hint="eastAsia"/>
                      <w:b/>
                    </w:rPr>
                    <w:t>排放量（</w:t>
                  </w:r>
                  <w:r>
                    <w:rPr>
                      <w:b/>
                    </w:rPr>
                    <w:t>kg/h</w:t>
                  </w:r>
                  <w:r>
                    <w:rPr>
                      <w:rFonts w:hint="eastAsia"/>
                      <w:b/>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05" w:type="dxa"/>
                  <w:tcBorders>
                    <w:top w:val="double" w:color="auto" w:sz="4" w:space="0"/>
                    <w:left w:val="single" w:color="auto" w:sz="12" w:space="0"/>
                    <w:bottom w:val="single" w:color="auto" w:sz="4" w:space="0"/>
                    <w:right w:val="single" w:color="auto" w:sz="4" w:space="0"/>
                  </w:tcBorders>
                  <w:shd w:val="clear" w:color="auto" w:fill="FFFFFF"/>
                </w:tcPr>
                <w:p>
                  <w:pPr>
                    <w:tabs>
                      <w:tab w:val="left" w:pos="0"/>
                    </w:tabs>
                    <w:spacing w:before="62" w:beforeLines="20"/>
                    <w:jc w:val="center"/>
                  </w:pPr>
                  <w:r>
                    <w:t>1</w:t>
                  </w:r>
                </w:p>
              </w:tc>
              <w:tc>
                <w:tcPr>
                  <w:tcW w:w="2105" w:type="dxa"/>
                  <w:tcBorders>
                    <w:top w:val="double" w:color="auto" w:sz="4" w:space="0"/>
                    <w:left w:val="single" w:color="auto" w:sz="4" w:space="0"/>
                    <w:bottom w:val="single" w:color="auto" w:sz="4" w:space="0"/>
                    <w:right w:val="single" w:color="auto" w:sz="4" w:space="0"/>
                  </w:tcBorders>
                  <w:shd w:val="clear" w:color="auto" w:fill="FFFFFF"/>
                </w:tcPr>
                <w:p>
                  <w:pPr>
                    <w:tabs>
                      <w:tab w:val="left" w:pos="0"/>
                    </w:tabs>
                    <w:spacing w:before="62" w:beforeLines="20"/>
                    <w:jc w:val="center"/>
                    <w:rPr>
                      <w:rFonts w:ascii="Times New Roman" w:hAnsi="Times New Roman"/>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2105" w:type="dxa"/>
                  <w:tcBorders>
                    <w:top w:val="double" w:color="auto" w:sz="4" w:space="0"/>
                    <w:left w:val="single" w:color="auto" w:sz="4" w:space="0"/>
                    <w:bottom w:val="single" w:color="auto" w:sz="4" w:space="0"/>
                    <w:right w:val="single" w:color="auto" w:sz="4" w:space="0"/>
                  </w:tcBorders>
                  <w:shd w:val="clear" w:color="auto" w:fill="FFFFFF"/>
                </w:tcPr>
                <w:p>
                  <w:pPr>
                    <w:tabs>
                      <w:tab w:val="left" w:pos="0"/>
                    </w:tabs>
                    <w:spacing w:before="62" w:beforeLines="20"/>
                    <w:jc w:val="center"/>
                  </w:pPr>
                  <w:r>
                    <w:t>15</w:t>
                  </w:r>
                </w:p>
              </w:tc>
              <w:tc>
                <w:tcPr>
                  <w:tcW w:w="2106" w:type="dxa"/>
                  <w:tcBorders>
                    <w:top w:val="double" w:color="auto" w:sz="4" w:space="0"/>
                    <w:left w:val="single" w:color="auto" w:sz="4" w:space="0"/>
                    <w:bottom w:val="single" w:color="auto" w:sz="4" w:space="0"/>
                    <w:right w:val="single" w:color="auto" w:sz="12" w:space="0"/>
                  </w:tcBorders>
                  <w:shd w:val="clear" w:color="auto" w:fill="FFFFFF"/>
                </w:tcPr>
                <w:p>
                  <w:pPr>
                    <w:tabs>
                      <w:tab w:val="left" w:pos="0"/>
                    </w:tabs>
                    <w:spacing w:before="62" w:beforeLines="20"/>
                    <w:jc w:val="center"/>
                  </w:pPr>
                  <w: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05" w:type="dxa"/>
                  <w:tcBorders>
                    <w:top w:val="single" w:color="auto" w:sz="4" w:space="0"/>
                    <w:left w:val="single" w:color="auto" w:sz="12" w:space="0"/>
                    <w:bottom w:val="single" w:color="auto" w:sz="4" w:space="0"/>
                    <w:right w:val="single" w:color="auto" w:sz="4" w:space="0"/>
                  </w:tcBorders>
                  <w:shd w:val="clear" w:color="auto" w:fill="FFFFFF"/>
                </w:tcPr>
                <w:p>
                  <w:pPr>
                    <w:tabs>
                      <w:tab w:val="left" w:pos="0"/>
                    </w:tabs>
                    <w:spacing w:before="62" w:beforeLines="20"/>
                    <w:jc w:val="center"/>
                  </w:pPr>
                  <w:r>
                    <w:t>2</w:t>
                  </w:r>
                </w:p>
              </w:tc>
              <w:tc>
                <w:tcPr>
                  <w:tcW w:w="2105" w:type="dxa"/>
                  <w:tcBorders>
                    <w:top w:val="single" w:color="auto" w:sz="4" w:space="0"/>
                    <w:left w:val="single" w:color="auto" w:sz="4" w:space="0"/>
                    <w:bottom w:val="single" w:color="auto" w:sz="4" w:space="0"/>
                    <w:right w:val="single" w:color="auto" w:sz="4" w:space="0"/>
                  </w:tcBorders>
                  <w:shd w:val="clear" w:color="auto" w:fill="FFFFFF"/>
                </w:tcPr>
                <w:p>
                  <w:pPr>
                    <w:tabs>
                      <w:tab w:val="left" w:pos="0"/>
                    </w:tabs>
                    <w:spacing w:before="62" w:beforeLines="20"/>
                    <w:jc w:val="center"/>
                    <w:rPr>
                      <w:rFonts w:ascii="Times New Roman" w:hAnsi="Times New Roman"/>
                    </w:rPr>
                  </w:pPr>
                  <w:r>
                    <w:rPr>
                      <w:rFonts w:ascii="Times New Roman" w:hAnsi="Times New Roman"/>
                    </w:rPr>
                    <w:t>NH</w:t>
                  </w:r>
                  <w:r>
                    <w:rPr>
                      <w:rFonts w:ascii="Times New Roman" w:hAnsi="Times New Roman"/>
                      <w:vertAlign w:val="subscript"/>
                    </w:rPr>
                    <w:t>3</w:t>
                  </w:r>
                </w:p>
              </w:tc>
              <w:tc>
                <w:tcPr>
                  <w:tcW w:w="2105" w:type="dxa"/>
                  <w:tcBorders>
                    <w:top w:val="single" w:color="auto" w:sz="4" w:space="0"/>
                    <w:left w:val="single" w:color="auto" w:sz="4" w:space="0"/>
                    <w:bottom w:val="single" w:color="auto" w:sz="4" w:space="0"/>
                    <w:right w:val="single" w:color="auto" w:sz="4" w:space="0"/>
                  </w:tcBorders>
                  <w:shd w:val="clear" w:color="auto" w:fill="FFFFFF"/>
                </w:tcPr>
                <w:p>
                  <w:pPr>
                    <w:tabs>
                      <w:tab w:val="left" w:pos="0"/>
                    </w:tabs>
                    <w:spacing w:before="62" w:beforeLines="20"/>
                    <w:jc w:val="center"/>
                  </w:pPr>
                  <w:r>
                    <w:t>15</w:t>
                  </w:r>
                </w:p>
              </w:tc>
              <w:tc>
                <w:tcPr>
                  <w:tcW w:w="2106" w:type="dxa"/>
                  <w:tcBorders>
                    <w:top w:val="single" w:color="auto" w:sz="4" w:space="0"/>
                    <w:left w:val="single" w:color="auto" w:sz="4" w:space="0"/>
                    <w:bottom w:val="single" w:color="auto" w:sz="4" w:space="0"/>
                    <w:right w:val="single" w:color="auto" w:sz="12" w:space="0"/>
                  </w:tcBorders>
                  <w:shd w:val="clear" w:color="auto" w:fill="FFFFFF"/>
                </w:tcPr>
                <w:p>
                  <w:pPr>
                    <w:tabs>
                      <w:tab w:val="left" w:pos="0"/>
                    </w:tabs>
                    <w:spacing w:before="62" w:beforeLines="20"/>
                    <w:jc w:val="center"/>
                  </w:pPr>
                  <w: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05" w:type="dxa"/>
                  <w:tcBorders>
                    <w:top w:val="single" w:color="auto" w:sz="4" w:space="0"/>
                    <w:left w:val="single" w:color="auto" w:sz="12" w:space="0"/>
                    <w:bottom w:val="single" w:color="auto" w:sz="12" w:space="0"/>
                    <w:right w:val="single" w:color="auto" w:sz="4" w:space="0"/>
                  </w:tcBorders>
                  <w:shd w:val="clear" w:color="auto" w:fill="FFFFFF"/>
                </w:tcPr>
                <w:p>
                  <w:pPr>
                    <w:tabs>
                      <w:tab w:val="left" w:pos="0"/>
                    </w:tabs>
                    <w:spacing w:before="62" w:beforeLines="20"/>
                    <w:jc w:val="center"/>
                  </w:pPr>
                  <w:r>
                    <w:t>3</w:t>
                  </w:r>
                </w:p>
              </w:tc>
              <w:tc>
                <w:tcPr>
                  <w:tcW w:w="2105" w:type="dxa"/>
                  <w:tcBorders>
                    <w:top w:val="single" w:color="auto" w:sz="4" w:space="0"/>
                    <w:left w:val="single" w:color="auto" w:sz="4" w:space="0"/>
                    <w:bottom w:val="single" w:color="auto" w:sz="12" w:space="0"/>
                    <w:right w:val="single" w:color="auto" w:sz="4" w:space="0"/>
                  </w:tcBorders>
                  <w:shd w:val="clear" w:color="auto" w:fill="FFFFFF"/>
                </w:tcPr>
                <w:p>
                  <w:pPr>
                    <w:tabs>
                      <w:tab w:val="left" w:pos="0"/>
                    </w:tabs>
                    <w:spacing w:before="62" w:beforeLines="20"/>
                    <w:jc w:val="center"/>
                  </w:pPr>
                  <w:r>
                    <w:rPr>
                      <w:rFonts w:hint="eastAsia"/>
                    </w:rPr>
                    <w:t>臭气浓度</w:t>
                  </w:r>
                </w:p>
              </w:tc>
              <w:tc>
                <w:tcPr>
                  <w:tcW w:w="2105" w:type="dxa"/>
                  <w:tcBorders>
                    <w:top w:val="single" w:color="auto" w:sz="4" w:space="0"/>
                    <w:left w:val="single" w:color="auto" w:sz="4" w:space="0"/>
                    <w:bottom w:val="single" w:color="auto" w:sz="12" w:space="0"/>
                    <w:right w:val="single" w:color="auto" w:sz="4" w:space="0"/>
                  </w:tcBorders>
                  <w:shd w:val="clear" w:color="auto" w:fill="FFFFFF"/>
                </w:tcPr>
                <w:p>
                  <w:pPr>
                    <w:tabs>
                      <w:tab w:val="left" w:pos="0"/>
                    </w:tabs>
                    <w:spacing w:before="62" w:beforeLines="20"/>
                    <w:jc w:val="center"/>
                  </w:pPr>
                  <w:r>
                    <w:t>15</w:t>
                  </w:r>
                </w:p>
              </w:tc>
              <w:tc>
                <w:tcPr>
                  <w:tcW w:w="2106" w:type="dxa"/>
                  <w:tcBorders>
                    <w:top w:val="single" w:color="auto" w:sz="4" w:space="0"/>
                    <w:left w:val="single" w:color="auto" w:sz="4" w:space="0"/>
                    <w:bottom w:val="single" w:color="auto" w:sz="12" w:space="0"/>
                    <w:right w:val="single" w:color="auto" w:sz="12" w:space="0"/>
                  </w:tcBorders>
                  <w:shd w:val="clear" w:color="auto" w:fill="FFFFFF"/>
                </w:tcPr>
                <w:p>
                  <w:pPr>
                    <w:tabs>
                      <w:tab w:val="left" w:pos="0"/>
                    </w:tabs>
                    <w:spacing w:before="62" w:beforeLines="20"/>
                    <w:jc w:val="center"/>
                  </w:pPr>
                  <w:r>
                    <w:t>2000</w:t>
                  </w:r>
                  <w:r>
                    <w:rPr>
                      <w:rFonts w:hint="eastAsia"/>
                    </w:rPr>
                    <w:t>（无量纲）</w:t>
                  </w:r>
                </w:p>
              </w:tc>
            </w:tr>
          </w:tbl>
          <w:p>
            <w:pPr>
              <w:pStyle w:val="111"/>
            </w:pPr>
            <w:r>
              <w:rPr>
                <w:rFonts w:hint="eastAsia"/>
                <w:szCs w:val="16"/>
              </w:rPr>
              <w:t>表</w:t>
            </w:r>
            <w:r>
              <w:rPr>
                <w:szCs w:val="16"/>
              </w:rPr>
              <w:t>4-7</w:t>
            </w:r>
            <w:r>
              <w:rPr>
                <w:rFonts w:hint="eastAsia"/>
              </w:rPr>
              <w:t>无组织废气排放标准限值一览表（</w:t>
            </w:r>
            <w:r>
              <w:t>mg/m</w:t>
            </w:r>
            <w:r>
              <w:rPr>
                <w:vertAlign w:val="superscript"/>
              </w:rPr>
              <w:t>3</w:t>
            </w:r>
            <w:r>
              <w:rPr>
                <w:rFonts w:hint="eastAsia"/>
              </w:rPr>
              <w:t>）</w:t>
            </w:r>
          </w:p>
          <w:tbl>
            <w:tblPr>
              <w:tblStyle w:val="37"/>
              <w:tblW w:w="875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1"/>
              <w:gridCol w:w="851"/>
              <w:gridCol w:w="1276"/>
              <w:gridCol w:w="2409"/>
              <w:gridCol w:w="32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11" w:type="dxa"/>
                  <w:tcBorders>
                    <w:top w:val="single" w:color="auto" w:sz="12" w:space="0"/>
                    <w:left w:val="single" w:color="auto" w:sz="12" w:space="0"/>
                    <w:bottom w:val="double" w:color="auto" w:sz="4" w:space="0"/>
                    <w:right w:val="single" w:color="auto" w:sz="6" w:space="0"/>
                  </w:tcBorders>
                  <w:vAlign w:val="center"/>
                </w:tcPr>
                <w:p>
                  <w:pPr>
                    <w:pStyle w:val="2"/>
                    <w:jc w:val="center"/>
                    <w:rPr>
                      <w:sz w:val="21"/>
                      <w:szCs w:val="21"/>
                    </w:rPr>
                  </w:pPr>
                  <w:r>
                    <w:rPr>
                      <w:rFonts w:hint="eastAsia"/>
                      <w:sz w:val="21"/>
                      <w:szCs w:val="21"/>
                    </w:rPr>
                    <w:t>项目</w:t>
                  </w:r>
                </w:p>
              </w:tc>
              <w:tc>
                <w:tcPr>
                  <w:tcW w:w="851" w:type="dxa"/>
                  <w:tcBorders>
                    <w:top w:val="single" w:color="auto" w:sz="12" w:space="0"/>
                    <w:left w:val="single" w:color="auto" w:sz="6" w:space="0"/>
                    <w:bottom w:val="double" w:color="auto" w:sz="4" w:space="0"/>
                    <w:right w:val="single" w:color="auto" w:sz="6" w:space="0"/>
                  </w:tcBorders>
                  <w:vAlign w:val="center"/>
                </w:tcPr>
                <w:p>
                  <w:pPr>
                    <w:pStyle w:val="2"/>
                    <w:jc w:val="center"/>
                    <w:rPr>
                      <w:sz w:val="21"/>
                      <w:szCs w:val="21"/>
                    </w:rPr>
                  </w:pPr>
                  <w:r>
                    <w:rPr>
                      <w:rFonts w:hint="eastAsia"/>
                      <w:sz w:val="21"/>
                      <w:szCs w:val="21"/>
                    </w:rPr>
                    <w:t>氨</w:t>
                  </w:r>
                </w:p>
              </w:tc>
              <w:tc>
                <w:tcPr>
                  <w:tcW w:w="1276" w:type="dxa"/>
                  <w:tcBorders>
                    <w:top w:val="single" w:color="auto" w:sz="12" w:space="0"/>
                    <w:left w:val="single" w:color="auto" w:sz="6" w:space="0"/>
                    <w:bottom w:val="double" w:color="auto" w:sz="4" w:space="0"/>
                    <w:right w:val="single" w:color="auto" w:sz="6" w:space="0"/>
                  </w:tcBorders>
                  <w:vAlign w:val="center"/>
                </w:tcPr>
                <w:p>
                  <w:pPr>
                    <w:pStyle w:val="2"/>
                    <w:jc w:val="center"/>
                    <w:rPr>
                      <w:sz w:val="21"/>
                      <w:szCs w:val="21"/>
                    </w:rPr>
                  </w:pPr>
                  <w:r>
                    <w:rPr>
                      <w:rFonts w:hint="eastAsia"/>
                      <w:sz w:val="21"/>
                      <w:szCs w:val="21"/>
                    </w:rPr>
                    <w:t>硫化氢</w:t>
                  </w:r>
                </w:p>
              </w:tc>
              <w:tc>
                <w:tcPr>
                  <w:tcW w:w="2409" w:type="dxa"/>
                  <w:tcBorders>
                    <w:top w:val="single" w:color="auto" w:sz="12" w:space="0"/>
                    <w:left w:val="single" w:color="auto" w:sz="6" w:space="0"/>
                    <w:bottom w:val="double" w:color="auto" w:sz="4" w:space="0"/>
                    <w:right w:val="single" w:color="auto" w:sz="6" w:space="0"/>
                  </w:tcBorders>
                  <w:vAlign w:val="center"/>
                </w:tcPr>
                <w:p>
                  <w:pPr>
                    <w:pStyle w:val="2"/>
                    <w:jc w:val="center"/>
                    <w:rPr>
                      <w:sz w:val="21"/>
                      <w:szCs w:val="21"/>
                    </w:rPr>
                  </w:pPr>
                  <w:r>
                    <w:rPr>
                      <w:rFonts w:hint="eastAsia"/>
                      <w:sz w:val="21"/>
                      <w:szCs w:val="21"/>
                    </w:rPr>
                    <w:t>臭气浓度（无量纲）</w:t>
                  </w:r>
                </w:p>
              </w:tc>
              <w:tc>
                <w:tcPr>
                  <w:tcW w:w="3204" w:type="dxa"/>
                  <w:tcBorders>
                    <w:top w:val="single" w:color="auto" w:sz="12" w:space="0"/>
                    <w:left w:val="single" w:color="auto" w:sz="6" w:space="0"/>
                    <w:bottom w:val="double" w:color="auto" w:sz="4" w:space="0"/>
                    <w:right w:val="single" w:color="auto" w:sz="12" w:space="0"/>
                  </w:tcBorders>
                  <w:vAlign w:val="center"/>
                </w:tcPr>
                <w:p>
                  <w:pPr>
                    <w:pStyle w:val="2"/>
                    <w:jc w:val="center"/>
                    <w:rPr>
                      <w:sz w:val="21"/>
                      <w:szCs w:val="21"/>
                    </w:rPr>
                  </w:pPr>
                  <w:r>
                    <w:rPr>
                      <w:rFonts w:hint="eastAsia"/>
                      <w:sz w:val="21"/>
                      <w:szCs w:val="21"/>
                    </w:rPr>
                    <w:t>甲烷（厂区最高体积分数）</w:t>
                  </w: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11" w:type="dxa"/>
                  <w:tcBorders>
                    <w:top w:val="double" w:color="auto" w:sz="4" w:space="0"/>
                    <w:left w:val="single" w:color="auto" w:sz="12" w:space="0"/>
                    <w:bottom w:val="single" w:color="auto" w:sz="12" w:space="0"/>
                    <w:right w:val="single" w:color="auto" w:sz="6" w:space="0"/>
                  </w:tcBorders>
                  <w:vAlign w:val="center"/>
                </w:tcPr>
                <w:p>
                  <w:pPr>
                    <w:pStyle w:val="2"/>
                    <w:jc w:val="center"/>
                    <w:rPr>
                      <w:sz w:val="21"/>
                      <w:szCs w:val="21"/>
                    </w:rPr>
                  </w:pPr>
                  <w:r>
                    <w:rPr>
                      <w:rFonts w:hint="eastAsia"/>
                      <w:sz w:val="21"/>
                      <w:szCs w:val="21"/>
                    </w:rPr>
                    <w:t>标准值</w:t>
                  </w:r>
                </w:p>
              </w:tc>
              <w:tc>
                <w:tcPr>
                  <w:tcW w:w="851" w:type="dxa"/>
                  <w:tcBorders>
                    <w:top w:val="double" w:color="auto" w:sz="4" w:space="0"/>
                    <w:left w:val="single" w:color="auto" w:sz="6" w:space="0"/>
                    <w:bottom w:val="single" w:color="auto" w:sz="12" w:space="0"/>
                    <w:right w:val="single" w:color="auto" w:sz="6" w:space="0"/>
                  </w:tcBorders>
                  <w:vAlign w:val="center"/>
                </w:tcPr>
                <w:p>
                  <w:pPr>
                    <w:pStyle w:val="2"/>
                    <w:jc w:val="center"/>
                    <w:rPr>
                      <w:sz w:val="21"/>
                      <w:szCs w:val="21"/>
                    </w:rPr>
                  </w:pPr>
                  <w:r>
                    <w:rPr>
                      <w:sz w:val="21"/>
                      <w:szCs w:val="21"/>
                    </w:rPr>
                    <w:t>1.5</w:t>
                  </w:r>
                </w:p>
              </w:tc>
              <w:tc>
                <w:tcPr>
                  <w:tcW w:w="1276" w:type="dxa"/>
                  <w:tcBorders>
                    <w:top w:val="double" w:color="auto" w:sz="4" w:space="0"/>
                    <w:left w:val="single" w:color="auto" w:sz="6" w:space="0"/>
                    <w:bottom w:val="single" w:color="auto" w:sz="12" w:space="0"/>
                    <w:right w:val="single" w:color="auto" w:sz="6" w:space="0"/>
                  </w:tcBorders>
                  <w:vAlign w:val="center"/>
                </w:tcPr>
                <w:p>
                  <w:pPr>
                    <w:pStyle w:val="2"/>
                    <w:jc w:val="center"/>
                    <w:rPr>
                      <w:sz w:val="21"/>
                      <w:szCs w:val="21"/>
                    </w:rPr>
                  </w:pPr>
                  <w:r>
                    <w:rPr>
                      <w:sz w:val="21"/>
                      <w:szCs w:val="21"/>
                    </w:rPr>
                    <w:t>0.06</w:t>
                  </w:r>
                </w:p>
              </w:tc>
              <w:tc>
                <w:tcPr>
                  <w:tcW w:w="2409" w:type="dxa"/>
                  <w:tcBorders>
                    <w:top w:val="double" w:color="auto" w:sz="4" w:space="0"/>
                    <w:left w:val="single" w:color="auto" w:sz="6" w:space="0"/>
                    <w:bottom w:val="single" w:color="auto" w:sz="12" w:space="0"/>
                    <w:right w:val="single" w:color="auto" w:sz="6" w:space="0"/>
                  </w:tcBorders>
                  <w:vAlign w:val="center"/>
                </w:tcPr>
                <w:p>
                  <w:pPr>
                    <w:pStyle w:val="2"/>
                    <w:jc w:val="center"/>
                    <w:rPr>
                      <w:sz w:val="21"/>
                      <w:szCs w:val="21"/>
                    </w:rPr>
                  </w:pPr>
                  <w:r>
                    <w:rPr>
                      <w:sz w:val="21"/>
                      <w:szCs w:val="21"/>
                    </w:rPr>
                    <w:t>20</w:t>
                  </w:r>
                </w:p>
              </w:tc>
              <w:tc>
                <w:tcPr>
                  <w:tcW w:w="3204" w:type="dxa"/>
                  <w:tcBorders>
                    <w:top w:val="double" w:color="auto" w:sz="4" w:space="0"/>
                    <w:left w:val="single" w:color="auto" w:sz="6" w:space="0"/>
                    <w:bottom w:val="single" w:color="auto" w:sz="12" w:space="0"/>
                    <w:right w:val="single" w:color="auto" w:sz="12" w:space="0"/>
                  </w:tcBorders>
                  <w:vAlign w:val="center"/>
                </w:tcPr>
                <w:p>
                  <w:pPr>
                    <w:pStyle w:val="2"/>
                    <w:jc w:val="center"/>
                    <w:rPr>
                      <w:sz w:val="21"/>
                      <w:szCs w:val="21"/>
                    </w:rPr>
                  </w:pPr>
                  <w:r>
                    <w:rPr>
                      <w:sz w:val="21"/>
                      <w:szCs w:val="21"/>
                    </w:rPr>
                    <w:t>1</w:t>
                  </w:r>
                </w:p>
              </w:tc>
            </w:tr>
          </w:tbl>
          <w:p>
            <w:pPr>
              <w:pStyle w:val="114"/>
              <w:ind w:firstLine="482"/>
            </w:pPr>
            <w:r>
              <w:rPr>
                <w:b/>
              </w:rPr>
              <w:t>2</w:t>
            </w:r>
            <w:r>
              <w:rPr>
                <w:rFonts w:hint="eastAsia"/>
                <w:b/>
              </w:rPr>
              <w:t>、水：</w:t>
            </w:r>
            <w:r>
              <w:rPr>
                <w:rFonts w:hint="eastAsia"/>
              </w:rPr>
              <w:t>执行《城镇污水处理厂污染物排放标准》（</w:t>
            </w:r>
            <w:r>
              <w:t>GB18918-2002</w:t>
            </w:r>
            <w:r>
              <w:rPr>
                <w:rFonts w:hint="eastAsia"/>
              </w:rPr>
              <w:t>）及其修改单表</w:t>
            </w:r>
            <w:r>
              <w:t>1</w:t>
            </w:r>
            <w:r>
              <w:rPr>
                <w:rFonts w:hint="eastAsia"/>
              </w:rPr>
              <w:t>一级</w:t>
            </w:r>
            <w:r>
              <w:t>A</w:t>
            </w:r>
            <w:r>
              <w:rPr>
                <w:rFonts w:hint="eastAsia"/>
              </w:rPr>
              <w:t>标准；</w:t>
            </w:r>
          </w:p>
          <w:p>
            <w:pPr>
              <w:pStyle w:val="111"/>
            </w:pPr>
            <w:r>
              <w:rPr>
                <w:rFonts w:hint="eastAsia"/>
                <w:szCs w:val="16"/>
              </w:rPr>
              <w:t>表</w:t>
            </w:r>
            <w:r>
              <w:rPr>
                <w:szCs w:val="16"/>
              </w:rPr>
              <w:t>4-8</w:t>
            </w:r>
            <w:r>
              <w:rPr>
                <w:rFonts w:hint="eastAsia"/>
              </w:rPr>
              <w:t>项目尾水水质执行标准一览表（</w:t>
            </w:r>
            <w:r>
              <w:t>mg/L</w:t>
            </w:r>
            <w:r>
              <w:rPr>
                <w:rFonts w:hint="eastAsia"/>
              </w:rPr>
              <w:t>）</w:t>
            </w:r>
          </w:p>
          <w:tbl>
            <w:tblPr>
              <w:tblStyle w:val="37"/>
              <w:tblW w:w="87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839"/>
              <w:gridCol w:w="734"/>
              <w:gridCol w:w="736"/>
              <w:gridCol w:w="1891"/>
              <w:gridCol w:w="944"/>
              <w:gridCol w:w="20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7" w:type="dxa"/>
                  <w:tcBorders>
                    <w:top w:val="single" w:color="auto" w:sz="12" w:space="0"/>
                    <w:left w:val="single" w:color="auto" w:sz="12" w:space="0"/>
                    <w:bottom w:val="double" w:color="auto" w:sz="4" w:space="0"/>
                    <w:right w:val="single" w:color="auto" w:sz="4" w:space="0"/>
                  </w:tcBorders>
                  <w:vAlign w:val="center"/>
                </w:tcPr>
                <w:p>
                  <w:pPr>
                    <w:pStyle w:val="2"/>
                    <w:jc w:val="center"/>
                    <w:rPr>
                      <w:sz w:val="21"/>
                      <w:szCs w:val="21"/>
                    </w:rPr>
                  </w:pPr>
                  <w:r>
                    <w:rPr>
                      <w:rFonts w:hint="eastAsia"/>
                      <w:sz w:val="21"/>
                      <w:szCs w:val="21"/>
                    </w:rPr>
                    <w:t>基本控制项目</w:t>
                  </w:r>
                </w:p>
              </w:tc>
              <w:tc>
                <w:tcPr>
                  <w:tcW w:w="839" w:type="dxa"/>
                  <w:tcBorders>
                    <w:top w:val="single" w:color="auto" w:sz="12" w:space="0"/>
                    <w:left w:val="single" w:color="auto" w:sz="4" w:space="0"/>
                    <w:bottom w:val="double" w:color="auto" w:sz="4" w:space="0"/>
                    <w:right w:val="single" w:color="auto" w:sz="4" w:space="0"/>
                  </w:tcBorders>
                  <w:vAlign w:val="center"/>
                </w:tcPr>
                <w:p>
                  <w:pPr>
                    <w:pStyle w:val="2"/>
                    <w:jc w:val="center"/>
                    <w:rPr>
                      <w:sz w:val="21"/>
                      <w:szCs w:val="21"/>
                    </w:rPr>
                  </w:pPr>
                  <w:r>
                    <w:rPr>
                      <w:sz w:val="21"/>
                      <w:szCs w:val="21"/>
                    </w:rPr>
                    <w:t>COD</w:t>
                  </w:r>
                </w:p>
              </w:tc>
              <w:tc>
                <w:tcPr>
                  <w:tcW w:w="734" w:type="dxa"/>
                  <w:tcBorders>
                    <w:top w:val="single" w:color="auto" w:sz="12" w:space="0"/>
                    <w:left w:val="single" w:color="auto" w:sz="4" w:space="0"/>
                    <w:bottom w:val="double" w:color="auto" w:sz="4" w:space="0"/>
                    <w:right w:val="single" w:color="auto" w:sz="4" w:space="0"/>
                  </w:tcBorders>
                  <w:vAlign w:val="center"/>
                </w:tcPr>
                <w:p>
                  <w:pPr>
                    <w:pStyle w:val="2"/>
                    <w:jc w:val="center"/>
                    <w:rPr>
                      <w:sz w:val="21"/>
                      <w:szCs w:val="21"/>
                    </w:rPr>
                  </w:pPr>
                  <w:r>
                    <w:rPr>
                      <w:sz w:val="21"/>
                      <w:szCs w:val="21"/>
                    </w:rPr>
                    <w:t>BOD</w:t>
                  </w:r>
                  <w:r>
                    <w:rPr>
                      <w:sz w:val="21"/>
                      <w:szCs w:val="21"/>
                      <w:vertAlign w:val="subscript"/>
                    </w:rPr>
                    <w:t>5</w:t>
                  </w:r>
                </w:p>
              </w:tc>
              <w:tc>
                <w:tcPr>
                  <w:tcW w:w="736" w:type="dxa"/>
                  <w:tcBorders>
                    <w:top w:val="single" w:color="auto" w:sz="12" w:space="0"/>
                    <w:left w:val="single" w:color="auto" w:sz="4" w:space="0"/>
                    <w:bottom w:val="double" w:color="auto" w:sz="4" w:space="0"/>
                    <w:right w:val="single" w:color="auto" w:sz="4" w:space="0"/>
                  </w:tcBorders>
                  <w:vAlign w:val="center"/>
                </w:tcPr>
                <w:p>
                  <w:pPr>
                    <w:pStyle w:val="2"/>
                    <w:jc w:val="center"/>
                    <w:rPr>
                      <w:sz w:val="21"/>
                      <w:szCs w:val="21"/>
                    </w:rPr>
                  </w:pPr>
                  <w:r>
                    <w:rPr>
                      <w:sz w:val="21"/>
                      <w:szCs w:val="21"/>
                    </w:rPr>
                    <w:t>SS</w:t>
                  </w:r>
                </w:p>
              </w:tc>
              <w:tc>
                <w:tcPr>
                  <w:tcW w:w="1891" w:type="dxa"/>
                  <w:tcBorders>
                    <w:top w:val="single" w:color="auto" w:sz="12" w:space="0"/>
                    <w:left w:val="single" w:color="auto" w:sz="4" w:space="0"/>
                    <w:bottom w:val="double" w:color="auto" w:sz="4" w:space="0"/>
                    <w:right w:val="single" w:color="auto" w:sz="4" w:space="0"/>
                  </w:tcBorders>
                  <w:vAlign w:val="center"/>
                </w:tcPr>
                <w:p>
                  <w:pPr>
                    <w:pStyle w:val="2"/>
                    <w:jc w:val="center"/>
                    <w:rPr>
                      <w:sz w:val="21"/>
                      <w:szCs w:val="21"/>
                    </w:rPr>
                  </w:pPr>
                  <w:r>
                    <w:rPr>
                      <w:rFonts w:hint="eastAsia"/>
                      <w:sz w:val="21"/>
                      <w:szCs w:val="21"/>
                    </w:rPr>
                    <w:t>动植物油</w:t>
                  </w:r>
                </w:p>
              </w:tc>
              <w:tc>
                <w:tcPr>
                  <w:tcW w:w="944" w:type="dxa"/>
                  <w:tcBorders>
                    <w:top w:val="single" w:color="auto" w:sz="12" w:space="0"/>
                    <w:left w:val="single" w:color="auto" w:sz="4" w:space="0"/>
                    <w:bottom w:val="double" w:color="auto" w:sz="4" w:space="0"/>
                    <w:right w:val="single" w:color="auto" w:sz="4" w:space="0"/>
                  </w:tcBorders>
                  <w:vAlign w:val="center"/>
                </w:tcPr>
                <w:p>
                  <w:pPr>
                    <w:pStyle w:val="2"/>
                    <w:jc w:val="center"/>
                    <w:rPr>
                      <w:sz w:val="21"/>
                      <w:szCs w:val="21"/>
                    </w:rPr>
                  </w:pPr>
                  <w:r>
                    <w:rPr>
                      <w:rFonts w:hint="eastAsia"/>
                      <w:sz w:val="21"/>
                      <w:szCs w:val="21"/>
                    </w:rPr>
                    <w:t>石油类</w:t>
                  </w:r>
                </w:p>
              </w:tc>
              <w:tc>
                <w:tcPr>
                  <w:tcW w:w="2090" w:type="dxa"/>
                  <w:tcBorders>
                    <w:top w:val="single" w:color="auto" w:sz="12" w:space="0"/>
                    <w:left w:val="single" w:color="auto" w:sz="4" w:space="0"/>
                    <w:bottom w:val="double" w:color="auto" w:sz="4" w:space="0"/>
                    <w:right w:val="single" w:color="auto" w:sz="4" w:space="0"/>
                  </w:tcBorders>
                  <w:vAlign w:val="center"/>
                </w:tcPr>
                <w:p>
                  <w:pPr>
                    <w:pStyle w:val="2"/>
                    <w:jc w:val="center"/>
                    <w:rPr>
                      <w:sz w:val="21"/>
                      <w:szCs w:val="21"/>
                    </w:rPr>
                  </w:pPr>
                  <w:r>
                    <w:rPr>
                      <w:rFonts w:hint="eastAsia"/>
                      <w:sz w:val="21"/>
                      <w:szCs w:val="21"/>
                    </w:rPr>
                    <w:t>阴离子表面活性剂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7" w:type="dxa"/>
                  <w:tcBorders>
                    <w:top w:val="double" w:color="auto" w:sz="4" w:space="0"/>
                    <w:left w:val="single" w:color="auto" w:sz="12" w:space="0"/>
                    <w:bottom w:val="single" w:color="auto" w:sz="4" w:space="0"/>
                    <w:right w:val="single" w:color="auto" w:sz="4" w:space="0"/>
                  </w:tcBorders>
                  <w:vAlign w:val="center"/>
                </w:tcPr>
                <w:p>
                  <w:pPr>
                    <w:pStyle w:val="2"/>
                    <w:jc w:val="center"/>
                    <w:rPr>
                      <w:sz w:val="21"/>
                      <w:szCs w:val="21"/>
                    </w:rPr>
                  </w:pPr>
                  <w:r>
                    <w:rPr>
                      <w:rFonts w:hint="eastAsia"/>
                      <w:sz w:val="21"/>
                      <w:szCs w:val="21"/>
                    </w:rPr>
                    <w:t>标准值</w:t>
                  </w:r>
                </w:p>
              </w:tc>
              <w:tc>
                <w:tcPr>
                  <w:tcW w:w="839"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50</w:t>
                  </w:r>
                </w:p>
              </w:tc>
              <w:tc>
                <w:tcPr>
                  <w:tcW w:w="734"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10</w:t>
                  </w:r>
                </w:p>
              </w:tc>
              <w:tc>
                <w:tcPr>
                  <w:tcW w:w="736"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10</w:t>
                  </w:r>
                </w:p>
              </w:tc>
              <w:tc>
                <w:tcPr>
                  <w:tcW w:w="1891"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1</w:t>
                  </w:r>
                </w:p>
              </w:tc>
              <w:tc>
                <w:tcPr>
                  <w:tcW w:w="944"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1</w:t>
                  </w:r>
                </w:p>
              </w:tc>
              <w:tc>
                <w:tcPr>
                  <w:tcW w:w="2090"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7" w:type="dxa"/>
                  <w:tcBorders>
                    <w:top w:val="double" w:color="auto" w:sz="4" w:space="0"/>
                    <w:left w:val="single" w:color="auto" w:sz="12" w:space="0"/>
                    <w:bottom w:val="single" w:color="auto" w:sz="4" w:space="0"/>
                    <w:right w:val="single" w:color="auto" w:sz="4" w:space="0"/>
                  </w:tcBorders>
                  <w:vAlign w:val="center"/>
                </w:tcPr>
                <w:p>
                  <w:pPr>
                    <w:pStyle w:val="2"/>
                    <w:jc w:val="center"/>
                    <w:rPr>
                      <w:sz w:val="21"/>
                      <w:szCs w:val="21"/>
                    </w:rPr>
                  </w:pPr>
                  <w:r>
                    <w:rPr>
                      <w:rFonts w:hint="eastAsia"/>
                      <w:sz w:val="21"/>
                      <w:szCs w:val="21"/>
                    </w:rPr>
                    <w:t>基本控制项目</w:t>
                  </w:r>
                </w:p>
              </w:tc>
              <w:tc>
                <w:tcPr>
                  <w:tcW w:w="839"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氨氮</w:t>
                  </w:r>
                </w:p>
              </w:tc>
              <w:tc>
                <w:tcPr>
                  <w:tcW w:w="734"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总磷</w:t>
                  </w:r>
                </w:p>
              </w:tc>
              <w:tc>
                <w:tcPr>
                  <w:tcW w:w="736"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总氮</w:t>
                  </w:r>
                </w:p>
              </w:tc>
              <w:tc>
                <w:tcPr>
                  <w:tcW w:w="1891"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色度（稀释倍数）</w:t>
                  </w:r>
                </w:p>
              </w:tc>
              <w:tc>
                <w:tcPr>
                  <w:tcW w:w="944"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pH</w:t>
                  </w:r>
                </w:p>
              </w:tc>
              <w:tc>
                <w:tcPr>
                  <w:tcW w:w="2090"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粪大肠菌群数（个</w:t>
                  </w:r>
                  <w:r>
                    <w:rPr>
                      <w:sz w:val="21"/>
                      <w:szCs w:val="21"/>
                    </w:rPr>
                    <w:t>/L</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7" w:type="dxa"/>
                  <w:tcBorders>
                    <w:top w:val="double" w:color="auto" w:sz="4" w:space="0"/>
                    <w:left w:val="single" w:color="auto" w:sz="12" w:space="0"/>
                    <w:bottom w:val="single" w:color="auto" w:sz="4" w:space="0"/>
                    <w:right w:val="single" w:color="auto" w:sz="4" w:space="0"/>
                  </w:tcBorders>
                  <w:vAlign w:val="center"/>
                </w:tcPr>
                <w:p>
                  <w:pPr>
                    <w:pStyle w:val="2"/>
                    <w:jc w:val="center"/>
                    <w:rPr>
                      <w:sz w:val="21"/>
                      <w:szCs w:val="21"/>
                    </w:rPr>
                  </w:pPr>
                  <w:r>
                    <w:rPr>
                      <w:rFonts w:hint="eastAsia"/>
                      <w:sz w:val="21"/>
                      <w:szCs w:val="21"/>
                    </w:rPr>
                    <w:t>标准值</w:t>
                  </w:r>
                </w:p>
              </w:tc>
              <w:tc>
                <w:tcPr>
                  <w:tcW w:w="839"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5</w:t>
                  </w:r>
                  <w:r>
                    <w:rPr>
                      <w:rFonts w:hint="eastAsia"/>
                      <w:sz w:val="21"/>
                      <w:szCs w:val="21"/>
                    </w:rPr>
                    <w:t>（</w:t>
                  </w:r>
                  <w:r>
                    <w:rPr>
                      <w:sz w:val="21"/>
                      <w:szCs w:val="21"/>
                    </w:rPr>
                    <w:t>8</w:t>
                  </w:r>
                  <w:r>
                    <w:rPr>
                      <w:rFonts w:hint="eastAsia"/>
                      <w:sz w:val="21"/>
                      <w:szCs w:val="21"/>
                    </w:rPr>
                    <w:t>）</w:t>
                  </w:r>
                </w:p>
              </w:tc>
              <w:tc>
                <w:tcPr>
                  <w:tcW w:w="734"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0.5</w:t>
                  </w:r>
                </w:p>
              </w:tc>
              <w:tc>
                <w:tcPr>
                  <w:tcW w:w="736"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15</w:t>
                  </w:r>
                </w:p>
              </w:tc>
              <w:tc>
                <w:tcPr>
                  <w:tcW w:w="1891"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30</w:t>
                  </w:r>
                </w:p>
              </w:tc>
              <w:tc>
                <w:tcPr>
                  <w:tcW w:w="944"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6~9</w:t>
                  </w:r>
                </w:p>
              </w:tc>
              <w:tc>
                <w:tcPr>
                  <w:tcW w:w="2090"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761" w:type="dxa"/>
                  <w:gridSpan w:val="7"/>
                  <w:tcBorders>
                    <w:top w:val="single" w:color="auto" w:sz="4" w:space="0"/>
                    <w:left w:val="single" w:color="auto" w:sz="12" w:space="0"/>
                    <w:bottom w:val="single" w:color="auto" w:sz="12" w:space="0"/>
                    <w:right w:val="single" w:color="auto" w:sz="12" w:space="0"/>
                  </w:tcBorders>
                </w:tcPr>
                <w:p>
                  <w:pPr>
                    <w:pStyle w:val="2"/>
                    <w:jc w:val="left"/>
                    <w:rPr>
                      <w:sz w:val="21"/>
                      <w:szCs w:val="21"/>
                    </w:rPr>
                  </w:pPr>
                  <w:r>
                    <w:rPr>
                      <w:sz w:val="21"/>
                      <w:szCs w:val="22"/>
                    </w:rPr>
                    <w:t>*</w:t>
                  </w:r>
                  <w:r>
                    <w:rPr>
                      <w:rFonts w:hint="eastAsia"/>
                      <w:sz w:val="21"/>
                      <w:szCs w:val="22"/>
                    </w:rPr>
                    <w:t>括号外数值为水温＞</w:t>
                  </w:r>
                  <w:r>
                    <w:rPr>
                      <w:sz w:val="21"/>
                      <w:szCs w:val="22"/>
                    </w:rPr>
                    <w:t>12</w:t>
                  </w:r>
                  <w:r>
                    <w:rPr>
                      <w:rFonts w:hint="eastAsia" w:ascii="宋体" w:hAnsi="宋体" w:cs="宋体"/>
                      <w:sz w:val="21"/>
                      <w:szCs w:val="22"/>
                    </w:rPr>
                    <w:t>℃</w:t>
                  </w:r>
                  <w:r>
                    <w:rPr>
                      <w:rFonts w:hint="eastAsia"/>
                      <w:sz w:val="21"/>
                      <w:szCs w:val="22"/>
                    </w:rPr>
                    <w:t>时控制指标，括号内数值为水温</w:t>
                  </w:r>
                  <w:r>
                    <w:rPr>
                      <w:sz w:val="21"/>
                      <w:szCs w:val="22"/>
                    </w:rPr>
                    <w:t>≤12</w:t>
                  </w:r>
                  <w:r>
                    <w:rPr>
                      <w:rFonts w:hint="eastAsia" w:ascii="宋体" w:hAnsi="宋体" w:cs="宋体"/>
                      <w:sz w:val="21"/>
                      <w:szCs w:val="22"/>
                    </w:rPr>
                    <w:t>℃</w:t>
                  </w:r>
                  <w:r>
                    <w:rPr>
                      <w:rFonts w:hint="eastAsia"/>
                      <w:sz w:val="21"/>
                      <w:szCs w:val="22"/>
                    </w:rPr>
                    <w:t>时的控制指标</w:t>
                  </w:r>
                </w:p>
              </w:tc>
            </w:tr>
          </w:tbl>
          <w:p>
            <w:pPr>
              <w:pStyle w:val="114"/>
              <w:ind w:firstLine="482"/>
            </w:pPr>
            <w:r>
              <w:rPr>
                <w:b/>
              </w:rPr>
              <w:t>3</w:t>
            </w:r>
            <w:r>
              <w:rPr>
                <w:rFonts w:hint="eastAsia"/>
                <w:b/>
              </w:rPr>
              <w:t>、噪声：</w:t>
            </w:r>
            <w:r>
              <w:rPr>
                <w:rFonts w:hint="eastAsia"/>
              </w:rPr>
              <w:t>厂界噪声执行《工业企业厂界环境噪声排放标准》（</w:t>
            </w:r>
            <w:r>
              <w:t>GB12348-2008</w:t>
            </w:r>
            <w:r>
              <w:rPr>
                <w:rFonts w:hint="eastAsia"/>
              </w:rPr>
              <w:t>）</w:t>
            </w:r>
            <w:r>
              <w:t>2</w:t>
            </w:r>
            <w:r>
              <w:rPr>
                <w:rFonts w:hint="eastAsia"/>
              </w:rPr>
              <w:t>类噪声排放限值；</w:t>
            </w:r>
          </w:p>
          <w:p>
            <w:pPr>
              <w:pStyle w:val="111"/>
            </w:pPr>
            <w:r>
              <w:rPr>
                <w:rFonts w:hint="eastAsia"/>
                <w:szCs w:val="16"/>
              </w:rPr>
              <w:t>表</w:t>
            </w:r>
            <w:r>
              <w:rPr>
                <w:szCs w:val="16"/>
              </w:rPr>
              <w:t>4-8</w:t>
            </w:r>
            <w:r>
              <w:rPr>
                <w:rFonts w:hint="eastAsia"/>
              </w:rPr>
              <w:t>噪声排放标准限值一览表（</w:t>
            </w:r>
            <w:r>
              <w:t>mg/m</w:t>
            </w:r>
            <w:r>
              <w:rPr>
                <w:vertAlign w:val="superscript"/>
              </w:rPr>
              <w:t>3</w:t>
            </w:r>
            <w:r>
              <w:rPr>
                <w:rFonts w:hint="eastAsia"/>
              </w:rPr>
              <w:t>）</w:t>
            </w:r>
          </w:p>
          <w:tbl>
            <w:tblPr>
              <w:tblStyle w:val="37"/>
              <w:tblW w:w="85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57"/>
              <w:gridCol w:w="2578"/>
              <w:gridCol w:w="32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2757" w:type="dxa"/>
                  <w:tcBorders>
                    <w:top w:val="single" w:color="auto" w:sz="12" w:space="0"/>
                    <w:left w:val="single" w:color="auto" w:sz="12" w:space="0"/>
                    <w:bottom w:val="double" w:color="auto" w:sz="4" w:space="0"/>
                    <w:right w:val="single" w:color="auto" w:sz="6" w:space="0"/>
                  </w:tcBorders>
                  <w:vAlign w:val="center"/>
                </w:tcPr>
                <w:p>
                  <w:pPr>
                    <w:adjustRightInd w:val="0"/>
                    <w:snapToGrid w:val="0"/>
                    <w:spacing w:line="280" w:lineRule="exact"/>
                    <w:jc w:val="center"/>
                    <w:rPr>
                      <w:rFonts w:ascii="Times New Roman" w:hAnsi="Times New Roman"/>
                      <w:szCs w:val="21"/>
                    </w:rPr>
                  </w:pPr>
                  <w:r>
                    <w:rPr>
                      <w:rFonts w:hint="eastAsia" w:ascii="Times New Roman" w:hAnsi="Times New Roman"/>
                      <w:szCs w:val="21"/>
                    </w:rPr>
                    <w:t>类别</w:t>
                  </w:r>
                </w:p>
              </w:tc>
              <w:tc>
                <w:tcPr>
                  <w:tcW w:w="2578" w:type="dxa"/>
                  <w:tcBorders>
                    <w:top w:val="single" w:color="auto" w:sz="12" w:space="0"/>
                    <w:left w:val="single" w:color="auto" w:sz="6" w:space="0"/>
                    <w:bottom w:val="double" w:color="auto" w:sz="4" w:space="0"/>
                    <w:right w:val="single" w:color="auto" w:sz="6" w:space="0"/>
                  </w:tcBorders>
                  <w:vAlign w:val="center"/>
                </w:tcPr>
                <w:p>
                  <w:pPr>
                    <w:adjustRightInd w:val="0"/>
                    <w:snapToGrid w:val="0"/>
                    <w:spacing w:line="280" w:lineRule="exact"/>
                    <w:jc w:val="center"/>
                    <w:rPr>
                      <w:rFonts w:ascii="Times New Roman" w:hAnsi="Times New Roman"/>
                      <w:szCs w:val="21"/>
                    </w:rPr>
                  </w:pPr>
                  <w:r>
                    <w:rPr>
                      <w:rFonts w:hint="eastAsia" w:ascii="Times New Roman" w:hAnsi="Times New Roman"/>
                      <w:szCs w:val="21"/>
                    </w:rPr>
                    <w:t>昼间</w:t>
                  </w:r>
                </w:p>
              </w:tc>
              <w:tc>
                <w:tcPr>
                  <w:tcW w:w="3211" w:type="dxa"/>
                  <w:tcBorders>
                    <w:top w:val="single" w:color="auto" w:sz="12" w:space="0"/>
                    <w:left w:val="single" w:color="auto" w:sz="6" w:space="0"/>
                    <w:bottom w:val="double" w:color="auto" w:sz="4" w:space="0"/>
                    <w:right w:val="single" w:color="auto" w:sz="12" w:space="0"/>
                  </w:tcBorders>
                  <w:vAlign w:val="center"/>
                </w:tcPr>
                <w:p>
                  <w:pPr>
                    <w:adjustRightInd w:val="0"/>
                    <w:snapToGrid w:val="0"/>
                    <w:spacing w:line="280" w:lineRule="exact"/>
                    <w:jc w:val="center"/>
                    <w:rPr>
                      <w:rFonts w:ascii="Times New Roman" w:hAnsi="Times New Roman"/>
                      <w:szCs w:val="21"/>
                    </w:rPr>
                  </w:pPr>
                  <w:r>
                    <w:rPr>
                      <w:rFonts w:hint="eastAsia" w:ascii="Times New Roman" w:hAnsi="Times New Roman"/>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2" w:hRule="atLeast"/>
              </w:trPr>
              <w:tc>
                <w:tcPr>
                  <w:tcW w:w="2757" w:type="dxa"/>
                  <w:tcBorders>
                    <w:top w:val="double" w:color="auto" w:sz="4" w:space="0"/>
                    <w:left w:val="single" w:color="auto" w:sz="12" w:space="0"/>
                    <w:bottom w:val="single" w:color="auto" w:sz="12" w:space="0"/>
                    <w:right w:val="single" w:color="auto" w:sz="6" w:space="0"/>
                  </w:tcBorders>
                  <w:vAlign w:val="center"/>
                </w:tcPr>
                <w:p>
                  <w:pPr>
                    <w:adjustRightInd w:val="0"/>
                    <w:snapToGrid w:val="0"/>
                    <w:spacing w:line="280" w:lineRule="exact"/>
                    <w:jc w:val="center"/>
                    <w:rPr>
                      <w:rFonts w:ascii="Times New Roman" w:hAnsi="Times New Roman"/>
                      <w:szCs w:val="21"/>
                    </w:rPr>
                  </w:pPr>
                  <w:r>
                    <w:rPr>
                      <w:rFonts w:ascii="Times New Roman" w:hAnsi="Times New Roman"/>
                      <w:szCs w:val="21"/>
                    </w:rPr>
                    <w:t>2</w:t>
                  </w:r>
                </w:p>
              </w:tc>
              <w:tc>
                <w:tcPr>
                  <w:tcW w:w="2578" w:type="dxa"/>
                  <w:tcBorders>
                    <w:top w:val="double" w:color="auto" w:sz="4" w:space="0"/>
                    <w:left w:val="single" w:color="auto" w:sz="6" w:space="0"/>
                    <w:bottom w:val="single" w:color="auto" w:sz="12" w:space="0"/>
                    <w:right w:val="single" w:color="auto" w:sz="6" w:space="0"/>
                  </w:tcBorders>
                  <w:vAlign w:val="center"/>
                </w:tcPr>
                <w:p>
                  <w:pPr>
                    <w:adjustRightInd w:val="0"/>
                    <w:snapToGrid w:val="0"/>
                    <w:spacing w:line="280" w:lineRule="exact"/>
                    <w:jc w:val="center"/>
                    <w:rPr>
                      <w:rFonts w:ascii="Times New Roman" w:hAnsi="Times New Roman"/>
                      <w:szCs w:val="21"/>
                    </w:rPr>
                  </w:pPr>
                  <w:r>
                    <w:rPr>
                      <w:rFonts w:ascii="Times New Roman" w:hAnsi="Times New Roman"/>
                      <w:szCs w:val="21"/>
                    </w:rPr>
                    <w:t>60dB</w:t>
                  </w:r>
                  <w:r>
                    <w:rPr>
                      <w:rFonts w:hint="eastAsia" w:ascii="Times New Roman" w:hAnsi="Times New Roman"/>
                      <w:szCs w:val="21"/>
                    </w:rPr>
                    <w:t>（</w:t>
                  </w:r>
                  <w:r>
                    <w:rPr>
                      <w:rFonts w:ascii="Times New Roman" w:hAnsi="Times New Roman"/>
                      <w:szCs w:val="21"/>
                    </w:rPr>
                    <w:t>A</w:t>
                  </w:r>
                  <w:r>
                    <w:rPr>
                      <w:rFonts w:hint="eastAsia" w:ascii="Times New Roman" w:hAnsi="Times New Roman"/>
                      <w:szCs w:val="21"/>
                    </w:rPr>
                    <w:t>）</w:t>
                  </w:r>
                </w:p>
              </w:tc>
              <w:tc>
                <w:tcPr>
                  <w:tcW w:w="3211" w:type="dxa"/>
                  <w:tcBorders>
                    <w:top w:val="double" w:color="auto" w:sz="4" w:space="0"/>
                    <w:left w:val="single" w:color="auto" w:sz="6" w:space="0"/>
                    <w:bottom w:val="single" w:color="auto" w:sz="12" w:space="0"/>
                    <w:right w:val="single" w:color="auto" w:sz="12" w:space="0"/>
                  </w:tcBorders>
                  <w:vAlign w:val="center"/>
                </w:tcPr>
                <w:p>
                  <w:pPr>
                    <w:adjustRightInd w:val="0"/>
                    <w:snapToGrid w:val="0"/>
                    <w:spacing w:line="280" w:lineRule="exact"/>
                    <w:jc w:val="center"/>
                    <w:rPr>
                      <w:rFonts w:ascii="Times New Roman" w:hAnsi="Times New Roman"/>
                      <w:szCs w:val="21"/>
                    </w:rPr>
                  </w:pPr>
                  <w:r>
                    <w:rPr>
                      <w:rFonts w:ascii="Times New Roman" w:hAnsi="Times New Roman"/>
                      <w:szCs w:val="21"/>
                    </w:rPr>
                    <w:t>50dB</w:t>
                  </w:r>
                  <w:r>
                    <w:rPr>
                      <w:rFonts w:hint="eastAsia" w:ascii="Times New Roman" w:hAnsi="Times New Roman"/>
                      <w:szCs w:val="21"/>
                    </w:rPr>
                    <w:t>（</w:t>
                  </w:r>
                  <w:r>
                    <w:rPr>
                      <w:rFonts w:ascii="Times New Roman" w:hAnsi="Times New Roman"/>
                      <w:szCs w:val="21"/>
                    </w:rPr>
                    <w:t>A</w:t>
                  </w:r>
                  <w:r>
                    <w:rPr>
                      <w:rFonts w:hint="eastAsia" w:ascii="Times New Roman" w:hAnsi="Times New Roman"/>
                      <w:szCs w:val="21"/>
                    </w:rPr>
                    <w:t>）</w:t>
                  </w:r>
                </w:p>
              </w:tc>
            </w:tr>
          </w:tbl>
          <w:p>
            <w:pPr>
              <w:pStyle w:val="114"/>
              <w:ind w:firstLine="482"/>
            </w:pPr>
            <w:r>
              <w:rPr>
                <w:b/>
              </w:rPr>
              <w:t>4</w:t>
            </w:r>
            <w:r>
              <w:rPr>
                <w:rFonts w:hint="eastAsia"/>
                <w:b/>
              </w:rPr>
              <w:t>、固体废物：</w:t>
            </w:r>
            <w:r>
              <w:rPr>
                <w:rFonts w:hint="eastAsia"/>
              </w:rPr>
              <w:t>污泥：执行《城镇污水处理厂污染物排放标准》（</w:t>
            </w:r>
            <w:r>
              <w:t>GB18918-2002</w:t>
            </w:r>
            <w:r>
              <w:rPr>
                <w:rFonts w:hint="eastAsia"/>
              </w:rPr>
              <w:t>）中污泥控制标准，脱水后污泥含水率应小于</w:t>
            </w:r>
            <w:r>
              <w:t>80%</w:t>
            </w:r>
            <w:r>
              <w:rPr>
                <w:rFonts w:hint="eastAsia"/>
              </w:rPr>
              <w:t>。本项目污泥经板框压滤机脱水处理后，送入定安县垃圾处理厂处置。根据《生活垃圾填埋场污染控制标准》（</w:t>
            </w:r>
            <w:r>
              <w:t>GB16889-2008</w:t>
            </w:r>
            <w:r>
              <w:rPr>
                <w:rFonts w:hint="eastAsia"/>
              </w:rPr>
              <w:t>）：生活污水处理厂污泥经处理后含水率小于</w:t>
            </w:r>
            <w:r>
              <w:t>60%</w:t>
            </w:r>
            <w:r>
              <w:rPr>
                <w:rFonts w:hint="eastAsia"/>
              </w:rPr>
              <w:t>，可以进入生活垃圾填埋场填埋处置。</w:t>
            </w:r>
          </w:p>
          <w:p>
            <w:pPr>
              <w:pStyle w:val="114"/>
            </w:pPr>
            <w:r>
              <w:rPr>
                <w:rFonts w:hint="eastAsia"/>
              </w:rPr>
              <w:t>生活垃圾执行《生活垃圾填埋场污染控制标准》（</w:t>
            </w:r>
            <w:r>
              <w:t>GB16889-2008</w:t>
            </w:r>
            <w:r>
              <w:rPr>
                <w:rFonts w:hint="eastAsia"/>
              </w:rPr>
              <w:t>）；</w:t>
            </w:r>
          </w:p>
          <w:p>
            <w:pPr>
              <w:pStyle w:val="114"/>
            </w:pPr>
            <w:r>
              <w:rPr>
                <w:rFonts w:hint="eastAsia"/>
              </w:rPr>
              <w:t>一般工业固体废物执行《一般工业固体废物贮存、处置场污染控制标准》（</w:t>
            </w:r>
            <w:r>
              <w:t>GB18599-2001</w:t>
            </w:r>
            <w:r>
              <w:rPr>
                <w:rFonts w:hint="eastAsia"/>
              </w:rPr>
              <w:t>）（</w:t>
            </w:r>
            <w:r>
              <w:t>2013</w:t>
            </w:r>
            <w:r>
              <w:rPr>
                <w:rFonts w:hint="eastAsia"/>
              </w:rPr>
              <w:t>年修改单）；</w:t>
            </w:r>
          </w:p>
          <w:p>
            <w:pPr>
              <w:pStyle w:val="114"/>
            </w:pPr>
            <w:r>
              <w:rPr>
                <w:rFonts w:hint="eastAsia"/>
              </w:rPr>
              <w:t>危险废物厂内暂存执行《危险废物贮存污染控制标准》（</w:t>
            </w:r>
            <w:r>
              <w:t>GB18597-2001</w:t>
            </w:r>
            <w:r>
              <w:rPr>
                <w:rFonts w:hint="eastAsia"/>
              </w:rPr>
              <w:t>）（及</w:t>
            </w:r>
            <w:r>
              <w:t>2013</w:t>
            </w:r>
            <w:r>
              <w:rPr>
                <w:rFonts w:hint="eastAsia"/>
              </w:rPr>
              <w:t>年修改单）。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735"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bCs/>
                <w:sz w:val="24"/>
                <w:szCs w:val="24"/>
              </w:rPr>
            </w:pPr>
            <w:r>
              <w:rPr>
                <w:rFonts w:hint="eastAsia" w:ascii="Times New Roman" w:hAnsi="Times New Roman"/>
                <w:bCs/>
                <w:sz w:val="24"/>
                <w:szCs w:val="24"/>
              </w:rPr>
              <w:t>总</w:t>
            </w:r>
          </w:p>
          <w:p>
            <w:pPr>
              <w:spacing w:line="360" w:lineRule="auto"/>
              <w:jc w:val="center"/>
              <w:rPr>
                <w:rFonts w:ascii="Times New Roman" w:hAnsi="Times New Roman"/>
                <w:bCs/>
                <w:sz w:val="24"/>
                <w:szCs w:val="24"/>
              </w:rPr>
            </w:pPr>
            <w:r>
              <w:rPr>
                <w:rFonts w:hint="eastAsia" w:ascii="Times New Roman" w:hAnsi="Times New Roman"/>
                <w:bCs/>
                <w:sz w:val="24"/>
                <w:szCs w:val="24"/>
              </w:rPr>
              <w:t>量</w:t>
            </w:r>
          </w:p>
          <w:p>
            <w:pPr>
              <w:spacing w:line="360" w:lineRule="auto"/>
              <w:jc w:val="center"/>
              <w:rPr>
                <w:rFonts w:ascii="Times New Roman" w:hAnsi="Times New Roman"/>
                <w:bCs/>
                <w:sz w:val="24"/>
                <w:szCs w:val="24"/>
              </w:rPr>
            </w:pPr>
            <w:r>
              <w:rPr>
                <w:rFonts w:hint="eastAsia" w:ascii="Times New Roman" w:hAnsi="Times New Roman"/>
                <w:bCs/>
                <w:sz w:val="24"/>
                <w:szCs w:val="24"/>
              </w:rPr>
              <w:t>控</w:t>
            </w:r>
          </w:p>
          <w:p>
            <w:pPr>
              <w:spacing w:line="360" w:lineRule="auto"/>
              <w:jc w:val="center"/>
              <w:rPr>
                <w:rFonts w:ascii="Times New Roman" w:hAnsi="Times New Roman"/>
                <w:bCs/>
                <w:sz w:val="24"/>
                <w:szCs w:val="24"/>
              </w:rPr>
            </w:pPr>
            <w:r>
              <w:rPr>
                <w:rFonts w:hint="eastAsia" w:ascii="Times New Roman" w:hAnsi="Times New Roman"/>
                <w:bCs/>
                <w:sz w:val="24"/>
                <w:szCs w:val="24"/>
              </w:rPr>
              <w:t>制</w:t>
            </w:r>
          </w:p>
          <w:p>
            <w:pPr>
              <w:spacing w:line="360" w:lineRule="auto"/>
              <w:jc w:val="center"/>
              <w:rPr>
                <w:rFonts w:ascii="Times New Roman" w:hAnsi="Times New Roman"/>
                <w:bCs/>
                <w:sz w:val="24"/>
                <w:szCs w:val="24"/>
              </w:rPr>
            </w:pPr>
            <w:r>
              <w:rPr>
                <w:rFonts w:hint="eastAsia" w:ascii="Times New Roman" w:hAnsi="Times New Roman"/>
                <w:bCs/>
                <w:sz w:val="24"/>
                <w:szCs w:val="24"/>
              </w:rPr>
              <w:t>指</w:t>
            </w:r>
          </w:p>
          <w:p>
            <w:pPr>
              <w:spacing w:line="360" w:lineRule="auto"/>
              <w:jc w:val="center"/>
              <w:rPr>
                <w:rFonts w:ascii="Times New Roman" w:hAnsi="Times New Roman"/>
                <w:bCs/>
                <w:sz w:val="24"/>
                <w:szCs w:val="24"/>
              </w:rPr>
            </w:pPr>
            <w:r>
              <w:rPr>
                <w:rFonts w:hint="eastAsia" w:ascii="Times New Roman" w:hAnsi="Times New Roman"/>
                <w:bCs/>
                <w:sz w:val="24"/>
                <w:szCs w:val="24"/>
              </w:rPr>
              <w:t>标</w:t>
            </w:r>
          </w:p>
          <w:p>
            <w:pPr>
              <w:spacing w:line="360" w:lineRule="auto"/>
              <w:jc w:val="center"/>
              <w:rPr>
                <w:rFonts w:ascii="Times New Roman" w:hAnsi="Times New Roman"/>
                <w:bCs/>
                <w:sz w:val="24"/>
                <w:szCs w:val="24"/>
              </w:rPr>
            </w:pPr>
          </w:p>
        </w:tc>
        <w:tc>
          <w:tcPr>
            <w:tcW w:w="8997" w:type="dxa"/>
            <w:gridSpan w:val="2"/>
            <w:tcBorders>
              <w:top w:val="single" w:color="auto" w:sz="4" w:space="0"/>
              <w:left w:val="single" w:color="auto" w:sz="4" w:space="0"/>
              <w:bottom w:val="single" w:color="auto" w:sz="4" w:space="0"/>
            </w:tcBorders>
            <w:vAlign w:val="center"/>
          </w:tcPr>
          <w:p>
            <w:pPr>
              <w:spacing w:line="360" w:lineRule="auto"/>
              <w:ind w:firstLine="480" w:firstLineChars="200"/>
              <w:rPr>
                <w:rFonts w:ascii="Times New Roman" w:hAnsi="Times New Roman"/>
                <w:bCs/>
                <w:sz w:val="24"/>
                <w:szCs w:val="24"/>
              </w:rPr>
            </w:pPr>
            <w:r>
              <w:rPr>
                <w:rFonts w:hint="eastAsia" w:ascii="Times New Roman" w:hAnsi="Times New Roman"/>
                <w:sz w:val="24"/>
                <w:szCs w:val="24"/>
              </w:rPr>
              <w:t>根据</w:t>
            </w:r>
            <w:r>
              <w:rPr>
                <w:rFonts w:ascii="Times New Roman" w:hAnsi="Times New Roman"/>
                <w:sz w:val="24"/>
                <w:szCs w:val="24"/>
              </w:rPr>
              <w:t>“</w:t>
            </w:r>
            <w:r>
              <w:rPr>
                <w:rFonts w:hint="eastAsia" w:ascii="Times New Roman" w:hAnsi="Times New Roman"/>
                <w:sz w:val="24"/>
                <w:szCs w:val="24"/>
              </w:rPr>
              <w:t>十三五</w:t>
            </w:r>
            <w:r>
              <w:rPr>
                <w:rFonts w:ascii="Times New Roman" w:hAnsi="Times New Roman"/>
                <w:sz w:val="24"/>
                <w:szCs w:val="24"/>
              </w:rPr>
              <w:t>”</w:t>
            </w:r>
            <w:r>
              <w:rPr>
                <w:rFonts w:hint="eastAsia" w:ascii="Times New Roman" w:hAnsi="Times New Roman"/>
                <w:sz w:val="24"/>
                <w:szCs w:val="24"/>
              </w:rPr>
              <w:t>期间总量控制要求，本项目涉及的总量控制因子是</w:t>
            </w:r>
            <w:r>
              <w:rPr>
                <w:rFonts w:ascii="Times New Roman" w:hAnsi="Times New Roman"/>
                <w:sz w:val="24"/>
                <w:szCs w:val="24"/>
              </w:rPr>
              <w:t>COD</w:t>
            </w:r>
            <w:r>
              <w:rPr>
                <w:rFonts w:hint="eastAsia" w:ascii="Times New Roman" w:hAnsi="Times New Roman"/>
                <w:sz w:val="24"/>
                <w:szCs w:val="24"/>
              </w:rPr>
              <w:t>、氨氮、总磷。</w:t>
            </w:r>
            <w:r>
              <w:rPr>
                <w:rFonts w:hint="eastAsia" w:ascii="Times New Roman"/>
                <w:sz w:val="24"/>
                <w:szCs w:val="24"/>
              </w:rPr>
              <w:t>一期项目</w:t>
            </w:r>
            <w:r>
              <w:rPr>
                <w:rFonts w:hint="eastAsia" w:ascii="Times New Roman"/>
                <w:bCs/>
                <w:sz w:val="24"/>
                <w:szCs w:val="24"/>
              </w:rPr>
              <w:t>污水设计规模</w:t>
            </w:r>
            <w:r>
              <w:rPr>
                <w:rFonts w:ascii="Times New Roman" w:hAnsi="Times New Roman"/>
                <w:bCs/>
                <w:sz w:val="24"/>
                <w:szCs w:val="24"/>
              </w:rPr>
              <w:t>547.5</w:t>
            </w:r>
            <w:r>
              <w:rPr>
                <w:rFonts w:hint="eastAsia" w:ascii="Times New Roman"/>
                <w:bCs/>
                <w:sz w:val="24"/>
                <w:szCs w:val="24"/>
              </w:rPr>
              <w:t>万吨</w:t>
            </w:r>
            <w:r>
              <w:rPr>
                <w:rFonts w:ascii="Times New Roman" w:hAnsi="Times New Roman"/>
                <w:bCs/>
                <w:sz w:val="24"/>
                <w:szCs w:val="24"/>
              </w:rPr>
              <w:t>/</w:t>
            </w:r>
            <w:r>
              <w:rPr>
                <w:rFonts w:hint="eastAsia" w:ascii="Times New Roman"/>
                <w:bCs/>
                <w:sz w:val="24"/>
                <w:szCs w:val="24"/>
              </w:rPr>
              <w:t>年，</w:t>
            </w:r>
            <w:r>
              <w:rPr>
                <w:rFonts w:hint="eastAsia" w:ascii="Times New Roman"/>
                <w:sz w:val="24"/>
                <w:szCs w:val="24"/>
              </w:rPr>
              <w:t>审批的总量控制指标为：</w:t>
            </w:r>
            <w:r>
              <w:rPr>
                <w:rFonts w:ascii="Times New Roman" w:hAnsi="Times New Roman"/>
                <w:bCs/>
                <w:sz w:val="24"/>
                <w:szCs w:val="24"/>
              </w:rPr>
              <w:t>COD</w:t>
            </w:r>
            <w:r>
              <w:rPr>
                <w:rFonts w:hint="eastAsia" w:ascii="Times New Roman"/>
                <w:bCs/>
                <w:sz w:val="24"/>
                <w:szCs w:val="24"/>
              </w:rPr>
              <w:t>：</w:t>
            </w:r>
            <w:r>
              <w:rPr>
                <w:rFonts w:ascii="Times New Roman" w:hAnsi="Times New Roman"/>
                <w:bCs/>
                <w:sz w:val="24"/>
                <w:szCs w:val="24"/>
              </w:rPr>
              <w:t>273.75</w:t>
            </w:r>
            <w:r>
              <w:rPr>
                <w:rFonts w:hint="eastAsia" w:ascii="Times New Roman"/>
                <w:bCs/>
                <w:sz w:val="24"/>
                <w:szCs w:val="24"/>
              </w:rPr>
              <w:t>吨</w:t>
            </w:r>
            <w:r>
              <w:rPr>
                <w:rFonts w:ascii="Times New Roman" w:hAnsi="Times New Roman"/>
                <w:bCs/>
                <w:sz w:val="24"/>
                <w:szCs w:val="24"/>
              </w:rPr>
              <w:t>/</w:t>
            </w:r>
            <w:r>
              <w:rPr>
                <w:rFonts w:hint="eastAsia" w:ascii="Times New Roman"/>
                <w:bCs/>
                <w:sz w:val="24"/>
                <w:szCs w:val="24"/>
              </w:rPr>
              <w:t>年，氨氮：</w:t>
            </w:r>
            <w:r>
              <w:rPr>
                <w:rFonts w:ascii="Times New Roman" w:hAnsi="Times New Roman"/>
                <w:bCs/>
                <w:sz w:val="24"/>
                <w:szCs w:val="24"/>
              </w:rPr>
              <w:t>27.38</w:t>
            </w:r>
            <w:r>
              <w:rPr>
                <w:rFonts w:hint="eastAsia" w:ascii="Times New Roman"/>
                <w:bCs/>
                <w:sz w:val="24"/>
                <w:szCs w:val="24"/>
              </w:rPr>
              <w:t>吨</w:t>
            </w:r>
            <w:r>
              <w:rPr>
                <w:rFonts w:ascii="Times New Roman" w:hAnsi="Times New Roman"/>
                <w:bCs/>
                <w:sz w:val="24"/>
                <w:szCs w:val="24"/>
              </w:rPr>
              <w:t>/</w:t>
            </w:r>
            <w:r>
              <w:rPr>
                <w:rFonts w:hint="eastAsia" w:ascii="Times New Roman"/>
                <w:bCs/>
                <w:sz w:val="24"/>
                <w:szCs w:val="24"/>
              </w:rPr>
              <w:t>年，总磷：</w:t>
            </w:r>
            <w:r>
              <w:rPr>
                <w:rFonts w:ascii="Times New Roman" w:hAnsi="Times New Roman"/>
                <w:bCs/>
                <w:sz w:val="24"/>
                <w:szCs w:val="24"/>
              </w:rPr>
              <w:t>2.3775</w:t>
            </w:r>
            <w:r>
              <w:rPr>
                <w:rFonts w:hint="eastAsia" w:ascii="Times New Roman"/>
                <w:bCs/>
                <w:sz w:val="24"/>
                <w:szCs w:val="24"/>
              </w:rPr>
              <w:t>吨</w:t>
            </w:r>
            <w:r>
              <w:rPr>
                <w:rFonts w:ascii="Times New Roman" w:hAnsi="Times New Roman"/>
                <w:bCs/>
                <w:sz w:val="24"/>
                <w:szCs w:val="24"/>
              </w:rPr>
              <w:t>/</w:t>
            </w:r>
            <w:r>
              <w:rPr>
                <w:rFonts w:hint="eastAsia" w:ascii="Times New Roman"/>
                <w:bCs/>
                <w:sz w:val="24"/>
                <w:szCs w:val="24"/>
              </w:rPr>
              <w:t>年；一期项目现未满负荷运行，实际排放量为</w:t>
            </w:r>
            <w:r>
              <w:rPr>
                <w:rFonts w:ascii="Times New Roman" w:hAnsi="Times New Roman"/>
                <w:sz w:val="24"/>
                <w:szCs w:val="24"/>
              </w:rPr>
              <w:t>COD180.5t/a</w:t>
            </w:r>
            <w:r>
              <w:rPr>
                <w:rFonts w:hint="eastAsia" w:ascii="Times New Roman"/>
                <w:sz w:val="24"/>
                <w:szCs w:val="24"/>
              </w:rPr>
              <w:t>，氨氮</w:t>
            </w:r>
            <w:r>
              <w:rPr>
                <w:rFonts w:ascii="Times New Roman" w:hAnsi="Times New Roman"/>
                <w:sz w:val="24"/>
                <w:szCs w:val="24"/>
              </w:rPr>
              <w:t>18.05t/a</w:t>
            </w:r>
            <w:r>
              <w:rPr>
                <w:rFonts w:hint="eastAsia" w:ascii="Times New Roman"/>
                <w:sz w:val="24"/>
                <w:szCs w:val="24"/>
              </w:rPr>
              <w:t>，总磷</w:t>
            </w:r>
            <w:r>
              <w:rPr>
                <w:rFonts w:ascii="Times New Roman" w:hAnsi="Times New Roman"/>
                <w:sz w:val="24"/>
                <w:szCs w:val="24"/>
              </w:rPr>
              <w:t>1.805t/a</w:t>
            </w:r>
            <w:r>
              <w:rPr>
                <w:rFonts w:hint="eastAsia" w:ascii="Times New Roman"/>
                <w:sz w:val="24"/>
                <w:szCs w:val="24"/>
              </w:rPr>
              <w:t>。审批的总量指标剩余</w:t>
            </w:r>
            <w:r>
              <w:rPr>
                <w:rFonts w:ascii="Times New Roman" w:hAnsi="Times New Roman"/>
                <w:sz w:val="24"/>
                <w:szCs w:val="24"/>
              </w:rPr>
              <w:t>COD93.25t/a</w:t>
            </w:r>
            <w:r>
              <w:rPr>
                <w:rFonts w:hint="eastAsia" w:ascii="Times New Roman"/>
                <w:sz w:val="24"/>
                <w:szCs w:val="24"/>
              </w:rPr>
              <w:t>，氨氮</w:t>
            </w:r>
            <w:r>
              <w:rPr>
                <w:rFonts w:ascii="Times New Roman" w:hAnsi="Times New Roman"/>
                <w:sz w:val="24"/>
                <w:szCs w:val="24"/>
              </w:rPr>
              <w:t>9.33t/a</w:t>
            </w:r>
            <w:r>
              <w:rPr>
                <w:rFonts w:hint="eastAsia" w:ascii="Times New Roman"/>
                <w:sz w:val="24"/>
                <w:szCs w:val="24"/>
              </w:rPr>
              <w:t>，总磷</w:t>
            </w:r>
            <w:r>
              <w:rPr>
                <w:rFonts w:ascii="Times New Roman" w:hAnsi="Times New Roman"/>
                <w:sz w:val="24"/>
                <w:szCs w:val="24"/>
              </w:rPr>
              <w:t>0.5725t/a</w:t>
            </w:r>
            <w:r>
              <w:rPr>
                <w:rFonts w:hint="eastAsia" w:ascii="Times New Roman"/>
                <w:sz w:val="24"/>
                <w:szCs w:val="24"/>
              </w:rPr>
              <w:t>。扩建新增排放总量</w:t>
            </w:r>
            <w:r>
              <w:rPr>
                <w:rFonts w:hint="eastAsia" w:ascii="Times New Roman" w:hAnsi="Times New Roman"/>
                <w:sz w:val="24"/>
                <w:szCs w:val="24"/>
              </w:rPr>
              <w:t>控制指标为：</w:t>
            </w:r>
            <w:r>
              <w:rPr>
                <w:rFonts w:ascii="Times New Roman" w:hAnsi="Times New Roman"/>
                <w:bCs/>
                <w:sz w:val="24"/>
                <w:szCs w:val="24"/>
              </w:rPr>
              <w:t>COD</w:t>
            </w:r>
            <w:r>
              <w:rPr>
                <w:rFonts w:hint="eastAsia" w:ascii="Times New Roman" w:hAnsi="Times New Roman"/>
                <w:bCs/>
                <w:sz w:val="24"/>
                <w:szCs w:val="24"/>
              </w:rPr>
              <w:t>：</w:t>
            </w:r>
            <w:r>
              <w:rPr>
                <w:rFonts w:ascii="Times New Roman" w:hAnsi="Times New Roman"/>
                <w:bCs/>
                <w:sz w:val="24"/>
                <w:szCs w:val="24"/>
              </w:rPr>
              <w:t>273.75</w:t>
            </w:r>
            <w:r>
              <w:rPr>
                <w:rFonts w:hint="eastAsia" w:ascii="Times New Roman" w:hAnsi="Times New Roman"/>
                <w:bCs/>
                <w:sz w:val="24"/>
                <w:szCs w:val="24"/>
              </w:rPr>
              <w:t>吨</w:t>
            </w:r>
            <w:r>
              <w:rPr>
                <w:rFonts w:ascii="Times New Roman" w:hAnsi="Times New Roman"/>
                <w:bCs/>
                <w:sz w:val="24"/>
                <w:szCs w:val="24"/>
              </w:rPr>
              <w:t>/</w:t>
            </w:r>
            <w:r>
              <w:rPr>
                <w:rFonts w:hint="eastAsia" w:ascii="Times New Roman" w:hAnsi="Times New Roman"/>
                <w:bCs/>
                <w:sz w:val="24"/>
                <w:szCs w:val="24"/>
              </w:rPr>
              <w:t>年，氨氮：</w:t>
            </w:r>
            <w:r>
              <w:rPr>
                <w:rFonts w:ascii="Times New Roman" w:hAnsi="Times New Roman"/>
                <w:bCs/>
                <w:sz w:val="24"/>
                <w:szCs w:val="24"/>
              </w:rPr>
              <w:t>27.38</w:t>
            </w:r>
            <w:r>
              <w:rPr>
                <w:rFonts w:hint="eastAsia" w:ascii="Times New Roman" w:hAnsi="Times New Roman"/>
                <w:bCs/>
                <w:sz w:val="24"/>
                <w:szCs w:val="24"/>
              </w:rPr>
              <w:t>吨</w:t>
            </w:r>
            <w:r>
              <w:rPr>
                <w:rFonts w:ascii="Times New Roman" w:hAnsi="Times New Roman"/>
                <w:bCs/>
                <w:sz w:val="24"/>
                <w:szCs w:val="24"/>
              </w:rPr>
              <w:t>/</w:t>
            </w:r>
            <w:r>
              <w:rPr>
                <w:rFonts w:hint="eastAsia" w:ascii="Times New Roman" w:hAnsi="Times New Roman"/>
                <w:bCs/>
                <w:sz w:val="24"/>
                <w:szCs w:val="24"/>
              </w:rPr>
              <w:t>年，总磷：</w:t>
            </w:r>
            <w:r>
              <w:rPr>
                <w:rFonts w:ascii="Times New Roman" w:hAnsi="Times New Roman"/>
                <w:bCs/>
                <w:sz w:val="24"/>
                <w:szCs w:val="24"/>
              </w:rPr>
              <w:t>2.3775</w:t>
            </w:r>
            <w:r>
              <w:rPr>
                <w:rFonts w:hint="eastAsia" w:ascii="Times New Roman" w:hAnsi="Times New Roman"/>
                <w:bCs/>
                <w:sz w:val="24"/>
                <w:szCs w:val="24"/>
              </w:rPr>
              <w:t>吨</w:t>
            </w:r>
            <w:r>
              <w:rPr>
                <w:rFonts w:ascii="Times New Roman" w:hAnsi="Times New Roman"/>
                <w:bCs/>
                <w:sz w:val="24"/>
                <w:szCs w:val="24"/>
              </w:rPr>
              <w:t>/</w:t>
            </w:r>
            <w:r>
              <w:rPr>
                <w:rFonts w:hint="eastAsia" w:ascii="Times New Roman" w:hAnsi="Times New Roman"/>
                <w:bCs/>
                <w:sz w:val="24"/>
                <w:szCs w:val="24"/>
              </w:rPr>
              <w:t>年；本项目需申请的</w:t>
            </w:r>
            <w:r>
              <w:rPr>
                <w:rFonts w:hint="eastAsia" w:ascii="Times New Roman"/>
                <w:sz w:val="24"/>
                <w:szCs w:val="24"/>
              </w:rPr>
              <w:t>总量</w:t>
            </w:r>
            <w:r>
              <w:rPr>
                <w:rFonts w:hint="eastAsia" w:ascii="Times New Roman" w:hAnsi="Times New Roman"/>
                <w:sz w:val="24"/>
                <w:szCs w:val="24"/>
              </w:rPr>
              <w:t>控制指标为：</w:t>
            </w:r>
            <w:r>
              <w:rPr>
                <w:rFonts w:ascii="Times New Roman" w:hAnsi="Times New Roman"/>
                <w:bCs/>
                <w:sz w:val="24"/>
                <w:szCs w:val="24"/>
              </w:rPr>
              <w:t>COD</w:t>
            </w:r>
            <w:r>
              <w:rPr>
                <w:rFonts w:hint="eastAsia" w:ascii="Times New Roman" w:hAnsi="Times New Roman"/>
                <w:bCs/>
                <w:sz w:val="24"/>
                <w:szCs w:val="24"/>
              </w:rPr>
              <w:t>：</w:t>
            </w:r>
            <w:r>
              <w:rPr>
                <w:rFonts w:ascii="Times New Roman" w:hAnsi="Times New Roman"/>
                <w:bCs/>
                <w:sz w:val="24"/>
                <w:szCs w:val="24"/>
              </w:rPr>
              <w:t>273.75</w:t>
            </w:r>
            <w:r>
              <w:rPr>
                <w:rFonts w:hint="eastAsia" w:ascii="Times New Roman" w:hAnsi="Times New Roman"/>
                <w:bCs/>
                <w:sz w:val="24"/>
                <w:szCs w:val="24"/>
              </w:rPr>
              <w:t>吨</w:t>
            </w:r>
            <w:r>
              <w:rPr>
                <w:rFonts w:ascii="Times New Roman" w:hAnsi="Times New Roman"/>
                <w:bCs/>
                <w:sz w:val="24"/>
                <w:szCs w:val="24"/>
              </w:rPr>
              <w:t>/</w:t>
            </w:r>
            <w:r>
              <w:rPr>
                <w:rFonts w:hint="eastAsia" w:ascii="Times New Roman" w:hAnsi="Times New Roman"/>
                <w:bCs/>
                <w:sz w:val="24"/>
                <w:szCs w:val="24"/>
              </w:rPr>
              <w:t>年，氨氮：</w:t>
            </w:r>
            <w:r>
              <w:rPr>
                <w:rFonts w:ascii="Times New Roman" w:hAnsi="Times New Roman"/>
                <w:bCs/>
                <w:sz w:val="24"/>
                <w:szCs w:val="24"/>
              </w:rPr>
              <w:t>27.38</w:t>
            </w:r>
            <w:r>
              <w:rPr>
                <w:rFonts w:hint="eastAsia" w:ascii="Times New Roman" w:hAnsi="Times New Roman"/>
                <w:bCs/>
                <w:sz w:val="24"/>
                <w:szCs w:val="24"/>
              </w:rPr>
              <w:t>吨</w:t>
            </w:r>
            <w:r>
              <w:rPr>
                <w:rFonts w:ascii="Times New Roman" w:hAnsi="Times New Roman"/>
                <w:bCs/>
                <w:sz w:val="24"/>
                <w:szCs w:val="24"/>
              </w:rPr>
              <w:t>/</w:t>
            </w:r>
            <w:r>
              <w:rPr>
                <w:rFonts w:hint="eastAsia" w:ascii="Times New Roman" w:hAnsi="Times New Roman"/>
                <w:bCs/>
                <w:sz w:val="24"/>
                <w:szCs w:val="24"/>
              </w:rPr>
              <w:t>年，总磷：</w:t>
            </w:r>
            <w:r>
              <w:rPr>
                <w:rFonts w:ascii="Times New Roman" w:hAnsi="Times New Roman"/>
                <w:bCs/>
                <w:sz w:val="24"/>
                <w:szCs w:val="24"/>
              </w:rPr>
              <w:t>2.3775</w:t>
            </w:r>
            <w:r>
              <w:rPr>
                <w:rFonts w:hint="eastAsia" w:ascii="Times New Roman" w:hAnsi="Times New Roman"/>
                <w:bCs/>
                <w:sz w:val="24"/>
                <w:szCs w:val="24"/>
              </w:rPr>
              <w:t>吨</w:t>
            </w:r>
            <w:r>
              <w:rPr>
                <w:rFonts w:ascii="Times New Roman" w:hAnsi="Times New Roman"/>
                <w:bCs/>
                <w:sz w:val="24"/>
                <w:szCs w:val="24"/>
              </w:rPr>
              <w:t>/</w:t>
            </w:r>
            <w:r>
              <w:rPr>
                <w:rFonts w:hint="eastAsia" w:ascii="Times New Roman" w:hAnsi="Times New Roman"/>
                <w:bCs/>
                <w:sz w:val="24"/>
                <w:szCs w:val="24"/>
              </w:rPr>
              <w:t>年。</w:t>
            </w:r>
          </w:p>
          <w:p>
            <w:pPr>
              <w:pStyle w:val="114"/>
            </w:pPr>
            <w:r>
              <w:rPr>
                <w:rFonts w:hint="eastAsia"/>
              </w:rPr>
              <w:t>定安县生态环境局通过《关于定安县定城污水处理厂二期改扩建工程入河排污口设置论证的批复》（定环函〔</w:t>
            </w:r>
            <w:r>
              <w:t>2020</w:t>
            </w:r>
            <w:r>
              <w:rPr>
                <w:rFonts w:hint="eastAsia"/>
              </w:rPr>
              <w:t>〕</w:t>
            </w:r>
            <w:r>
              <w:t>15</w:t>
            </w:r>
            <w:r>
              <w:rPr>
                <w:rFonts w:hint="eastAsia"/>
              </w:rPr>
              <w:t>号），同意定安县水务有限公司将</w:t>
            </w:r>
            <w:r>
              <w:t>3</w:t>
            </w:r>
            <w:r>
              <w:rPr>
                <w:rFonts w:hint="eastAsia"/>
              </w:rPr>
              <w:t>万</w:t>
            </w:r>
            <w:r>
              <w:t>m</w:t>
            </w:r>
            <w:r>
              <w:rPr>
                <w:vertAlign w:val="superscript"/>
              </w:rPr>
              <w:t>3</w:t>
            </w:r>
            <w:r>
              <w:t>/d</w:t>
            </w:r>
            <w:r>
              <w:rPr>
                <w:rFonts w:hint="eastAsia"/>
              </w:rPr>
              <w:t>污水处理达到《城镇污水处理厂污染物排放标准》（</w:t>
            </w:r>
            <w:r>
              <w:t>GB18918-2002</w:t>
            </w:r>
            <w:r>
              <w:rPr>
                <w:rFonts w:hint="eastAsia"/>
              </w:rPr>
              <w:t>）表</w:t>
            </w:r>
            <w:r>
              <w:t>1</w:t>
            </w:r>
            <w:r>
              <w:rPr>
                <w:rFonts w:hint="eastAsia"/>
              </w:rPr>
              <w:t>一级</w:t>
            </w:r>
            <w:r>
              <w:t>A</w:t>
            </w:r>
            <w:r>
              <w:rPr>
                <w:rFonts w:hint="eastAsia"/>
              </w:rPr>
              <w:t>标准后排入潭榄溪。厂区主要污染物排放控制总量为：化学需氧量</w:t>
            </w:r>
            <w:r>
              <w:t>547.5t/a</w:t>
            </w:r>
            <w:r>
              <w:rPr>
                <w:rFonts w:hint="eastAsia"/>
              </w:rPr>
              <w:t>、五日生化需氧量</w:t>
            </w:r>
            <w:r>
              <w:t>109.5t/a</w:t>
            </w:r>
            <w:r>
              <w:rPr>
                <w:rFonts w:hint="eastAsia"/>
              </w:rPr>
              <w:t>、氨氮</w:t>
            </w:r>
            <w:r>
              <w:t>54.8t/a</w:t>
            </w:r>
            <w:r>
              <w:rPr>
                <w:rFonts w:hint="eastAsia"/>
              </w:rPr>
              <w:t>、总磷</w:t>
            </w:r>
            <w:r>
              <w:t>5.5t/a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80" w:type="dxa"/>
          <w:trHeight w:val="14590" w:hRule="atLeast"/>
        </w:trPr>
        <w:tc>
          <w:tcPr>
            <w:tcW w:w="9552" w:type="dxa"/>
            <w:gridSpan w:val="2"/>
          </w:tcPr>
          <w:p>
            <w:pPr>
              <w:spacing w:line="360" w:lineRule="auto"/>
              <w:rPr>
                <w:rFonts w:ascii="Times New Roman" w:hAnsi="Times New Roman"/>
                <w:b/>
                <w:sz w:val="24"/>
                <w:szCs w:val="24"/>
              </w:rPr>
            </w:pPr>
            <w:r>
              <w:rPr>
                <w:rFonts w:hint="eastAsia" w:ascii="Times New Roman" w:hAnsi="Times New Roman"/>
                <w:b/>
                <w:sz w:val="24"/>
                <w:szCs w:val="24"/>
              </w:rPr>
              <w:t>工艺流程简述（图示）</w:t>
            </w:r>
          </w:p>
          <w:p>
            <w:pPr>
              <w:spacing w:line="360" w:lineRule="auto"/>
              <w:rPr>
                <w:rFonts w:ascii="Times New Roman" w:hAnsi="Times New Roman"/>
                <w:b/>
                <w:sz w:val="24"/>
                <w:szCs w:val="24"/>
              </w:rPr>
            </w:pPr>
            <w:r>
              <w:rPr>
                <w:rFonts w:hint="eastAsia" w:ascii="Times New Roman" w:hAnsi="Times New Roman"/>
                <w:b/>
                <w:sz w:val="24"/>
                <w:szCs w:val="24"/>
              </w:rPr>
              <w:t>一、施工建设工艺流程简述（图示）</w:t>
            </w:r>
          </w:p>
          <w:p>
            <w:pPr>
              <w:pStyle w:val="114"/>
            </w:pPr>
            <w:r>
              <w:rPr>
                <w:rFonts w:hint="eastAsia"/>
              </w:rPr>
              <w:t>施工过程中，场地平整、主要建构筑物施工、设备安装、调试运行等建设工序将产生扬尘、废水、噪声、固废等污染物，其排放量随施工强度和工期不同而有所变化。</w:t>
            </w:r>
          </w:p>
          <w:p>
            <w:pPr>
              <w:pStyle w:val="111"/>
            </w:pPr>
            <w:r>
              <w:drawing>
                <wp:inline distT="0" distB="0" distL="0" distR="0">
                  <wp:extent cx="5720080" cy="882650"/>
                  <wp:effectExtent l="0" t="0" r="0" b="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720080" cy="882650"/>
                          </a:xfrm>
                          <a:prstGeom prst="rect">
                            <a:avLst/>
                          </a:prstGeom>
                          <a:noFill/>
                          <a:ln>
                            <a:noFill/>
                          </a:ln>
                        </pic:spPr>
                      </pic:pic>
                    </a:graphicData>
                  </a:graphic>
                </wp:inline>
              </w:drawing>
            </w:r>
          </w:p>
          <w:p>
            <w:pPr>
              <w:pStyle w:val="111"/>
              <w:rPr>
                <w:szCs w:val="24"/>
              </w:rPr>
            </w:pPr>
            <w:r>
              <w:rPr>
                <w:rFonts w:hint="eastAsia"/>
                <w:szCs w:val="24"/>
              </w:rPr>
              <w:t>图</w:t>
            </w:r>
            <w:r>
              <w:rPr>
                <w:szCs w:val="24"/>
              </w:rPr>
              <w:t xml:space="preserve">5-1 </w:t>
            </w:r>
            <w:r>
              <w:rPr>
                <w:rFonts w:hint="eastAsia"/>
                <w:szCs w:val="24"/>
              </w:rPr>
              <w:t>施工期工艺流程及产污节点图</w:t>
            </w:r>
          </w:p>
          <w:p>
            <w:pPr>
              <w:spacing w:line="550" w:lineRule="exact"/>
              <w:ind w:hanging="15"/>
              <w:rPr>
                <w:rFonts w:ascii="Times New Roman" w:hAnsi="Times New Roman"/>
                <w:b/>
                <w:sz w:val="24"/>
                <w:szCs w:val="24"/>
              </w:rPr>
            </w:pPr>
            <w:r>
              <w:rPr>
                <w:rFonts w:hint="eastAsia" w:ascii="Times New Roman" w:hAnsi="Times New Roman"/>
                <w:b/>
                <w:sz w:val="24"/>
                <w:szCs w:val="24"/>
              </w:rPr>
              <w:t>二、营运期污水处理厂工艺流程（图示）</w:t>
            </w:r>
          </w:p>
          <w:p>
            <w:pPr>
              <w:pStyle w:val="111"/>
              <w:rPr>
                <w:szCs w:val="24"/>
              </w:rPr>
            </w:pPr>
            <w:r>
              <w:drawing>
                <wp:inline distT="0" distB="0" distL="0" distR="0">
                  <wp:extent cx="5901055" cy="472059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01055" cy="4720590"/>
                          </a:xfrm>
                          <a:prstGeom prst="rect">
                            <a:avLst/>
                          </a:prstGeom>
                          <a:noFill/>
                          <a:ln>
                            <a:noFill/>
                          </a:ln>
                        </pic:spPr>
                      </pic:pic>
                    </a:graphicData>
                  </a:graphic>
                </wp:inline>
              </w:drawing>
            </w:r>
          </w:p>
          <w:p>
            <w:pPr>
              <w:pStyle w:val="111"/>
              <w:rPr>
                <w:bCs/>
                <w:szCs w:val="24"/>
              </w:rPr>
            </w:pPr>
            <w:r>
              <w:rPr>
                <w:szCs w:val="24"/>
              </w:rPr>
              <w:tab/>
            </w:r>
            <w:r>
              <w:rPr>
                <w:rFonts w:hint="eastAsia"/>
                <w:bCs/>
                <w:szCs w:val="24"/>
              </w:rPr>
              <w:t>图</w:t>
            </w:r>
            <w:r>
              <w:rPr>
                <w:bCs/>
                <w:szCs w:val="24"/>
              </w:rPr>
              <w:t>5-2</w:t>
            </w:r>
            <w:r>
              <w:rPr>
                <w:rFonts w:hint="eastAsia"/>
                <w:bCs/>
                <w:szCs w:val="24"/>
              </w:rPr>
              <w:t>污水处理工艺流程图</w:t>
            </w:r>
          </w:p>
          <w:p>
            <w:pPr>
              <w:pStyle w:val="2"/>
            </w:pPr>
          </w:p>
          <w:p>
            <w:pPr>
              <w:pStyle w:val="114"/>
            </w:pPr>
            <w:r>
              <w:rPr>
                <w:rFonts w:hint="eastAsia"/>
              </w:rPr>
              <w:t>定城污水处理厂二期工程主要构筑物有粗格栅及进水泵房、细格栅及曝气沉砂池、</w:t>
            </w:r>
            <w:r>
              <w:t>A</w:t>
            </w:r>
            <w:r>
              <w:rPr>
                <w:vertAlign w:val="superscript"/>
              </w:rPr>
              <w:t>2</w:t>
            </w:r>
            <w:r>
              <w:t>/O</w:t>
            </w:r>
            <w:r>
              <w:rPr>
                <w:rFonts w:hint="eastAsia"/>
              </w:rPr>
              <w:t>生物池（厌氧池</w:t>
            </w:r>
            <w:r>
              <w:t>+</w:t>
            </w:r>
            <w:r>
              <w:rPr>
                <w:rFonts w:hint="eastAsia"/>
              </w:rPr>
              <w:t>缺氧池</w:t>
            </w:r>
            <w:r>
              <w:t>+</w:t>
            </w:r>
            <w:r>
              <w:rPr>
                <w:rFonts w:hint="eastAsia"/>
              </w:rPr>
              <w:t>好氧池）、活性沉砂池、污泥回流泵池</w:t>
            </w:r>
            <w:r>
              <w:t>+</w:t>
            </w:r>
            <w:r>
              <w:rPr>
                <w:rFonts w:hint="eastAsia"/>
              </w:rPr>
              <w:t>污泥贮池及污泥泵房、消毒池、污泥浓缩脱水间等。</w:t>
            </w:r>
          </w:p>
          <w:p>
            <w:pPr>
              <w:pStyle w:val="114"/>
            </w:pPr>
            <w:r>
              <w:rPr>
                <w:rFonts w:hint="eastAsia"/>
              </w:rPr>
              <w:t>（</w:t>
            </w:r>
            <w:r>
              <w:t>1</w:t>
            </w:r>
            <w:r>
              <w:rPr>
                <w:rFonts w:hint="eastAsia"/>
              </w:rPr>
              <w:t>）进水首先经过粗格栅拦截污水中较大颗粒及漂浮物、细格栅去除污水中粒径较小颗粒，进入曝气沉砂池去除污水中粒径大于</w:t>
            </w:r>
            <w:r>
              <w:t>0.2mm</w:t>
            </w:r>
            <w:r>
              <w:rPr>
                <w:rFonts w:hint="eastAsia"/>
              </w:rPr>
              <w:t>的砂粒，保护后续水处理设备，防止管道淤塞；</w:t>
            </w:r>
          </w:p>
          <w:p>
            <w:pPr>
              <w:pStyle w:val="114"/>
            </w:pPr>
            <w:r>
              <w:rPr>
                <w:rFonts w:hint="eastAsia"/>
              </w:rPr>
              <w:t>（</w:t>
            </w:r>
            <w:r>
              <w:t>2</w:t>
            </w:r>
            <w:r>
              <w:rPr>
                <w:rFonts w:hint="eastAsia"/>
              </w:rPr>
              <w:t>）出水进入</w:t>
            </w:r>
            <w:r>
              <w:t>A</w:t>
            </w:r>
            <w:r>
              <w:rPr>
                <w:vertAlign w:val="superscript"/>
              </w:rPr>
              <w:t>2</w:t>
            </w:r>
            <w:r>
              <w:t>/O</w:t>
            </w:r>
            <w:r>
              <w:rPr>
                <w:rFonts w:hint="eastAsia"/>
              </w:rPr>
              <w:t>生物池，利用厌氧、缺氧和好氧区的不同功能，以氧化氨氮为主，进行生物脱氮除磷，同时去除</w:t>
            </w:r>
            <w:r>
              <w:t>BOD</w:t>
            </w:r>
            <w:r>
              <w:rPr>
                <w:vertAlign w:val="subscript"/>
              </w:rPr>
              <w:t>5</w:t>
            </w:r>
            <w:r>
              <w:rPr>
                <w:rFonts w:hint="eastAsia"/>
              </w:rPr>
              <w:t>，设置一座鼓风机房，建设规模为</w:t>
            </w:r>
            <w:r>
              <w:t>1.5</w:t>
            </w:r>
            <w:r>
              <w:rPr>
                <w:rFonts w:hint="eastAsia"/>
              </w:rPr>
              <w:t>万</w:t>
            </w:r>
            <w:r>
              <w:t>m</w:t>
            </w:r>
            <w:r>
              <w:rPr>
                <w:vertAlign w:val="superscript"/>
              </w:rPr>
              <w:t>3</w:t>
            </w:r>
            <w:r>
              <w:t>/d</w:t>
            </w:r>
            <w:r>
              <w:rPr>
                <w:rFonts w:hint="eastAsia"/>
              </w:rPr>
              <w:t>，为</w:t>
            </w:r>
            <w:r>
              <w:t>A</w:t>
            </w:r>
            <w:r>
              <w:rPr>
                <w:vertAlign w:val="superscript"/>
              </w:rPr>
              <w:t>2</w:t>
            </w:r>
            <w:r>
              <w:t>/O</w:t>
            </w:r>
            <w:r>
              <w:rPr>
                <w:rFonts w:hint="eastAsia"/>
              </w:rPr>
              <w:t>生物池好氧区充氧提供气源；</w:t>
            </w:r>
          </w:p>
          <w:p>
            <w:pPr>
              <w:pStyle w:val="114"/>
            </w:pPr>
            <w:r>
              <w:rPr>
                <w:rFonts w:hint="eastAsia"/>
              </w:rPr>
              <w:t>（</w:t>
            </w:r>
            <w:r>
              <w:t>3</w:t>
            </w:r>
            <w:r>
              <w:rPr>
                <w:rFonts w:hint="eastAsia"/>
              </w:rPr>
              <w:t>）经管道混合器将水与投加的无机高分子混凝剂（</w:t>
            </w:r>
            <w:r>
              <w:t>PAC</w:t>
            </w:r>
            <w:r>
              <w:rPr>
                <w:rFonts w:hint="eastAsia"/>
              </w:rPr>
              <w:t>）混合后直接接入活性沉砂池进行过滤，产生的回流活性污泥泵回至</w:t>
            </w:r>
            <w:r>
              <w:t>A</w:t>
            </w:r>
            <w:r>
              <w:rPr>
                <w:vertAlign w:val="superscript"/>
              </w:rPr>
              <w:t>2</w:t>
            </w:r>
            <w:r>
              <w:t>/O</w:t>
            </w:r>
            <w:r>
              <w:rPr>
                <w:rFonts w:hint="eastAsia"/>
              </w:rPr>
              <w:t>生物池，</w:t>
            </w:r>
            <w:r>
              <w:t>A</w:t>
            </w:r>
            <w:r>
              <w:rPr>
                <w:vertAlign w:val="superscript"/>
              </w:rPr>
              <w:t>2</w:t>
            </w:r>
            <w:r>
              <w:t>/O</w:t>
            </w:r>
            <w:r>
              <w:rPr>
                <w:rFonts w:hint="eastAsia"/>
              </w:rPr>
              <w:t>生物池产生的污泥泵入污泥贮池；</w:t>
            </w:r>
          </w:p>
          <w:p>
            <w:pPr>
              <w:pStyle w:val="114"/>
            </w:pPr>
            <w:r>
              <w:rPr>
                <w:rFonts w:hint="eastAsia"/>
              </w:rPr>
              <w:t>（</w:t>
            </w:r>
            <w:r>
              <w:t>4</w:t>
            </w:r>
            <w:r>
              <w:rPr>
                <w:rFonts w:hint="eastAsia"/>
              </w:rPr>
              <w:t>）污泥贮池内的污泥经浓缩后泵至污泥脱水间进行脱水处理，上清液排入生化处理单元；</w:t>
            </w:r>
          </w:p>
          <w:p>
            <w:pPr>
              <w:pStyle w:val="114"/>
            </w:pPr>
            <w:r>
              <w:rPr>
                <w:rFonts w:hint="eastAsia"/>
              </w:rPr>
              <w:t>（</w:t>
            </w:r>
            <w:r>
              <w:t>5</w:t>
            </w:r>
            <w:r>
              <w:rPr>
                <w:rFonts w:hint="eastAsia"/>
              </w:rPr>
              <w:t>）污泥脱水产生的滤液泵至生化处理单元，脱水污泥含水率约</w:t>
            </w:r>
            <w:r>
              <w:t>50%</w:t>
            </w:r>
            <w:r>
              <w:rPr>
                <w:rFonts w:hint="eastAsia"/>
              </w:rPr>
              <w:t>，送到定安县生活垃圾填埋场；活性沉砂池出水进入消毒池，采用次氯酸钠消毒，消毒后的出水达到《城市污水处理厂排放标准》</w:t>
            </w:r>
            <w:r>
              <w:t>(GB18918-2002)</w:t>
            </w:r>
            <w:r>
              <w:rPr>
                <w:rFonts w:hint="eastAsia"/>
              </w:rPr>
              <w:t>一级</w:t>
            </w:r>
            <w:r>
              <w:t>A</w:t>
            </w:r>
            <w:r>
              <w:rPr>
                <w:rFonts w:hint="eastAsia"/>
              </w:rPr>
              <w:t>标准后，依托一期排污口排入潭榄溪。</w:t>
            </w: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93" w:hRule="atLeast"/>
        </w:trPr>
        <w:tc>
          <w:tcPr>
            <w:tcW w:w="9732" w:type="dxa"/>
            <w:gridSpan w:val="3"/>
          </w:tcPr>
          <w:p>
            <w:pPr>
              <w:spacing w:line="360" w:lineRule="auto"/>
              <w:rPr>
                <w:rFonts w:ascii="Times New Roman" w:hAnsi="Times New Roman"/>
                <w:b/>
                <w:bCs/>
                <w:sz w:val="28"/>
                <w:szCs w:val="28"/>
              </w:rPr>
            </w:pPr>
            <w:r>
              <w:rPr>
                <w:rFonts w:hint="eastAsia" w:ascii="Times New Roman" w:hAnsi="Times New Roman"/>
                <w:b/>
                <w:bCs/>
                <w:sz w:val="28"/>
                <w:szCs w:val="28"/>
              </w:rPr>
              <w:t>主要污染工序</w:t>
            </w:r>
          </w:p>
          <w:p>
            <w:pPr>
              <w:spacing w:line="360" w:lineRule="auto"/>
              <w:rPr>
                <w:rFonts w:ascii="Times New Roman" w:hAnsi="Times New Roman"/>
                <w:b/>
                <w:bCs/>
                <w:sz w:val="28"/>
                <w:szCs w:val="28"/>
                <w:lang w:val="sq-AL"/>
              </w:rPr>
            </w:pPr>
            <w:r>
              <w:rPr>
                <w:rFonts w:hint="eastAsia" w:ascii="Times New Roman" w:hAnsi="Times New Roman"/>
                <w:b/>
                <w:bCs/>
                <w:sz w:val="28"/>
                <w:szCs w:val="28"/>
                <w:lang w:val="sq-AL"/>
              </w:rPr>
              <w:t>一、施工期污染因子及源强分析</w:t>
            </w:r>
          </w:p>
          <w:p>
            <w:pPr>
              <w:pStyle w:val="114"/>
              <w:rPr>
                <w:b/>
              </w:rPr>
            </w:pPr>
            <w:r>
              <w:rPr>
                <w:rFonts w:hint="eastAsia"/>
              </w:rPr>
              <w:t>本项目位于定安县定城污水处理厂内。施工期污染源主要有施工原材料运输过程产生的扬尘和噪声、施工过程产生的扬尘、噪声、生活垃圾和生活废水、施工车辆机械排放的尾气等问题。</w:t>
            </w:r>
          </w:p>
          <w:p>
            <w:pPr>
              <w:pStyle w:val="18"/>
              <w:snapToGrid w:val="0"/>
              <w:ind w:firstLine="482"/>
              <w:rPr>
                <w:rFonts w:ascii="Times New Roman" w:hAnsi="Times New Roman" w:eastAsia="宋体"/>
                <w:b/>
                <w:sz w:val="24"/>
              </w:rPr>
            </w:pPr>
            <w:r>
              <w:rPr>
                <w:rFonts w:ascii="Times New Roman" w:hAnsi="Times New Roman" w:eastAsia="宋体"/>
                <w:b/>
                <w:sz w:val="24"/>
              </w:rPr>
              <w:t>1</w:t>
            </w:r>
            <w:r>
              <w:rPr>
                <w:rFonts w:hint="eastAsia" w:ascii="Times New Roman" w:hAnsi="Times New Roman" w:eastAsia="宋体"/>
                <w:b/>
                <w:sz w:val="24"/>
              </w:rPr>
              <w:t>、大气污染源</w:t>
            </w:r>
          </w:p>
          <w:p>
            <w:pPr>
              <w:pStyle w:val="114"/>
            </w:pPr>
            <w:r>
              <w:rPr>
                <w:rFonts w:hint="eastAsia"/>
              </w:rPr>
              <w:t>施工期大气污染源主要为施工扬尘、机械和运输设备尾气、运输扬尘。</w:t>
            </w:r>
          </w:p>
          <w:p>
            <w:pPr>
              <w:pStyle w:val="114"/>
            </w:pPr>
            <w:r>
              <w:rPr>
                <w:rFonts w:hint="eastAsia"/>
              </w:rPr>
              <w:t>（</w:t>
            </w:r>
            <w:r>
              <w:t>1</w:t>
            </w:r>
            <w:r>
              <w:rPr>
                <w:rFonts w:hint="eastAsia"/>
              </w:rPr>
              <w:t>）施工扬尘</w:t>
            </w:r>
          </w:p>
          <w:p>
            <w:pPr>
              <w:pStyle w:val="114"/>
            </w:pPr>
            <w:r>
              <w:rPr>
                <w:rFonts w:hint="eastAsia"/>
              </w:rPr>
              <w:t>土方挖掘、堆放、清运、回填等作业过程中产生扬尘污染，其扬尘污染与作业方式、泥土含湿量、场地压实程度、风速大小等因素有关。项目方拟对施工场地进行洒水降尘处理，在洒水工作完成后，能够控制近</w:t>
            </w:r>
            <w:r>
              <w:t>70%</w:t>
            </w:r>
            <w:r>
              <w:rPr>
                <w:rFonts w:hint="eastAsia"/>
              </w:rPr>
              <w:t>的粉尘，同时项目开挖面积较少，扬尘排放量较少。</w:t>
            </w:r>
          </w:p>
          <w:p>
            <w:pPr>
              <w:pStyle w:val="114"/>
            </w:pPr>
            <w:r>
              <w:rPr>
                <w:rFonts w:hint="eastAsia"/>
              </w:rPr>
              <w:t>（</w:t>
            </w:r>
            <w:r>
              <w:t>2</w:t>
            </w:r>
            <w:r>
              <w:rPr>
                <w:rFonts w:hint="eastAsia"/>
              </w:rPr>
              <w:t>）施工机械和车辆尾气</w:t>
            </w:r>
          </w:p>
          <w:p>
            <w:pPr>
              <w:pStyle w:val="114"/>
            </w:pPr>
            <w:r>
              <w:rPr>
                <w:rFonts w:hint="eastAsia"/>
              </w:rPr>
              <w:t>施工过程中各种工程机械和运输车辆在燃烧汽油、柴油时排放少量尾气。尾气中含有</w:t>
            </w:r>
            <w:r>
              <w:t>THC</w:t>
            </w:r>
            <w:r>
              <w:rPr>
                <w:rFonts w:hint="eastAsia"/>
              </w:rPr>
              <w:t>、颗粒物、一氧化碳、氮氧化物等大气污染物，排放后会对施工现场产生一定影响。</w:t>
            </w:r>
          </w:p>
          <w:p>
            <w:pPr>
              <w:pStyle w:val="114"/>
            </w:pPr>
            <w:r>
              <w:rPr>
                <w:rFonts w:hint="eastAsia"/>
              </w:rPr>
              <w:t>此外，施工运输车辆往来将产生道路扬尘污染，运输车辆产生的扬尘与路面积尘量、积尘湿度、车辆行驶速度、风速大小等因素有关。项目运输车辆为轻型货车，运输量较少，扬尘产生量不大。</w:t>
            </w:r>
          </w:p>
          <w:p>
            <w:pPr>
              <w:snapToGrid w:val="0"/>
              <w:spacing w:line="540" w:lineRule="exact"/>
              <w:ind w:firstLine="482" w:firstLineChars="200"/>
              <w:rPr>
                <w:rFonts w:ascii="Times New Roman" w:hAnsi="Times New Roman"/>
                <w:b/>
                <w:sz w:val="24"/>
              </w:rPr>
            </w:pPr>
            <w:r>
              <w:rPr>
                <w:rFonts w:ascii="Times New Roman" w:hAnsi="Times New Roman"/>
                <w:b/>
                <w:sz w:val="24"/>
              </w:rPr>
              <w:t>2</w:t>
            </w:r>
            <w:r>
              <w:rPr>
                <w:rFonts w:hint="eastAsia" w:ascii="Times New Roman" w:hAnsi="Times New Roman"/>
                <w:b/>
                <w:sz w:val="24"/>
              </w:rPr>
              <w:t>、水污染源</w:t>
            </w:r>
          </w:p>
          <w:p>
            <w:pPr>
              <w:pStyle w:val="114"/>
            </w:pPr>
            <w:r>
              <w:rPr>
                <w:rFonts w:hint="eastAsia"/>
              </w:rPr>
              <w:t>项目施工期施工人员多为当地居民，其它施工管理与设计、监理人员均临时租住于当地的民居中。在各施工场地区均不设施工营地，施工人员可借用厂区现有卫生间洗手池等设施，所以施工场地无生活污水排放。项目施工期间产生的废水主要为建筑施工废水。</w:t>
            </w:r>
            <w:r>
              <w:rPr>
                <w:rFonts w:hint="eastAsia"/>
                <w:kern w:val="0"/>
              </w:rPr>
              <w:t>建筑施工废水包括结构阶段混凝土养护排水和各种运输车辆冲洗水。</w:t>
            </w:r>
            <w:r>
              <w:rPr>
                <w:rFonts w:hint="eastAsia"/>
              </w:rPr>
              <w:t>污染因子主要为固体悬浮物</w:t>
            </w:r>
            <w:r>
              <w:rPr>
                <w:rFonts w:hint="eastAsia"/>
                <w:kern w:val="0"/>
              </w:rPr>
              <w:t>（含量与施工机械、工程性质及工程进度有关，一般含量为</w:t>
            </w:r>
            <w:r>
              <w:t>500~4000mg/L</w:t>
            </w:r>
            <w:r>
              <w:rPr>
                <w:rFonts w:hint="eastAsia"/>
                <w:kern w:val="0"/>
              </w:rPr>
              <w:t>）。</w:t>
            </w:r>
            <w:r>
              <w:rPr>
                <w:rFonts w:hint="eastAsia"/>
              </w:rPr>
              <w:t>建筑施工废水经临时沉淀池澄清后可循环使用。</w:t>
            </w:r>
          </w:p>
          <w:p>
            <w:pPr>
              <w:snapToGrid w:val="0"/>
              <w:spacing w:line="540" w:lineRule="exact"/>
              <w:ind w:firstLine="502" w:firstLineChars="200"/>
              <w:rPr>
                <w:rFonts w:ascii="Times New Roman" w:hAnsi="Times New Roman"/>
                <w:b/>
                <w:bCs/>
                <w:spacing w:val="5"/>
                <w:sz w:val="24"/>
              </w:rPr>
            </w:pPr>
            <w:r>
              <w:rPr>
                <w:rFonts w:ascii="Times New Roman" w:hAnsi="Times New Roman"/>
                <w:b/>
                <w:bCs/>
                <w:spacing w:val="5"/>
                <w:sz w:val="24"/>
              </w:rPr>
              <w:t>3</w:t>
            </w:r>
            <w:r>
              <w:rPr>
                <w:rFonts w:hint="eastAsia" w:ascii="Times New Roman" w:hAnsi="Times New Roman"/>
                <w:b/>
                <w:bCs/>
                <w:spacing w:val="5"/>
                <w:sz w:val="24"/>
              </w:rPr>
              <w:t>、</w:t>
            </w:r>
            <w:r>
              <w:rPr>
                <w:rFonts w:hint="eastAsia" w:ascii="Times New Roman" w:hAnsi="Times New Roman"/>
                <w:b/>
                <w:bCs/>
                <w:sz w:val="24"/>
              </w:rPr>
              <w:t>噪声污染源</w:t>
            </w:r>
          </w:p>
          <w:p>
            <w:pPr>
              <w:pStyle w:val="114"/>
              <w:rPr>
                <w:szCs w:val="24"/>
              </w:rPr>
            </w:pPr>
            <w:r>
              <w:rPr>
                <w:rFonts w:hint="eastAsia"/>
              </w:rPr>
              <w:t>本工程施工期噪声分为交通噪声和施工机械噪声，前者间歇性噪声，后者为持续性噪声。施工期主要噪声源有推土机、挖土机、运输车辆等施工机械设备。据同类机械调查，一些施工机械的噪声强度可达</w:t>
            </w:r>
            <w:r>
              <w:t>85</w:t>
            </w:r>
            <w:r>
              <w:rPr>
                <w:rFonts w:hint="eastAsia"/>
              </w:rPr>
              <w:t>～</w:t>
            </w:r>
            <w:r>
              <w:t>100dB(A)</w:t>
            </w:r>
            <w:r>
              <w:rPr>
                <w:rFonts w:hint="eastAsia"/>
              </w:rPr>
              <w:t>，由此而产生的噪声对周围区域环境有一定的影响。相对营运期而言，建设期施工噪声影响是短期的，而且具有局部路段特性。根据《建筑施工场界噪声限值》（</w:t>
            </w:r>
            <w:r>
              <w:t>GB12523-2011</w:t>
            </w:r>
            <w:r>
              <w:rPr>
                <w:rFonts w:hint="eastAsia"/>
              </w:rPr>
              <w:t>），不同施工阶段作业噪声限值为：昼间</w:t>
            </w:r>
            <w:r>
              <w:t>70dB(A)</w:t>
            </w:r>
            <w:r>
              <w:rPr>
                <w:rFonts w:hint="eastAsia"/>
              </w:rPr>
              <w:t>，夜间</w:t>
            </w:r>
            <w:r>
              <w:t>55dB(A)</w:t>
            </w:r>
            <w:r>
              <w:rPr>
                <w:rFonts w:hint="eastAsia"/>
              </w:rPr>
              <w:t>。施工期噪声源强详见</w:t>
            </w:r>
            <w:r>
              <w:rPr>
                <w:rFonts w:hint="eastAsia"/>
                <w:szCs w:val="24"/>
              </w:rPr>
              <w:t>表</w:t>
            </w:r>
            <w:r>
              <w:rPr>
                <w:szCs w:val="24"/>
              </w:rPr>
              <w:t>5-1</w:t>
            </w:r>
            <w:r>
              <w:rPr>
                <w:rFonts w:hint="eastAsia"/>
                <w:szCs w:val="24"/>
              </w:rPr>
              <w:t>。</w:t>
            </w:r>
          </w:p>
          <w:p>
            <w:pPr>
              <w:tabs>
                <w:tab w:val="left" w:pos="0"/>
              </w:tabs>
              <w:spacing w:before="62" w:beforeLines="20" w:line="500" w:lineRule="exact"/>
              <w:jc w:val="center"/>
              <w:rPr>
                <w:rFonts w:ascii="Times New Roman" w:hAnsi="Times New Roman"/>
                <w:b/>
                <w:sz w:val="24"/>
                <w:szCs w:val="20"/>
              </w:rPr>
            </w:pPr>
            <w:r>
              <w:rPr>
                <w:rFonts w:hint="eastAsia" w:ascii="Times New Roman" w:hAnsi="Times New Roman"/>
                <w:b/>
                <w:sz w:val="24"/>
                <w:szCs w:val="20"/>
              </w:rPr>
              <w:t>表</w:t>
            </w:r>
            <w:r>
              <w:rPr>
                <w:rFonts w:ascii="Times New Roman" w:hAnsi="Times New Roman"/>
                <w:b/>
                <w:sz w:val="24"/>
                <w:szCs w:val="20"/>
              </w:rPr>
              <w:t>5-1</w:t>
            </w:r>
            <w:r>
              <w:rPr>
                <w:rFonts w:hint="eastAsia" w:ascii="Times New Roman" w:hAnsi="Times New Roman"/>
                <w:b/>
                <w:sz w:val="24"/>
                <w:szCs w:val="20"/>
              </w:rPr>
              <w:t>施工期噪声源强类比调查表</w:t>
            </w:r>
          </w:p>
          <w:tbl>
            <w:tblPr>
              <w:tblStyle w:val="37"/>
              <w:tblW w:w="9214" w:type="dxa"/>
              <w:tblInd w:w="16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34"/>
              <w:gridCol w:w="3262"/>
              <w:gridCol w:w="31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834" w:type="dxa"/>
                  <w:tcBorders>
                    <w:top w:val="single" w:color="auto" w:sz="12" w:space="0"/>
                    <w:left w:val="single" w:color="auto" w:sz="12" w:space="0"/>
                    <w:bottom w:val="single" w:color="auto" w:sz="6" w:space="0"/>
                    <w:right w:val="single" w:color="auto" w:sz="6" w:space="0"/>
                  </w:tcBorders>
                  <w:shd w:val="clear" w:color="auto" w:fill="FFFFFF"/>
                </w:tcPr>
                <w:p>
                  <w:pPr>
                    <w:spacing w:line="320" w:lineRule="exact"/>
                    <w:jc w:val="center"/>
                    <w:rPr>
                      <w:rFonts w:ascii="Times New Roman" w:hAnsi="Times New Roman"/>
                      <w:b/>
                    </w:rPr>
                  </w:pPr>
                  <w:r>
                    <w:rPr>
                      <w:rFonts w:hint="eastAsia" w:ascii="Times New Roman" w:hAnsi="Times New Roman"/>
                      <w:b/>
                    </w:rPr>
                    <w:t>序号</w:t>
                  </w:r>
                </w:p>
              </w:tc>
              <w:tc>
                <w:tcPr>
                  <w:tcW w:w="3262" w:type="dxa"/>
                  <w:tcBorders>
                    <w:top w:val="single" w:color="auto" w:sz="12" w:space="0"/>
                    <w:left w:val="single" w:color="auto" w:sz="6" w:space="0"/>
                    <w:bottom w:val="single" w:color="auto" w:sz="6" w:space="0"/>
                    <w:right w:val="single" w:color="auto" w:sz="6" w:space="0"/>
                  </w:tcBorders>
                  <w:shd w:val="clear" w:color="auto" w:fill="FFFFFF"/>
                </w:tcPr>
                <w:p>
                  <w:pPr>
                    <w:spacing w:line="320" w:lineRule="exact"/>
                    <w:jc w:val="center"/>
                    <w:rPr>
                      <w:rFonts w:ascii="Times New Roman" w:hAnsi="Times New Roman"/>
                      <w:b/>
                    </w:rPr>
                  </w:pPr>
                  <w:r>
                    <w:rPr>
                      <w:rFonts w:hint="eastAsia" w:ascii="Times New Roman" w:hAnsi="Times New Roman"/>
                      <w:b/>
                    </w:rPr>
                    <w:t>名称</w:t>
                  </w:r>
                </w:p>
              </w:tc>
              <w:tc>
                <w:tcPr>
                  <w:tcW w:w="3118" w:type="dxa"/>
                  <w:tcBorders>
                    <w:top w:val="single" w:color="auto" w:sz="12"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b/>
                    </w:rPr>
                  </w:pPr>
                  <w:r>
                    <w:rPr>
                      <w:rFonts w:hint="eastAsia" w:ascii="Times New Roman" w:hAnsi="Times New Roman"/>
                      <w:b/>
                    </w:rPr>
                    <w:t>源强</w:t>
                  </w:r>
                  <w:r>
                    <w:rPr>
                      <w:rFonts w:ascii="Times New Roman" w:hAnsi="Times New Roman"/>
                      <w:b/>
                    </w:rPr>
                    <w:t>/dB</w:t>
                  </w:r>
                  <w:r>
                    <w:rPr>
                      <w:rFonts w:hint="eastAsia" w:ascii="Times New Roman" w:hAnsi="Times New Roman"/>
                      <w:b/>
                    </w:rPr>
                    <w:t>（</w:t>
                  </w:r>
                  <w:r>
                    <w:rPr>
                      <w:rFonts w:ascii="Times New Roman" w:hAnsi="Times New Roman"/>
                      <w:b/>
                    </w:rPr>
                    <w:t>A</w:t>
                  </w:r>
                  <w:r>
                    <w:rPr>
                      <w:rFonts w:hint="eastAsia" w:ascii="Times New Roman" w:hAnsi="Times New Roman"/>
                      <w:b/>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834" w:type="dxa"/>
                  <w:tcBorders>
                    <w:top w:val="single" w:color="auto" w:sz="6" w:space="0"/>
                    <w:left w:val="single" w:color="auto" w:sz="12"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ascii="Times New Roman" w:hAnsi="Times New Roman"/>
                    </w:rPr>
                    <w:t>1</w:t>
                  </w:r>
                </w:p>
              </w:tc>
              <w:tc>
                <w:tcPr>
                  <w:tcW w:w="3262" w:type="dxa"/>
                  <w:tcBorders>
                    <w:top w:val="single" w:color="auto" w:sz="6" w:space="0"/>
                    <w:left w:val="single" w:color="auto" w:sz="6"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hint="eastAsia" w:ascii="Times New Roman" w:hAnsi="Times New Roman"/>
                    </w:rPr>
                    <w:t>推土机</w:t>
                  </w:r>
                </w:p>
              </w:tc>
              <w:tc>
                <w:tcPr>
                  <w:tcW w:w="3118"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834" w:type="dxa"/>
                  <w:tcBorders>
                    <w:top w:val="single" w:color="auto" w:sz="6" w:space="0"/>
                    <w:left w:val="single" w:color="auto" w:sz="12"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ascii="Times New Roman" w:hAnsi="Times New Roman"/>
                    </w:rPr>
                    <w:t>2</w:t>
                  </w:r>
                </w:p>
              </w:tc>
              <w:tc>
                <w:tcPr>
                  <w:tcW w:w="3262" w:type="dxa"/>
                  <w:tcBorders>
                    <w:top w:val="single" w:color="auto" w:sz="6" w:space="0"/>
                    <w:left w:val="single" w:color="auto" w:sz="6"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hint="eastAsia" w:ascii="Times New Roman" w:hAnsi="Times New Roman"/>
                    </w:rPr>
                    <w:t>挖掘机</w:t>
                  </w:r>
                </w:p>
              </w:tc>
              <w:tc>
                <w:tcPr>
                  <w:tcW w:w="3118"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834" w:type="dxa"/>
                  <w:tcBorders>
                    <w:top w:val="single" w:color="auto" w:sz="6" w:space="0"/>
                    <w:left w:val="single" w:color="auto" w:sz="12"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ascii="Times New Roman" w:hAnsi="Times New Roman"/>
                    </w:rPr>
                    <w:t>3</w:t>
                  </w:r>
                </w:p>
              </w:tc>
              <w:tc>
                <w:tcPr>
                  <w:tcW w:w="3262" w:type="dxa"/>
                  <w:tcBorders>
                    <w:top w:val="single" w:color="auto" w:sz="6" w:space="0"/>
                    <w:left w:val="single" w:color="auto" w:sz="6"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hint="eastAsia" w:ascii="Times New Roman" w:hAnsi="Times New Roman"/>
                    </w:rPr>
                    <w:t>重型载重汽车</w:t>
                  </w:r>
                </w:p>
              </w:tc>
              <w:tc>
                <w:tcPr>
                  <w:tcW w:w="3118"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834" w:type="dxa"/>
                  <w:tcBorders>
                    <w:top w:val="single" w:color="auto" w:sz="6" w:space="0"/>
                    <w:left w:val="single" w:color="auto" w:sz="12"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ascii="Times New Roman" w:hAnsi="Times New Roman"/>
                    </w:rPr>
                    <w:t>4</w:t>
                  </w:r>
                </w:p>
              </w:tc>
              <w:tc>
                <w:tcPr>
                  <w:tcW w:w="3262" w:type="dxa"/>
                  <w:tcBorders>
                    <w:top w:val="single" w:color="auto" w:sz="6" w:space="0"/>
                    <w:left w:val="single" w:color="auto" w:sz="6"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hint="eastAsia" w:ascii="Times New Roman" w:hAnsi="Times New Roman"/>
                    </w:rPr>
                    <w:t>混凝土输送泵</w:t>
                  </w:r>
                </w:p>
              </w:tc>
              <w:tc>
                <w:tcPr>
                  <w:tcW w:w="3118"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834" w:type="dxa"/>
                  <w:tcBorders>
                    <w:top w:val="single" w:color="auto" w:sz="6" w:space="0"/>
                    <w:left w:val="single" w:color="auto" w:sz="12"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ascii="Times New Roman" w:hAnsi="Times New Roman"/>
                    </w:rPr>
                    <w:t>5</w:t>
                  </w:r>
                </w:p>
              </w:tc>
              <w:tc>
                <w:tcPr>
                  <w:tcW w:w="3262" w:type="dxa"/>
                  <w:tcBorders>
                    <w:top w:val="single" w:color="auto" w:sz="6" w:space="0"/>
                    <w:left w:val="single" w:color="auto" w:sz="6"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hint="eastAsia" w:ascii="Times New Roman" w:hAnsi="Times New Roman"/>
                    </w:rPr>
                    <w:t>电焊机</w:t>
                  </w:r>
                </w:p>
              </w:tc>
              <w:tc>
                <w:tcPr>
                  <w:tcW w:w="3118"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834" w:type="dxa"/>
                  <w:tcBorders>
                    <w:top w:val="single" w:color="auto" w:sz="6" w:space="0"/>
                    <w:left w:val="single" w:color="auto" w:sz="12"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ascii="Times New Roman" w:hAnsi="Times New Roman"/>
                    </w:rPr>
                    <w:t>6</w:t>
                  </w:r>
                </w:p>
              </w:tc>
              <w:tc>
                <w:tcPr>
                  <w:tcW w:w="3262" w:type="dxa"/>
                  <w:tcBorders>
                    <w:top w:val="single" w:color="auto" w:sz="6" w:space="0"/>
                    <w:left w:val="single" w:color="auto" w:sz="6" w:space="0"/>
                    <w:bottom w:val="single" w:color="auto" w:sz="6" w:space="0"/>
                    <w:right w:val="single" w:color="auto" w:sz="6" w:space="0"/>
                  </w:tcBorders>
                  <w:shd w:val="clear" w:color="auto" w:fill="FFFFFF"/>
                </w:tcPr>
                <w:p>
                  <w:pPr>
                    <w:spacing w:line="320" w:lineRule="exact"/>
                    <w:jc w:val="center"/>
                    <w:rPr>
                      <w:rFonts w:ascii="Times New Roman" w:hAnsi="Times New Roman"/>
                    </w:rPr>
                  </w:pPr>
                  <w:r>
                    <w:rPr>
                      <w:rFonts w:hint="eastAsia" w:ascii="Times New Roman" w:hAnsi="Times New Roman"/>
                    </w:rPr>
                    <w:t>电锯</w:t>
                  </w:r>
                </w:p>
              </w:tc>
              <w:tc>
                <w:tcPr>
                  <w:tcW w:w="3118"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834" w:type="dxa"/>
                  <w:tcBorders>
                    <w:top w:val="single" w:color="auto" w:sz="6" w:space="0"/>
                    <w:left w:val="single" w:color="auto" w:sz="12" w:space="0"/>
                    <w:bottom w:val="single" w:color="auto" w:sz="12" w:space="0"/>
                    <w:right w:val="single" w:color="auto" w:sz="6" w:space="0"/>
                  </w:tcBorders>
                  <w:shd w:val="clear" w:color="auto" w:fill="FFFFFF"/>
                </w:tcPr>
                <w:p>
                  <w:pPr>
                    <w:spacing w:line="320" w:lineRule="exact"/>
                    <w:jc w:val="center"/>
                    <w:rPr>
                      <w:rFonts w:ascii="Times New Roman" w:hAnsi="Times New Roman"/>
                    </w:rPr>
                  </w:pPr>
                  <w:r>
                    <w:rPr>
                      <w:rFonts w:ascii="Times New Roman" w:hAnsi="Times New Roman"/>
                    </w:rPr>
                    <w:t>7</w:t>
                  </w:r>
                </w:p>
              </w:tc>
              <w:tc>
                <w:tcPr>
                  <w:tcW w:w="3262" w:type="dxa"/>
                  <w:tcBorders>
                    <w:top w:val="single" w:color="auto" w:sz="6" w:space="0"/>
                    <w:left w:val="single" w:color="auto" w:sz="6" w:space="0"/>
                    <w:bottom w:val="single" w:color="auto" w:sz="12" w:space="0"/>
                    <w:right w:val="single" w:color="auto" w:sz="6" w:space="0"/>
                  </w:tcBorders>
                  <w:shd w:val="clear" w:color="auto" w:fill="FFFFFF"/>
                </w:tcPr>
                <w:p>
                  <w:pPr>
                    <w:spacing w:line="320" w:lineRule="exact"/>
                    <w:jc w:val="center"/>
                    <w:rPr>
                      <w:rFonts w:ascii="Times New Roman" w:hAnsi="Times New Roman"/>
                    </w:rPr>
                  </w:pPr>
                  <w:r>
                    <w:rPr>
                      <w:rFonts w:hint="eastAsia" w:ascii="Times New Roman" w:hAnsi="Times New Roman"/>
                    </w:rPr>
                    <w:t>电钻</w:t>
                  </w:r>
                </w:p>
              </w:tc>
              <w:tc>
                <w:tcPr>
                  <w:tcW w:w="3118" w:type="dxa"/>
                  <w:tcBorders>
                    <w:top w:val="single" w:color="auto" w:sz="6" w:space="0"/>
                    <w:left w:val="single" w:color="auto" w:sz="6" w:space="0"/>
                    <w:bottom w:val="single" w:color="auto" w:sz="12"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100</w:t>
                  </w:r>
                </w:p>
              </w:tc>
            </w:tr>
          </w:tbl>
          <w:p>
            <w:pPr>
              <w:pStyle w:val="114"/>
            </w:pPr>
            <w:r>
              <w:rPr>
                <w:rFonts w:hint="eastAsia"/>
              </w:rPr>
              <w:t>本项目夜间不施工。据同类施工场地监测，昼间施工产生的噪声在距施工场地</w:t>
            </w:r>
            <w:r>
              <w:t>30m</w:t>
            </w:r>
            <w:r>
              <w:rPr>
                <w:rFonts w:hint="eastAsia"/>
              </w:rPr>
              <w:t>处符合标准限值。项目周边最近的敏感点距项目</w:t>
            </w:r>
            <w:r>
              <w:t>300m</w:t>
            </w:r>
            <w:r>
              <w:rPr>
                <w:rFonts w:hint="eastAsia"/>
              </w:rPr>
              <w:t>，因此，噪声对周边声环境敏感点影响较小。</w:t>
            </w:r>
          </w:p>
          <w:p>
            <w:pPr>
              <w:snapToGrid w:val="0"/>
              <w:spacing w:line="540" w:lineRule="exact"/>
              <w:ind w:firstLine="482" w:firstLineChars="200"/>
              <w:rPr>
                <w:rFonts w:ascii="Times New Roman" w:hAnsi="Times New Roman"/>
                <w:b/>
                <w:sz w:val="24"/>
              </w:rPr>
            </w:pPr>
            <w:r>
              <w:rPr>
                <w:rFonts w:ascii="Times New Roman" w:hAnsi="Times New Roman"/>
                <w:b/>
                <w:sz w:val="24"/>
              </w:rPr>
              <w:t>4</w:t>
            </w:r>
            <w:r>
              <w:rPr>
                <w:rFonts w:hint="eastAsia" w:ascii="Times New Roman" w:hAnsi="Times New Roman"/>
                <w:b/>
                <w:sz w:val="24"/>
              </w:rPr>
              <w:t>、固体废物</w:t>
            </w:r>
          </w:p>
          <w:p>
            <w:pPr>
              <w:pStyle w:val="114"/>
            </w:pPr>
            <w:r>
              <w:rPr>
                <w:rFonts w:hint="eastAsia"/>
              </w:rPr>
              <w:t>①建筑垃圾</w:t>
            </w:r>
          </w:p>
          <w:p>
            <w:pPr>
              <w:pStyle w:val="114"/>
            </w:pPr>
            <w:r>
              <w:rPr>
                <w:rFonts w:hint="eastAsia"/>
              </w:rPr>
              <w:t>本项目将产生的建筑垃圾量约</w:t>
            </w:r>
            <w:r>
              <w:t>50t</w:t>
            </w:r>
            <w:r>
              <w:rPr>
                <w:rFonts w:hint="eastAsia"/>
              </w:rPr>
              <w:t>，能回收利用的尽量回收利用，不能回收利用的及时运往环卫部门指定地点处理处置。</w:t>
            </w:r>
          </w:p>
          <w:p>
            <w:pPr>
              <w:pStyle w:val="114"/>
            </w:pPr>
            <w:r>
              <w:rPr>
                <w:rFonts w:hint="eastAsia"/>
              </w:rPr>
              <w:t>②生活垃圾</w:t>
            </w:r>
          </w:p>
          <w:p>
            <w:pPr>
              <w:pStyle w:val="114"/>
            </w:pPr>
            <w:r>
              <w:rPr>
                <w:rFonts w:hint="eastAsia"/>
              </w:rPr>
              <w:t>施工期施工人员生活垃圾参照《城市生活垃圾产量计算及预测方法》</w:t>
            </w:r>
            <w:r>
              <w:t>CJ/T106</w:t>
            </w:r>
            <w:r>
              <w:rPr>
                <w:rFonts w:hint="eastAsia"/>
              </w:rPr>
              <w:t>中的有关规定，生活垃圾产生量按人均</w:t>
            </w:r>
            <w:r>
              <w:t>1kg/d</w:t>
            </w:r>
            <w:r>
              <w:rPr>
                <w:rFonts w:hint="eastAsia"/>
              </w:rPr>
              <w:t>计，施工期人数按</w:t>
            </w:r>
            <w:r>
              <w:t>50</w:t>
            </w:r>
            <w:r>
              <w:rPr>
                <w:rFonts w:hint="eastAsia"/>
              </w:rPr>
              <w:t>人计，则生活垃圾产生量为</w:t>
            </w:r>
            <w:r>
              <w:t>50kg/d</w:t>
            </w:r>
            <w:r>
              <w:rPr>
                <w:rFonts w:hint="eastAsia"/>
              </w:rPr>
              <w:t>，集中收集后委托当地环卫部门统一清运处置。</w:t>
            </w:r>
          </w:p>
          <w:p>
            <w:pPr>
              <w:pStyle w:val="114"/>
            </w:pPr>
            <w:r>
              <w:rPr>
                <w:rFonts w:hint="eastAsia"/>
              </w:rPr>
              <w:t>③土石方</w:t>
            </w:r>
          </w:p>
          <w:p>
            <w:pPr>
              <w:pStyle w:val="114"/>
            </w:pPr>
            <w:r>
              <w:rPr>
                <w:rFonts w:hint="eastAsia"/>
              </w:rPr>
              <w:t>施工期的固废主要为场地开挖的挖填方，经类比分析及土方平衡初步计算，项目总挖方量约为</w:t>
            </w:r>
            <w:r>
              <w:t>2.91</w:t>
            </w:r>
            <w:r>
              <w:rPr>
                <w:rFonts w:hint="eastAsia"/>
              </w:rPr>
              <w:t>万</w:t>
            </w:r>
            <w:r>
              <w:t>m</w:t>
            </w:r>
            <w:r>
              <w:rPr>
                <w:vertAlign w:val="superscript"/>
              </w:rPr>
              <w:t>3</w:t>
            </w:r>
            <w:r>
              <w:rPr>
                <w:rFonts w:hint="eastAsia"/>
              </w:rPr>
              <w:t>，回填土方量约为</w:t>
            </w:r>
            <w:r>
              <w:t>1.38</w:t>
            </w:r>
            <w:r>
              <w:rPr>
                <w:rFonts w:hint="eastAsia"/>
              </w:rPr>
              <w:t>万</w:t>
            </w:r>
            <w:r>
              <w:t>m</w:t>
            </w:r>
            <w:r>
              <w:rPr>
                <w:vertAlign w:val="superscript"/>
              </w:rPr>
              <w:t>3</w:t>
            </w:r>
            <w:r>
              <w:rPr>
                <w:rFonts w:hint="eastAsia"/>
              </w:rPr>
              <w:t>，弃方量约为</w:t>
            </w:r>
            <w:r>
              <w:t>1.53</w:t>
            </w:r>
            <w:r>
              <w:rPr>
                <w:rFonts w:hint="eastAsia"/>
              </w:rPr>
              <w:t>万</w:t>
            </w:r>
            <w:r>
              <w:t>m</w:t>
            </w:r>
            <w:r>
              <w:rPr>
                <w:vertAlign w:val="superscript"/>
              </w:rPr>
              <w:t>3</w:t>
            </w:r>
            <w:r>
              <w:rPr>
                <w:rFonts w:hint="eastAsia"/>
              </w:rPr>
              <w:t>；弃方应按照环卫部门要求运至指定地点处置。建设单位应对需外运的弃方及运输车辆采取加盖、防抛洒等措施，并严格按照环卫部门的要求运至指定地点处置。</w:t>
            </w:r>
          </w:p>
          <w:p>
            <w:pPr>
              <w:spacing w:line="360" w:lineRule="auto"/>
              <w:rPr>
                <w:rFonts w:ascii="Times New Roman" w:hAnsi="Times New Roman"/>
                <w:b/>
                <w:sz w:val="28"/>
                <w:szCs w:val="28"/>
              </w:rPr>
            </w:pPr>
            <w:r>
              <w:rPr>
                <w:rFonts w:hint="eastAsia" w:ascii="Times New Roman" w:hAnsi="Times New Roman"/>
                <w:b/>
                <w:sz w:val="28"/>
                <w:szCs w:val="28"/>
              </w:rPr>
              <w:t>二、营运期</w:t>
            </w:r>
            <w:r>
              <w:rPr>
                <w:rFonts w:hint="eastAsia" w:ascii="Times New Roman" w:hAnsi="Times New Roman"/>
                <w:b/>
                <w:bCs/>
                <w:sz w:val="28"/>
                <w:szCs w:val="28"/>
                <w:lang w:val="sq-AL"/>
              </w:rPr>
              <w:t>污染因子及源强分析</w:t>
            </w:r>
          </w:p>
          <w:p>
            <w:pPr>
              <w:spacing w:line="360" w:lineRule="auto"/>
              <w:ind w:firstLine="482" w:firstLineChars="200"/>
              <w:rPr>
                <w:rFonts w:ascii="Times New Roman" w:hAnsi="Times New Roman"/>
                <w:b/>
                <w:sz w:val="24"/>
                <w:szCs w:val="24"/>
              </w:rPr>
            </w:pPr>
            <w:r>
              <w:rPr>
                <w:rFonts w:ascii="Times New Roman" w:hAnsi="Times New Roman"/>
                <w:b/>
                <w:sz w:val="24"/>
                <w:szCs w:val="24"/>
              </w:rPr>
              <w:t>1</w:t>
            </w:r>
            <w:r>
              <w:rPr>
                <w:rFonts w:hint="eastAsia" w:ascii="Times New Roman" w:hAnsi="Times New Roman"/>
                <w:b/>
                <w:sz w:val="24"/>
                <w:szCs w:val="24"/>
              </w:rPr>
              <w:t>、废气</w:t>
            </w:r>
          </w:p>
          <w:p>
            <w:pPr>
              <w:pStyle w:val="114"/>
            </w:pPr>
            <w:r>
              <w:rPr>
                <w:rFonts w:hint="eastAsia"/>
              </w:rPr>
              <w:t>本项目营运期臭气污染物主要来自于污水处理工艺中由微生物分解有机物而产生的少量还原性恶臭气体，主要为</w:t>
            </w:r>
            <w:r>
              <w:t>NH</w:t>
            </w:r>
            <w:r>
              <w:rPr>
                <w:vertAlign w:val="subscript"/>
              </w:rPr>
              <w:t>3</w:t>
            </w:r>
            <w:r>
              <w:rPr>
                <w:rFonts w:hint="eastAsia"/>
              </w:rPr>
              <w:t>、</w:t>
            </w:r>
            <w:r>
              <w:t>H</w:t>
            </w:r>
            <w:r>
              <w:rPr>
                <w:vertAlign w:val="subscript"/>
              </w:rPr>
              <w:t>2</w:t>
            </w:r>
            <w:r>
              <w:t>S</w:t>
            </w:r>
            <w:r>
              <w:rPr>
                <w:rFonts w:hint="eastAsia"/>
              </w:rPr>
              <w:t>、臭气浓度和甲烷等。</w:t>
            </w:r>
          </w:p>
          <w:p>
            <w:pPr>
              <w:pStyle w:val="114"/>
            </w:pPr>
            <w:r>
              <w:rPr>
                <w:rFonts w:hint="eastAsia"/>
              </w:rPr>
              <w:t>（</w:t>
            </w:r>
            <w:r>
              <w:t>1</w:t>
            </w:r>
            <w:r>
              <w:rPr>
                <w:rFonts w:hint="eastAsia"/>
              </w:rPr>
              <w:t>）本项目废气源强</w:t>
            </w:r>
          </w:p>
          <w:p>
            <w:pPr>
              <w:pStyle w:val="114"/>
            </w:pPr>
            <w:r>
              <w:rPr>
                <w:rFonts w:hint="eastAsia"/>
              </w:rPr>
              <w:t>①</w:t>
            </w:r>
            <w:r>
              <w:t>NH</w:t>
            </w:r>
            <w:r>
              <w:rPr>
                <w:vertAlign w:val="subscript"/>
              </w:rPr>
              <w:t>3</w:t>
            </w:r>
            <w:r>
              <w:rPr>
                <w:rFonts w:hint="eastAsia"/>
              </w:rPr>
              <w:t>、</w:t>
            </w:r>
            <w:r>
              <w:t>H</w:t>
            </w:r>
            <w:r>
              <w:rPr>
                <w:vertAlign w:val="subscript"/>
              </w:rPr>
              <w:t>2</w:t>
            </w:r>
            <w:r>
              <w:t>S</w:t>
            </w:r>
          </w:p>
          <w:p>
            <w:pPr>
              <w:pStyle w:val="114"/>
            </w:pPr>
            <w:r>
              <w:rPr>
                <w:rFonts w:hint="eastAsia"/>
              </w:rPr>
              <w:t>恶臭类物质是通过表面散发和曝气进入大气环境的，其源强一般与污水水质、单位时间处理水量、曝气量、曝气池面积等有关。根据同类型污水处理厂源强数据，</w:t>
            </w:r>
            <w:r>
              <w:t>NH</w:t>
            </w:r>
            <w:r>
              <w:rPr>
                <w:vertAlign w:val="subscript"/>
              </w:rPr>
              <w:t>3</w:t>
            </w:r>
            <w:r>
              <w:rPr>
                <w:rFonts w:hint="eastAsia"/>
              </w:rPr>
              <w:t>和</w:t>
            </w:r>
            <w:r>
              <w:t>H</w:t>
            </w:r>
            <w:r>
              <w:rPr>
                <w:vertAlign w:val="subscript"/>
              </w:rPr>
              <w:t>2</w:t>
            </w:r>
            <w:r>
              <w:t>S</w:t>
            </w:r>
            <w:r>
              <w:rPr>
                <w:rFonts w:hint="eastAsia"/>
              </w:rPr>
              <w:t>的单位面积排污系数见表</w:t>
            </w:r>
            <w:r>
              <w:t>5-2</w:t>
            </w:r>
            <w:r>
              <w:rPr>
                <w:rFonts w:hint="eastAsia"/>
              </w:rPr>
              <w:t>。恶臭污染物产生情况见表</w:t>
            </w:r>
            <w:r>
              <w:t>5-3</w:t>
            </w:r>
            <w:r>
              <w:rPr>
                <w:rFonts w:hint="eastAsia"/>
              </w:rPr>
              <w:t>。</w:t>
            </w:r>
          </w:p>
          <w:p>
            <w:pPr>
              <w:pStyle w:val="111"/>
            </w:pPr>
            <w:r>
              <w:rPr>
                <w:rFonts w:hint="eastAsia"/>
              </w:rPr>
              <w:t>表</w:t>
            </w:r>
            <w:r>
              <w:t>5-2</w:t>
            </w:r>
            <w:r>
              <w:rPr>
                <w:rFonts w:hint="eastAsia"/>
              </w:rPr>
              <w:t>污水处理构筑物单位面积恶臭污染物排放量源强</w:t>
            </w:r>
          </w:p>
          <w:tbl>
            <w:tblPr>
              <w:tblStyle w:val="37"/>
              <w:tblW w:w="94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1"/>
              <w:gridCol w:w="4172"/>
              <w:gridCol w:w="1983"/>
              <w:gridCol w:w="19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421" w:type="dxa"/>
                  <w:tcBorders>
                    <w:top w:val="single" w:color="auto" w:sz="12" w:space="0"/>
                    <w:left w:val="single" w:color="auto" w:sz="12" w:space="0"/>
                    <w:bottom w:val="double" w:color="auto" w:sz="4" w:space="0"/>
                    <w:right w:val="single" w:color="auto" w:sz="6"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Times New Roman"/>
                      <w:b/>
                      <w:szCs w:val="21"/>
                    </w:rPr>
                    <w:t>工段</w:t>
                  </w:r>
                </w:p>
              </w:tc>
              <w:tc>
                <w:tcPr>
                  <w:tcW w:w="4172" w:type="dxa"/>
                  <w:tcBorders>
                    <w:top w:val="single" w:color="auto" w:sz="12" w:space="0"/>
                    <w:left w:val="single" w:color="auto" w:sz="6" w:space="0"/>
                    <w:bottom w:val="double" w:color="auto" w:sz="4" w:space="0"/>
                    <w:right w:val="single" w:color="auto" w:sz="6"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Times New Roman"/>
                      <w:b/>
                      <w:szCs w:val="21"/>
                    </w:rPr>
                    <w:t>构筑物名称</w:t>
                  </w:r>
                </w:p>
              </w:tc>
              <w:tc>
                <w:tcPr>
                  <w:tcW w:w="1983" w:type="dxa"/>
                  <w:tcBorders>
                    <w:top w:val="single" w:color="auto" w:sz="12" w:space="0"/>
                    <w:left w:val="single" w:color="auto" w:sz="6" w:space="0"/>
                    <w:bottom w:val="double" w:color="auto" w:sz="4" w:space="0"/>
                    <w:right w:val="single" w:color="auto" w:sz="6" w:space="0"/>
                  </w:tcBorders>
                  <w:shd w:val="clear" w:color="auto" w:fill="FFFFFF"/>
                  <w:vAlign w:val="center"/>
                </w:tcPr>
                <w:p>
                  <w:pPr>
                    <w:spacing w:line="320" w:lineRule="exact"/>
                    <w:jc w:val="center"/>
                    <w:rPr>
                      <w:rFonts w:ascii="Times New Roman" w:hAnsi="Times New Roman"/>
                      <w:b/>
                      <w:szCs w:val="21"/>
                    </w:rPr>
                  </w:pPr>
                  <w:r>
                    <w:rPr>
                      <w:rFonts w:ascii="Times New Roman" w:hAnsi="Times New Roman"/>
                      <w:b/>
                      <w:szCs w:val="21"/>
                    </w:rPr>
                    <w:t>NH</w:t>
                  </w:r>
                  <w:r>
                    <w:rPr>
                      <w:rFonts w:ascii="Times New Roman" w:hAnsi="Times New Roman"/>
                      <w:b/>
                      <w:szCs w:val="21"/>
                      <w:vertAlign w:val="subscript"/>
                    </w:rPr>
                    <w:t>3</w:t>
                  </w:r>
                  <w:r>
                    <w:rPr>
                      <w:rFonts w:hint="eastAsia" w:ascii="Times New Roman" w:hAnsi="Times New Roman"/>
                      <w:b/>
                      <w:szCs w:val="21"/>
                    </w:rPr>
                    <w:t>（</w:t>
                  </w:r>
                  <w:r>
                    <w:rPr>
                      <w:rFonts w:ascii="Times New Roman" w:hAnsi="Times New Roman"/>
                      <w:b/>
                      <w:szCs w:val="21"/>
                    </w:rPr>
                    <w:t>mg/ s•m</w:t>
                  </w:r>
                  <w:r>
                    <w:rPr>
                      <w:rFonts w:ascii="Times New Roman" w:hAnsi="Times New Roman"/>
                      <w:b/>
                      <w:szCs w:val="21"/>
                      <w:vertAlign w:val="superscript"/>
                    </w:rPr>
                    <w:t>2</w:t>
                  </w:r>
                  <w:r>
                    <w:rPr>
                      <w:rFonts w:hint="eastAsia" w:ascii="Times New Roman" w:hAnsi="Times New Roman"/>
                      <w:b/>
                      <w:szCs w:val="21"/>
                    </w:rPr>
                    <w:t>）</w:t>
                  </w:r>
                </w:p>
              </w:tc>
              <w:tc>
                <w:tcPr>
                  <w:tcW w:w="1910" w:type="dxa"/>
                  <w:tcBorders>
                    <w:top w:val="single" w:color="auto" w:sz="12" w:space="0"/>
                    <w:left w:val="single" w:color="auto" w:sz="6" w:space="0"/>
                    <w:bottom w:val="double" w:color="auto" w:sz="4" w:space="0"/>
                    <w:right w:val="single" w:color="auto" w:sz="12" w:space="0"/>
                  </w:tcBorders>
                  <w:shd w:val="clear" w:color="auto" w:fill="FFFFFF"/>
                  <w:vAlign w:val="center"/>
                </w:tcPr>
                <w:p>
                  <w:pPr>
                    <w:spacing w:line="320" w:lineRule="exact"/>
                    <w:jc w:val="center"/>
                    <w:rPr>
                      <w:rFonts w:ascii="Times New Roman" w:hAnsi="Times New Roman"/>
                      <w:b/>
                      <w:szCs w:val="21"/>
                    </w:rPr>
                  </w:pPr>
                  <w:r>
                    <w:rPr>
                      <w:rFonts w:ascii="Times New Roman" w:hAnsi="Times New Roman"/>
                      <w:b/>
                      <w:szCs w:val="21"/>
                    </w:rPr>
                    <w:t>H</w:t>
                  </w:r>
                  <w:r>
                    <w:rPr>
                      <w:rFonts w:ascii="Times New Roman" w:hAnsi="Times New Roman"/>
                      <w:b/>
                      <w:szCs w:val="21"/>
                      <w:vertAlign w:val="subscript"/>
                    </w:rPr>
                    <w:t>2</w:t>
                  </w:r>
                  <w:r>
                    <w:rPr>
                      <w:rFonts w:ascii="Times New Roman" w:hAnsi="Times New Roman"/>
                      <w:b/>
                      <w:szCs w:val="21"/>
                    </w:rPr>
                    <w:t>S</w:t>
                  </w:r>
                  <w:r>
                    <w:rPr>
                      <w:rFonts w:hint="eastAsia" w:ascii="Times New Roman" w:hAnsi="Times New Roman"/>
                      <w:b/>
                      <w:szCs w:val="21"/>
                    </w:rPr>
                    <w:t>（</w:t>
                  </w:r>
                  <w:r>
                    <w:rPr>
                      <w:rFonts w:ascii="Times New Roman" w:hAnsi="Times New Roman"/>
                      <w:b/>
                      <w:szCs w:val="21"/>
                    </w:rPr>
                    <w:t>mg/ s•m</w:t>
                  </w:r>
                  <w:r>
                    <w:rPr>
                      <w:rFonts w:ascii="Times New Roman" w:hAnsi="Times New Roman"/>
                      <w:b/>
                      <w:szCs w:val="21"/>
                      <w:vertAlign w:val="superscript"/>
                    </w:rPr>
                    <w:t>2</w:t>
                  </w:r>
                  <w:r>
                    <w:rPr>
                      <w:rFonts w:hint="eastAsia" w:ascii="Times New Roman" w:hAnsi="Times New Roman"/>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421" w:type="dxa"/>
                  <w:tcBorders>
                    <w:top w:val="double" w:color="auto" w:sz="4"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szCs w:val="21"/>
                    </w:rPr>
                  </w:pPr>
                  <w:r>
                    <w:rPr>
                      <w:rFonts w:hint="eastAsia" w:ascii="Times New Roman" w:hAnsi="Times New Roman"/>
                      <w:szCs w:val="21"/>
                    </w:rPr>
                    <w:t>预处理阶段</w:t>
                  </w:r>
                </w:p>
              </w:tc>
              <w:tc>
                <w:tcPr>
                  <w:tcW w:w="4172"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细格栅、沉砂池</w:t>
                  </w:r>
                </w:p>
              </w:tc>
              <w:tc>
                <w:tcPr>
                  <w:tcW w:w="1983"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0.055</w:t>
                  </w:r>
                </w:p>
              </w:tc>
              <w:tc>
                <w:tcPr>
                  <w:tcW w:w="1910" w:type="dxa"/>
                  <w:tcBorders>
                    <w:top w:val="double" w:color="auto" w:sz="4" w:space="0"/>
                    <w:left w:val="single" w:color="auto" w:sz="6" w:space="0"/>
                    <w:bottom w:val="single" w:color="auto" w:sz="6"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421" w:type="dxa"/>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生化处理阶段</w:t>
                  </w:r>
                </w:p>
              </w:tc>
              <w:tc>
                <w:tcPr>
                  <w:tcW w:w="417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ascii="Times New Roman" w:hAnsi="Times New Roman"/>
                      <w:szCs w:val="21"/>
                    </w:rPr>
                    <w:t>AAO</w:t>
                  </w:r>
                </w:p>
              </w:tc>
              <w:tc>
                <w:tcPr>
                  <w:tcW w:w="198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0.045</w:t>
                  </w:r>
                </w:p>
              </w:tc>
              <w:tc>
                <w:tcPr>
                  <w:tcW w:w="1910"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421" w:type="dxa"/>
                  <w:tcBorders>
                    <w:top w:val="single" w:color="auto" w:sz="6" w:space="0"/>
                    <w:left w:val="single" w:color="auto" w:sz="12" w:space="0"/>
                    <w:bottom w:val="single" w:color="auto" w:sz="12"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污泥处理工段</w:t>
                  </w:r>
                </w:p>
              </w:tc>
              <w:tc>
                <w:tcPr>
                  <w:tcW w:w="4172"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贮泥池、污泥浓缩脱水间</w:t>
                  </w:r>
                </w:p>
              </w:tc>
              <w:tc>
                <w:tcPr>
                  <w:tcW w:w="1983"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0.28</w:t>
                  </w:r>
                </w:p>
              </w:tc>
              <w:tc>
                <w:tcPr>
                  <w:tcW w:w="1910" w:type="dxa"/>
                  <w:tcBorders>
                    <w:top w:val="single" w:color="auto" w:sz="6" w:space="0"/>
                    <w:left w:val="single" w:color="auto" w:sz="6" w:space="0"/>
                    <w:bottom w:val="single" w:color="auto" w:sz="12"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0.02</w:t>
                  </w:r>
                </w:p>
              </w:tc>
            </w:tr>
          </w:tbl>
          <w:p>
            <w:pPr>
              <w:pStyle w:val="111"/>
              <w:rPr>
                <w:bCs/>
              </w:rPr>
            </w:pPr>
            <w:r>
              <w:rPr>
                <w:rFonts w:hint="eastAsia"/>
              </w:rPr>
              <w:t>表</w:t>
            </w:r>
            <w:r>
              <w:t xml:space="preserve">5-3 </w:t>
            </w:r>
            <w:r>
              <w:rPr>
                <w:rFonts w:hint="eastAsia"/>
              </w:rPr>
              <w:t>项目新增各处理单元</w:t>
            </w:r>
            <w:r>
              <w:t>NH</w:t>
            </w:r>
            <w:r>
              <w:rPr>
                <w:vertAlign w:val="subscript"/>
              </w:rPr>
              <w:t>3</w:t>
            </w:r>
            <w:r>
              <w:rPr>
                <w:rFonts w:hint="eastAsia"/>
              </w:rPr>
              <w:t>和</w:t>
            </w:r>
            <w:r>
              <w:t>H</w:t>
            </w:r>
            <w:r>
              <w:rPr>
                <w:vertAlign w:val="subscript"/>
              </w:rPr>
              <w:t>2</w:t>
            </w:r>
            <w:r>
              <w:t>S</w:t>
            </w:r>
            <w:r>
              <w:rPr>
                <w:rFonts w:hint="eastAsia"/>
              </w:rPr>
              <w:t>的产生情况</w:t>
            </w:r>
          </w:p>
          <w:tbl>
            <w:tblPr>
              <w:tblStyle w:val="37"/>
              <w:tblW w:w="94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8"/>
              <w:gridCol w:w="2552"/>
              <w:gridCol w:w="1222"/>
              <w:gridCol w:w="1057"/>
              <w:gridCol w:w="1057"/>
              <w:gridCol w:w="1057"/>
              <w:gridCol w:w="9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598" w:type="dxa"/>
                  <w:vMerge w:val="restart"/>
                  <w:tcBorders>
                    <w:top w:val="single" w:color="auto" w:sz="12"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工段</w:t>
                  </w:r>
                </w:p>
              </w:tc>
              <w:tc>
                <w:tcPr>
                  <w:tcW w:w="2552" w:type="dxa"/>
                  <w:vMerge w:val="restart"/>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构筑物</w:t>
                  </w:r>
                </w:p>
              </w:tc>
              <w:tc>
                <w:tcPr>
                  <w:tcW w:w="1222" w:type="dxa"/>
                  <w:vMerge w:val="restart"/>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面积</w:t>
                  </w:r>
                </w:p>
              </w:tc>
              <w:tc>
                <w:tcPr>
                  <w:tcW w:w="2114" w:type="dxa"/>
                  <w:gridSpan w:val="2"/>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ascii="Times New Roman" w:hAnsi="Times New Roman"/>
                      <w:b/>
                    </w:rPr>
                    <w:t>NH</w:t>
                  </w:r>
                  <w:r>
                    <w:rPr>
                      <w:rFonts w:ascii="Times New Roman" w:hAnsi="Times New Roman"/>
                      <w:b/>
                      <w:vertAlign w:val="subscript"/>
                    </w:rPr>
                    <w:t>3</w:t>
                  </w:r>
                  <w:r>
                    <w:rPr>
                      <w:rFonts w:hint="eastAsia" w:ascii="Times New Roman" w:hAnsi="Times New Roman"/>
                      <w:b/>
                    </w:rPr>
                    <w:t>产生情况</w:t>
                  </w:r>
                </w:p>
              </w:tc>
              <w:tc>
                <w:tcPr>
                  <w:tcW w:w="2000" w:type="dxa"/>
                  <w:gridSpan w:val="2"/>
                  <w:tcBorders>
                    <w:top w:val="single" w:color="auto" w:sz="12"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b/>
                    </w:rPr>
                  </w:pPr>
                  <w:r>
                    <w:rPr>
                      <w:rFonts w:ascii="Times New Roman" w:hAnsi="Times New Roman"/>
                      <w:b/>
                    </w:rPr>
                    <w:t>H</w:t>
                  </w:r>
                  <w:r>
                    <w:rPr>
                      <w:rFonts w:ascii="Times New Roman" w:hAnsi="Times New Roman"/>
                      <w:b/>
                      <w:vertAlign w:val="subscript"/>
                    </w:rPr>
                    <w:t>2</w:t>
                  </w:r>
                  <w:r>
                    <w:rPr>
                      <w:rFonts w:ascii="Times New Roman" w:hAnsi="Times New Roman"/>
                      <w:b/>
                    </w:rPr>
                    <w:t>S</w:t>
                  </w:r>
                  <w:r>
                    <w:rPr>
                      <w:rFonts w:hint="eastAsia" w:ascii="Times New Roman" w:hAnsi="Times New Roman"/>
                      <w:b/>
                    </w:rPr>
                    <w:t>产生情况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tblHeader/>
                <w:jc w:val="center"/>
              </w:trPr>
              <w:tc>
                <w:tcPr>
                  <w:tcW w:w="1598" w:type="dxa"/>
                  <w:vMerge w:val="continue"/>
                  <w:tcBorders>
                    <w:top w:val="single" w:color="auto" w:sz="6" w:space="0"/>
                    <w:left w:val="single" w:color="auto" w:sz="12" w:space="0"/>
                    <w:bottom w:val="double" w:color="auto" w:sz="4" w:space="0"/>
                    <w:right w:val="single" w:color="auto" w:sz="6" w:space="0"/>
                  </w:tcBorders>
                  <w:vAlign w:val="center"/>
                </w:tcPr>
                <w:p>
                  <w:pPr>
                    <w:spacing w:line="320" w:lineRule="exact"/>
                    <w:jc w:val="center"/>
                    <w:rPr>
                      <w:rFonts w:ascii="Times New Roman" w:hAnsi="Times New Roman"/>
                      <w:b/>
                    </w:rPr>
                  </w:pPr>
                </w:p>
              </w:tc>
              <w:tc>
                <w:tcPr>
                  <w:tcW w:w="2552" w:type="dxa"/>
                  <w:vMerge w:val="continue"/>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p>
              </w:tc>
              <w:tc>
                <w:tcPr>
                  <w:tcW w:w="1222" w:type="dxa"/>
                  <w:vMerge w:val="continue"/>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p>
              </w:tc>
              <w:tc>
                <w:tcPr>
                  <w:tcW w:w="1057"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ascii="Times New Roman" w:hAnsi="Times New Roman"/>
                      <w:b/>
                    </w:rPr>
                    <w:t>kg/h</w:t>
                  </w:r>
                </w:p>
              </w:tc>
              <w:tc>
                <w:tcPr>
                  <w:tcW w:w="1057"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ascii="Times New Roman" w:hAnsi="Times New Roman"/>
                      <w:b/>
                    </w:rPr>
                    <w:t>t/a</w:t>
                  </w:r>
                </w:p>
              </w:tc>
              <w:tc>
                <w:tcPr>
                  <w:tcW w:w="1057"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ascii="Times New Roman" w:hAnsi="Times New Roman"/>
                      <w:b/>
                    </w:rPr>
                    <w:t>kg/h</w:t>
                  </w:r>
                </w:p>
              </w:tc>
              <w:tc>
                <w:tcPr>
                  <w:tcW w:w="943" w:type="dxa"/>
                  <w:tcBorders>
                    <w:top w:val="single" w:color="auto" w:sz="6" w:space="0"/>
                    <w:left w:val="single" w:color="auto" w:sz="6" w:space="0"/>
                    <w:bottom w:val="double" w:color="auto" w:sz="4" w:space="0"/>
                    <w:right w:val="single" w:color="auto" w:sz="12" w:space="0"/>
                  </w:tcBorders>
                  <w:vAlign w:val="center"/>
                </w:tcPr>
                <w:p>
                  <w:pPr>
                    <w:spacing w:line="320" w:lineRule="exact"/>
                    <w:jc w:val="center"/>
                    <w:rPr>
                      <w:rFonts w:ascii="Times New Roman" w:hAnsi="Times New Roman"/>
                      <w:b/>
                    </w:rPr>
                  </w:pPr>
                  <w:r>
                    <w:rPr>
                      <w:rFonts w:ascii="Times New Roman" w:hAnsi="Times New Roman"/>
                      <w:b/>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598" w:type="dxa"/>
                  <w:tcBorders>
                    <w:top w:val="double" w:color="auto" w:sz="4"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rPr>
                  </w:pPr>
                  <w:r>
                    <w:rPr>
                      <w:rFonts w:hint="eastAsia" w:ascii="Times New Roman" w:hAnsi="Times New Roman"/>
                    </w:rPr>
                    <w:t>预处理阶段</w:t>
                  </w:r>
                </w:p>
              </w:tc>
              <w:tc>
                <w:tcPr>
                  <w:tcW w:w="2552" w:type="dxa"/>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hint="eastAsia" w:ascii="Times New Roman" w:hAnsi="Times New Roman"/>
                    </w:rPr>
                    <w:t>细格栅、沉砂池</w:t>
                  </w:r>
                </w:p>
              </w:tc>
              <w:tc>
                <w:tcPr>
                  <w:tcW w:w="1222" w:type="dxa"/>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270</w:t>
                  </w:r>
                </w:p>
              </w:tc>
              <w:tc>
                <w:tcPr>
                  <w:tcW w:w="1057" w:type="dxa"/>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0.053</w:t>
                  </w:r>
                </w:p>
              </w:tc>
              <w:tc>
                <w:tcPr>
                  <w:tcW w:w="1057" w:type="dxa"/>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0.468</w:t>
                  </w:r>
                </w:p>
              </w:tc>
              <w:tc>
                <w:tcPr>
                  <w:tcW w:w="1057" w:type="dxa"/>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0.004</w:t>
                  </w:r>
                </w:p>
              </w:tc>
              <w:tc>
                <w:tcPr>
                  <w:tcW w:w="943" w:type="dxa"/>
                  <w:tcBorders>
                    <w:top w:val="double" w:color="auto" w:sz="4"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rPr>
                  </w:pPr>
                  <w:r>
                    <w:rPr>
                      <w:rFonts w:ascii="Times New Roman" w:hAnsi="Times New Roman"/>
                    </w:rPr>
                    <w:t>0.034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59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rPr>
                  </w:pPr>
                  <w:r>
                    <w:rPr>
                      <w:rFonts w:hint="eastAsia" w:ascii="Times New Roman" w:hAnsi="Times New Roman"/>
                    </w:rPr>
                    <w:t>生化处理阶段</w:t>
                  </w:r>
                </w:p>
              </w:tc>
              <w:tc>
                <w:tcPr>
                  <w:tcW w:w="255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AAO</w:t>
                  </w:r>
                </w:p>
              </w:tc>
              <w:tc>
                <w:tcPr>
                  <w:tcW w:w="122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1989</w:t>
                  </w:r>
                </w:p>
              </w:tc>
              <w:tc>
                <w:tcPr>
                  <w:tcW w:w="1057"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0.322</w:t>
                  </w:r>
                </w:p>
              </w:tc>
              <w:tc>
                <w:tcPr>
                  <w:tcW w:w="1057"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2.823</w:t>
                  </w:r>
                </w:p>
              </w:tc>
              <w:tc>
                <w:tcPr>
                  <w:tcW w:w="1057"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0.036</w:t>
                  </w:r>
                </w:p>
              </w:tc>
              <w:tc>
                <w:tcPr>
                  <w:tcW w:w="943"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rPr>
                  </w:pPr>
                  <w:r>
                    <w:rPr>
                      <w:rFonts w:ascii="Times New Roman" w:hAnsi="Times New Roman"/>
                    </w:rPr>
                    <w:t>0.314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598" w:type="dxa"/>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rPr>
                  </w:pPr>
                  <w:r>
                    <w:rPr>
                      <w:rFonts w:hint="eastAsia" w:ascii="Times New Roman" w:hAnsi="Times New Roman"/>
                    </w:rPr>
                    <w:t>污泥处理工段</w:t>
                  </w:r>
                </w:p>
              </w:tc>
              <w:tc>
                <w:tcPr>
                  <w:tcW w:w="255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hint="eastAsia" w:ascii="Times New Roman" w:hAnsi="Times New Roman"/>
                    </w:rPr>
                    <w:t>贮泥池、污泥浓缩脱水间</w:t>
                  </w:r>
                </w:p>
              </w:tc>
              <w:tc>
                <w:tcPr>
                  <w:tcW w:w="122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349</w:t>
                  </w:r>
                </w:p>
              </w:tc>
              <w:tc>
                <w:tcPr>
                  <w:tcW w:w="1057"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0.352</w:t>
                  </w:r>
                </w:p>
              </w:tc>
              <w:tc>
                <w:tcPr>
                  <w:tcW w:w="1057"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3.082</w:t>
                  </w:r>
                </w:p>
              </w:tc>
              <w:tc>
                <w:tcPr>
                  <w:tcW w:w="1057"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0.025</w:t>
                  </w:r>
                </w:p>
              </w:tc>
              <w:tc>
                <w:tcPr>
                  <w:tcW w:w="943"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rPr>
                  </w:pPr>
                  <w:r>
                    <w:rPr>
                      <w:rFonts w:ascii="Times New Roman" w:hAnsi="Times New Roman"/>
                    </w:rPr>
                    <w:t>0.220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4150" w:type="dxa"/>
                  <w:gridSpan w:val="2"/>
                  <w:tcBorders>
                    <w:top w:val="single" w:color="auto" w:sz="6" w:space="0"/>
                    <w:left w:val="single" w:color="auto" w:sz="12" w:space="0"/>
                    <w:bottom w:val="single" w:color="auto" w:sz="12" w:space="0"/>
                    <w:right w:val="single" w:color="auto" w:sz="6" w:space="0"/>
                  </w:tcBorders>
                  <w:vAlign w:val="center"/>
                </w:tcPr>
                <w:p>
                  <w:pPr>
                    <w:spacing w:line="320" w:lineRule="exact"/>
                    <w:jc w:val="center"/>
                    <w:rPr>
                      <w:rFonts w:ascii="Times New Roman" w:hAnsi="Times New Roman"/>
                    </w:rPr>
                  </w:pPr>
                  <w:r>
                    <w:rPr>
                      <w:rFonts w:hint="eastAsia" w:ascii="Times New Roman" w:hAnsi="Times New Roman"/>
                    </w:rPr>
                    <w:t>合计</w:t>
                  </w:r>
                </w:p>
              </w:tc>
              <w:tc>
                <w:tcPr>
                  <w:tcW w:w="1222" w:type="dxa"/>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r>
                    <w:rPr>
                      <w:rFonts w:ascii="Times New Roman" w:hAnsi="Times New Roman"/>
                    </w:rPr>
                    <w:t>2608</w:t>
                  </w:r>
                </w:p>
              </w:tc>
              <w:tc>
                <w:tcPr>
                  <w:tcW w:w="1057" w:type="dxa"/>
                  <w:tcBorders>
                    <w:top w:val="single" w:color="auto" w:sz="6" w:space="0"/>
                    <w:left w:val="single" w:color="auto" w:sz="6" w:space="0"/>
                    <w:bottom w:val="single" w:color="auto" w:sz="12" w:space="0"/>
                    <w:right w:val="single" w:color="auto" w:sz="6" w:space="0"/>
                  </w:tcBorders>
                </w:tcPr>
                <w:p>
                  <w:pPr>
                    <w:spacing w:line="320" w:lineRule="exact"/>
                    <w:jc w:val="center"/>
                    <w:rPr>
                      <w:rFonts w:ascii="Times New Roman" w:hAnsi="Times New Roman"/>
                    </w:rPr>
                  </w:pPr>
                  <w:r>
                    <w:rPr>
                      <w:rFonts w:ascii="Times New Roman" w:hAnsi="Times New Roman"/>
                    </w:rPr>
                    <w:t>0.727</w:t>
                  </w:r>
                </w:p>
              </w:tc>
              <w:tc>
                <w:tcPr>
                  <w:tcW w:w="1057" w:type="dxa"/>
                  <w:tcBorders>
                    <w:top w:val="single" w:color="auto" w:sz="6" w:space="0"/>
                    <w:left w:val="single" w:color="auto" w:sz="6" w:space="0"/>
                    <w:bottom w:val="single" w:color="auto" w:sz="12" w:space="0"/>
                    <w:right w:val="single" w:color="auto" w:sz="6" w:space="0"/>
                  </w:tcBorders>
                </w:tcPr>
                <w:p>
                  <w:pPr>
                    <w:spacing w:line="320" w:lineRule="exact"/>
                    <w:jc w:val="center"/>
                    <w:rPr>
                      <w:rFonts w:ascii="Times New Roman" w:hAnsi="Times New Roman"/>
                    </w:rPr>
                  </w:pPr>
                  <w:r>
                    <w:rPr>
                      <w:rFonts w:ascii="Times New Roman" w:hAnsi="Times New Roman"/>
                    </w:rPr>
                    <w:t>6.373</w:t>
                  </w:r>
                </w:p>
              </w:tc>
              <w:tc>
                <w:tcPr>
                  <w:tcW w:w="1057" w:type="dxa"/>
                  <w:tcBorders>
                    <w:top w:val="single" w:color="auto" w:sz="6" w:space="0"/>
                    <w:left w:val="single" w:color="auto" w:sz="6" w:space="0"/>
                    <w:bottom w:val="single" w:color="auto" w:sz="12" w:space="0"/>
                    <w:right w:val="single" w:color="auto" w:sz="6" w:space="0"/>
                  </w:tcBorders>
                </w:tcPr>
                <w:p>
                  <w:pPr>
                    <w:spacing w:line="320" w:lineRule="exact"/>
                    <w:jc w:val="center"/>
                    <w:rPr>
                      <w:rFonts w:ascii="Times New Roman" w:hAnsi="Times New Roman"/>
                    </w:rPr>
                  </w:pPr>
                  <w:r>
                    <w:rPr>
                      <w:rFonts w:ascii="Times New Roman" w:hAnsi="Times New Roman"/>
                    </w:rPr>
                    <w:t>0.065</w:t>
                  </w:r>
                </w:p>
              </w:tc>
              <w:tc>
                <w:tcPr>
                  <w:tcW w:w="943" w:type="dxa"/>
                  <w:tcBorders>
                    <w:top w:val="single" w:color="auto" w:sz="6" w:space="0"/>
                    <w:left w:val="single" w:color="auto" w:sz="6" w:space="0"/>
                    <w:bottom w:val="single" w:color="auto" w:sz="12" w:space="0"/>
                    <w:right w:val="single" w:color="auto" w:sz="12" w:space="0"/>
                  </w:tcBorders>
                </w:tcPr>
                <w:p>
                  <w:pPr>
                    <w:spacing w:line="320" w:lineRule="exact"/>
                    <w:jc w:val="center"/>
                    <w:rPr>
                      <w:rFonts w:ascii="Times New Roman" w:hAnsi="Times New Roman"/>
                    </w:rPr>
                  </w:pPr>
                  <w:r>
                    <w:rPr>
                      <w:rFonts w:ascii="Times New Roman" w:hAnsi="Times New Roman"/>
                    </w:rPr>
                    <w:t>0.568</w:t>
                  </w:r>
                </w:p>
              </w:tc>
            </w:tr>
          </w:tbl>
          <w:p>
            <w:pPr>
              <w:pStyle w:val="114"/>
            </w:pPr>
            <w:r>
              <w:rPr>
                <w:rFonts w:hint="eastAsia"/>
              </w:rPr>
              <w:t>为了减少恶臭气体对厂区周边环境的影响，本工程对粗格栅、细格栅采用局部加罩、对进水泵房、曝气沉砂池、</w:t>
            </w:r>
            <w:r>
              <w:t>AAO</w:t>
            </w:r>
            <w:r>
              <w:rPr>
                <w:rFonts w:hint="eastAsia"/>
              </w:rPr>
              <w:t>、贮泥池、污泥浓缩脱水间等恶臭源采取全封闭形式建设，臭气经收集，进入</w:t>
            </w:r>
            <w:r>
              <w:t>1#</w:t>
            </w:r>
            <w:r>
              <w:rPr>
                <w:rFonts w:hint="eastAsia"/>
              </w:rPr>
              <w:t>生物滤池处理后，通过</w:t>
            </w:r>
            <w:r>
              <w:t>15m</w:t>
            </w:r>
            <w:r>
              <w:rPr>
                <w:rFonts w:hint="eastAsia"/>
              </w:rPr>
              <w:t>高（直径</w:t>
            </w:r>
            <w:r>
              <w:t>0.5m</w:t>
            </w:r>
            <w:r>
              <w:rPr>
                <w:rFonts w:hint="eastAsia"/>
              </w:rPr>
              <w:t>）的排气筒排放。</w:t>
            </w:r>
          </w:p>
          <w:p>
            <w:pPr>
              <w:pStyle w:val="114"/>
            </w:pPr>
            <w:r>
              <w:rPr>
                <w:rFonts w:hint="eastAsia"/>
              </w:rPr>
              <w:t>参照《生物脱臭技术研究进展与展望》（陈飞，四川环境，</w:t>
            </w:r>
            <w:r>
              <w:t>2004</w:t>
            </w:r>
            <w:r>
              <w:rPr>
                <w:rFonts w:hint="eastAsia"/>
              </w:rPr>
              <w:t>），生物过滤法对臭气中</w:t>
            </w:r>
            <w:r>
              <w:t>NH</w:t>
            </w:r>
            <w:r>
              <w:rPr>
                <w:vertAlign w:val="subscript"/>
              </w:rPr>
              <w:t>3</w:t>
            </w:r>
            <w:r>
              <w:rPr>
                <w:rFonts w:hint="eastAsia"/>
              </w:rPr>
              <w:t>的去除效率为</w:t>
            </w:r>
            <w:r>
              <w:t>96.4%</w:t>
            </w:r>
            <w:r>
              <w:rPr>
                <w:rFonts w:hint="eastAsia"/>
              </w:rPr>
              <w:t>，对</w:t>
            </w:r>
            <w:r>
              <w:t>H</w:t>
            </w:r>
            <w:r>
              <w:rPr>
                <w:vertAlign w:val="subscript"/>
              </w:rPr>
              <w:t>2</w:t>
            </w:r>
            <w:r>
              <w:t>S</w:t>
            </w:r>
            <w:r>
              <w:rPr>
                <w:rFonts w:hint="eastAsia"/>
              </w:rPr>
              <w:t>的去除效率为</w:t>
            </w:r>
            <w:r>
              <w:t>99.9%</w:t>
            </w:r>
            <w:r>
              <w:rPr>
                <w:rFonts w:hint="eastAsia"/>
              </w:rPr>
              <w:t>。本工程设计采用生物滤池除臭系统进行处理，</w:t>
            </w:r>
            <w:r>
              <w:t>NH</w:t>
            </w:r>
            <w:r>
              <w:rPr>
                <w:vertAlign w:val="subscript"/>
              </w:rPr>
              <w:t>3</w:t>
            </w:r>
            <w:r>
              <w:rPr>
                <w:rFonts w:hint="eastAsia"/>
              </w:rPr>
              <w:t>、</w:t>
            </w:r>
            <w:r>
              <w:t>H</w:t>
            </w:r>
            <w:r>
              <w:rPr>
                <w:vertAlign w:val="subscript"/>
              </w:rPr>
              <w:t>2</w:t>
            </w:r>
            <w:r>
              <w:t>S</w:t>
            </w:r>
            <w:r>
              <w:rPr>
                <w:rFonts w:hint="eastAsia"/>
              </w:rPr>
              <w:t>的去除效率取</w:t>
            </w:r>
            <w:r>
              <w:t>95%</w:t>
            </w:r>
            <w:r>
              <w:rPr>
                <w:rFonts w:hint="eastAsia"/>
              </w:rPr>
              <w:t>。预处理工段废气收集率以</w:t>
            </w:r>
            <w:r>
              <w:t>90%</w:t>
            </w:r>
            <w:r>
              <w:rPr>
                <w:rFonts w:hint="eastAsia"/>
              </w:rPr>
              <w:t>核算，其余工段密闭，按全部收集核算。则本项目污水处理恶臭有组织污染源强详见表</w:t>
            </w:r>
            <w:r>
              <w:t>5-4</w:t>
            </w:r>
            <w:r>
              <w:rPr>
                <w:rFonts w:hint="eastAsia"/>
              </w:rPr>
              <w:t>。</w:t>
            </w:r>
          </w:p>
          <w:p>
            <w:pPr>
              <w:pStyle w:val="111"/>
              <w:rPr>
                <w:bCs/>
              </w:rPr>
            </w:pPr>
            <w:r>
              <w:rPr>
                <w:rFonts w:hint="eastAsia"/>
                <w:bCs/>
              </w:rPr>
              <w:t>表</w:t>
            </w:r>
            <w:r>
              <w:rPr>
                <w:bCs/>
              </w:rPr>
              <w:t>5-4</w:t>
            </w:r>
            <w:r>
              <w:rPr>
                <w:rFonts w:hint="eastAsia"/>
              </w:rPr>
              <w:t>本项目新增恶臭污染物有组织源强一览表</w:t>
            </w:r>
          </w:p>
          <w:tbl>
            <w:tblPr>
              <w:tblStyle w:val="37"/>
              <w:tblW w:w="924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2"/>
              <w:gridCol w:w="1087"/>
              <w:gridCol w:w="1138"/>
              <w:gridCol w:w="1143"/>
              <w:gridCol w:w="1004"/>
              <w:gridCol w:w="1004"/>
              <w:gridCol w:w="1004"/>
              <w:gridCol w:w="932"/>
              <w:gridCol w:w="9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6" w:hRule="atLeast"/>
                <w:tblHeader/>
                <w:jc w:val="center"/>
              </w:trPr>
              <w:tc>
                <w:tcPr>
                  <w:tcW w:w="1002" w:type="dxa"/>
                  <w:vMerge w:val="restart"/>
                  <w:tcBorders>
                    <w:top w:val="single" w:color="auto" w:sz="12" w:space="0"/>
                    <w:left w:val="single" w:color="auto" w:sz="12" w:space="0"/>
                    <w:bottom w:val="single" w:color="auto" w:sz="6" w:space="0"/>
                    <w:right w:val="single" w:color="auto" w:sz="6" w:space="0"/>
                  </w:tcBorders>
                  <w:vAlign w:val="center"/>
                </w:tcPr>
                <w:p>
                  <w:pPr>
                    <w:pStyle w:val="77"/>
                    <w:rPr>
                      <w:b/>
                      <w:bCs/>
                    </w:rPr>
                  </w:pPr>
                  <w:r>
                    <w:rPr>
                      <w:rFonts w:hint="eastAsia"/>
                      <w:b/>
                      <w:bCs/>
                    </w:rPr>
                    <w:t>污染源</w:t>
                  </w:r>
                </w:p>
              </w:tc>
              <w:tc>
                <w:tcPr>
                  <w:tcW w:w="1087"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污染物</w:t>
                  </w:r>
                </w:p>
              </w:tc>
              <w:tc>
                <w:tcPr>
                  <w:tcW w:w="2281" w:type="dxa"/>
                  <w:gridSpan w:val="2"/>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产生情况</w:t>
                  </w:r>
                </w:p>
              </w:tc>
              <w:tc>
                <w:tcPr>
                  <w:tcW w:w="1004"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风量</w:t>
                  </w:r>
                  <w:r>
                    <w:rPr>
                      <w:b/>
                      <w:bCs/>
                    </w:rPr>
                    <w:t>m</w:t>
                  </w:r>
                  <w:r>
                    <w:rPr>
                      <w:b/>
                      <w:bCs/>
                      <w:vertAlign w:val="superscript"/>
                    </w:rPr>
                    <w:t>3</w:t>
                  </w:r>
                  <w:r>
                    <w:rPr>
                      <w:b/>
                      <w:bCs/>
                    </w:rPr>
                    <w:t>/h</w:t>
                  </w:r>
                </w:p>
              </w:tc>
              <w:tc>
                <w:tcPr>
                  <w:tcW w:w="1004"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处理</w:t>
                  </w:r>
                </w:p>
                <w:p>
                  <w:pPr>
                    <w:pStyle w:val="77"/>
                    <w:rPr>
                      <w:b/>
                      <w:bCs/>
                    </w:rPr>
                  </w:pPr>
                  <w:r>
                    <w:rPr>
                      <w:rFonts w:hint="eastAsia"/>
                      <w:b/>
                      <w:bCs/>
                    </w:rPr>
                    <w:t>效率</w:t>
                  </w:r>
                </w:p>
              </w:tc>
              <w:tc>
                <w:tcPr>
                  <w:tcW w:w="2868" w:type="dxa"/>
                  <w:gridSpan w:val="3"/>
                  <w:tcBorders>
                    <w:top w:val="single" w:color="auto" w:sz="12" w:space="0"/>
                    <w:left w:val="single" w:color="auto" w:sz="6" w:space="0"/>
                    <w:bottom w:val="single" w:color="auto" w:sz="6" w:space="0"/>
                    <w:right w:val="single" w:color="auto" w:sz="12" w:space="0"/>
                  </w:tcBorders>
                  <w:vAlign w:val="center"/>
                </w:tcPr>
                <w:p>
                  <w:pPr>
                    <w:pStyle w:val="77"/>
                    <w:rPr>
                      <w:b/>
                      <w:bCs/>
                    </w:rPr>
                  </w:pPr>
                  <w:r>
                    <w:rPr>
                      <w:rFonts w:hint="eastAsia"/>
                      <w:b/>
                      <w:bCs/>
                    </w:rPr>
                    <w:t>排放情况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002" w:type="dxa"/>
                  <w:vMerge w:val="continue"/>
                  <w:tcBorders>
                    <w:top w:val="single" w:color="auto" w:sz="6" w:space="0"/>
                    <w:left w:val="single" w:color="auto" w:sz="12" w:space="0"/>
                    <w:bottom w:val="double" w:color="auto" w:sz="4" w:space="0"/>
                    <w:right w:val="single" w:color="auto" w:sz="6" w:space="0"/>
                  </w:tcBorders>
                  <w:vAlign w:val="center"/>
                </w:tcPr>
                <w:p>
                  <w:pPr>
                    <w:pStyle w:val="77"/>
                    <w:rPr>
                      <w:b/>
                      <w:bCs/>
                    </w:rPr>
                  </w:pPr>
                </w:p>
              </w:tc>
              <w:tc>
                <w:tcPr>
                  <w:tcW w:w="1087"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1138"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速率</w:t>
                  </w:r>
                  <w:r>
                    <w:rPr>
                      <w:b/>
                      <w:bCs/>
                    </w:rPr>
                    <w:t>kg/h</w:t>
                  </w:r>
                </w:p>
              </w:tc>
              <w:tc>
                <w:tcPr>
                  <w:tcW w:w="1143"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产生量</w:t>
                  </w:r>
                  <w:r>
                    <w:rPr>
                      <w:b/>
                      <w:bCs/>
                    </w:rPr>
                    <w:t>t/a</w:t>
                  </w:r>
                </w:p>
              </w:tc>
              <w:tc>
                <w:tcPr>
                  <w:tcW w:w="1004"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1004"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1004"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速率</w:t>
                  </w:r>
                  <w:r>
                    <w:rPr>
                      <w:b/>
                      <w:bCs/>
                    </w:rPr>
                    <w:t>kg/h</w:t>
                  </w:r>
                </w:p>
              </w:tc>
              <w:tc>
                <w:tcPr>
                  <w:tcW w:w="932"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排放量</w:t>
                  </w:r>
                  <w:r>
                    <w:rPr>
                      <w:b/>
                      <w:bCs/>
                    </w:rPr>
                    <w:t>t/a</w:t>
                  </w:r>
                </w:p>
              </w:tc>
              <w:tc>
                <w:tcPr>
                  <w:tcW w:w="932" w:type="dxa"/>
                  <w:tcBorders>
                    <w:top w:val="single" w:color="auto" w:sz="6" w:space="0"/>
                    <w:left w:val="single" w:color="auto" w:sz="6" w:space="0"/>
                    <w:bottom w:val="double" w:color="auto" w:sz="4" w:space="0"/>
                    <w:right w:val="single" w:color="auto" w:sz="12" w:space="0"/>
                  </w:tcBorders>
                  <w:vAlign w:val="center"/>
                </w:tcPr>
                <w:p>
                  <w:pPr>
                    <w:pStyle w:val="77"/>
                    <w:rPr>
                      <w:b/>
                      <w:bCs/>
                    </w:rPr>
                  </w:pPr>
                  <w:r>
                    <w:rPr>
                      <w:rFonts w:hint="eastAsia"/>
                      <w:b/>
                      <w:bCs/>
                    </w:rPr>
                    <w:t>浓度</w:t>
                  </w:r>
                  <w:r>
                    <w:rPr>
                      <w:b/>
                      <w:bCs/>
                    </w:rPr>
                    <w:t>mg/m</w:t>
                  </w:r>
                  <w:r>
                    <w:rPr>
                      <w:b/>
                      <w:bCs/>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002" w:type="dxa"/>
                  <w:vMerge w:val="restart"/>
                  <w:tcBorders>
                    <w:top w:val="double" w:color="auto" w:sz="4" w:space="0"/>
                    <w:left w:val="single" w:color="auto" w:sz="12" w:space="0"/>
                    <w:bottom w:val="single" w:color="auto" w:sz="6" w:space="0"/>
                    <w:right w:val="single" w:color="auto" w:sz="6" w:space="0"/>
                  </w:tcBorders>
                  <w:vAlign w:val="center"/>
                </w:tcPr>
                <w:p>
                  <w:pPr>
                    <w:pStyle w:val="77"/>
                  </w:pPr>
                  <w:r>
                    <w:t>1#</w:t>
                  </w:r>
                  <w:r>
                    <w:rPr>
                      <w:rFonts w:hint="eastAsia"/>
                    </w:rPr>
                    <w:t>排气筒</w:t>
                  </w:r>
                </w:p>
              </w:tc>
              <w:tc>
                <w:tcPr>
                  <w:tcW w:w="1087" w:type="dxa"/>
                  <w:tcBorders>
                    <w:top w:val="double" w:color="auto" w:sz="4" w:space="0"/>
                    <w:left w:val="single" w:color="auto" w:sz="6" w:space="0"/>
                    <w:bottom w:val="single" w:color="auto" w:sz="6" w:space="0"/>
                    <w:right w:val="single" w:color="auto" w:sz="6" w:space="0"/>
                  </w:tcBorders>
                  <w:vAlign w:val="center"/>
                </w:tcPr>
                <w:p>
                  <w:pPr>
                    <w:pStyle w:val="77"/>
                  </w:pPr>
                  <w:r>
                    <w:t>NH</w:t>
                  </w:r>
                  <w:r>
                    <w:rPr>
                      <w:vertAlign w:val="subscript"/>
                    </w:rPr>
                    <w:t>3</w:t>
                  </w:r>
                </w:p>
              </w:tc>
              <w:tc>
                <w:tcPr>
                  <w:tcW w:w="1138" w:type="dxa"/>
                  <w:tcBorders>
                    <w:top w:val="double" w:color="auto" w:sz="4" w:space="0"/>
                    <w:left w:val="single" w:color="auto" w:sz="6" w:space="0"/>
                    <w:bottom w:val="single" w:color="auto" w:sz="6" w:space="0"/>
                    <w:right w:val="single" w:color="auto" w:sz="6" w:space="0"/>
                  </w:tcBorders>
                </w:tcPr>
                <w:p>
                  <w:pPr>
                    <w:pStyle w:val="77"/>
                  </w:pPr>
                  <w:r>
                    <w:t>0.722</w:t>
                  </w:r>
                </w:p>
              </w:tc>
              <w:tc>
                <w:tcPr>
                  <w:tcW w:w="1143" w:type="dxa"/>
                  <w:tcBorders>
                    <w:top w:val="double" w:color="auto" w:sz="4" w:space="0"/>
                    <w:left w:val="single" w:color="auto" w:sz="6" w:space="0"/>
                    <w:bottom w:val="single" w:color="auto" w:sz="6" w:space="0"/>
                    <w:right w:val="single" w:color="auto" w:sz="6" w:space="0"/>
                  </w:tcBorders>
                </w:tcPr>
                <w:p>
                  <w:pPr>
                    <w:pStyle w:val="77"/>
                  </w:pPr>
                  <w:r>
                    <w:t>6.326</w:t>
                  </w:r>
                </w:p>
              </w:tc>
              <w:tc>
                <w:tcPr>
                  <w:tcW w:w="1004" w:type="dxa"/>
                  <w:vMerge w:val="restart"/>
                  <w:tcBorders>
                    <w:top w:val="double" w:color="auto" w:sz="4" w:space="0"/>
                    <w:left w:val="single" w:color="auto" w:sz="6" w:space="0"/>
                    <w:bottom w:val="single" w:color="auto" w:sz="6" w:space="0"/>
                    <w:right w:val="single" w:color="auto" w:sz="6" w:space="0"/>
                  </w:tcBorders>
                  <w:vAlign w:val="center"/>
                </w:tcPr>
                <w:p>
                  <w:pPr>
                    <w:pStyle w:val="77"/>
                  </w:pPr>
                  <w:r>
                    <w:t>60000</w:t>
                  </w:r>
                </w:p>
              </w:tc>
              <w:tc>
                <w:tcPr>
                  <w:tcW w:w="1004" w:type="dxa"/>
                  <w:vMerge w:val="restart"/>
                  <w:tcBorders>
                    <w:top w:val="double" w:color="auto" w:sz="4" w:space="0"/>
                    <w:left w:val="single" w:color="auto" w:sz="6" w:space="0"/>
                    <w:bottom w:val="single" w:color="auto" w:sz="6" w:space="0"/>
                    <w:right w:val="single" w:color="auto" w:sz="6" w:space="0"/>
                  </w:tcBorders>
                  <w:vAlign w:val="center"/>
                </w:tcPr>
                <w:p>
                  <w:pPr>
                    <w:pStyle w:val="77"/>
                  </w:pPr>
                  <w:r>
                    <w:t>95%</w:t>
                  </w:r>
                </w:p>
              </w:tc>
              <w:tc>
                <w:tcPr>
                  <w:tcW w:w="1004" w:type="dxa"/>
                  <w:tcBorders>
                    <w:top w:val="double" w:color="auto" w:sz="4" w:space="0"/>
                    <w:left w:val="single" w:color="auto" w:sz="6" w:space="0"/>
                    <w:bottom w:val="single" w:color="auto" w:sz="6" w:space="0"/>
                    <w:right w:val="single" w:color="auto" w:sz="6" w:space="0"/>
                  </w:tcBorders>
                  <w:vAlign w:val="center"/>
                </w:tcPr>
                <w:p>
                  <w:pPr>
                    <w:pStyle w:val="77"/>
                  </w:pPr>
                  <w:r>
                    <w:t>0.0361</w:t>
                  </w:r>
                </w:p>
              </w:tc>
              <w:tc>
                <w:tcPr>
                  <w:tcW w:w="932" w:type="dxa"/>
                  <w:tcBorders>
                    <w:top w:val="double" w:color="auto" w:sz="4" w:space="0"/>
                    <w:left w:val="single" w:color="auto" w:sz="6" w:space="0"/>
                    <w:bottom w:val="single" w:color="auto" w:sz="6" w:space="0"/>
                    <w:right w:val="single" w:color="auto" w:sz="6" w:space="0"/>
                  </w:tcBorders>
                  <w:vAlign w:val="center"/>
                </w:tcPr>
                <w:p>
                  <w:pPr>
                    <w:pStyle w:val="77"/>
                  </w:pPr>
                  <w:r>
                    <w:t>0.316</w:t>
                  </w:r>
                </w:p>
              </w:tc>
              <w:tc>
                <w:tcPr>
                  <w:tcW w:w="932" w:type="dxa"/>
                  <w:tcBorders>
                    <w:top w:val="double" w:color="auto" w:sz="4" w:space="0"/>
                    <w:left w:val="single" w:color="auto" w:sz="6" w:space="0"/>
                    <w:bottom w:val="single" w:color="auto" w:sz="6" w:space="0"/>
                    <w:right w:val="single" w:color="auto" w:sz="12" w:space="0"/>
                  </w:tcBorders>
                </w:tcPr>
                <w:p>
                  <w:pPr>
                    <w:pStyle w:val="77"/>
                  </w:pPr>
                  <w:r>
                    <w:t>0.60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002" w:type="dxa"/>
                  <w:vMerge w:val="continue"/>
                  <w:tcBorders>
                    <w:top w:val="single" w:color="auto" w:sz="6" w:space="0"/>
                    <w:left w:val="single" w:color="auto" w:sz="12" w:space="0"/>
                    <w:bottom w:val="single" w:color="auto" w:sz="12" w:space="0"/>
                    <w:right w:val="single" w:color="auto" w:sz="6" w:space="0"/>
                  </w:tcBorders>
                  <w:vAlign w:val="center"/>
                </w:tcPr>
                <w:p>
                  <w:pPr>
                    <w:pStyle w:val="77"/>
                  </w:pPr>
                </w:p>
              </w:tc>
              <w:tc>
                <w:tcPr>
                  <w:tcW w:w="1087" w:type="dxa"/>
                  <w:tcBorders>
                    <w:top w:val="single" w:color="auto" w:sz="6" w:space="0"/>
                    <w:left w:val="single" w:color="auto" w:sz="6" w:space="0"/>
                    <w:bottom w:val="single" w:color="auto" w:sz="12" w:space="0"/>
                    <w:right w:val="single" w:color="auto" w:sz="6" w:space="0"/>
                  </w:tcBorders>
                  <w:vAlign w:val="center"/>
                </w:tcPr>
                <w:p>
                  <w:pPr>
                    <w:pStyle w:val="77"/>
                  </w:pPr>
                  <w:r>
                    <w:t>H</w:t>
                  </w:r>
                  <w:r>
                    <w:rPr>
                      <w:vertAlign w:val="subscript"/>
                    </w:rPr>
                    <w:t>2</w:t>
                  </w:r>
                  <w:r>
                    <w:t>S</w:t>
                  </w:r>
                </w:p>
              </w:tc>
              <w:tc>
                <w:tcPr>
                  <w:tcW w:w="1138" w:type="dxa"/>
                  <w:tcBorders>
                    <w:top w:val="single" w:color="auto" w:sz="6" w:space="0"/>
                    <w:left w:val="single" w:color="auto" w:sz="6" w:space="0"/>
                    <w:bottom w:val="single" w:color="auto" w:sz="12" w:space="0"/>
                    <w:right w:val="single" w:color="auto" w:sz="6" w:space="0"/>
                  </w:tcBorders>
                </w:tcPr>
                <w:p>
                  <w:pPr>
                    <w:pStyle w:val="77"/>
                  </w:pPr>
                  <w:r>
                    <w:t>0.065</w:t>
                  </w:r>
                </w:p>
              </w:tc>
              <w:tc>
                <w:tcPr>
                  <w:tcW w:w="1143" w:type="dxa"/>
                  <w:tcBorders>
                    <w:top w:val="single" w:color="auto" w:sz="6" w:space="0"/>
                    <w:left w:val="single" w:color="auto" w:sz="6" w:space="0"/>
                    <w:bottom w:val="single" w:color="auto" w:sz="12" w:space="0"/>
                    <w:right w:val="single" w:color="auto" w:sz="6" w:space="0"/>
                  </w:tcBorders>
                </w:tcPr>
                <w:p>
                  <w:pPr>
                    <w:pStyle w:val="77"/>
                  </w:pPr>
                  <w:r>
                    <w:t>0.565</w:t>
                  </w:r>
                </w:p>
              </w:tc>
              <w:tc>
                <w:tcPr>
                  <w:tcW w:w="1004" w:type="dxa"/>
                  <w:vMerge w:val="continue"/>
                  <w:tcBorders>
                    <w:top w:val="single" w:color="auto" w:sz="6" w:space="0"/>
                    <w:left w:val="single" w:color="auto" w:sz="6" w:space="0"/>
                    <w:bottom w:val="single" w:color="auto" w:sz="12" w:space="0"/>
                    <w:right w:val="single" w:color="auto" w:sz="6" w:space="0"/>
                  </w:tcBorders>
                  <w:vAlign w:val="center"/>
                </w:tcPr>
                <w:p>
                  <w:pPr>
                    <w:pStyle w:val="77"/>
                  </w:pPr>
                </w:p>
              </w:tc>
              <w:tc>
                <w:tcPr>
                  <w:tcW w:w="1004" w:type="dxa"/>
                  <w:vMerge w:val="continue"/>
                  <w:tcBorders>
                    <w:top w:val="single" w:color="auto" w:sz="6" w:space="0"/>
                    <w:left w:val="single" w:color="auto" w:sz="6" w:space="0"/>
                    <w:bottom w:val="single" w:color="auto" w:sz="12" w:space="0"/>
                    <w:right w:val="single" w:color="auto" w:sz="6" w:space="0"/>
                  </w:tcBorders>
                  <w:vAlign w:val="center"/>
                </w:tcPr>
                <w:p>
                  <w:pPr>
                    <w:pStyle w:val="77"/>
                  </w:pPr>
                </w:p>
              </w:tc>
              <w:tc>
                <w:tcPr>
                  <w:tcW w:w="1004" w:type="dxa"/>
                  <w:tcBorders>
                    <w:top w:val="single" w:color="auto" w:sz="6" w:space="0"/>
                    <w:left w:val="single" w:color="auto" w:sz="6" w:space="0"/>
                    <w:bottom w:val="single" w:color="auto" w:sz="12" w:space="0"/>
                    <w:right w:val="single" w:color="auto" w:sz="6" w:space="0"/>
                  </w:tcBorders>
                  <w:vAlign w:val="center"/>
                </w:tcPr>
                <w:p>
                  <w:pPr>
                    <w:pStyle w:val="77"/>
                  </w:pPr>
                  <w:r>
                    <w:t>0.0033</w:t>
                  </w:r>
                </w:p>
              </w:tc>
              <w:tc>
                <w:tcPr>
                  <w:tcW w:w="932" w:type="dxa"/>
                  <w:tcBorders>
                    <w:top w:val="single" w:color="auto" w:sz="6" w:space="0"/>
                    <w:left w:val="single" w:color="auto" w:sz="6" w:space="0"/>
                    <w:bottom w:val="single" w:color="auto" w:sz="12" w:space="0"/>
                    <w:right w:val="single" w:color="auto" w:sz="6" w:space="0"/>
                  </w:tcBorders>
                  <w:vAlign w:val="center"/>
                </w:tcPr>
                <w:p>
                  <w:pPr>
                    <w:pStyle w:val="77"/>
                  </w:pPr>
                  <w:r>
                    <w:t>0.028</w:t>
                  </w:r>
                </w:p>
              </w:tc>
              <w:tc>
                <w:tcPr>
                  <w:tcW w:w="932" w:type="dxa"/>
                  <w:tcBorders>
                    <w:top w:val="single" w:color="auto" w:sz="6" w:space="0"/>
                    <w:left w:val="single" w:color="auto" w:sz="6" w:space="0"/>
                    <w:bottom w:val="single" w:color="auto" w:sz="12" w:space="0"/>
                    <w:right w:val="single" w:color="auto" w:sz="12" w:space="0"/>
                  </w:tcBorders>
                  <w:vAlign w:val="center"/>
                </w:tcPr>
                <w:p>
                  <w:pPr>
                    <w:pStyle w:val="77"/>
                  </w:pPr>
                  <w:r>
                    <w:t>0.054</w:t>
                  </w:r>
                </w:p>
              </w:tc>
            </w:tr>
          </w:tbl>
          <w:p>
            <w:pPr>
              <w:pStyle w:val="114"/>
            </w:pPr>
            <w:r>
              <w:rPr>
                <w:rFonts w:hint="eastAsia"/>
              </w:rPr>
              <w:t>本项目无组织排放源强为：</w:t>
            </w:r>
            <w:r>
              <w:t>NH</w:t>
            </w:r>
            <w:r>
              <w:rPr>
                <w:vertAlign w:val="subscript"/>
              </w:rPr>
              <w:t>3</w:t>
            </w:r>
            <w:r>
              <w:rPr>
                <w:rFonts w:hint="eastAsia"/>
              </w:rPr>
              <w:t>：</w:t>
            </w:r>
            <w:r>
              <w:t>0.047t/a</w:t>
            </w:r>
            <w:r>
              <w:rPr>
                <w:rFonts w:hint="eastAsia"/>
              </w:rPr>
              <w:t>、</w:t>
            </w:r>
            <w:r>
              <w:t>H</w:t>
            </w:r>
            <w:r>
              <w:rPr>
                <w:vertAlign w:val="subscript"/>
              </w:rPr>
              <w:t>2</w:t>
            </w:r>
            <w:r>
              <w:t>S</w:t>
            </w:r>
            <w:r>
              <w:rPr>
                <w:rFonts w:hint="eastAsia"/>
              </w:rPr>
              <w:t>：</w:t>
            </w:r>
            <w:r>
              <w:t>0.003 t/a</w:t>
            </w:r>
            <w:r>
              <w:rPr>
                <w:rFonts w:hint="eastAsia"/>
              </w:rPr>
              <w:t>。</w:t>
            </w:r>
          </w:p>
          <w:p>
            <w:pPr>
              <w:pStyle w:val="114"/>
            </w:pPr>
            <w:r>
              <w:rPr>
                <w:rFonts w:hint="eastAsia"/>
              </w:rPr>
              <w:t>②臭气浓度</w:t>
            </w:r>
          </w:p>
          <w:p>
            <w:pPr>
              <w:spacing w:line="360" w:lineRule="auto"/>
              <w:ind w:firstLine="480" w:firstLineChars="200"/>
              <w:rPr>
                <w:rFonts w:ascii="Times New Roman" w:hAnsi="Times New Roman"/>
                <w:sz w:val="24"/>
                <w:szCs w:val="24"/>
              </w:rPr>
            </w:pPr>
            <w:r>
              <w:rPr>
                <w:rFonts w:hint="eastAsia" w:ascii="Times New Roman" w:hAnsi="宋体"/>
                <w:sz w:val="24"/>
                <w:szCs w:val="24"/>
              </w:rPr>
              <w:t>引用《城市污水处理厂恶臭污染影响分析与评价》（福建广播电视大学学报，</w:t>
            </w:r>
            <w:r>
              <w:rPr>
                <w:rFonts w:ascii="Times New Roman" w:hAnsi="Times New Roman"/>
                <w:sz w:val="24"/>
                <w:szCs w:val="24"/>
              </w:rPr>
              <w:t>2009</w:t>
            </w:r>
            <w:r>
              <w:rPr>
                <w:rFonts w:hint="eastAsia" w:ascii="Times New Roman" w:hAnsi="宋体"/>
                <w:sz w:val="24"/>
                <w:szCs w:val="24"/>
              </w:rPr>
              <w:t>年第</w:t>
            </w:r>
            <w:r>
              <w:rPr>
                <w:rFonts w:ascii="Times New Roman" w:hAnsi="Times New Roman"/>
                <w:sz w:val="24"/>
                <w:szCs w:val="24"/>
              </w:rPr>
              <w:t>4</w:t>
            </w:r>
            <w:r>
              <w:rPr>
                <w:rFonts w:hint="eastAsia" w:ascii="Times New Roman" w:hAnsi="宋体"/>
                <w:sz w:val="24"/>
                <w:szCs w:val="24"/>
              </w:rPr>
              <w:t>期）中表</w:t>
            </w:r>
            <w:r>
              <w:rPr>
                <w:rFonts w:ascii="Times New Roman" w:hAnsi="Times New Roman"/>
                <w:sz w:val="24"/>
                <w:szCs w:val="24"/>
              </w:rPr>
              <w:t>1</w:t>
            </w:r>
            <w:r>
              <w:rPr>
                <w:rFonts w:hint="eastAsia" w:ascii="Times New Roman" w:hAnsi="宋体"/>
                <w:sz w:val="24"/>
                <w:szCs w:val="24"/>
              </w:rPr>
              <w:t>（臭气强度表示方法，见表</w:t>
            </w:r>
            <w:r>
              <w:rPr>
                <w:rFonts w:ascii="Times New Roman" w:hAnsi="Times New Roman"/>
                <w:sz w:val="24"/>
                <w:szCs w:val="24"/>
              </w:rPr>
              <w:t>5-5</w:t>
            </w:r>
            <w:r>
              <w:rPr>
                <w:rFonts w:hint="eastAsia" w:ascii="Times New Roman" w:hAnsi="宋体"/>
                <w:sz w:val="24"/>
                <w:szCs w:val="24"/>
              </w:rPr>
              <w:t>）和表</w:t>
            </w:r>
            <w:r>
              <w:rPr>
                <w:rFonts w:ascii="Times New Roman" w:hAnsi="Times New Roman"/>
                <w:sz w:val="24"/>
                <w:szCs w:val="24"/>
              </w:rPr>
              <w:t>2</w:t>
            </w:r>
            <w:r>
              <w:rPr>
                <w:rFonts w:hint="eastAsia" w:ascii="Times New Roman" w:hAnsi="宋体"/>
                <w:sz w:val="24"/>
                <w:szCs w:val="24"/>
              </w:rPr>
              <w:t>（恶臭污染物质量浓度与臭气强度的对照，见表</w:t>
            </w:r>
            <w:r>
              <w:rPr>
                <w:rFonts w:ascii="Times New Roman" w:hAnsi="Times New Roman"/>
                <w:sz w:val="24"/>
                <w:szCs w:val="24"/>
              </w:rPr>
              <w:t>5-6</w:t>
            </w:r>
            <w:r>
              <w:rPr>
                <w:rFonts w:hint="eastAsia" w:ascii="Times New Roman" w:hAnsi="宋体"/>
                <w:sz w:val="24"/>
                <w:szCs w:val="24"/>
              </w:rPr>
              <w:t>）和《日本污水处理设施脱臭技术简介》一文中</w:t>
            </w:r>
            <w:r>
              <w:rPr>
                <w:rFonts w:ascii="Times New Roman" w:hAnsi="Times New Roman"/>
                <w:sz w:val="24"/>
                <w:szCs w:val="24"/>
              </w:rPr>
              <w:t>“</w:t>
            </w:r>
            <w:r>
              <w:rPr>
                <w:rFonts w:hint="eastAsia" w:ascii="Times New Roman" w:hAnsi="宋体"/>
                <w:sz w:val="24"/>
                <w:szCs w:val="24"/>
              </w:rPr>
              <w:t>臭气强度与臭气浓度的关系</w:t>
            </w:r>
            <w:r>
              <w:rPr>
                <w:rFonts w:ascii="Times New Roman" w:hAnsi="Times New Roman"/>
                <w:sz w:val="24"/>
                <w:szCs w:val="24"/>
              </w:rPr>
              <w:t>”</w:t>
            </w:r>
            <w:r>
              <w:rPr>
                <w:rFonts w:hint="eastAsia" w:ascii="Times New Roman" w:hAnsi="宋体"/>
                <w:sz w:val="24"/>
                <w:szCs w:val="24"/>
              </w:rPr>
              <w:t>（见表</w:t>
            </w:r>
            <w:r>
              <w:rPr>
                <w:rFonts w:ascii="Times New Roman" w:hAnsi="Times New Roman"/>
                <w:sz w:val="24"/>
                <w:szCs w:val="24"/>
              </w:rPr>
              <w:t>5-7</w:t>
            </w:r>
            <w:r>
              <w:rPr>
                <w:rFonts w:hint="eastAsia" w:ascii="Times New Roman" w:hAnsi="宋体"/>
                <w:sz w:val="24"/>
                <w:szCs w:val="24"/>
              </w:rPr>
              <w:t>）估算本项目臭气浓度源强。</w:t>
            </w:r>
          </w:p>
          <w:p>
            <w:pPr>
              <w:pStyle w:val="111"/>
              <w:rPr>
                <w:bCs/>
              </w:rPr>
            </w:pPr>
            <w:r>
              <w:rPr>
                <w:rFonts w:hint="eastAsia"/>
                <w:bCs/>
              </w:rPr>
              <w:t>表</w:t>
            </w:r>
            <w:r>
              <w:rPr>
                <w:bCs/>
              </w:rPr>
              <w:t xml:space="preserve">5-5  </w:t>
            </w:r>
            <w:r>
              <w:rPr>
                <w:rFonts w:hint="eastAsia"/>
                <w:bCs/>
              </w:rPr>
              <w:t>臭气强度表示方法</w:t>
            </w:r>
          </w:p>
          <w:tbl>
            <w:tblPr>
              <w:tblStyle w:val="37"/>
              <w:tblW w:w="9486" w:type="dxa"/>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975"/>
              <w:gridCol w:w="1755"/>
              <w:gridCol w:w="1755"/>
              <w:gridCol w:w="1415"/>
              <w:gridCol w:w="1265"/>
              <w:gridCol w:w="1169"/>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1152"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b/>
                      <w:szCs w:val="21"/>
                    </w:rPr>
                  </w:pPr>
                  <w:r>
                    <w:rPr>
                      <w:rFonts w:hint="eastAsia" w:ascii="Times New Roman" w:hAnsi="Times New Roman"/>
                      <w:b/>
                      <w:szCs w:val="21"/>
                    </w:rPr>
                    <w:t>等级</w:t>
                  </w:r>
                </w:p>
              </w:tc>
              <w:tc>
                <w:tcPr>
                  <w:tcW w:w="8334" w:type="dxa"/>
                  <w:gridSpan w:val="6"/>
                  <w:tcBorders>
                    <w:top w:val="single" w:color="auto" w:sz="12" w:space="0"/>
                    <w:left w:val="single" w:color="auto" w:sz="4" w:space="0"/>
                    <w:bottom w:val="single" w:color="auto" w:sz="4" w:space="0"/>
                    <w:right w:val="single" w:color="auto" w:sz="12" w:space="0"/>
                  </w:tcBorders>
                  <w:shd w:val="clear" w:color="auto" w:fill="auto"/>
                  <w:vAlign w:val="center"/>
                </w:tcPr>
                <w:p>
                  <w:pPr>
                    <w:spacing w:before="62" w:beforeLines="20" w:after="62" w:afterLines="20"/>
                    <w:jc w:val="center"/>
                    <w:rPr>
                      <w:rFonts w:ascii="Times New Roman" w:hAnsi="Times New Roman"/>
                      <w:b/>
                      <w:bCs/>
                      <w:szCs w:val="21"/>
                    </w:rPr>
                  </w:pPr>
                  <w:r>
                    <w:rPr>
                      <w:rFonts w:hint="eastAsia" w:ascii="Times New Roman" w:hAnsi="宋体"/>
                      <w:b/>
                      <w:bCs/>
                    </w:rPr>
                    <w:t>臭气强度</w:t>
                  </w:r>
                  <w:r>
                    <w:rPr>
                      <w:rFonts w:ascii="Times New Roman" w:hAnsi="Times New Roman"/>
                      <w:b/>
                      <w:bCs/>
                    </w:rPr>
                    <w:t>/</w:t>
                  </w:r>
                  <w:r>
                    <w:rPr>
                      <w:rFonts w:hint="eastAsia" w:ascii="Times New Roman" w:hAnsi="宋体"/>
                      <w:b/>
                      <w:bCs/>
                    </w:rPr>
                    <w:t>级</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1152" w:type="dxa"/>
                  <w:vMerge w:val="continue"/>
                  <w:tcBorders>
                    <w:top w:val="double" w:color="auto" w:sz="2" w:space="0"/>
                    <w:left w:val="single" w:color="auto" w:sz="12" w:space="0"/>
                    <w:bottom w:val="double" w:color="auto" w:sz="2" w:space="0"/>
                    <w:right w:val="single" w:color="auto" w:sz="4" w:space="0"/>
                  </w:tcBorders>
                  <w:shd w:val="clear" w:color="auto" w:fill="auto"/>
                  <w:vAlign w:val="center"/>
                </w:tcPr>
                <w:p>
                  <w:pPr>
                    <w:widowControl/>
                    <w:jc w:val="left"/>
                    <w:rPr>
                      <w:rFonts w:ascii="Times New Roman" w:hAnsi="Times New Roman"/>
                      <w:b/>
                      <w:szCs w:val="21"/>
                    </w:rPr>
                  </w:pPr>
                </w:p>
              </w:tc>
              <w:tc>
                <w:tcPr>
                  <w:tcW w:w="975" w:type="dxa"/>
                  <w:tcBorders>
                    <w:top w:val="single" w:color="auto" w:sz="4" w:space="0"/>
                    <w:left w:val="single" w:color="auto" w:sz="4" w:space="0"/>
                    <w:bottom w:val="double" w:color="auto" w:sz="2" w:space="0"/>
                    <w:right w:val="single" w:color="auto" w:sz="4" w:space="0"/>
                  </w:tcBorders>
                  <w:shd w:val="clear" w:color="auto" w:fill="auto"/>
                  <w:vAlign w:val="center"/>
                </w:tcPr>
                <w:p>
                  <w:pPr>
                    <w:spacing w:before="62" w:beforeLines="20" w:after="62" w:afterLines="20"/>
                    <w:jc w:val="center"/>
                    <w:rPr>
                      <w:rFonts w:ascii="Times New Roman" w:hAnsi="Times New Roman"/>
                      <w:b/>
                      <w:szCs w:val="21"/>
                    </w:rPr>
                  </w:pPr>
                  <w:r>
                    <w:rPr>
                      <w:rFonts w:ascii="Times New Roman" w:hAnsi="Times New Roman"/>
                      <w:b/>
                    </w:rPr>
                    <w:t>0</w:t>
                  </w:r>
                </w:p>
              </w:tc>
              <w:tc>
                <w:tcPr>
                  <w:tcW w:w="1755" w:type="dxa"/>
                  <w:tcBorders>
                    <w:top w:val="single" w:color="auto" w:sz="4" w:space="0"/>
                    <w:left w:val="single" w:color="auto" w:sz="4" w:space="0"/>
                    <w:bottom w:val="double" w:color="auto" w:sz="2" w:space="0"/>
                    <w:right w:val="single" w:color="auto" w:sz="4" w:space="0"/>
                  </w:tcBorders>
                  <w:shd w:val="clear" w:color="auto" w:fill="auto"/>
                  <w:vAlign w:val="center"/>
                </w:tcPr>
                <w:p>
                  <w:pPr>
                    <w:spacing w:before="62" w:beforeLines="20" w:after="62" w:afterLines="20"/>
                    <w:jc w:val="center"/>
                    <w:rPr>
                      <w:rFonts w:ascii="Times New Roman" w:hAnsi="Times New Roman"/>
                      <w:b/>
                      <w:szCs w:val="21"/>
                    </w:rPr>
                  </w:pPr>
                  <w:r>
                    <w:rPr>
                      <w:rFonts w:ascii="Times New Roman" w:hAnsi="Times New Roman"/>
                      <w:b/>
                    </w:rPr>
                    <w:t>1</w:t>
                  </w:r>
                </w:p>
              </w:tc>
              <w:tc>
                <w:tcPr>
                  <w:tcW w:w="1755" w:type="dxa"/>
                  <w:tcBorders>
                    <w:top w:val="single" w:color="auto" w:sz="4" w:space="0"/>
                    <w:left w:val="single" w:color="auto" w:sz="4" w:space="0"/>
                    <w:bottom w:val="double" w:color="auto" w:sz="2" w:space="0"/>
                    <w:right w:val="single" w:color="auto" w:sz="4" w:space="0"/>
                  </w:tcBorders>
                  <w:shd w:val="clear" w:color="auto" w:fill="auto"/>
                  <w:vAlign w:val="center"/>
                </w:tcPr>
                <w:p>
                  <w:pPr>
                    <w:spacing w:before="62" w:beforeLines="20" w:after="62" w:afterLines="20"/>
                    <w:jc w:val="center"/>
                    <w:rPr>
                      <w:rFonts w:ascii="Times New Roman" w:hAnsi="Times New Roman"/>
                      <w:b/>
                      <w:szCs w:val="21"/>
                    </w:rPr>
                  </w:pPr>
                  <w:r>
                    <w:rPr>
                      <w:rFonts w:ascii="Times New Roman" w:hAnsi="Times New Roman"/>
                      <w:b/>
                    </w:rPr>
                    <w:t>2</w:t>
                  </w:r>
                </w:p>
              </w:tc>
              <w:tc>
                <w:tcPr>
                  <w:tcW w:w="1415" w:type="dxa"/>
                  <w:tcBorders>
                    <w:top w:val="single" w:color="auto" w:sz="4" w:space="0"/>
                    <w:left w:val="single" w:color="auto" w:sz="4" w:space="0"/>
                    <w:bottom w:val="double" w:color="auto" w:sz="2" w:space="0"/>
                    <w:right w:val="single" w:color="auto" w:sz="4" w:space="0"/>
                  </w:tcBorders>
                  <w:shd w:val="clear" w:color="auto" w:fill="auto"/>
                  <w:vAlign w:val="center"/>
                </w:tcPr>
                <w:p>
                  <w:pPr>
                    <w:spacing w:before="62" w:beforeLines="20" w:after="62" w:afterLines="20"/>
                    <w:jc w:val="center"/>
                    <w:rPr>
                      <w:rFonts w:ascii="Times New Roman" w:hAnsi="Times New Roman"/>
                      <w:b/>
                      <w:szCs w:val="21"/>
                    </w:rPr>
                  </w:pPr>
                  <w:r>
                    <w:rPr>
                      <w:rFonts w:ascii="Times New Roman" w:hAnsi="Times New Roman"/>
                      <w:b/>
                    </w:rPr>
                    <w:t>3</w:t>
                  </w:r>
                </w:p>
              </w:tc>
              <w:tc>
                <w:tcPr>
                  <w:tcW w:w="1265" w:type="dxa"/>
                  <w:tcBorders>
                    <w:top w:val="single" w:color="auto" w:sz="4" w:space="0"/>
                    <w:left w:val="single" w:color="auto" w:sz="4" w:space="0"/>
                    <w:bottom w:val="double" w:color="auto" w:sz="2" w:space="0"/>
                    <w:right w:val="single" w:color="auto" w:sz="4" w:space="0"/>
                  </w:tcBorders>
                  <w:shd w:val="clear" w:color="auto" w:fill="auto"/>
                  <w:vAlign w:val="center"/>
                </w:tcPr>
                <w:p>
                  <w:pPr>
                    <w:spacing w:before="62" w:beforeLines="20" w:after="62" w:afterLines="20"/>
                    <w:jc w:val="center"/>
                    <w:rPr>
                      <w:rFonts w:ascii="Times New Roman" w:hAnsi="Times New Roman"/>
                      <w:b/>
                      <w:szCs w:val="21"/>
                    </w:rPr>
                  </w:pPr>
                  <w:r>
                    <w:rPr>
                      <w:rFonts w:ascii="Times New Roman" w:hAnsi="Times New Roman"/>
                      <w:b/>
                    </w:rPr>
                    <w:t>4</w:t>
                  </w:r>
                </w:p>
              </w:tc>
              <w:tc>
                <w:tcPr>
                  <w:tcW w:w="1169" w:type="dxa"/>
                  <w:tcBorders>
                    <w:top w:val="single" w:color="auto" w:sz="4" w:space="0"/>
                    <w:left w:val="single" w:color="auto" w:sz="4" w:space="0"/>
                    <w:bottom w:val="double" w:color="auto" w:sz="2" w:space="0"/>
                    <w:right w:val="single" w:color="auto" w:sz="12" w:space="0"/>
                  </w:tcBorders>
                  <w:shd w:val="clear" w:color="auto" w:fill="auto"/>
                  <w:vAlign w:val="center"/>
                </w:tcPr>
                <w:p>
                  <w:pPr>
                    <w:spacing w:before="62" w:beforeLines="20" w:after="62" w:afterLines="20"/>
                    <w:jc w:val="center"/>
                    <w:rPr>
                      <w:rFonts w:ascii="Times New Roman" w:hAnsi="Times New Roman"/>
                      <w:b/>
                      <w:szCs w:val="21"/>
                    </w:rPr>
                  </w:pPr>
                  <w:r>
                    <w:rPr>
                      <w:rFonts w:ascii="Times New Roman" w:hAnsi="Times New Roman"/>
                      <w:b/>
                    </w:rPr>
                    <w:t>5</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1152" w:type="dxa"/>
                  <w:tcBorders>
                    <w:top w:val="double" w:color="auto" w:sz="2" w:space="0"/>
                    <w:left w:val="single" w:color="auto" w:sz="12" w:space="0"/>
                    <w:bottom w:val="single" w:color="auto" w:sz="12"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hint="eastAsia" w:ascii="Times New Roman" w:hAnsi="宋体"/>
                    </w:rPr>
                    <w:t>表示方法</w:t>
                  </w:r>
                </w:p>
              </w:tc>
              <w:tc>
                <w:tcPr>
                  <w:tcW w:w="975" w:type="dxa"/>
                  <w:tcBorders>
                    <w:top w:val="double" w:color="auto" w:sz="2" w:space="0"/>
                    <w:left w:val="single" w:color="auto" w:sz="4" w:space="0"/>
                    <w:bottom w:val="single" w:color="auto" w:sz="12"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hint="eastAsia" w:ascii="Times New Roman" w:hAnsi="宋体"/>
                    </w:rPr>
                    <w:t>无臭</w:t>
                  </w:r>
                </w:p>
              </w:tc>
              <w:tc>
                <w:tcPr>
                  <w:tcW w:w="1755" w:type="dxa"/>
                  <w:tcBorders>
                    <w:top w:val="double" w:color="auto" w:sz="2" w:space="0"/>
                    <w:left w:val="single" w:color="auto" w:sz="4" w:space="0"/>
                    <w:bottom w:val="single" w:color="auto" w:sz="12"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hint="eastAsia" w:ascii="Times New Roman" w:hAnsi="宋体"/>
                    </w:rPr>
                    <w:t>勉强可感觉气味（检测阈值）</w:t>
                  </w:r>
                </w:p>
              </w:tc>
              <w:tc>
                <w:tcPr>
                  <w:tcW w:w="1755" w:type="dxa"/>
                  <w:tcBorders>
                    <w:top w:val="double" w:color="auto" w:sz="2" w:space="0"/>
                    <w:left w:val="single" w:color="auto" w:sz="4" w:space="0"/>
                    <w:bottom w:val="single" w:color="auto" w:sz="12"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hint="eastAsia" w:ascii="Times New Roman" w:hAnsi="宋体"/>
                    </w:rPr>
                    <w:t>稍可感觉气味（认定阈值）</w:t>
                  </w:r>
                </w:p>
              </w:tc>
              <w:tc>
                <w:tcPr>
                  <w:tcW w:w="1415" w:type="dxa"/>
                  <w:tcBorders>
                    <w:top w:val="double" w:color="auto" w:sz="2" w:space="0"/>
                    <w:left w:val="single" w:color="auto" w:sz="4" w:space="0"/>
                    <w:bottom w:val="single" w:color="auto" w:sz="12"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hint="eastAsia" w:ascii="Times New Roman" w:hAnsi="宋体"/>
                    </w:rPr>
                    <w:t>易感觉气味</w:t>
                  </w:r>
                </w:p>
              </w:tc>
              <w:tc>
                <w:tcPr>
                  <w:tcW w:w="1265" w:type="dxa"/>
                  <w:tcBorders>
                    <w:top w:val="double" w:color="auto" w:sz="2" w:space="0"/>
                    <w:left w:val="single" w:color="auto" w:sz="4" w:space="0"/>
                    <w:bottom w:val="single" w:color="auto" w:sz="12"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hint="eastAsia" w:ascii="Times New Roman" w:hAnsi="宋体"/>
                    </w:rPr>
                    <w:t>较强气味（强臭）</w:t>
                  </w:r>
                </w:p>
              </w:tc>
              <w:tc>
                <w:tcPr>
                  <w:tcW w:w="1169" w:type="dxa"/>
                  <w:tcBorders>
                    <w:top w:val="double" w:color="auto" w:sz="2" w:space="0"/>
                    <w:left w:val="single" w:color="auto" w:sz="4" w:space="0"/>
                    <w:bottom w:val="single" w:color="auto" w:sz="12" w:space="0"/>
                    <w:right w:val="single" w:color="auto" w:sz="12" w:space="0"/>
                  </w:tcBorders>
                  <w:shd w:val="clear" w:color="auto" w:fill="auto"/>
                  <w:vAlign w:val="center"/>
                </w:tcPr>
                <w:p>
                  <w:pPr>
                    <w:spacing w:before="62" w:beforeLines="20" w:after="62" w:afterLines="20"/>
                    <w:jc w:val="center"/>
                    <w:rPr>
                      <w:rFonts w:ascii="Times New Roman" w:hAnsi="Times New Roman"/>
                      <w:szCs w:val="21"/>
                    </w:rPr>
                  </w:pPr>
                  <w:r>
                    <w:rPr>
                      <w:rFonts w:hint="eastAsia" w:ascii="Times New Roman" w:hAnsi="宋体"/>
                    </w:rPr>
                    <w:t>强烈气味（剧臭）</w:t>
                  </w:r>
                </w:p>
              </w:tc>
            </w:tr>
          </w:tbl>
          <w:p>
            <w:pPr>
              <w:pStyle w:val="111"/>
              <w:rPr>
                <w:bCs/>
              </w:rPr>
            </w:pPr>
            <w:r>
              <w:rPr>
                <w:rFonts w:hint="eastAsia"/>
                <w:bCs/>
              </w:rPr>
              <w:t>表</w:t>
            </w:r>
            <w:r>
              <w:rPr>
                <w:bCs/>
              </w:rPr>
              <w:t xml:space="preserve">5-6 </w:t>
            </w:r>
            <w:r>
              <w:rPr>
                <w:rFonts w:hint="eastAsia"/>
                <w:bCs/>
              </w:rPr>
              <w:t>恶臭污染物质量浓度与臭气强度的对照</w:t>
            </w:r>
          </w:p>
          <w:tbl>
            <w:tblPr>
              <w:tblStyle w:val="37"/>
              <w:tblW w:w="9486" w:type="dxa"/>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830"/>
              <w:gridCol w:w="3753"/>
              <w:gridCol w:w="3903"/>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30"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b/>
                      <w:bCs/>
                      <w:szCs w:val="21"/>
                    </w:rPr>
                  </w:pPr>
                  <w:r>
                    <w:rPr>
                      <w:rFonts w:hint="eastAsia" w:ascii="Times New Roman" w:hAnsi="宋体"/>
                      <w:b/>
                      <w:bCs/>
                    </w:rPr>
                    <w:t>臭气强度</w:t>
                  </w:r>
                  <w:r>
                    <w:rPr>
                      <w:rFonts w:ascii="Times New Roman" w:hAnsi="Times New Roman"/>
                      <w:b/>
                      <w:bCs/>
                    </w:rPr>
                    <w:t>/</w:t>
                  </w:r>
                  <w:r>
                    <w:rPr>
                      <w:rFonts w:hint="eastAsia" w:ascii="Times New Roman" w:hAnsi="宋体"/>
                      <w:b/>
                      <w:bCs/>
                    </w:rPr>
                    <w:t>级</w:t>
                  </w:r>
                </w:p>
              </w:tc>
              <w:tc>
                <w:tcPr>
                  <w:tcW w:w="7656"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pPr>
                    <w:spacing w:before="62" w:beforeLines="20" w:after="62" w:afterLines="20"/>
                    <w:jc w:val="center"/>
                    <w:rPr>
                      <w:rFonts w:ascii="Times New Roman" w:hAnsi="Times New Roman"/>
                      <w:b/>
                      <w:bCs/>
                      <w:szCs w:val="21"/>
                    </w:rPr>
                  </w:pPr>
                  <w:r>
                    <w:rPr>
                      <w:rFonts w:hint="eastAsia" w:ascii="Times New Roman" w:hAnsi="宋体"/>
                      <w:b/>
                      <w:bCs/>
                    </w:rPr>
                    <w:t>污染物质量浓度（</w:t>
                  </w:r>
                  <w:r>
                    <w:rPr>
                      <w:rFonts w:ascii="Times New Roman" w:hAnsi="Times New Roman"/>
                      <w:b/>
                      <w:bCs/>
                    </w:rPr>
                    <w:t>mg/m</w:t>
                  </w:r>
                  <w:r>
                    <w:rPr>
                      <w:rFonts w:ascii="Times New Roman" w:hAnsi="Times New Roman"/>
                      <w:b/>
                      <w:bCs/>
                      <w:vertAlign w:val="superscript"/>
                    </w:rPr>
                    <w:t>3</w:t>
                  </w:r>
                  <w:r>
                    <w:rPr>
                      <w:rFonts w:hint="eastAsia" w:ascii="Times New Roman" w:hAnsi="宋体"/>
                      <w:b/>
                      <w:bCs/>
                    </w:rPr>
                    <w:t>）</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30" w:type="dxa"/>
                  <w:vMerge w:val="continue"/>
                  <w:tcBorders>
                    <w:top w:val="double" w:color="auto" w:sz="2" w:space="0"/>
                    <w:left w:val="single" w:color="auto" w:sz="12" w:space="0"/>
                    <w:bottom w:val="double" w:color="auto" w:sz="2" w:space="0"/>
                    <w:right w:val="single" w:color="auto" w:sz="4" w:space="0"/>
                  </w:tcBorders>
                  <w:shd w:val="clear" w:color="auto" w:fill="auto"/>
                  <w:vAlign w:val="center"/>
                </w:tcPr>
                <w:p>
                  <w:pPr>
                    <w:widowControl/>
                    <w:jc w:val="left"/>
                    <w:rPr>
                      <w:rFonts w:ascii="Times New Roman" w:hAnsi="Times New Roman"/>
                      <w:b/>
                      <w:bCs/>
                      <w:szCs w:val="21"/>
                    </w:rPr>
                  </w:pPr>
                </w:p>
              </w:tc>
              <w:tc>
                <w:tcPr>
                  <w:tcW w:w="3753" w:type="dxa"/>
                  <w:tcBorders>
                    <w:top w:val="single" w:color="auto" w:sz="4" w:space="0"/>
                    <w:left w:val="single" w:color="auto" w:sz="4" w:space="0"/>
                    <w:bottom w:val="double" w:color="auto" w:sz="2" w:space="0"/>
                    <w:right w:val="single" w:color="auto" w:sz="4" w:space="0"/>
                  </w:tcBorders>
                  <w:shd w:val="clear" w:color="auto" w:fill="auto"/>
                  <w:vAlign w:val="center"/>
                </w:tcPr>
                <w:p>
                  <w:pPr>
                    <w:spacing w:before="62" w:beforeLines="20" w:after="62" w:afterLines="20"/>
                    <w:jc w:val="center"/>
                    <w:rPr>
                      <w:rFonts w:ascii="Times New Roman" w:hAnsi="Times New Roman"/>
                      <w:b/>
                      <w:bCs/>
                      <w:szCs w:val="21"/>
                    </w:rPr>
                  </w:pPr>
                  <w:r>
                    <w:rPr>
                      <w:rFonts w:ascii="Times New Roman" w:hAnsi="Times New Roman"/>
                      <w:b/>
                      <w:bCs/>
                    </w:rPr>
                    <w:t>NH</w:t>
                  </w:r>
                  <w:r>
                    <w:rPr>
                      <w:rFonts w:ascii="Times New Roman" w:hAnsi="Times New Roman"/>
                      <w:b/>
                      <w:bCs/>
                      <w:vertAlign w:val="subscript"/>
                    </w:rPr>
                    <w:t>3</w:t>
                  </w:r>
                </w:p>
              </w:tc>
              <w:tc>
                <w:tcPr>
                  <w:tcW w:w="3903" w:type="dxa"/>
                  <w:tcBorders>
                    <w:top w:val="single" w:color="auto" w:sz="4" w:space="0"/>
                    <w:left w:val="single" w:color="auto" w:sz="4" w:space="0"/>
                    <w:bottom w:val="double" w:color="auto" w:sz="2" w:space="0"/>
                    <w:right w:val="single" w:color="auto" w:sz="12" w:space="0"/>
                  </w:tcBorders>
                  <w:shd w:val="clear" w:color="auto" w:fill="auto"/>
                  <w:vAlign w:val="center"/>
                </w:tcPr>
                <w:p>
                  <w:pPr>
                    <w:spacing w:before="62" w:beforeLines="20" w:after="62" w:afterLines="20"/>
                    <w:jc w:val="center"/>
                    <w:rPr>
                      <w:rFonts w:ascii="Times New Roman" w:hAnsi="Times New Roman"/>
                      <w:b/>
                      <w:bCs/>
                      <w:szCs w:val="21"/>
                    </w:rPr>
                  </w:pPr>
                  <w:r>
                    <w:rPr>
                      <w:rFonts w:ascii="Times New Roman" w:hAnsi="Times New Roman"/>
                      <w:b/>
                      <w:bCs/>
                    </w:rPr>
                    <w:t>H</w:t>
                  </w:r>
                  <w:r>
                    <w:rPr>
                      <w:rFonts w:ascii="Times New Roman" w:hAnsi="Times New Roman"/>
                      <w:b/>
                      <w:bCs/>
                      <w:vertAlign w:val="subscript"/>
                    </w:rPr>
                    <w:t>2</w:t>
                  </w:r>
                  <w:r>
                    <w:rPr>
                      <w:rFonts w:ascii="Times New Roman" w:hAnsi="Times New Roman"/>
                      <w:b/>
                      <w:bCs/>
                    </w:rPr>
                    <w:t>S</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30" w:type="dxa"/>
                  <w:tcBorders>
                    <w:top w:val="double" w:color="auto" w:sz="2" w:space="0"/>
                    <w:left w:val="single" w:color="auto" w:sz="12"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1.0</w:t>
                  </w:r>
                </w:p>
              </w:tc>
              <w:tc>
                <w:tcPr>
                  <w:tcW w:w="3753" w:type="dxa"/>
                  <w:tcBorders>
                    <w:top w:val="double" w:color="auto" w:sz="2" w:space="0"/>
                    <w:left w:val="single" w:color="auto" w:sz="4"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0.0758</w:t>
                  </w:r>
                </w:p>
              </w:tc>
              <w:tc>
                <w:tcPr>
                  <w:tcW w:w="3903" w:type="dxa"/>
                  <w:tcBorders>
                    <w:top w:val="double" w:color="auto" w:sz="2" w:space="0"/>
                    <w:left w:val="single" w:color="auto" w:sz="4" w:space="0"/>
                    <w:bottom w:val="single" w:color="auto" w:sz="4" w:space="0"/>
                    <w:right w:val="single" w:color="auto" w:sz="12"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0.0008</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30" w:type="dxa"/>
                  <w:tcBorders>
                    <w:top w:val="single" w:color="auto" w:sz="4" w:space="0"/>
                    <w:left w:val="single" w:color="auto" w:sz="12"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2.0</w:t>
                  </w:r>
                </w:p>
              </w:tc>
              <w:tc>
                <w:tcPr>
                  <w:tcW w:w="375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0.455</w:t>
                  </w:r>
                </w:p>
              </w:tc>
              <w:tc>
                <w:tcPr>
                  <w:tcW w:w="3903" w:type="dxa"/>
                  <w:tcBorders>
                    <w:top w:val="single" w:color="auto" w:sz="4" w:space="0"/>
                    <w:left w:val="single" w:color="auto" w:sz="4" w:space="0"/>
                    <w:bottom w:val="single" w:color="auto" w:sz="4" w:space="0"/>
                    <w:right w:val="single" w:color="auto" w:sz="12"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0.0091</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30" w:type="dxa"/>
                  <w:tcBorders>
                    <w:top w:val="single" w:color="auto" w:sz="4" w:space="0"/>
                    <w:left w:val="single" w:color="auto" w:sz="12"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2.5</w:t>
                  </w:r>
                </w:p>
              </w:tc>
              <w:tc>
                <w:tcPr>
                  <w:tcW w:w="375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0.758</w:t>
                  </w:r>
                </w:p>
              </w:tc>
              <w:tc>
                <w:tcPr>
                  <w:tcW w:w="3903" w:type="dxa"/>
                  <w:tcBorders>
                    <w:top w:val="single" w:color="auto" w:sz="4" w:space="0"/>
                    <w:left w:val="single" w:color="auto" w:sz="4" w:space="0"/>
                    <w:bottom w:val="single" w:color="auto" w:sz="4" w:space="0"/>
                    <w:right w:val="single" w:color="auto" w:sz="12"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0.0304</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30" w:type="dxa"/>
                  <w:tcBorders>
                    <w:top w:val="single" w:color="auto" w:sz="4" w:space="0"/>
                    <w:left w:val="single" w:color="auto" w:sz="12"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3.0</w:t>
                  </w:r>
                </w:p>
              </w:tc>
              <w:tc>
                <w:tcPr>
                  <w:tcW w:w="375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1.516</w:t>
                  </w:r>
                </w:p>
              </w:tc>
              <w:tc>
                <w:tcPr>
                  <w:tcW w:w="3903" w:type="dxa"/>
                  <w:tcBorders>
                    <w:top w:val="single" w:color="auto" w:sz="4" w:space="0"/>
                    <w:left w:val="single" w:color="auto" w:sz="4" w:space="0"/>
                    <w:bottom w:val="single" w:color="auto" w:sz="4" w:space="0"/>
                    <w:right w:val="single" w:color="auto" w:sz="12"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0.0911</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30" w:type="dxa"/>
                  <w:tcBorders>
                    <w:top w:val="single" w:color="auto" w:sz="4" w:space="0"/>
                    <w:left w:val="single" w:color="auto" w:sz="12"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3.5</w:t>
                  </w:r>
                </w:p>
              </w:tc>
              <w:tc>
                <w:tcPr>
                  <w:tcW w:w="375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3.79</w:t>
                  </w:r>
                </w:p>
              </w:tc>
              <w:tc>
                <w:tcPr>
                  <w:tcW w:w="3903" w:type="dxa"/>
                  <w:tcBorders>
                    <w:top w:val="single" w:color="auto" w:sz="4" w:space="0"/>
                    <w:left w:val="single" w:color="auto" w:sz="4" w:space="0"/>
                    <w:bottom w:val="single" w:color="auto" w:sz="4" w:space="0"/>
                    <w:right w:val="single" w:color="auto" w:sz="12"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0.3036</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30" w:type="dxa"/>
                  <w:tcBorders>
                    <w:top w:val="single" w:color="auto" w:sz="4" w:space="0"/>
                    <w:left w:val="single" w:color="auto" w:sz="12"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4.0</w:t>
                  </w:r>
                </w:p>
              </w:tc>
              <w:tc>
                <w:tcPr>
                  <w:tcW w:w="375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7.58</w:t>
                  </w:r>
                </w:p>
              </w:tc>
              <w:tc>
                <w:tcPr>
                  <w:tcW w:w="3903" w:type="dxa"/>
                  <w:tcBorders>
                    <w:top w:val="single" w:color="auto" w:sz="4" w:space="0"/>
                    <w:left w:val="single" w:color="auto" w:sz="4" w:space="0"/>
                    <w:bottom w:val="single" w:color="auto" w:sz="4" w:space="0"/>
                    <w:right w:val="single" w:color="auto" w:sz="12"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1.0626</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830" w:type="dxa"/>
                  <w:tcBorders>
                    <w:top w:val="single" w:color="auto" w:sz="4" w:space="0"/>
                    <w:left w:val="single" w:color="auto" w:sz="12" w:space="0"/>
                    <w:bottom w:val="single" w:color="auto" w:sz="12"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5.0</w:t>
                  </w:r>
                </w:p>
              </w:tc>
              <w:tc>
                <w:tcPr>
                  <w:tcW w:w="3753" w:type="dxa"/>
                  <w:tcBorders>
                    <w:top w:val="single" w:color="auto" w:sz="4" w:space="0"/>
                    <w:left w:val="single" w:color="auto" w:sz="4" w:space="0"/>
                    <w:bottom w:val="single" w:color="auto" w:sz="12" w:space="0"/>
                    <w:right w:val="single" w:color="auto" w:sz="4"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30.32</w:t>
                  </w:r>
                </w:p>
              </w:tc>
              <w:tc>
                <w:tcPr>
                  <w:tcW w:w="3903" w:type="dxa"/>
                  <w:tcBorders>
                    <w:top w:val="single" w:color="auto" w:sz="4" w:space="0"/>
                    <w:left w:val="single" w:color="auto" w:sz="4" w:space="0"/>
                    <w:bottom w:val="single" w:color="auto" w:sz="12" w:space="0"/>
                    <w:right w:val="single" w:color="auto" w:sz="12" w:space="0"/>
                  </w:tcBorders>
                  <w:shd w:val="clear" w:color="auto" w:fill="auto"/>
                  <w:vAlign w:val="center"/>
                </w:tcPr>
                <w:p>
                  <w:pPr>
                    <w:spacing w:before="62" w:beforeLines="20" w:after="62" w:afterLines="20"/>
                    <w:jc w:val="center"/>
                    <w:rPr>
                      <w:rFonts w:ascii="Times New Roman" w:hAnsi="Times New Roman"/>
                      <w:szCs w:val="21"/>
                    </w:rPr>
                  </w:pPr>
                  <w:r>
                    <w:rPr>
                      <w:rFonts w:ascii="Times New Roman" w:hAnsi="Times New Roman"/>
                    </w:rPr>
                    <w:t>12.144</w:t>
                  </w:r>
                </w:p>
              </w:tc>
            </w:tr>
          </w:tbl>
          <w:p>
            <w:pPr>
              <w:pStyle w:val="111"/>
              <w:rPr>
                <w:bCs/>
              </w:rPr>
            </w:pPr>
            <w:r>
              <w:rPr>
                <w:rFonts w:hint="eastAsia"/>
                <w:bCs/>
              </w:rPr>
              <w:t>表</w:t>
            </w:r>
            <w:r>
              <w:rPr>
                <w:bCs/>
              </w:rPr>
              <w:t xml:space="preserve">5-7  </w:t>
            </w:r>
            <w:r>
              <w:rPr>
                <w:rFonts w:hint="eastAsia"/>
                <w:bCs/>
              </w:rPr>
              <w:t>臭气强度与臭气浓度的关系</w:t>
            </w:r>
          </w:p>
          <w:tbl>
            <w:tblPr>
              <w:tblStyle w:val="37"/>
              <w:tblW w:w="94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43"/>
              <w:gridCol w:w="4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743" w:type="dxa"/>
                  <w:tcBorders>
                    <w:top w:val="single" w:color="auto" w:sz="12" w:space="0"/>
                    <w:left w:val="single" w:color="auto" w:sz="12" w:space="0"/>
                    <w:bottom w:val="double" w:color="auto" w:sz="2"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b/>
                      <w:bCs/>
                      <w:szCs w:val="21"/>
                    </w:rPr>
                  </w:pPr>
                  <w:r>
                    <w:rPr>
                      <w:rFonts w:hint="eastAsia" w:ascii="Times New Roman" w:hAnsi="宋体"/>
                      <w:b/>
                      <w:bCs/>
                    </w:rPr>
                    <w:t>臭气强度</w:t>
                  </w:r>
                </w:p>
              </w:tc>
              <w:tc>
                <w:tcPr>
                  <w:tcW w:w="4743" w:type="dxa"/>
                  <w:tcBorders>
                    <w:top w:val="single" w:color="auto" w:sz="12" w:space="0"/>
                    <w:left w:val="single" w:color="auto" w:sz="4" w:space="0"/>
                    <w:bottom w:val="double" w:color="auto" w:sz="2" w:space="0"/>
                    <w:right w:val="single" w:color="auto" w:sz="12" w:space="0"/>
                  </w:tcBorders>
                  <w:shd w:val="clear" w:color="auto" w:fill="auto"/>
                  <w:vAlign w:val="center"/>
                </w:tcPr>
                <w:p>
                  <w:pPr>
                    <w:adjustRightInd w:val="0"/>
                    <w:snapToGrid w:val="0"/>
                    <w:spacing w:before="62" w:beforeLines="20" w:after="62" w:afterLines="20"/>
                    <w:jc w:val="center"/>
                    <w:rPr>
                      <w:rFonts w:ascii="Times New Roman" w:hAnsi="Times New Roman"/>
                      <w:b/>
                      <w:bCs/>
                      <w:szCs w:val="21"/>
                    </w:rPr>
                  </w:pPr>
                  <w:r>
                    <w:rPr>
                      <w:rFonts w:hint="eastAsia" w:ascii="Times New Roman" w:hAnsi="宋体"/>
                      <w:b/>
                      <w:bCs/>
                    </w:rPr>
                    <w:t>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743" w:type="dxa"/>
                  <w:tcBorders>
                    <w:top w:val="double" w:color="auto" w:sz="2" w:space="0"/>
                    <w:left w:val="single" w:color="auto" w:sz="12"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2.5</w:t>
                  </w:r>
                </w:p>
              </w:tc>
              <w:tc>
                <w:tcPr>
                  <w:tcW w:w="4743" w:type="dxa"/>
                  <w:tcBorders>
                    <w:top w:val="double" w:color="auto" w:sz="2" w:space="0"/>
                    <w:left w:val="single" w:color="auto" w:sz="4" w:space="0"/>
                    <w:bottom w:val="single" w:color="auto" w:sz="4" w:space="0"/>
                    <w:right w:val="single" w:color="auto" w:sz="12"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10~32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743" w:type="dxa"/>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3.0</w:t>
                  </w:r>
                </w:p>
              </w:tc>
              <w:tc>
                <w:tcPr>
                  <w:tcW w:w="4743" w:type="dxa"/>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15~63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4743" w:type="dxa"/>
                  <w:tcBorders>
                    <w:top w:val="single" w:color="auto" w:sz="4" w:space="0"/>
                    <w:left w:val="single" w:color="auto" w:sz="12" w:space="0"/>
                    <w:bottom w:val="single" w:color="auto" w:sz="12"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3.5</w:t>
                  </w:r>
                </w:p>
              </w:tc>
              <w:tc>
                <w:tcPr>
                  <w:tcW w:w="4743" w:type="dxa"/>
                  <w:tcBorders>
                    <w:top w:val="single" w:color="auto" w:sz="4" w:space="0"/>
                    <w:left w:val="single" w:color="auto" w:sz="4" w:space="0"/>
                    <w:bottom w:val="single" w:color="auto" w:sz="12" w:space="0"/>
                    <w:right w:val="single" w:color="auto" w:sz="12"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25~126</w:t>
                  </w:r>
                </w:p>
              </w:tc>
            </w:tr>
          </w:tbl>
          <w:p>
            <w:pPr>
              <w:adjustRightInd w:val="0"/>
              <w:snapToGrid w:val="0"/>
              <w:ind w:firstLine="482"/>
              <w:rPr>
                <w:rFonts w:ascii="Times New Roman" w:hAnsi="Times New Roman"/>
                <w:sz w:val="24"/>
                <w:szCs w:val="24"/>
              </w:rPr>
            </w:pPr>
            <w:r>
              <w:rPr>
                <w:rFonts w:ascii="宋体" w:hAnsi="宋体"/>
                <w:sz w:val="24"/>
                <w:szCs w:val="24"/>
              </w:rPr>
              <w:t xml:space="preserve"> </w:t>
            </w:r>
            <w:r>
              <w:rPr>
                <w:rFonts w:hint="eastAsia" w:ascii="Times New Roman" w:hAnsi="宋体"/>
                <w:sz w:val="24"/>
                <w:szCs w:val="24"/>
              </w:rPr>
              <w:t>根据表</w:t>
            </w:r>
            <w:r>
              <w:rPr>
                <w:rFonts w:ascii="Times New Roman" w:hAnsi="Times New Roman"/>
                <w:sz w:val="24"/>
                <w:szCs w:val="24"/>
              </w:rPr>
              <w:t>5-3</w:t>
            </w:r>
            <w:r>
              <w:rPr>
                <w:rFonts w:hint="eastAsia" w:ascii="Times New Roman" w:hAnsi="宋体"/>
                <w:sz w:val="24"/>
                <w:szCs w:val="24"/>
              </w:rPr>
              <w:t>，确定各设施臭气强度，见表</w:t>
            </w:r>
            <w:r>
              <w:rPr>
                <w:rFonts w:ascii="Times New Roman" w:hAnsi="Times New Roman"/>
                <w:sz w:val="24"/>
                <w:szCs w:val="24"/>
              </w:rPr>
              <w:t>5-8</w:t>
            </w:r>
            <w:r>
              <w:rPr>
                <w:rFonts w:hint="eastAsia" w:ascii="Times New Roman" w:hAnsi="宋体"/>
                <w:sz w:val="24"/>
                <w:szCs w:val="24"/>
              </w:rPr>
              <w:t>。</w:t>
            </w:r>
          </w:p>
          <w:p>
            <w:pPr>
              <w:pStyle w:val="111"/>
              <w:rPr>
                <w:bCs/>
              </w:rPr>
            </w:pPr>
            <w:r>
              <w:rPr>
                <w:bCs/>
              </w:rPr>
              <w:t xml:space="preserve"> </w:t>
            </w:r>
            <w:r>
              <w:rPr>
                <w:rFonts w:hint="eastAsia"/>
                <w:bCs/>
              </w:rPr>
              <w:t>表</w:t>
            </w:r>
            <w:r>
              <w:rPr>
                <w:bCs/>
              </w:rPr>
              <w:t xml:space="preserve">5-8  </w:t>
            </w:r>
            <w:r>
              <w:rPr>
                <w:rFonts w:hint="eastAsia"/>
                <w:bCs/>
              </w:rPr>
              <w:t>建设项目臭气中污染物排放浓度</w:t>
            </w:r>
          </w:p>
          <w:tbl>
            <w:tblPr>
              <w:tblStyle w:val="37"/>
              <w:tblW w:w="9486" w:type="dxa"/>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356"/>
              <w:gridCol w:w="2698"/>
              <w:gridCol w:w="3432"/>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3356" w:type="dxa"/>
                  <w:tcBorders>
                    <w:top w:val="single" w:color="auto" w:sz="12" w:space="0"/>
                    <w:left w:val="single" w:color="auto" w:sz="12" w:space="0"/>
                    <w:bottom w:val="double" w:color="auto" w:sz="2"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b/>
                      <w:bCs/>
                      <w:szCs w:val="21"/>
                    </w:rPr>
                  </w:pPr>
                  <w:r>
                    <w:rPr>
                      <w:rFonts w:hint="eastAsia" w:ascii="Times New Roman" w:hAnsi="宋体"/>
                      <w:b/>
                      <w:bCs/>
                    </w:rPr>
                    <w:t>臭气排放设施</w:t>
                  </w:r>
                </w:p>
              </w:tc>
              <w:tc>
                <w:tcPr>
                  <w:tcW w:w="2698" w:type="dxa"/>
                  <w:tcBorders>
                    <w:top w:val="single" w:color="auto" w:sz="12" w:space="0"/>
                    <w:left w:val="single" w:color="auto" w:sz="4" w:space="0"/>
                    <w:bottom w:val="double" w:color="auto" w:sz="2"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b/>
                      <w:bCs/>
                      <w:szCs w:val="21"/>
                    </w:rPr>
                  </w:pPr>
                  <w:r>
                    <w:rPr>
                      <w:rFonts w:hint="eastAsia" w:ascii="Times New Roman" w:hAnsi="宋体"/>
                      <w:b/>
                      <w:bCs/>
                    </w:rPr>
                    <w:t>臭气强度</w:t>
                  </w:r>
                </w:p>
              </w:tc>
              <w:tc>
                <w:tcPr>
                  <w:tcW w:w="3432" w:type="dxa"/>
                  <w:tcBorders>
                    <w:top w:val="single" w:color="auto" w:sz="12" w:space="0"/>
                    <w:left w:val="single" w:color="auto" w:sz="4" w:space="0"/>
                    <w:bottom w:val="double" w:color="auto" w:sz="2" w:space="0"/>
                    <w:right w:val="single" w:color="auto" w:sz="12" w:space="0"/>
                  </w:tcBorders>
                  <w:shd w:val="clear" w:color="auto" w:fill="auto"/>
                  <w:vAlign w:val="center"/>
                </w:tcPr>
                <w:p>
                  <w:pPr>
                    <w:adjustRightInd w:val="0"/>
                    <w:snapToGrid w:val="0"/>
                    <w:jc w:val="center"/>
                    <w:rPr>
                      <w:rFonts w:ascii="Times New Roman" w:hAnsi="Times New Roman"/>
                      <w:b/>
                      <w:bCs/>
                      <w:szCs w:val="21"/>
                    </w:rPr>
                  </w:pPr>
                  <w:r>
                    <w:rPr>
                      <w:rFonts w:hint="eastAsia" w:ascii="Times New Roman" w:hAnsi="宋体"/>
                      <w:b/>
                      <w:bCs/>
                    </w:rPr>
                    <w:t>臭气浓度</w:t>
                  </w:r>
                </w:p>
                <w:p>
                  <w:pPr>
                    <w:adjustRightInd w:val="0"/>
                    <w:snapToGrid w:val="0"/>
                    <w:jc w:val="center"/>
                    <w:rPr>
                      <w:rFonts w:ascii="Times New Roman" w:hAnsi="Times New Roman"/>
                      <w:b/>
                      <w:bCs/>
                      <w:szCs w:val="21"/>
                    </w:rPr>
                  </w:pPr>
                  <w:r>
                    <w:rPr>
                      <w:rFonts w:hint="eastAsia" w:ascii="Times New Roman" w:hAnsi="宋体"/>
                      <w:b/>
                      <w:bCs/>
                    </w:rPr>
                    <w:t>（无量纲）</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3356" w:type="dxa"/>
                  <w:tcBorders>
                    <w:top w:val="double" w:color="auto" w:sz="2" w:space="0"/>
                    <w:left w:val="single" w:color="auto" w:sz="12"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hint="eastAsia" w:ascii="Times New Roman" w:hAnsi="Times New Roman"/>
                    </w:rPr>
                    <w:t>细格栅、沉砂池</w:t>
                  </w:r>
                </w:p>
              </w:tc>
              <w:tc>
                <w:tcPr>
                  <w:tcW w:w="2698" w:type="dxa"/>
                  <w:tcBorders>
                    <w:top w:val="double" w:color="auto" w:sz="2"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3</w:t>
                  </w:r>
                </w:p>
              </w:tc>
              <w:tc>
                <w:tcPr>
                  <w:tcW w:w="3432" w:type="dxa"/>
                  <w:tcBorders>
                    <w:top w:val="double" w:color="auto" w:sz="2" w:space="0"/>
                    <w:left w:val="single" w:color="auto" w:sz="4" w:space="0"/>
                    <w:bottom w:val="single" w:color="auto" w:sz="4" w:space="0"/>
                    <w:right w:val="single" w:color="auto" w:sz="12"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63</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3356" w:type="dxa"/>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AAO</w:t>
                  </w:r>
                </w:p>
              </w:tc>
              <w:tc>
                <w:tcPr>
                  <w:tcW w:w="269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3.5</w:t>
                  </w:r>
                </w:p>
              </w:tc>
              <w:tc>
                <w:tcPr>
                  <w:tcW w:w="3432" w:type="dxa"/>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126</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Ex>
              <w:tc>
                <w:tcPr>
                  <w:tcW w:w="3356" w:type="dxa"/>
                  <w:tcBorders>
                    <w:top w:val="single" w:color="auto" w:sz="4" w:space="0"/>
                    <w:left w:val="single" w:color="auto" w:sz="12" w:space="0"/>
                    <w:bottom w:val="single" w:color="auto" w:sz="12"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hint="eastAsia" w:ascii="Times New Roman" w:hAnsi="Times New Roman"/>
                      <w:szCs w:val="21"/>
                    </w:rPr>
                    <w:t>贮泥池、污泥浓缩脱水间</w:t>
                  </w:r>
                </w:p>
              </w:tc>
              <w:tc>
                <w:tcPr>
                  <w:tcW w:w="2698" w:type="dxa"/>
                  <w:tcBorders>
                    <w:top w:val="single" w:color="auto" w:sz="4" w:space="0"/>
                    <w:left w:val="single" w:color="auto" w:sz="4" w:space="0"/>
                    <w:bottom w:val="single" w:color="auto" w:sz="12" w:space="0"/>
                    <w:right w:val="single" w:color="auto" w:sz="4"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4</w:t>
                  </w:r>
                </w:p>
              </w:tc>
              <w:tc>
                <w:tcPr>
                  <w:tcW w:w="3432" w:type="dxa"/>
                  <w:tcBorders>
                    <w:top w:val="single" w:color="auto" w:sz="4" w:space="0"/>
                    <w:left w:val="single" w:color="auto" w:sz="4" w:space="0"/>
                    <w:bottom w:val="single" w:color="auto" w:sz="12" w:space="0"/>
                    <w:right w:val="single" w:color="auto" w:sz="12" w:space="0"/>
                  </w:tcBorders>
                  <w:shd w:val="clear" w:color="auto" w:fill="auto"/>
                  <w:vAlign w:val="center"/>
                </w:tcPr>
                <w:p>
                  <w:pPr>
                    <w:adjustRightInd w:val="0"/>
                    <w:snapToGrid w:val="0"/>
                    <w:spacing w:before="62" w:beforeLines="20" w:after="62" w:afterLines="20"/>
                    <w:jc w:val="center"/>
                    <w:rPr>
                      <w:rFonts w:ascii="Times New Roman" w:hAnsi="Times New Roman"/>
                      <w:szCs w:val="21"/>
                    </w:rPr>
                  </w:pPr>
                  <w:r>
                    <w:rPr>
                      <w:rFonts w:ascii="Times New Roman" w:hAnsi="Times New Roman"/>
                    </w:rPr>
                    <w:t>162</w:t>
                  </w:r>
                </w:p>
              </w:tc>
            </w:tr>
          </w:tbl>
          <w:p>
            <w:pPr>
              <w:pStyle w:val="114"/>
            </w:pPr>
            <w:r>
              <w:rPr>
                <w:rFonts w:hint="eastAsia"/>
              </w:rPr>
              <w:t>③甲烷</w:t>
            </w:r>
          </w:p>
          <w:p>
            <w:pPr>
              <w:pStyle w:val="114"/>
            </w:pPr>
            <w:r>
              <w:rPr>
                <w:rFonts w:hint="eastAsia"/>
              </w:rPr>
              <w:t>建设项目工艺流程中的厌氧区段和缺氧区段，可能会有大量的</w:t>
            </w:r>
            <w:r>
              <w:t>CH</w:t>
            </w:r>
            <w:r>
              <w:rPr>
                <w:vertAlign w:val="subscript"/>
              </w:rPr>
              <w:t>4</w:t>
            </w:r>
            <w:r>
              <w:rPr>
                <w:rFonts w:hint="eastAsia"/>
              </w:rPr>
              <w:t>产生和释放。</w:t>
            </w:r>
          </w:p>
          <w:p>
            <w:pPr>
              <w:pStyle w:val="114"/>
            </w:pPr>
            <w:r>
              <w:rPr>
                <w:rFonts w:hint="eastAsia"/>
              </w:rPr>
              <w:t>根据《城市污水处理厂甲烷的释放通量》（环境工程学报，亓鹏玉、张建、王金鹤、任延刚、谢慧君，</w:t>
            </w:r>
            <w:r>
              <w:t>2012</w:t>
            </w:r>
            <w:r>
              <w:rPr>
                <w:rFonts w:hint="eastAsia"/>
              </w:rPr>
              <w:t>年</w:t>
            </w:r>
            <w:r>
              <w:t>3</w:t>
            </w:r>
            <w:r>
              <w:rPr>
                <w:rFonts w:hint="eastAsia"/>
              </w:rPr>
              <w:t>月第</w:t>
            </w:r>
            <w:r>
              <w:t>6</w:t>
            </w:r>
            <w:r>
              <w:rPr>
                <w:rFonts w:hint="eastAsia"/>
              </w:rPr>
              <w:t>卷第</w:t>
            </w:r>
            <w:r>
              <w:t>3</w:t>
            </w:r>
            <w:r>
              <w:rPr>
                <w:rFonts w:hint="eastAsia"/>
              </w:rPr>
              <w:t>期）一文，山东省济南市某城市污水处理厂采用厌氧</w:t>
            </w:r>
            <w:r>
              <w:t>/</w:t>
            </w:r>
            <w:r>
              <w:rPr>
                <w:rFonts w:hint="eastAsia"/>
              </w:rPr>
              <w:t>缺氧</w:t>
            </w:r>
            <w:r>
              <w:t>/</w:t>
            </w:r>
            <w:r>
              <w:rPr>
                <w:rFonts w:hint="eastAsia"/>
              </w:rPr>
              <w:t>好氧（</w:t>
            </w:r>
            <w:r>
              <w:t>A</w:t>
            </w:r>
            <w:r>
              <w:rPr>
                <w:vertAlign w:val="superscript"/>
              </w:rPr>
              <w:t>2</w:t>
            </w:r>
            <w:r>
              <w:t>O</w:t>
            </w:r>
            <w:r>
              <w:rPr>
                <w:rFonts w:hint="eastAsia"/>
              </w:rPr>
              <w:t>）工艺，经测算，每处理</w:t>
            </w:r>
            <w:r>
              <w:t>1t</w:t>
            </w:r>
            <w:r>
              <w:rPr>
                <w:rFonts w:hint="eastAsia"/>
              </w:rPr>
              <w:t>污水释放</w:t>
            </w:r>
            <w:r>
              <w:t>334.6mg CH</w:t>
            </w:r>
            <w:r>
              <w:rPr>
                <w:vertAlign w:val="subscript"/>
              </w:rPr>
              <w:t>4</w:t>
            </w:r>
            <w:r>
              <w:rPr>
                <w:rFonts w:hint="eastAsia"/>
              </w:rPr>
              <w:t>。</w:t>
            </w:r>
          </w:p>
          <w:p>
            <w:pPr>
              <w:pStyle w:val="114"/>
            </w:pPr>
            <w:r>
              <w:rPr>
                <w:rFonts w:hint="eastAsia"/>
              </w:rPr>
              <w:t>由此计算，建设项目</w:t>
            </w:r>
            <w:r>
              <w:t>CH</w:t>
            </w:r>
            <w:r>
              <w:rPr>
                <w:vertAlign w:val="subscript"/>
              </w:rPr>
              <w:t>4</w:t>
            </w:r>
            <w:r>
              <w:rPr>
                <w:rFonts w:hint="eastAsia"/>
              </w:rPr>
              <w:t>的排放速率</w:t>
            </w:r>
            <w:r>
              <w:t>209.13g/h</w:t>
            </w:r>
            <w:r>
              <w:rPr>
                <w:rFonts w:hint="eastAsia"/>
              </w:rPr>
              <w:t>，排放量</w:t>
            </w:r>
            <w:r>
              <w:t>1.83t/a</w:t>
            </w:r>
            <w:r>
              <w:rPr>
                <w:rFonts w:hint="eastAsia"/>
              </w:rPr>
              <w:t>，通过</w:t>
            </w:r>
            <w:r>
              <w:t>1#</w:t>
            </w:r>
            <w:r>
              <w:rPr>
                <w:rFonts w:hint="eastAsia"/>
              </w:rPr>
              <w:t>排气筒排入大气。</w:t>
            </w:r>
          </w:p>
          <w:p>
            <w:pPr>
              <w:pStyle w:val="114"/>
            </w:pPr>
            <w:r>
              <w:rPr>
                <w:rFonts w:hint="eastAsia"/>
              </w:rPr>
              <w:t>（</w:t>
            </w:r>
            <w:r>
              <w:t>2</w:t>
            </w:r>
            <w:r>
              <w:rPr>
                <w:rFonts w:hint="eastAsia"/>
              </w:rPr>
              <w:t>）一期工程“以新带老”源强消减核算</w:t>
            </w:r>
          </w:p>
          <w:p>
            <w:pPr>
              <w:pStyle w:val="114"/>
              <w:rPr>
                <w:b/>
              </w:rPr>
            </w:pPr>
            <w:r>
              <w:rPr>
                <w:rFonts w:hint="eastAsia"/>
              </w:rPr>
              <w:t>一期工程未对项目产生的恶臭气体进行有效的收集处理，现状恶臭气体均为无组织排放。本次扩建同时对一期工程主要恶臭产生构筑物进行加罩等措施，收集后进入</w:t>
            </w:r>
            <w:r>
              <w:t>2#</w:t>
            </w:r>
            <w:r>
              <w:rPr>
                <w:rFonts w:hint="eastAsia"/>
              </w:rPr>
              <w:t>生物滤池处理，尾气通过</w:t>
            </w:r>
            <w:r>
              <w:t>15m</w:t>
            </w:r>
            <w:r>
              <w:rPr>
                <w:rFonts w:hint="eastAsia"/>
              </w:rPr>
              <w:t>高（直径</w:t>
            </w:r>
            <w:r>
              <w:t>0.5m</w:t>
            </w:r>
            <w:r>
              <w:rPr>
                <w:rFonts w:hint="eastAsia"/>
              </w:rPr>
              <w:t>）的排气筒排放。现有工程废气收集率以</w:t>
            </w:r>
            <w:r>
              <w:t>90%</w:t>
            </w:r>
            <w:r>
              <w:rPr>
                <w:rFonts w:hint="eastAsia"/>
              </w:rPr>
              <w:t>核算，整改后一期工程恶臭污染物有组织源详见表</w:t>
            </w:r>
            <w:r>
              <w:t>5-9</w:t>
            </w:r>
            <w:r>
              <w:rPr>
                <w:rFonts w:hint="eastAsia"/>
              </w:rPr>
              <w:t>；</w:t>
            </w:r>
          </w:p>
          <w:p>
            <w:pPr>
              <w:pStyle w:val="111"/>
            </w:pPr>
            <w:r>
              <w:rPr>
                <w:rFonts w:hint="eastAsia"/>
              </w:rPr>
              <w:t>表</w:t>
            </w:r>
            <w:r>
              <w:t>5-9</w:t>
            </w:r>
            <w:r>
              <w:rPr>
                <w:rFonts w:hint="eastAsia"/>
              </w:rPr>
              <w:t>整改后一期工程恶臭污染物有组织源强一览表</w:t>
            </w:r>
          </w:p>
          <w:tbl>
            <w:tblPr>
              <w:tblStyle w:val="37"/>
              <w:tblW w:w="94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
              <w:gridCol w:w="849"/>
              <w:gridCol w:w="1132"/>
              <w:gridCol w:w="1273"/>
              <w:gridCol w:w="741"/>
              <w:gridCol w:w="793"/>
              <w:gridCol w:w="1132"/>
              <w:gridCol w:w="1272"/>
              <w:gridCol w:w="13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7" w:hRule="atLeast"/>
                <w:tblHeader/>
                <w:jc w:val="center"/>
              </w:trPr>
              <w:tc>
                <w:tcPr>
                  <w:tcW w:w="924" w:type="dxa"/>
                  <w:vMerge w:val="restart"/>
                  <w:tcBorders>
                    <w:top w:val="single" w:color="auto" w:sz="12"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污染源</w:t>
                  </w:r>
                </w:p>
              </w:tc>
              <w:tc>
                <w:tcPr>
                  <w:tcW w:w="849" w:type="dxa"/>
                  <w:vMerge w:val="restart"/>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污染物</w:t>
                  </w:r>
                </w:p>
              </w:tc>
              <w:tc>
                <w:tcPr>
                  <w:tcW w:w="2405" w:type="dxa"/>
                  <w:gridSpan w:val="2"/>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产生情况</w:t>
                  </w:r>
                </w:p>
              </w:tc>
              <w:tc>
                <w:tcPr>
                  <w:tcW w:w="741" w:type="dxa"/>
                  <w:vMerge w:val="restart"/>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风量</w:t>
                  </w:r>
                  <w:r>
                    <w:rPr>
                      <w:rFonts w:ascii="Times New Roman" w:hAnsi="Times New Roman"/>
                      <w:b/>
                    </w:rPr>
                    <w:t>m</w:t>
                  </w:r>
                  <w:r>
                    <w:rPr>
                      <w:rFonts w:ascii="Times New Roman" w:hAnsi="Times New Roman"/>
                      <w:b/>
                      <w:vertAlign w:val="superscript"/>
                    </w:rPr>
                    <w:t>3</w:t>
                  </w:r>
                  <w:r>
                    <w:rPr>
                      <w:rFonts w:ascii="Times New Roman" w:hAnsi="Times New Roman"/>
                      <w:b/>
                    </w:rPr>
                    <w:t>/h</w:t>
                  </w:r>
                </w:p>
              </w:tc>
              <w:tc>
                <w:tcPr>
                  <w:tcW w:w="793" w:type="dxa"/>
                  <w:vMerge w:val="restart"/>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处理</w:t>
                  </w:r>
                </w:p>
                <w:p>
                  <w:pPr>
                    <w:spacing w:line="320" w:lineRule="exact"/>
                    <w:jc w:val="center"/>
                    <w:rPr>
                      <w:rFonts w:ascii="Times New Roman" w:hAnsi="Times New Roman"/>
                      <w:b/>
                    </w:rPr>
                  </w:pPr>
                  <w:r>
                    <w:rPr>
                      <w:rFonts w:hint="eastAsia" w:ascii="Times New Roman" w:hAnsi="Times New Roman"/>
                      <w:b/>
                    </w:rPr>
                    <w:t>效率</w:t>
                  </w:r>
                </w:p>
              </w:tc>
              <w:tc>
                <w:tcPr>
                  <w:tcW w:w="3774" w:type="dxa"/>
                  <w:gridSpan w:val="3"/>
                  <w:tcBorders>
                    <w:top w:val="single" w:color="auto" w:sz="12"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b/>
                    </w:rPr>
                  </w:pPr>
                  <w:r>
                    <w:rPr>
                      <w:rFonts w:hint="eastAsia" w:ascii="Times New Roman" w:hAnsi="Times New Roman"/>
                      <w:b/>
                    </w:rPr>
                    <w:t>排放情况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24" w:type="dxa"/>
                  <w:vMerge w:val="continue"/>
                  <w:tcBorders>
                    <w:top w:val="single" w:color="auto" w:sz="6" w:space="0"/>
                    <w:left w:val="single" w:color="auto" w:sz="12" w:space="0"/>
                    <w:bottom w:val="double" w:color="auto" w:sz="4" w:space="0"/>
                    <w:right w:val="single" w:color="auto" w:sz="6" w:space="0"/>
                  </w:tcBorders>
                  <w:vAlign w:val="center"/>
                </w:tcPr>
                <w:p>
                  <w:pPr>
                    <w:spacing w:line="320" w:lineRule="exact"/>
                    <w:jc w:val="center"/>
                    <w:rPr>
                      <w:rFonts w:ascii="Times New Roman" w:hAnsi="Times New Roman"/>
                      <w:b/>
                    </w:rPr>
                  </w:pPr>
                </w:p>
              </w:tc>
              <w:tc>
                <w:tcPr>
                  <w:tcW w:w="849" w:type="dxa"/>
                  <w:vMerge w:val="continue"/>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p>
              </w:tc>
              <w:tc>
                <w:tcPr>
                  <w:tcW w:w="1132"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速率</w:t>
                  </w:r>
                  <w:r>
                    <w:rPr>
                      <w:rFonts w:ascii="Times New Roman" w:hAnsi="Times New Roman"/>
                      <w:b/>
                    </w:rPr>
                    <w:t>kg/h</w:t>
                  </w:r>
                </w:p>
              </w:tc>
              <w:tc>
                <w:tcPr>
                  <w:tcW w:w="1273"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产生量</w:t>
                  </w:r>
                  <w:r>
                    <w:rPr>
                      <w:rFonts w:ascii="Times New Roman" w:hAnsi="Times New Roman"/>
                      <w:b/>
                    </w:rPr>
                    <w:t>t/a</w:t>
                  </w:r>
                </w:p>
              </w:tc>
              <w:tc>
                <w:tcPr>
                  <w:tcW w:w="741" w:type="dxa"/>
                  <w:vMerge w:val="continue"/>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rPr>
                  </w:pPr>
                </w:p>
              </w:tc>
              <w:tc>
                <w:tcPr>
                  <w:tcW w:w="793" w:type="dxa"/>
                  <w:vMerge w:val="continue"/>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rPr>
                  </w:pPr>
                </w:p>
              </w:tc>
              <w:tc>
                <w:tcPr>
                  <w:tcW w:w="1132"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速率</w:t>
                  </w:r>
                  <w:r>
                    <w:rPr>
                      <w:rFonts w:ascii="Times New Roman" w:hAnsi="Times New Roman"/>
                      <w:b/>
                    </w:rPr>
                    <w:t>kg/h</w:t>
                  </w:r>
                </w:p>
              </w:tc>
              <w:tc>
                <w:tcPr>
                  <w:tcW w:w="1272"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排放量</w:t>
                  </w:r>
                  <w:r>
                    <w:rPr>
                      <w:rFonts w:ascii="Times New Roman" w:hAnsi="Times New Roman"/>
                      <w:b/>
                    </w:rPr>
                    <w:t>t/a</w:t>
                  </w:r>
                </w:p>
              </w:tc>
              <w:tc>
                <w:tcPr>
                  <w:tcW w:w="1370" w:type="dxa"/>
                  <w:tcBorders>
                    <w:top w:val="single" w:color="auto" w:sz="6" w:space="0"/>
                    <w:left w:val="single" w:color="auto" w:sz="6" w:space="0"/>
                    <w:bottom w:val="double" w:color="auto" w:sz="4" w:space="0"/>
                    <w:right w:val="single" w:color="auto" w:sz="12" w:space="0"/>
                  </w:tcBorders>
                  <w:vAlign w:val="center"/>
                </w:tcPr>
                <w:p>
                  <w:pPr>
                    <w:spacing w:line="320" w:lineRule="exact"/>
                    <w:jc w:val="center"/>
                    <w:rPr>
                      <w:rFonts w:ascii="Times New Roman" w:hAnsi="Times New Roman"/>
                      <w:b/>
                    </w:rPr>
                  </w:pPr>
                  <w:r>
                    <w:rPr>
                      <w:rFonts w:hint="eastAsia" w:ascii="Times New Roman" w:hAnsi="Times New Roman"/>
                      <w:b/>
                    </w:rPr>
                    <w:t>浓度</w:t>
                  </w:r>
                  <w:r>
                    <w:rPr>
                      <w:rFonts w:ascii="Times New Roman" w:hAnsi="Times New Roman"/>
                      <w:b/>
                    </w:rPr>
                    <w:t>mg/m</w:t>
                  </w:r>
                  <w:r>
                    <w:rPr>
                      <w:rFonts w:ascii="Times New Roman" w:hAnsi="Times New Roman"/>
                      <w:b/>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24" w:type="dxa"/>
                  <w:vMerge w:val="restart"/>
                  <w:tcBorders>
                    <w:top w:val="double" w:color="auto" w:sz="4"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2#</w:t>
                  </w:r>
                  <w:r>
                    <w:rPr>
                      <w:rFonts w:hint="eastAsia" w:ascii="Times New Roman" w:hAnsi="Times New Roman"/>
                    </w:rPr>
                    <w:t>排气筒</w:t>
                  </w:r>
                </w:p>
              </w:tc>
              <w:tc>
                <w:tcPr>
                  <w:tcW w:w="849" w:type="dxa"/>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NH</w:t>
                  </w:r>
                  <w:r>
                    <w:rPr>
                      <w:rFonts w:ascii="Times New Roman" w:hAnsi="Times New Roman"/>
                      <w:vertAlign w:val="subscript"/>
                    </w:rPr>
                    <w:t>3</w:t>
                  </w:r>
                </w:p>
              </w:tc>
              <w:tc>
                <w:tcPr>
                  <w:tcW w:w="1132" w:type="dxa"/>
                  <w:tcBorders>
                    <w:top w:val="double" w:color="auto" w:sz="4" w:space="0"/>
                    <w:left w:val="single" w:color="auto" w:sz="6" w:space="0"/>
                    <w:bottom w:val="single" w:color="auto" w:sz="6" w:space="0"/>
                    <w:right w:val="single" w:color="auto" w:sz="6" w:space="0"/>
                  </w:tcBorders>
                </w:tcPr>
                <w:p>
                  <w:pPr>
                    <w:spacing w:line="320" w:lineRule="exact"/>
                    <w:jc w:val="center"/>
                    <w:rPr>
                      <w:rFonts w:ascii="Times New Roman" w:hAnsi="Times New Roman"/>
                    </w:rPr>
                  </w:pPr>
                  <w:r>
                    <w:rPr>
                      <w:rFonts w:ascii="Times New Roman" w:hAnsi="Times New Roman"/>
                    </w:rPr>
                    <w:t>0.606</w:t>
                  </w:r>
                </w:p>
              </w:tc>
              <w:tc>
                <w:tcPr>
                  <w:tcW w:w="1273" w:type="dxa"/>
                  <w:tcBorders>
                    <w:top w:val="double" w:color="auto" w:sz="4" w:space="0"/>
                    <w:left w:val="single" w:color="auto" w:sz="6" w:space="0"/>
                    <w:bottom w:val="single" w:color="auto" w:sz="6" w:space="0"/>
                    <w:right w:val="single" w:color="auto" w:sz="6" w:space="0"/>
                  </w:tcBorders>
                </w:tcPr>
                <w:p>
                  <w:pPr>
                    <w:spacing w:line="320" w:lineRule="exact"/>
                    <w:jc w:val="center"/>
                    <w:rPr>
                      <w:rFonts w:ascii="Times New Roman" w:hAnsi="Times New Roman"/>
                    </w:rPr>
                  </w:pPr>
                  <w:r>
                    <w:rPr>
                      <w:rFonts w:ascii="Times New Roman" w:hAnsi="Times New Roman"/>
                    </w:rPr>
                    <w:t>5.31</w:t>
                  </w:r>
                </w:p>
              </w:tc>
              <w:tc>
                <w:tcPr>
                  <w:tcW w:w="741" w:type="dxa"/>
                  <w:vMerge w:val="restart"/>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6000</w:t>
                  </w:r>
                </w:p>
              </w:tc>
              <w:tc>
                <w:tcPr>
                  <w:tcW w:w="793" w:type="dxa"/>
                  <w:vMerge w:val="restart"/>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95%</w:t>
                  </w:r>
                </w:p>
              </w:tc>
              <w:tc>
                <w:tcPr>
                  <w:tcW w:w="1132" w:type="dxa"/>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0.0303</w:t>
                  </w:r>
                </w:p>
              </w:tc>
              <w:tc>
                <w:tcPr>
                  <w:tcW w:w="1272" w:type="dxa"/>
                  <w:tcBorders>
                    <w:top w:val="double" w:color="auto" w:sz="4"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0.266</w:t>
                  </w:r>
                </w:p>
              </w:tc>
              <w:tc>
                <w:tcPr>
                  <w:tcW w:w="1370" w:type="dxa"/>
                  <w:tcBorders>
                    <w:top w:val="double" w:color="auto" w:sz="4" w:space="0"/>
                    <w:left w:val="single" w:color="auto" w:sz="6" w:space="0"/>
                    <w:bottom w:val="single" w:color="auto" w:sz="6" w:space="0"/>
                    <w:right w:val="single" w:color="auto" w:sz="12" w:space="0"/>
                  </w:tcBorders>
                </w:tcPr>
                <w:p>
                  <w:pPr>
                    <w:spacing w:line="320" w:lineRule="exact"/>
                    <w:jc w:val="center"/>
                    <w:rPr>
                      <w:rFonts w:ascii="Times New Roman" w:hAnsi="Times New Roman"/>
                    </w:rPr>
                  </w:pPr>
                  <w:r>
                    <w:rPr>
                      <w:rFonts w:ascii="Times New Roman" w:hAnsi="Times New Roman"/>
                    </w:rPr>
                    <w:t>5.05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24" w:type="dxa"/>
                  <w:vMerge w:val="continue"/>
                  <w:tcBorders>
                    <w:top w:val="single" w:color="auto" w:sz="6" w:space="0"/>
                    <w:left w:val="single" w:color="auto" w:sz="12" w:space="0"/>
                    <w:bottom w:val="single" w:color="auto" w:sz="12" w:space="0"/>
                    <w:right w:val="single" w:color="auto" w:sz="6" w:space="0"/>
                  </w:tcBorders>
                  <w:vAlign w:val="center"/>
                </w:tcPr>
                <w:p>
                  <w:pPr>
                    <w:spacing w:line="320" w:lineRule="exact"/>
                    <w:jc w:val="center"/>
                    <w:rPr>
                      <w:rFonts w:ascii="Times New Roman" w:hAnsi="Times New Roman"/>
                    </w:rPr>
                  </w:pPr>
                </w:p>
              </w:tc>
              <w:tc>
                <w:tcPr>
                  <w:tcW w:w="849" w:type="dxa"/>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1132" w:type="dxa"/>
                  <w:tcBorders>
                    <w:top w:val="single" w:color="auto" w:sz="6" w:space="0"/>
                    <w:left w:val="single" w:color="auto" w:sz="6" w:space="0"/>
                    <w:bottom w:val="single" w:color="auto" w:sz="12" w:space="0"/>
                    <w:right w:val="single" w:color="auto" w:sz="6" w:space="0"/>
                  </w:tcBorders>
                </w:tcPr>
                <w:p>
                  <w:pPr>
                    <w:spacing w:line="320" w:lineRule="exact"/>
                    <w:jc w:val="center"/>
                    <w:rPr>
                      <w:rFonts w:ascii="Times New Roman" w:hAnsi="Times New Roman"/>
                    </w:rPr>
                  </w:pPr>
                  <w:r>
                    <w:rPr>
                      <w:rFonts w:ascii="Times New Roman" w:hAnsi="Times New Roman"/>
                    </w:rPr>
                    <w:t>0.054</w:t>
                  </w:r>
                </w:p>
              </w:tc>
              <w:tc>
                <w:tcPr>
                  <w:tcW w:w="1273" w:type="dxa"/>
                  <w:tcBorders>
                    <w:top w:val="single" w:color="auto" w:sz="6" w:space="0"/>
                    <w:left w:val="single" w:color="auto" w:sz="6" w:space="0"/>
                    <w:bottom w:val="single" w:color="auto" w:sz="12" w:space="0"/>
                    <w:right w:val="single" w:color="auto" w:sz="6" w:space="0"/>
                  </w:tcBorders>
                </w:tcPr>
                <w:p>
                  <w:pPr>
                    <w:spacing w:line="320" w:lineRule="exact"/>
                    <w:jc w:val="center"/>
                    <w:rPr>
                      <w:rFonts w:ascii="Times New Roman" w:hAnsi="Times New Roman"/>
                    </w:rPr>
                  </w:pPr>
                  <w:r>
                    <w:rPr>
                      <w:rFonts w:ascii="Times New Roman" w:hAnsi="Times New Roman"/>
                    </w:rPr>
                    <w:t>0.477</w:t>
                  </w:r>
                </w:p>
              </w:tc>
              <w:tc>
                <w:tcPr>
                  <w:tcW w:w="741" w:type="dxa"/>
                  <w:vMerge w:val="continue"/>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p>
              </w:tc>
              <w:tc>
                <w:tcPr>
                  <w:tcW w:w="793" w:type="dxa"/>
                  <w:vMerge w:val="continue"/>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p>
              </w:tc>
              <w:tc>
                <w:tcPr>
                  <w:tcW w:w="1132" w:type="dxa"/>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r>
                    <w:rPr>
                      <w:rFonts w:ascii="Times New Roman" w:hAnsi="Times New Roman"/>
                    </w:rPr>
                    <w:t>0.0027</w:t>
                  </w:r>
                </w:p>
              </w:tc>
              <w:tc>
                <w:tcPr>
                  <w:tcW w:w="1272" w:type="dxa"/>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r>
                    <w:rPr>
                      <w:rFonts w:ascii="Times New Roman" w:hAnsi="Times New Roman"/>
                    </w:rPr>
                    <w:t>0.024</w:t>
                  </w:r>
                </w:p>
              </w:tc>
              <w:tc>
                <w:tcPr>
                  <w:tcW w:w="1370" w:type="dxa"/>
                  <w:tcBorders>
                    <w:top w:val="single" w:color="auto" w:sz="6" w:space="0"/>
                    <w:left w:val="single" w:color="auto" w:sz="6" w:space="0"/>
                    <w:bottom w:val="single" w:color="auto" w:sz="12" w:space="0"/>
                    <w:right w:val="single" w:color="auto" w:sz="12" w:space="0"/>
                  </w:tcBorders>
                </w:tcPr>
                <w:p>
                  <w:pPr>
                    <w:spacing w:line="320" w:lineRule="exact"/>
                    <w:jc w:val="center"/>
                    <w:rPr>
                      <w:rFonts w:ascii="Times New Roman" w:hAnsi="Times New Roman"/>
                    </w:rPr>
                  </w:pPr>
                  <w:r>
                    <w:rPr>
                      <w:rFonts w:ascii="Times New Roman" w:hAnsi="Times New Roman"/>
                    </w:rPr>
                    <w:t>0.45</w:t>
                  </w:r>
                </w:p>
              </w:tc>
            </w:tr>
          </w:tbl>
          <w:p>
            <w:pPr>
              <w:pStyle w:val="114"/>
            </w:pPr>
            <w:r>
              <w:rPr>
                <w:rFonts w:hint="eastAsia"/>
              </w:rPr>
              <w:t>整改后一期工程无组织排放源强为：</w:t>
            </w:r>
            <w:r>
              <w:t>NH</w:t>
            </w:r>
            <w:r>
              <w:rPr>
                <w:vertAlign w:val="subscript"/>
              </w:rPr>
              <w:t>3</w:t>
            </w:r>
            <w:r>
              <w:rPr>
                <w:rFonts w:hint="eastAsia"/>
              </w:rPr>
              <w:t>：</w:t>
            </w:r>
            <w:r>
              <w:t>0.59t/a</w:t>
            </w:r>
            <w:r>
              <w:rPr>
                <w:rFonts w:hint="eastAsia"/>
              </w:rPr>
              <w:t>、</w:t>
            </w:r>
            <w:r>
              <w:t>H</w:t>
            </w:r>
            <w:r>
              <w:rPr>
                <w:vertAlign w:val="subscript"/>
              </w:rPr>
              <w:t>2</w:t>
            </w:r>
            <w:r>
              <w:t>S</w:t>
            </w:r>
            <w:r>
              <w:rPr>
                <w:rFonts w:hint="eastAsia"/>
              </w:rPr>
              <w:t>：</w:t>
            </w:r>
            <w:r>
              <w:t>0.053 t/a</w:t>
            </w:r>
            <w:r>
              <w:rPr>
                <w:rFonts w:hint="eastAsia"/>
              </w:rPr>
              <w:t>。</w:t>
            </w:r>
          </w:p>
          <w:p>
            <w:pPr>
              <w:pStyle w:val="114"/>
            </w:pPr>
            <w:r>
              <w:rPr>
                <w:rFonts w:hint="eastAsia"/>
              </w:rPr>
              <w:t>一期工程“以新带老”消减情况详见表</w:t>
            </w:r>
            <w:r>
              <w:t>5-10</w:t>
            </w:r>
            <w:r>
              <w:rPr>
                <w:rFonts w:hint="eastAsia"/>
              </w:rPr>
              <w:t>。</w:t>
            </w:r>
          </w:p>
          <w:p>
            <w:pPr>
              <w:pStyle w:val="111"/>
            </w:pPr>
            <w:r>
              <w:rPr>
                <w:rFonts w:hint="eastAsia"/>
              </w:rPr>
              <w:t>表</w:t>
            </w:r>
            <w:r>
              <w:t>5-10</w:t>
            </w:r>
            <w:r>
              <w:rPr>
                <w:rFonts w:hint="eastAsia"/>
              </w:rPr>
              <w:t>一期工程恶臭污染物“以新带老”削减情况一览表</w:t>
            </w:r>
          </w:p>
          <w:tbl>
            <w:tblPr>
              <w:tblStyle w:val="37"/>
              <w:tblW w:w="94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0"/>
              <w:gridCol w:w="1163"/>
              <w:gridCol w:w="2482"/>
              <w:gridCol w:w="2482"/>
              <w:gridCol w:w="21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0" w:hRule="atLeast"/>
              </w:trPr>
              <w:tc>
                <w:tcPr>
                  <w:tcW w:w="2323" w:type="dxa"/>
                  <w:gridSpan w:val="2"/>
                  <w:tcBorders>
                    <w:top w:val="single" w:color="auto" w:sz="12" w:space="0"/>
                    <w:left w:val="single" w:color="auto" w:sz="12" w:space="0"/>
                    <w:bottom w:val="double" w:color="auto" w:sz="4" w:space="0"/>
                    <w:right w:val="single" w:color="auto" w:sz="6"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Times New Roman"/>
                      <w:b/>
                      <w:szCs w:val="21"/>
                    </w:rPr>
                    <w:t>污染物</w:t>
                  </w:r>
                </w:p>
              </w:tc>
              <w:tc>
                <w:tcPr>
                  <w:tcW w:w="2482" w:type="dxa"/>
                  <w:tcBorders>
                    <w:top w:val="single" w:color="auto" w:sz="12" w:space="0"/>
                    <w:left w:val="single" w:color="auto" w:sz="6" w:space="0"/>
                    <w:bottom w:val="double" w:color="auto" w:sz="4" w:space="0"/>
                    <w:right w:val="single" w:color="auto" w:sz="6"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Times New Roman"/>
                      <w:b/>
                      <w:szCs w:val="21"/>
                    </w:rPr>
                    <w:t>整改前（</w:t>
                  </w:r>
                  <w:r>
                    <w:rPr>
                      <w:rFonts w:ascii="Times New Roman" w:hAnsi="Times New Roman"/>
                      <w:b/>
                      <w:szCs w:val="21"/>
                    </w:rPr>
                    <w:t>t/a</w:t>
                  </w:r>
                  <w:r>
                    <w:rPr>
                      <w:rFonts w:hint="eastAsia" w:ascii="Times New Roman" w:hAnsi="Times New Roman"/>
                      <w:b/>
                      <w:szCs w:val="21"/>
                    </w:rPr>
                    <w:t>）</w:t>
                  </w:r>
                </w:p>
              </w:tc>
              <w:tc>
                <w:tcPr>
                  <w:tcW w:w="2482" w:type="dxa"/>
                  <w:tcBorders>
                    <w:top w:val="single" w:color="auto" w:sz="12" w:space="0"/>
                    <w:left w:val="single" w:color="auto" w:sz="6" w:space="0"/>
                    <w:bottom w:val="double" w:color="auto" w:sz="4" w:space="0"/>
                    <w:right w:val="single" w:color="auto" w:sz="6"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Times New Roman"/>
                      <w:b/>
                      <w:szCs w:val="21"/>
                    </w:rPr>
                    <w:t>整改后（</w:t>
                  </w:r>
                  <w:r>
                    <w:rPr>
                      <w:rFonts w:ascii="Times New Roman" w:hAnsi="Times New Roman"/>
                      <w:b/>
                      <w:szCs w:val="21"/>
                    </w:rPr>
                    <w:t>t/a</w:t>
                  </w:r>
                  <w:r>
                    <w:rPr>
                      <w:rFonts w:hint="eastAsia" w:ascii="Times New Roman" w:hAnsi="Times New Roman"/>
                      <w:b/>
                      <w:szCs w:val="21"/>
                    </w:rPr>
                    <w:t>）</w:t>
                  </w:r>
                </w:p>
              </w:tc>
              <w:tc>
                <w:tcPr>
                  <w:tcW w:w="2199" w:type="dxa"/>
                  <w:tcBorders>
                    <w:top w:val="single" w:color="auto" w:sz="12" w:space="0"/>
                    <w:left w:val="single" w:color="auto" w:sz="6" w:space="0"/>
                    <w:bottom w:val="double" w:color="auto" w:sz="4" w:space="0"/>
                    <w:right w:val="single" w:color="auto" w:sz="12"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Times New Roman"/>
                      <w:b/>
                      <w:szCs w:val="21"/>
                    </w:rPr>
                    <w:t>排放增减量（</w:t>
                  </w:r>
                  <w:r>
                    <w:rPr>
                      <w:rFonts w:ascii="Times New Roman" w:hAnsi="Times New Roman"/>
                      <w:b/>
                      <w:szCs w:val="21"/>
                    </w:rPr>
                    <w:t>t/a</w:t>
                  </w:r>
                  <w:r>
                    <w:rPr>
                      <w:rFonts w:hint="eastAsia" w:ascii="Times New Roman" w:hAnsi="Times New Roman"/>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2" w:hRule="atLeast"/>
              </w:trPr>
              <w:tc>
                <w:tcPr>
                  <w:tcW w:w="1160" w:type="dxa"/>
                  <w:vMerge w:val="restart"/>
                  <w:tcBorders>
                    <w:top w:val="double" w:color="auto" w:sz="4"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bCs/>
                      <w:szCs w:val="21"/>
                    </w:rPr>
                    <w:t>H</w:t>
                  </w:r>
                  <w:r>
                    <w:rPr>
                      <w:rFonts w:ascii="Times New Roman" w:hAnsi="Times New Roman"/>
                      <w:bCs/>
                      <w:szCs w:val="21"/>
                      <w:vertAlign w:val="subscript"/>
                    </w:rPr>
                    <w:t>2</w:t>
                  </w:r>
                  <w:r>
                    <w:rPr>
                      <w:rFonts w:ascii="Times New Roman" w:hAnsi="Times New Roman"/>
                      <w:bCs/>
                      <w:szCs w:val="21"/>
                    </w:rPr>
                    <w:t>S</w:t>
                  </w:r>
                </w:p>
              </w:tc>
              <w:tc>
                <w:tcPr>
                  <w:tcW w:w="1163"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szCs w:val="21"/>
                    </w:rPr>
                  </w:pPr>
                  <w:r>
                    <w:rPr>
                      <w:rFonts w:hint="eastAsia" w:ascii="Times New Roman" w:hAnsi="Times New Roman"/>
                      <w:szCs w:val="21"/>
                    </w:rPr>
                    <w:t>总量</w:t>
                  </w:r>
                </w:p>
              </w:tc>
              <w:tc>
                <w:tcPr>
                  <w:tcW w:w="2482"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0.53</w:t>
                  </w:r>
                </w:p>
              </w:tc>
              <w:tc>
                <w:tcPr>
                  <w:tcW w:w="2482"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0.077</w:t>
                  </w:r>
                </w:p>
              </w:tc>
              <w:tc>
                <w:tcPr>
                  <w:tcW w:w="2199" w:type="dxa"/>
                  <w:tcBorders>
                    <w:top w:val="double" w:color="auto" w:sz="4"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-0.453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trPr>
              <w:tc>
                <w:tcPr>
                  <w:tcW w:w="1160"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bCs/>
                      <w:szCs w:val="21"/>
                    </w:rPr>
                  </w:pPr>
                </w:p>
              </w:tc>
              <w:tc>
                <w:tcPr>
                  <w:tcW w:w="116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bCs/>
                      <w:szCs w:val="21"/>
                    </w:rPr>
                  </w:pPr>
                  <w:r>
                    <w:rPr>
                      <w:rFonts w:hint="eastAsia" w:ascii="Times New Roman" w:hAnsi="Times New Roman"/>
                      <w:bCs/>
                      <w:szCs w:val="21"/>
                    </w:rPr>
                    <w:t>有组织</w:t>
                  </w:r>
                </w:p>
              </w:tc>
              <w:tc>
                <w:tcPr>
                  <w:tcW w:w="248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w:t>
                  </w:r>
                </w:p>
              </w:tc>
              <w:tc>
                <w:tcPr>
                  <w:tcW w:w="248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0.024</w:t>
                  </w:r>
                </w:p>
              </w:tc>
              <w:tc>
                <w:tcPr>
                  <w:tcW w:w="2199"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+0.024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5" w:hRule="atLeast"/>
              </w:trPr>
              <w:tc>
                <w:tcPr>
                  <w:tcW w:w="1160"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bCs/>
                      <w:szCs w:val="21"/>
                    </w:rPr>
                  </w:pPr>
                </w:p>
              </w:tc>
              <w:tc>
                <w:tcPr>
                  <w:tcW w:w="116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bCs/>
                      <w:szCs w:val="21"/>
                    </w:rPr>
                  </w:pPr>
                  <w:r>
                    <w:rPr>
                      <w:rFonts w:hint="eastAsia" w:ascii="Times New Roman" w:hAnsi="Times New Roman"/>
                      <w:bCs/>
                      <w:szCs w:val="21"/>
                    </w:rPr>
                    <w:t>无组织</w:t>
                  </w:r>
                </w:p>
              </w:tc>
              <w:tc>
                <w:tcPr>
                  <w:tcW w:w="248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0.53</w:t>
                  </w:r>
                </w:p>
              </w:tc>
              <w:tc>
                <w:tcPr>
                  <w:tcW w:w="248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0.053</w:t>
                  </w:r>
                </w:p>
              </w:tc>
              <w:tc>
                <w:tcPr>
                  <w:tcW w:w="2199"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-0.477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trPr>
              <w:tc>
                <w:tcPr>
                  <w:tcW w:w="1160" w:type="dxa"/>
                  <w:vMerge w:val="restart"/>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ascii="Times New Roman" w:hAnsi="Times New Roman"/>
                      <w:bCs/>
                      <w:szCs w:val="21"/>
                    </w:rPr>
                    <w:t>NH</w:t>
                  </w:r>
                  <w:r>
                    <w:rPr>
                      <w:rFonts w:ascii="Times New Roman" w:hAnsi="Times New Roman"/>
                      <w:bCs/>
                      <w:szCs w:val="21"/>
                      <w:vertAlign w:val="subscript"/>
                    </w:rPr>
                    <w:t>3</w:t>
                  </w:r>
                </w:p>
              </w:tc>
              <w:tc>
                <w:tcPr>
                  <w:tcW w:w="116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ind w:right="-105" w:rightChars="-50"/>
                    <w:jc w:val="center"/>
                    <w:rPr>
                      <w:rFonts w:ascii="Times New Roman" w:hAnsi="Times New Roman"/>
                      <w:szCs w:val="21"/>
                    </w:rPr>
                  </w:pPr>
                  <w:r>
                    <w:rPr>
                      <w:rFonts w:hint="eastAsia" w:ascii="Times New Roman" w:hAnsi="Times New Roman"/>
                      <w:szCs w:val="21"/>
                    </w:rPr>
                    <w:t>总量</w:t>
                  </w:r>
                </w:p>
              </w:tc>
              <w:tc>
                <w:tcPr>
                  <w:tcW w:w="248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5.9</w:t>
                  </w:r>
                </w:p>
              </w:tc>
              <w:tc>
                <w:tcPr>
                  <w:tcW w:w="248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0.856</w:t>
                  </w:r>
                </w:p>
              </w:tc>
              <w:tc>
                <w:tcPr>
                  <w:tcW w:w="2199"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-5.044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5" w:hRule="atLeast"/>
              </w:trPr>
              <w:tc>
                <w:tcPr>
                  <w:tcW w:w="1160"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bCs/>
                      <w:szCs w:val="21"/>
                    </w:rPr>
                  </w:pPr>
                </w:p>
              </w:tc>
              <w:tc>
                <w:tcPr>
                  <w:tcW w:w="116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bCs/>
                      <w:szCs w:val="21"/>
                    </w:rPr>
                  </w:pPr>
                  <w:r>
                    <w:rPr>
                      <w:rFonts w:hint="eastAsia" w:ascii="Times New Roman" w:hAnsi="Times New Roman"/>
                      <w:bCs/>
                      <w:szCs w:val="21"/>
                    </w:rPr>
                    <w:t>有组织</w:t>
                  </w:r>
                </w:p>
              </w:tc>
              <w:tc>
                <w:tcPr>
                  <w:tcW w:w="248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w:t>
                  </w:r>
                </w:p>
              </w:tc>
              <w:tc>
                <w:tcPr>
                  <w:tcW w:w="2482"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0.266</w:t>
                  </w:r>
                </w:p>
              </w:tc>
              <w:tc>
                <w:tcPr>
                  <w:tcW w:w="2199" w:type="dxa"/>
                  <w:tcBorders>
                    <w:top w:val="single" w:color="auto" w:sz="6" w:space="0"/>
                    <w:left w:val="single" w:color="auto" w:sz="6" w:space="0"/>
                    <w:bottom w:val="single" w:color="auto" w:sz="6"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+0.266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trPr>
              <w:tc>
                <w:tcPr>
                  <w:tcW w:w="1160" w:type="dxa"/>
                  <w:vMerge w:val="continue"/>
                  <w:tcBorders>
                    <w:top w:val="single" w:color="auto" w:sz="6" w:space="0"/>
                    <w:left w:val="single" w:color="auto" w:sz="12" w:space="0"/>
                    <w:bottom w:val="single" w:color="auto" w:sz="12"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bCs/>
                      <w:szCs w:val="21"/>
                    </w:rPr>
                  </w:pPr>
                </w:p>
              </w:tc>
              <w:tc>
                <w:tcPr>
                  <w:tcW w:w="1163"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ind w:left="-105" w:leftChars="-50" w:right="-105" w:rightChars="-50"/>
                    <w:jc w:val="center"/>
                    <w:rPr>
                      <w:rFonts w:ascii="Times New Roman" w:hAnsi="Times New Roman"/>
                      <w:bCs/>
                      <w:szCs w:val="21"/>
                    </w:rPr>
                  </w:pPr>
                  <w:r>
                    <w:rPr>
                      <w:rFonts w:hint="eastAsia" w:ascii="Times New Roman" w:hAnsi="Times New Roman"/>
                      <w:bCs/>
                      <w:szCs w:val="21"/>
                    </w:rPr>
                    <w:t>无组织</w:t>
                  </w:r>
                </w:p>
              </w:tc>
              <w:tc>
                <w:tcPr>
                  <w:tcW w:w="2482"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5.9</w:t>
                  </w:r>
                </w:p>
              </w:tc>
              <w:tc>
                <w:tcPr>
                  <w:tcW w:w="2482"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0.59</w:t>
                  </w:r>
                </w:p>
              </w:tc>
              <w:tc>
                <w:tcPr>
                  <w:tcW w:w="2199" w:type="dxa"/>
                  <w:tcBorders>
                    <w:top w:val="single" w:color="auto" w:sz="6" w:space="0"/>
                    <w:left w:val="single" w:color="auto" w:sz="6" w:space="0"/>
                    <w:bottom w:val="single" w:color="auto" w:sz="12" w:space="0"/>
                    <w:right w:val="single" w:color="auto" w:sz="12" w:space="0"/>
                  </w:tcBorders>
                  <w:shd w:val="clear" w:color="auto" w:fill="FFFFFF"/>
                </w:tcPr>
                <w:p>
                  <w:pPr>
                    <w:spacing w:line="320" w:lineRule="exact"/>
                    <w:jc w:val="center"/>
                    <w:rPr>
                      <w:rFonts w:ascii="Times New Roman" w:hAnsi="Times New Roman"/>
                    </w:rPr>
                  </w:pPr>
                  <w:r>
                    <w:rPr>
                      <w:rFonts w:ascii="Times New Roman" w:hAnsi="Times New Roman"/>
                    </w:rPr>
                    <w:t>-5.31</w:t>
                  </w:r>
                </w:p>
              </w:tc>
            </w:tr>
          </w:tbl>
          <w:p>
            <w:pPr>
              <w:pStyle w:val="114"/>
            </w:pPr>
            <w:r>
              <w:rPr>
                <w:rFonts w:hint="eastAsia"/>
              </w:rPr>
              <w:t>（</w:t>
            </w:r>
            <w:r>
              <w:t>3</w:t>
            </w:r>
            <w:r>
              <w:rPr>
                <w:rFonts w:hint="eastAsia"/>
              </w:rPr>
              <w:t>）项目建成后全厂废气源强</w:t>
            </w:r>
          </w:p>
          <w:p>
            <w:pPr>
              <w:pStyle w:val="114"/>
              <w:rPr>
                <w:b/>
              </w:rPr>
            </w:pPr>
            <w:r>
              <w:rPr>
                <w:rFonts w:hint="eastAsia"/>
              </w:rPr>
              <w:t>项目建成后，全厂有组织废气排放情况详见表</w:t>
            </w:r>
            <w:r>
              <w:t>5-11</w:t>
            </w:r>
            <w:r>
              <w:rPr>
                <w:rFonts w:hint="eastAsia"/>
              </w:rPr>
              <w:t>；</w:t>
            </w:r>
          </w:p>
          <w:p>
            <w:pPr>
              <w:pStyle w:val="111"/>
            </w:pPr>
            <w:r>
              <w:rPr>
                <w:rFonts w:hint="eastAsia"/>
              </w:rPr>
              <w:t>表</w:t>
            </w:r>
            <w:r>
              <w:t>5-11</w:t>
            </w:r>
            <w:r>
              <w:rPr>
                <w:rFonts w:hint="eastAsia"/>
              </w:rPr>
              <w:t>整改后全厂恶臭污染物有组织源强一览表</w:t>
            </w:r>
          </w:p>
          <w:tbl>
            <w:tblPr>
              <w:tblStyle w:val="37"/>
              <w:tblW w:w="94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
              <w:gridCol w:w="849"/>
              <w:gridCol w:w="1132"/>
              <w:gridCol w:w="1273"/>
              <w:gridCol w:w="741"/>
              <w:gridCol w:w="793"/>
              <w:gridCol w:w="1132"/>
              <w:gridCol w:w="1272"/>
              <w:gridCol w:w="13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7" w:hRule="atLeast"/>
                <w:tblHeader/>
                <w:jc w:val="center"/>
              </w:trPr>
              <w:tc>
                <w:tcPr>
                  <w:tcW w:w="924" w:type="dxa"/>
                  <w:vMerge w:val="restart"/>
                  <w:tcBorders>
                    <w:top w:val="single" w:color="auto" w:sz="12"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污染源</w:t>
                  </w:r>
                </w:p>
              </w:tc>
              <w:tc>
                <w:tcPr>
                  <w:tcW w:w="849" w:type="dxa"/>
                  <w:vMerge w:val="restart"/>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污染物</w:t>
                  </w:r>
                </w:p>
              </w:tc>
              <w:tc>
                <w:tcPr>
                  <w:tcW w:w="2405" w:type="dxa"/>
                  <w:gridSpan w:val="2"/>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产生情况</w:t>
                  </w:r>
                </w:p>
              </w:tc>
              <w:tc>
                <w:tcPr>
                  <w:tcW w:w="741" w:type="dxa"/>
                  <w:vMerge w:val="restart"/>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风量</w:t>
                  </w:r>
                  <w:r>
                    <w:rPr>
                      <w:rFonts w:ascii="Times New Roman" w:hAnsi="Times New Roman"/>
                      <w:b/>
                    </w:rPr>
                    <w:t>m</w:t>
                  </w:r>
                  <w:r>
                    <w:rPr>
                      <w:rFonts w:ascii="Times New Roman" w:hAnsi="Times New Roman"/>
                      <w:b/>
                      <w:vertAlign w:val="superscript"/>
                    </w:rPr>
                    <w:t>3</w:t>
                  </w:r>
                  <w:r>
                    <w:rPr>
                      <w:rFonts w:ascii="Times New Roman" w:hAnsi="Times New Roman"/>
                      <w:b/>
                    </w:rPr>
                    <w:t>/h</w:t>
                  </w:r>
                </w:p>
              </w:tc>
              <w:tc>
                <w:tcPr>
                  <w:tcW w:w="793" w:type="dxa"/>
                  <w:vMerge w:val="restart"/>
                  <w:tcBorders>
                    <w:top w:val="single" w:color="auto" w:sz="12"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处理</w:t>
                  </w:r>
                </w:p>
                <w:p>
                  <w:pPr>
                    <w:spacing w:line="320" w:lineRule="exact"/>
                    <w:jc w:val="center"/>
                    <w:rPr>
                      <w:rFonts w:ascii="Times New Roman" w:hAnsi="Times New Roman"/>
                      <w:b/>
                    </w:rPr>
                  </w:pPr>
                  <w:r>
                    <w:rPr>
                      <w:rFonts w:hint="eastAsia" w:ascii="Times New Roman" w:hAnsi="Times New Roman"/>
                      <w:b/>
                    </w:rPr>
                    <w:t>效率</w:t>
                  </w:r>
                </w:p>
              </w:tc>
              <w:tc>
                <w:tcPr>
                  <w:tcW w:w="3774" w:type="dxa"/>
                  <w:gridSpan w:val="3"/>
                  <w:tcBorders>
                    <w:top w:val="single" w:color="auto" w:sz="12"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b/>
                    </w:rPr>
                  </w:pPr>
                  <w:r>
                    <w:rPr>
                      <w:rFonts w:hint="eastAsia" w:ascii="Times New Roman" w:hAnsi="Times New Roman"/>
                      <w:b/>
                    </w:rPr>
                    <w:t>排放情况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24" w:type="dxa"/>
                  <w:vMerge w:val="continue"/>
                  <w:tcBorders>
                    <w:top w:val="single" w:color="auto" w:sz="6" w:space="0"/>
                    <w:left w:val="single" w:color="auto" w:sz="12" w:space="0"/>
                    <w:bottom w:val="double" w:color="auto" w:sz="4" w:space="0"/>
                    <w:right w:val="single" w:color="auto" w:sz="6" w:space="0"/>
                  </w:tcBorders>
                  <w:vAlign w:val="center"/>
                </w:tcPr>
                <w:p>
                  <w:pPr>
                    <w:spacing w:line="320" w:lineRule="exact"/>
                    <w:jc w:val="center"/>
                    <w:rPr>
                      <w:rFonts w:ascii="Times New Roman" w:hAnsi="Times New Roman"/>
                      <w:b/>
                    </w:rPr>
                  </w:pPr>
                </w:p>
              </w:tc>
              <w:tc>
                <w:tcPr>
                  <w:tcW w:w="849" w:type="dxa"/>
                  <w:vMerge w:val="continue"/>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p>
              </w:tc>
              <w:tc>
                <w:tcPr>
                  <w:tcW w:w="1132"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速率</w:t>
                  </w:r>
                  <w:r>
                    <w:rPr>
                      <w:rFonts w:ascii="Times New Roman" w:hAnsi="Times New Roman"/>
                      <w:b/>
                    </w:rPr>
                    <w:t>kg/h</w:t>
                  </w:r>
                </w:p>
              </w:tc>
              <w:tc>
                <w:tcPr>
                  <w:tcW w:w="1273"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产生量</w:t>
                  </w:r>
                  <w:r>
                    <w:rPr>
                      <w:rFonts w:ascii="Times New Roman" w:hAnsi="Times New Roman"/>
                      <w:b/>
                    </w:rPr>
                    <w:t>t/a</w:t>
                  </w:r>
                </w:p>
              </w:tc>
              <w:tc>
                <w:tcPr>
                  <w:tcW w:w="741" w:type="dxa"/>
                  <w:vMerge w:val="continue"/>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rPr>
                  </w:pPr>
                </w:p>
              </w:tc>
              <w:tc>
                <w:tcPr>
                  <w:tcW w:w="793" w:type="dxa"/>
                  <w:vMerge w:val="continue"/>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rPr>
                  </w:pPr>
                </w:p>
              </w:tc>
              <w:tc>
                <w:tcPr>
                  <w:tcW w:w="1132"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速率</w:t>
                  </w:r>
                  <w:r>
                    <w:rPr>
                      <w:rFonts w:ascii="Times New Roman" w:hAnsi="Times New Roman"/>
                      <w:b/>
                    </w:rPr>
                    <w:t>kg/h</w:t>
                  </w:r>
                </w:p>
              </w:tc>
              <w:tc>
                <w:tcPr>
                  <w:tcW w:w="1272" w:type="dxa"/>
                  <w:tcBorders>
                    <w:top w:val="single" w:color="auto" w:sz="6" w:space="0"/>
                    <w:left w:val="single" w:color="auto" w:sz="6" w:space="0"/>
                    <w:bottom w:val="double" w:color="auto" w:sz="4" w:space="0"/>
                    <w:right w:val="single" w:color="auto" w:sz="6" w:space="0"/>
                  </w:tcBorders>
                  <w:vAlign w:val="center"/>
                </w:tcPr>
                <w:p>
                  <w:pPr>
                    <w:spacing w:line="320" w:lineRule="exact"/>
                    <w:jc w:val="center"/>
                    <w:rPr>
                      <w:rFonts w:ascii="Times New Roman" w:hAnsi="Times New Roman"/>
                      <w:b/>
                    </w:rPr>
                  </w:pPr>
                  <w:r>
                    <w:rPr>
                      <w:rFonts w:hint="eastAsia" w:ascii="Times New Roman" w:hAnsi="Times New Roman"/>
                      <w:b/>
                    </w:rPr>
                    <w:t>排放量</w:t>
                  </w:r>
                  <w:r>
                    <w:rPr>
                      <w:rFonts w:ascii="Times New Roman" w:hAnsi="Times New Roman"/>
                      <w:b/>
                    </w:rPr>
                    <w:t>t/a</w:t>
                  </w:r>
                </w:p>
              </w:tc>
              <w:tc>
                <w:tcPr>
                  <w:tcW w:w="1370" w:type="dxa"/>
                  <w:tcBorders>
                    <w:top w:val="single" w:color="auto" w:sz="6" w:space="0"/>
                    <w:left w:val="single" w:color="auto" w:sz="6" w:space="0"/>
                    <w:bottom w:val="double" w:color="auto" w:sz="4" w:space="0"/>
                    <w:right w:val="single" w:color="auto" w:sz="12" w:space="0"/>
                  </w:tcBorders>
                  <w:vAlign w:val="center"/>
                </w:tcPr>
                <w:p>
                  <w:pPr>
                    <w:spacing w:line="320" w:lineRule="exact"/>
                    <w:jc w:val="center"/>
                    <w:rPr>
                      <w:rFonts w:ascii="Times New Roman" w:hAnsi="Times New Roman"/>
                      <w:b/>
                    </w:rPr>
                  </w:pPr>
                  <w:r>
                    <w:rPr>
                      <w:rFonts w:hint="eastAsia" w:ascii="Times New Roman" w:hAnsi="Times New Roman"/>
                      <w:b/>
                    </w:rPr>
                    <w:t>浓度</w:t>
                  </w:r>
                  <w:r>
                    <w:rPr>
                      <w:rFonts w:ascii="Times New Roman" w:hAnsi="Times New Roman"/>
                      <w:b/>
                    </w:rPr>
                    <w:t>mg/m</w:t>
                  </w:r>
                  <w:r>
                    <w:rPr>
                      <w:rFonts w:ascii="Times New Roman" w:hAnsi="Times New Roman"/>
                      <w:b/>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24" w:type="dxa"/>
                  <w:vMerge w:val="restart"/>
                  <w:tcBorders>
                    <w:top w:val="double" w:color="auto" w:sz="4" w:space="0"/>
                    <w:left w:val="single" w:color="auto" w:sz="12" w:space="0"/>
                    <w:bottom w:val="single" w:color="auto" w:sz="6" w:space="0"/>
                    <w:right w:val="single" w:color="auto" w:sz="6" w:space="0"/>
                  </w:tcBorders>
                  <w:vAlign w:val="center"/>
                </w:tcPr>
                <w:p>
                  <w:pPr>
                    <w:pStyle w:val="77"/>
                  </w:pPr>
                  <w:r>
                    <w:t>1#</w:t>
                  </w:r>
                  <w:r>
                    <w:rPr>
                      <w:rFonts w:hint="eastAsia"/>
                    </w:rPr>
                    <w:t>排气筒</w:t>
                  </w:r>
                </w:p>
              </w:tc>
              <w:tc>
                <w:tcPr>
                  <w:tcW w:w="849" w:type="dxa"/>
                  <w:tcBorders>
                    <w:top w:val="double" w:color="auto" w:sz="4" w:space="0"/>
                    <w:left w:val="single" w:color="auto" w:sz="6" w:space="0"/>
                    <w:bottom w:val="single" w:color="auto" w:sz="6" w:space="0"/>
                    <w:right w:val="single" w:color="auto" w:sz="6" w:space="0"/>
                  </w:tcBorders>
                  <w:vAlign w:val="center"/>
                </w:tcPr>
                <w:p>
                  <w:pPr>
                    <w:pStyle w:val="77"/>
                  </w:pPr>
                  <w:r>
                    <w:t>NH</w:t>
                  </w:r>
                  <w:r>
                    <w:rPr>
                      <w:vertAlign w:val="subscript"/>
                    </w:rPr>
                    <w:t>3</w:t>
                  </w:r>
                </w:p>
              </w:tc>
              <w:tc>
                <w:tcPr>
                  <w:tcW w:w="1132" w:type="dxa"/>
                  <w:tcBorders>
                    <w:top w:val="double" w:color="auto" w:sz="4" w:space="0"/>
                    <w:left w:val="single" w:color="auto" w:sz="6" w:space="0"/>
                    <w:bottom w:val="single" w:color="auto" w:sz="6" w:space="0"/>
                    <w:right w:val="single" w:color="auto" w:sz="6" w:space="0"/>
                  </w:tcBorders>
                </w:tcPr>
                <w:p>
                  <w:pPr>
                    <w:pStyle w:val="77"/>
                  </w:pPr>
                  <w:r>
                    <w:t>0.722</w:t>
                  </w:r>
                </w:p>
              </w:tc>
              <w:tc>
                <w:tcPr>
                  <w:tcW w:w="1273" w:type="dxa"/>
                  <w:tcBorders>
                    <w:top w:val="double" w:color="auto" w:sz="4" w:space="0"/>
                    <w:left w:val="single" w:color="auto" w:sz="6" w:space="0"/>
                    <w:bottom w:val="single" w:color="auto" w:sz="6" w:space="0"/>
                    <w:right w:val="single" w:color="auto" w:sz="6" w:space="0"/>
                  </w:tcBorders>
                </w:tcPr>
                <w:p>
                  <w:pPr>
                    <w:pStyle w:val="77"/>
                  </w:pPr>
                  <w:r>
                    <w:t>6.326</w:t>
                  </w:r>
                </w:p>
              </w:tc>
              <w:tc>
                <w:tcPr>
                  <w:tcW w:w="741" w:type="dxa"/>
                  <w:vMerge w:val="restart"/>
                  <w:tcBorders>
                    <w:top w:val="double" w:color="auto" w:sz="4" w:space="0"/>
                    <w:left w:val="single" w:color="auto" w:sz="6" w:space="0"/>
                    <w:bottom w:val="single" w:color="auto" w:sz="6" w:space="0"/>
                    <w:right w:val="single" w:color="auto" w:sz="6" w:space="0"/>
                  </w:tcBorders>
                  <w:vAlign w:val="center"/>
                </w:tcPr>
                <w:p>
                  <w:pPr>
                    <w:pStyle w:val="77"/>
                  </w:pPr>
                  <w:r>
                    <w:t>60000</w:t>
                  </w:r>
                </w:p>
              </w:tc>
              <w:tc>
                <w:tcPr>
                  <w:tcW w:w="793" w:type="dxa"/>
                  <w:vMerge w:val="restart"/>
                  <w:tcBorders>
                    <w:top w:val="double" w:color="auto" w:sz="4" w:space="0"/>
                    <w:left w:val="single" w:color="auto" w:sz="6" w:space="0"/>
                    <w:bottom w:val="single" w:color="auto" w:sz="6" w:space="0"/>
                    <w:right w:val="single" w:color="auto" w:sz="6" w:space="0"/>
                  </w:tcBorders>
                  <w:vAlign w:val="center"/>
                </w:tcPr>
                <w:p>
                  <w:pPr>
                    <w:pStyle w:val="77"/>
                  </w:pPr>
                  <w:r>
                    <w:t>95%</w:t>
                  </w:r>
                </w:p>
              </w:tc>
              <w:tc>
                <w:tcPr>
                  <w:tcW w:w="1132" w:type="dxa"/>
                  <w:tcBorders>
                    <w:top w:val="double" w:color="auto" w:sz="4" w:space="0"/>
                    <w:left w:val="single" w:color="auto" w:sz="6" w:space="0"/>
                    <w:bottom w:val="single" w:color="auto" w:sz="6" w:space="0"/>
                    <w:right w:val="single" w:color="auto" w:sz="6" w:space="0"/>
                  </w:tcBorders>
                  <w:vAlign w:val="center"/>
                </w:tcPr>
                <w:p>
                  <w:pPr>
                    <w:pStyle w:val="77"/>
                  </w:pPr>
                  <w:r>
                    <w:t>0.0361</w:t>
                  </w:r>
                </w:p>
              </w:tc>
              <w:tc>
                <w:tcPr>
                  <w:tcW w:w="1272" w:type="dxa"/>
                  <w:tcBorders>
                    <w:top w:val="double" w:color="auto" w:sz="4" w:space="0"/>
                    <w:left w:val="single" w:color="auto" w:sz="6" w:space="0"/>
                    <w:bottom w:val="single" w:color="auto" w:sz="6" w:space="0"/>
                    <w:right w:val="single" w:color="auto" w:sz="6" w:space="0"/>
                  </w:tcBorders>
                  <w:vAlign w:val="center"/>
                </w:tcPr>
                <w:p>
                  <w:pPr>
                    <w:pStyle w:val="77"/>
                  </w:pPr>
                  <w:r>
                    <w:t>0.316</w:t>
                  </w:r>
                </w:p>
              </w:tc>
              <w:tc>
                <w:tcPr>
                  <w:tcW w:w="1370" w:type="dxa"/>
                  <w:tcBorders>
                    <w:top w:val="double" w:color="auto" w:sz="4" w:space="0"/>
                    <w:left w:val="single" w:color="auto" w:sz="6" w:space="0"/>
                    <w:bottom w:val="single" w:color="auto" w:sz="6" w:space="0"/>
                    <w:right w:val="single" w:color="auto" w:sz="12" w:space="0"/>
                  </w:tcBorders>
                </w:tcPr>
                <w:p>
                  <w:pPr>
                    <w:pStyle w:val="77"/>
                  </w:pPr>
                  <w:r>
                    <w:t>0.60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24"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rPr>
                  </w:pPr>
                </w:p>
              </w:tc>
              <w:tc>
                <w:tcPr>
                  <w:tcW w:w="84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1132" w:type="dxa"/>
                  <w:tcBorders>
                    <w:top w:val="single" w:color="auto" w:sz="6" w:space="0"/>
                    <w:left w:val="single" w:color="auto" w:sz="6" w:space="0"/>
                    <w:bottom w:val="single" w:color="auto" w:sz="6" w:space="0"/>
                    <w:right w:val="single" w:color="auto" w:sz="6" w:space="0"/>
                  </w:tcBorders>
                </w:tcPr>
                <w:p>
                  <w:pPr>
                    <w:spacing w:line="320" w:lineRule="exact"/>
                    <w:jc w:val="center"/>
                    <w:rPr>
                      <w:rFonts w:ascii="Times New Roman" w:hAnsi="Times New Roman"/>
                    </w:rPr>
                  </w:pPr>
                  <w:r>
                    <w:rPr>
                      <w:rFonts w:ascii="Times New Roman" w:hAnsi="Times New Roman"/>
                    </w:rPr>
                    <w:t>0.065</w:t>
                  </w:r>
                </w:p>
              </w:tc>
              <w:tc>
                <w:tcPr>
                  <w:tcW w:w="1273" w:type="dxa"/>
                  <w:tcBorders>
                    <w:top w:val="single" w:color="auto" w:sz="6" w:space="0"/>
                    <w:left w:val="single" w:color="auto" w:sz="6" w:space="0"/>
                    <w:bottom w:val="single" w:color="auto" w:sz="6" w:space="0"/>
                    <w:right w:val="single" w:color="auto" w:sz="6" w:space="0"/>
                  </w:tcBorders>
                </w:tcPr>
                <w:p>
                  <w:pPr>
                    <w:spacing w:line="320" w:lineRule="exact"/>
                    <w:jc w:val="center"/>
                    <w:rPr>
                      <w:rFonts w:ascii="Times New Roman" w:hAnsi="Times New Roman"/>
                    </w:rPr>
                  </w:pPr>
                  <w:r>
                    <w:rPr>
                      <w:rFonts w:ascii="Times New Roman" w:hAnsi="Times New Roman"/>
                    </w:rPr>
                    <w:t>0.565</w:t>
                  </w:r>
                </w:p>
              </w:tc>
              <w:tc>
                <w:tcPr>
                  <w:tcW w:w="741" w:type="dxa"/>
                  <w:vMerge w:val="continue"/>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p>
              </w:tc>
              <w:tc>
                <w:tcPr>
                  <w:tcW w:w="793" w:type="dxa"/>
                  <w:vMerge w:val="continue"/>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p>
              </w:tc>
              <w:tc>
                <w:tcPr>
                  <w:tcW w:w="113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0.0033</w:t>
                  </w:r>
                </w:p>
              </w:tc>
              <w:tc>
                <w:tcPr>
                  <w:tcW w:w="127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0.028</w:t>
                  </w:r>
                </w:p>
              </w:tc>
              <w:tc>
                <w:tcPr>
                  <w:tcW w:w="1370"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rPr>
                  </w:pPr>
                  <w:r>
                    <w:rPr>
                      <w:rFonts w:ascii="Times New Roman" w:hAnsi="Times New Roman"/>
                    </w:rPr>
                    <w:t>0.054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24" w:type="dxa"/>
                  <w:vMerge w:val="continue"/>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rPr>
                  </w:pPr>
                </w:p>
              </w:tc>
              <w:tc>
                <w:tcPr>
                  <w:tcW w:w="84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hint="eastAsia" w:ascii="Times New Roman" w:hAnsi="Times New Roman"/>
                    </w:rPr>
                    <w:t>甲烷</w:t>
                  </w:r>
                </w:p>
              </w:tc>
              <w:tc>
                <w:tcPr>
                  <w:tcW w:w="1132" w:type="dxa"/>
                  <w:tcBorders>
                    <w:top w:val="single" w:color="auto" w:sz="6" w:space="0"/>
                    <w:left w:val="single" w:color="auto" w:sz="6" w:space="0"/>
                    <w:bottom w:val="single" w:color="auto" w:sz="6" w:space="0"/>
                    <w:right w:val="single" w:color="auto" w:sz="6" w:space="0"/>
                  </w:tcBorders>
                </w:tcPr>
                <w:p>
                  <w:pPr>
                    <w:spacing w:line="320" w:lineRule="exact"/>
                    <w:jc w:val="center"/>
                    <w:rPr>
                      <w:rFonts w:ascii="Times New Roman" w:hAnsi="Times New Roman"/>
                    </w:rPr>
                  </w:pPr>
                  <w:r>
                    <w:rPr>
                      <w:rFonts w:ascii="Times New Roman" w:hAnsi="Times New Roman"/>
                    </w:rPr>
                    <w:t>0.21</w:t>
                  </w:r>
                </w:p>
              </w:tc>
              <w:tc>
                <w:tcPr>
                  <w:tcW w:w="1273" w:type="dxa"/>
                  <w:tcBorders>
                    <w:top w:val="single" w:color="auto" w:sz="6" w:space="0"/>
                    <w:left w:val="single" w:color="auto" w:sz="6" w:space="0"/>
                    <w:bottom w:val="single" w:color="auto" w:sz="6" w:space="0"/>
                    <w:right w:val="single" w:color="auto" w:sz="6" w:space="0"/>
                  </w:tcBorders>
                </w:tcPr>
                <w:p>
                  <w:pPr>
                    <w:spacing w:line="320" w:lineRule="exact"/>
                    <w:jc w:val="center"/>
                    <w:rPr>
                      <w:rFonts w:ascii="Times New Roman" w:hAnsi="Times New Roman"/>
                    </w:rPr>
                  </w:pPr>
                  <w:r>
                    <w:rPr>
                      <w:rFonts w:ascii="Times New Roman" w:hAnsi="Times New Roman"/>
                    </w:rPr>
                    <w:t>1.83</w:t>
                  </w:r>
                </w:p>
              </w:tc>
              <w:tc>
                <w:tcPr>
                  <w:tcW w:w="741" w:type="dxa"/>
                  <w:vMerge w:val="continue"/>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p>
              </w:tc>
              <w:tc>
                <w:tcPr>
                  <w:tcW w:w="79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w:t>
                  </w:r>
                </w:p>
              </w:tc>
              <w:tc>
                <w:tcPr>
                  <w:tcW w:w="113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0.21</w:t>
                  </w:r>
                </w:p>
              </w:tc>
              <w:tc>
                <w:tcPr>
                  <w:tcW w:w="127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1.83</w:t>
                  </w:r>
                </w:p>
              </w:tc>
              <w:tc>
                <w:tcPr>
                  <w:tcW w:w="1370" w:type="dxa"/>
                  <w:tcBorders>
                    <w:top w:val="single" w:color="auto" w:sz="6" w:space="0"/>
                    <w:left w:val="single" w:color="auto" w:sz="6" w:space="0"/>
                    <w:bottom w:val="single" w:color="auto" w:sz="6" w:space="0"/>
                    <w:right w:val="single" w:color="auto" w:sz="12" w:space="0"/>
                  </w:tcBorders>
                  <w:vAlign w:val="center"/>
                </w:tcPr>
                <w:p>
                  <w:pPr>
                    <w:spacing w:line="320" w:lineRule="exact"/>
                    <w:jc w:val="center"/>
                    <w:rPr>
                      <w:rFonts w:ascii="Times New Roman" w:hAnsi="Times New Roman"/>
                    </w:rPr>
                  </w:pPr>
                  <w:r>
                    <w:rPr>
                      <w:rFonts w:ascii="Times New Roman" w:hAnsi="Times New Roman"/>
                    </w:rPr>
                    <w:t>3.48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24" w:type="dxa"/>
                  <w:vMerge w:val="restart"/>
                  <w:tcBorders>
                    <w:top w:val="single" w:color="auto" w:sz="6" w:space="0"/>
                    <w:left w:val="single" w:color="auto" w:sz="12"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2#</w:t>
                  </w:r>
                  <w:r>
                    <w:rPr>
                      <w:rFonts w:hint="eastAsia" w:ascii="Times New Roman" w:hAnsi="Times New Roman"/>
                    </w:rPr>
                    <w:t>排气筒</w:t>
                  </w:r>
                </w:p>
              </w:tc>
              <w:tc>
                <w:tcPr>
                  <w:tcW w:w="84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NH</w:t>
                  </w:r>
                  <w:r>
                    <w:rPr>
                      <w:rFonts w:ascii="Times New Roman" w:hAnsi="Times New Roman"/>
                      <w:vertAlign w:val="subscript"/>
                    </w:rPr>
                    <w:t>3</w:t>
                  </w:r>
                </w:p>
              </w:tc>
              <w:tc>
                <w:tcPr>
                  <w:tcW w:w="1132" w:type="dxa"/>
                  <w:tcBorders>
                    <w:top w:val="single" w:color="auto" w:sz="6" w:space="0"/>
                    <w:left w:val="single" w:color="auto" w:sz="6" w:space="0"/>
                    <w:bottom w:val="single" w:color="auto" w:sz="6" w:space="0"/>
                    <w:right w:val="single" w:color="auto" w:sz="6" w:space="0"/>
                  </w:tcBorders>
                </w:tcPr>
                <w:p>
                  <w:pPr>
                    <w:spacing w:line="320" w:lineRule="exact"/>
                    <w:jc w:val="center"/>
                    <w:rPr>
                      <w:rFonts w:ascii="Times New Roman" w:hAnsi="Times New Roman"/>
                    </w:rPr>
                  </w:pPr>
                  <w:r>
                    <w:rPr>
                      <w:rFonts w:ascii="Times New Roman" w:hAnsi="Times New Roman"/>
                    </w:rPr>
                    <w:t>0.606</w:t>
                  </w:r>
                </w:p>
              </w:tc>
              <w:tc>
                <w:tcPr>
                  <w:tcW w:w="1273" w:type="dxa"/>
                  <w:tcBorders>
                    <w:top w:val="single" w:color="auto" w:sz="6" w:space="0"/>
                    <w:left w:val="single" w:color="auto" w:sz="6" w:space="0"/>
                    <w:bottom w:val="single" w:color="auto" w:sz="6" w:space="0"/>
                    <w:right w:val="single" w:color="auto" w:sz="6" w:space="0"/>
                  </w:tcBorders>
                </w:tcPr>
                <w:p>
                  <w:pPr>
                    <w:spacing w:line="320" w:lineRule="exact"/>
                    <w:jc w:val="center"/>
                    <w:rPr>
                      <w:rFonts w:ascii="Times New Roman" w:hAnsi="Times New Roman"/>
                    </w:rPr>
                  </w:pPr>
                  <w:r>
                    <w:rPr>
                      <w:rFonts w:ascii="Times New Roman" w:hAnsi="Times New Roman"/>
                    </w:rPr>
                    <w:t>5.31</w:t>
                  </w:r>
                </w:p>
              </w:tc>
              <w:tc>
                <w:tcPr>
                  <w:tcW w:w="741" w:type="dxa"/>
                  <w:vMerge w:val="restart"/>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6000</w:t>
                  </w:r>
                </w:p>
              </w:tc>
              <w:tc>
                <w:tcPr>
                  <w:tcW w:w="793" w:type="dxa"/>
                  <w:vMerge w:val="restart"/>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95%</w:t>
                  </w:r>
                </w:p>
              </w:tc>
              <w:tc>
                <w:tcPr>
                  <w:tcW w:w="113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0.0303</w:t>
                  </w:r>
                </w:p>
              </w:tc>
              <w:tc>
                <w:tcPr>
                  <w:tcW w:w="1272"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Times New Roman" w:hAnsi="Times New Roman"/>
                    </w:rPr>
                  </w:pPr>
                  <w:r>
                    <w:rPr>
                      <w:rFonts w:ascii="Times New Roman" w:hAnsi="Times New Roman"/>
                    </w:rPr>
                    <w:t>0.266</w:t>
                  </w:r>
                </w:p>
              </w:tc>
              <w:tc>
                <w:tcPr>
                  <w:tcW w:w="1370" w:type="dxa"/>
                  <w:tcBorders>
                    <w:top w:val="single" w:color="auto" w:sz="6" w:space="0"/>
                    <w:left w:val="single" w:color="auto" w:sz="6" w:space="0"/>
                    <w:bottom w:val="single" w:color="auto" w:sz="6" w:space="0"/>
                    <w:right w:val="single" w:color="auto" w:sz="12" w:space="0"/>
                  </w:tcBorders>
                </w:tcPr>
                <w:p>
                  <w:pPr>
                    <w:spacing w:line="320" w:lineRule="exact"/>
                    <w:jc w:val="center"/>
                    <w:rPr>
                      <w:rFonts w:ascii="Times New Roman" w:hAnsi="Times New Roman"/>
                    </w:rPr>
                  </w:pPr>
                  <w:r>
                    <w:rPr>
                      <w:rFonts w:ascii="Times New Roman" w:hAnsi="Times New Roman"/>
                    </w:rPr>
                    <w:t>5.05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924" w:type="dxa"/>
                  <w:vMerge w:val="continue"/>
                  <w:tcBorders>
                    <w:top w:val="single" w:color="auto" w:sz="6" w:space="0"/>
                    <w:left w:val="single" w:color="auto" w:sz="12" w:space="0"/>
                    <w:bottom w:val="single" w:color="auto" w:sz="12" w:space="0"/>
                    <w:right w:val="single" w:color="auto" w:sz="6" w:space="0"/>
                  </w:tcBorders>
                  <w:vAlign w:val="center"/>
                </w:tcPr>
                <w:p>
                  <w:pPr>
                    <w:spacing w:line="320" w:lineRule="exact"/>
                    <w:jc w:val="center"/>
                    <w:rPr>
                      <w:rFonts w:ascii="Times New Roman" w:hAnsi="Times New Roman"/>
                    </w:rPr>
                  </w:pPr>
                </w:p>
              </w:tc>
              <w:tc>
                <w:tcPr>
                  <w:tcW w:w="849" w:type="dxa"/>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r>
                    <w:rPr>
                      <w:rFonts w:ascii="Times New Roman" w:hAnsi="Times New Roman"/>
                    </w:rPr>
                    <w:t>H</w:t>
                  </w:r>
                  <w:r>
                    <w:rPr>
                      <w:rFonts w:ascii="Times New Roman" w:hAnsi="Times New Roman"/>
                      <w:vertAlign w:val="subscript"/>
                    </w:rPr>
                    <w:t>2</w:t>
                  </w:r>
                  <w:r>
                    <w:rPr>
                      <w:rFonts w:ascii="Times New Roman" w:hAnsi="Times New Roman"/>
                    </w:rPr>
                    <w:t>S</w:t>
                  </w:r>
                </w:p>
              </w:tc>
              <w:tc>
                <w:tcPr>
                  <w:tcW w:w="1132" w:type="dxa"/>
                  <w:tcBorders>
                    <w:top w:val="single" w:color="auto" w:sz="6" w:space="0"/>
                    <w:left w:val="single" w:color="auto" w:sz="6" w:space="0"/>
                    <w:bottom w:val="single" w:color="auto" w:sz="12" w:space="0"/>
                    <w:right w:val="single" w:color="auto" w:sz="6" w:space="0"/>
                  </w:tcBorders>
                </w:tcPr>
                <w:p>
                  <w:pPr>
                    <w:spacing w:line="320" w:lineRule="exact"/>
                    <w:jc w:val="center"/>
                    <w:rPr>
                      <w:rFonts w:ascii="Times New Roman" w:hAnsi="Times New Roman"/>
                    </w:rPr>
                  </w:pPr>
                  <w:r>
                    <w:rPr>
                      <w:rFonts w:ascii="Times New Roman" w:hAnsi="Times New Roman"/>
                    </w:rPr>
                    <w:t>0.054</w:t>
                  </w:r>
                </w:p>
              </w:tc>
              <w:tc>
                <w:tcPr>
                  <w:tcW w:w="1273" w:type="dxa"/>
                  <w:tcBorders>
                    <w:top w:val="single" w:color="auto" w:sz="6" w:space="0"/>
                    <w:left w:val="single" w:color="auto" w:sz="6" w:space="0"/>
                    <w:bottom w:val="single" w:color="auto" w:sz="12" w:space="0"/>
                    <w:right w:val="single" w:color="auto" w:sz="6" w:space="0"/>
                  </w:tcBorders>
                </w:tcPr>
                <w:p>
                  <w:pPr>
                    <w:spacing w:line="320" w:lineRule="exact"/>
                    <w:jc w:val="center"/>
                    <w:rPr>
                      <w:rFonts w:ascii="Times New Roman" w:hAnsi="Times New Roman"/>
                    </w:rPr>
                  </w:pPr>
                  <w:r>
                    <w:rPr>
                      <w:rFonts w:ascii="Times New Roman" w:hAnsi="Times New Roman"/>
                    </w:rPr>
                    <w:t>0.477</w:t>
                  </w:r>
                </w:p>
              </w:tc>
              <w:tc>
                <w:tcPr>
                  <w:tcW w:w="741" w:type="dxa"/>
                  <w:vMerge w:val="continue"/>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p>
              </w:tc>
              <w:tc>
                <w:tcPr>
                  <w:tcW w:w="793" w:type="dxa"/>
                  <w:vMerge w:val="continue"/>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p>
              </w:tc>
              <w:tc>
                <w:tcPr>
                  <w:tcW w:w="1132" w:type="dxa"/>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r>
                    <w:rPr>
                      <w:rFonts w:ascii="Times New Roman" w:hAnsi="Times New Roman"/>
                    </w:rPr>
                    <w:t>0.0027</w:t>
                  </w:r>
                </w:p>
              </w:tc>
              <w:tc>
                <w:tcPr>
                  <w:tcW w:w="1272" w:type="dxa"/>
                  <w:tcBorders>
                    <w:top w:val="single" w:color="auto" w:sz="6" w:space="0"/>
                    <w:left w:val="single" w:color="auto" w:sz="6" w:space="0"/>
                    <w:bottom w:val="single" w:color="auto" w:sz="12" w:space="0"/>
                    <w:right w:val="single" w:color="auto" w:sz="6" w:space="0"/>
                  </w:tcBorders>
                  <w:vAlign w:val="center"/>
                </w:tcPr>
                <w:p>
                  <w:pPr>
                    <w:spacing w:line="320" w:lineRule="exact"/>
                    <w:jc w:val="center"/>
                    <w:rPr>
                      <w:rFonts w:ascii="Times New Roman" w:hAnsi="Times New Roman"/>
                    </w:rPr>
                  </w:pPr>
                  <w:r>
                    <w:rPr>
                      <w:rFonts w:ascii="Times New Roman" w:hAnsi="Times New Roman"/>
                    </w:rPr>
                    <w:t>0.024</w:t>
                  </w:r>
                </w:p>
              </w:tc>
              <w:tc>
                <w:tcPr>
                  <w:tcW w:w="1370" w:type="dxa"/>
                  <w:tcBorders>
                    <w:top w:val="single" w:color="auto" w:sz="6" w:space="0"/>
                    <w:left w:val="single" w:color="auto" w:sz="6" w:space="0"/>
                    <w:bottom w:val="single" w:color="auto" w:sz="12" w:space="0"/>
                    <w:right w:val="single" w:color="auto" w:sz="12" w:space="0"/>
                  </w:tcBorders>
                </w:tcPr>
                <w:p>
                  <w:pPr>
                    <w:spacing w:line="320" w:lineRule="exact"/>
                    <w:jc w:val="center"/>
                    <w:rPr>
                      <w:rFonts w:ascii="Times New Roman" w:hAnsi="Times New Roman"/>
                    </w:rPr>
                  </w:pPr>
                  <w:r>
                    <w:rPr>
                      <w:rFonts w:ascii="Times New Roman" w:hAnsi="Times New Roman"/>
                    </w:rPr>
                    <w:t>0.45</w:t>
                  </w:r>
                </w:p>
              </w:tc>
            </w:tr>
          </w:tbl>
          <w:p>
            <w:pPr>
              <w:pStyle w:val="2"/>
              <w:rPr>
                <w:szCs w:val="24"/>
              </w:rPr>
            </w:pPr>
          </w:p>
          <w:p>
            <w:pPr>
              <w:pStyle w:val="2"/>
              <w:ind w:firstLine="480" w:firstLineChars="200"/>
            </w:pPr>
            <w:r>
              <w:rPr>
                <w:rFonts w:hint="eastAsia"/>
              </w:rPr>
              <w:t>项目建成后，全厂</w:t>
            </w:r>
            <w:r>
              <w:rPr>
                <w:rFonts w:hint="eastAsia"/>
                <w:szCs w:val="24"/>
              </w:rPr>
              <w:t>无组织排放源强为：</w:t>
            </w:r>
            <w:r>
              <w:rPr>
                <w:szCs w:val="24"/>
              </w:rPr>
              <w:t>NH</w:t>
            </w:r>
            <w:r>
              <w:rPr>
                <w:szCs w:val="24"/>
                <w:vertAlign w:val="subscript"/>
              </w:rPr>
              <w:t>3</w:t>
            </w:r>
            <w:r>
              <w:rPr>
                <w:rFonts w:hint="eastAsia"/>
                <w:szCs w:val="24"/>
              </w:rPr>
              <w:t>：</w:t>
            </w:r>
            <w:r>
              <w:rPr>
                <w:szCs w:val="24"/>
              </w:rPr>
              <w:t>0.637t/a</w:t>
            </w:r>
            <w:r>
              <w:rPr>
                <w:rFonts w:hint="eastAsia"/>
                <w:szCs w:val="24"/>
              </w:rPr>
              <w:t>、</w:t>
            </w:r>
            <w:r>
              <w:rPr>
                <w:szCs w:val="24"/>
              </w:rPr>
              <w:t>H</w:t>
            </w:r>
            <w:r>
              <w:rPr>
                <w:szCs w:val="24"/>
                <w:vertAlign w:val="subscript"/>
              </w:rPr>
              <w:t>2</w:t>
            </w:r>
            <w:r>
              <w:rPr>
                <w:szCs w:val="24"/>
              </w:rPr>
              <w:t>S</w:t>
            </w:r>
            <w:r>
              <w:rPr>
                <w:rFonts w:hint="eastAsia"/>
                <w:szCs w:val="24"/>
              </w:rPr>
              <w:t>：</w:t>
            </w:r>
            <w:r>
              <w:rPr>
                <w:szCs w:val="24"/>
              </w:rPr>
              <w:t>0.056 t/a</w:t>
            </w:r>
            <w:r>
              <w:rPr>
                <w:rFonts w:hint="eastAsia"/>
                <w:szCs w:val="24"/>
              </w:rPr>
              <w:t>，臭气浓度：</w:t>
            </w:r>
            <w:r>
              <w:rPr>
                <w:szCs w:val="24"/>
              </w:rPr>
              <w:t>63~162</w:t>
            </w:r>
            <w:r>
              <w:rPr>
                <w:rFonts w:hint="eastAsia"/>
                <w:szCs w:val="24"/>
              </w:rPr>
              <w:t>。</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2</w:t>
            </w:r>
            <w:r>
              <w:rPr>
                <w:rFonts w:hint="eastAsia" w:ascii="Times New Roman" w:hAnsi="Times New Roman"/>
                <w:b/>
                <w:bCs/>
                <w:sz w:val="24"/>
                <w:szCs w:val="24"/>
              </w:rPr>
              <w:t>、废水</w:t>
            </w:r>
          </w:p>
          <w:p>
            <w:pPr>
              <w:pStyle w:val="114"/>
            </w:pPr>
            <w:r>
              <w:rPr>
                <w:rFonts w:hint="eastAsia"/>
              </w:rPr>
              <w:t>二期工程为扩建工程，不新增员工。污水处理厂本身产生的设备清洗废水全部进入污水处理系统处理。项目水质污染负荷以工程设计的进水水量、水质进行核算。</w:t>
            </w:r>
          </w:p>
          <w:p>
            <w:pPr>
              <w:pStyle w:val="114"/>
            </w:pPr>
            <w:r>
              <w:rPr>
                <w:rFonts w:hint="eastAsia"/>
              </w:rPr>
              <w:t>定安县定城污水处理厂二期改扩建工程进出水中主要污染物产生和排放情况详见表</w:t>
            </w:r>
            <w:r>
              <w:t>5-12</w:t>
            </w:r>
            <w:r>
              <w:rPr>
                <w:rFonts w:hint="eastAsia"/>
              </w:rPr>
              <w:t>。</w:t>
            </w:r>
          </w:p>
          <w:p>
            <w:pPr>
              <w:pStyle w:val="111"/>
            </w:pPr>
            <w:r>
              <w:rPr>
                <w:rFonts w:hint="eastAsia"/>
              </w:rPr>
              <w:t>表</w:t>
            </w:r>
            <w:r>
              <w:t>5-12</w:t>
            </w:r>
            <w:r>
              <w:rPr>
                <w:rFonts w:hint="eastAsia"/>
              </w:rPr>
              <w:t>主要污染物产生和排放情况</w:t>
            </w:r>
          </w:p>
          <w:tbl>
            <w:tblPr>
              <w:tblStyle w:val="37"/>
              <w:tblW w:w="941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43"/>
              <w:gridCol w:w="999"/>
              <w:gridCol w:w="1166"/>
              <w:gridCol w:w="1015"/>
              <w:gridCol w:w="1383"/>
              <w:gridCol w:w="1264"/>
              <w:gridCol w:w="11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tcBorders>
                    <w:top w:val="single" w:color="auto" w:sz="12" w:space="0"/>
                    <w:left w:val="single" w:color="auto" w:sz="12" w:space="0"/>
                    <w:bottom w:val="single" w:color="auto" w:sz="6" w:space="0"/>
                    <w:right w:val="double" w:color="auto" w:sz="4" w:space="0"/>
                  </w:tcBorders>
                  <w:vAlign w:val="center"/>
                </w:tcPr>
                <w:p>
                  <w:pPr>
                    <w:pStyle w:val="2"/>
                    <w:spacing w:line="360" w:lineRule="auto"/>
                    <w:jc w:val="center"/>
                    <w:rPr>
                      <w:sz w:val="21"/>
                      <w:szCs w:val="21"/>
                    </w:rPr>
                  </w:pPr>
                  <w:r>
                    <w:rPr>
                      <w:rFonts w:hint="eastAsia"/>
                      <w:sz w:val="21"/>
                      <w:szCs w:val="21"/>
                    </w:rPr>
                    <w:t>水质指标</w:t>
                  </w:r>
                </w:p>
              </w:tc>
              <w:tc>
                <w:tcPr>
                  <w:tcW w:w="999" w:type="dxa"/>
                  <w:tcBorders>
                    <w:top w:val="single" w:color="auto" w:sz="12" w:space="0"/>
                    <w:left w:val="double" w:color="auto" w:sz="4" w:space="0"/>
                    <w:bottom w:val="single" w:color="auto" w:sz="6" w:space="0"/>
                    <w:right w:val="single" w:color="auto" w:sz="6" w:space="0"/>
                  </w:tcBorders>
                  <w:vAlign w:val="center"/>
                </w:tcPr>
                <w:p>
                  <w:pPr>
                    <w:pStyle w:val="2"/>
                    <w:spacing w:line="360" w:lineRule="auto"/>
                    <w:jc w:val="center"/>
                    <w:rPr>
                      <w:sz w:val="21"/>
                      <w:szCs w:val="21"/>
                    </w:rPr>
                  </w:pPr>
                  <w:r>
                    <w:rPr>
                      <w:sz w:val="21"/>
                      <w:szCs w:val="21"/>
                    </w:rPr>
                    <w:t>COD</w:t>
                  </w:r>
                </w:p>
              </w:tc>
              <w:tc>
                <w:tcPr>
                  <w:tcW w:w="1166" w:type="dxa"/>
                  <w:tcBorders>
                    <w:top w:val="single" w:color="auto" w:sz="12"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BOD</w:t>
                  </w:r>
                  <w:r>
                    <w:rPr>
                      <w:sz w:val="21"/>
                      <w:szCs w:val="21"/>
                      <w:vertAlign w:val="subscript"/>
                    </w:rPr>
                    <w:t>5</w:t>
                  </w:r>
                </w:p>
              </w:tc>
              <w:tc>
                <w:tcPr>
                  <w:tcW w:w="1015" w:type="dxa"/>
                  <w:tcBorders>
                    <w:top w:val="single" w:color="auto" w:sz="12"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SS</w:t>
                  </w:r>
                </w:p>
              </w:tc>
              <w:tc>
                <w:tcPr>
                  <w:tcW w:w="1383" w:type="dxa"/>
                  <w:tcBorders>
                    <w:top w:val="single" w:color="auto" w:sz="12"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NH</w:t>
                  </w:r>
                  <w:r>
                    <w:rPr>
                      <w:sz w:val="21"/>
                      <w:szCs w:val="21"/>
                      <w:vertAlign w:val="subscript"/>
                    </w:rPr>
                    <w:t>3</w:t>
                  </w:r>
                  <w:r>
                    <w:rPr>
                      <w:sz w:val="21"/>
                      <w:szCs w:val="21"/>
                    </w:rPr>
                    <w:t>-N</w:t>
                  </w:r>
                </w:p>
              </w:tc>
              <w:tc>
                <w:tcPr>
                  <w:tcW w:w="1264" w:type="dxa"/>
                  <w:tcBorders>
                    <w:top w:val="single" w:color="auto" w:sz="12"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TN</w:t>
                  </w:r>
                </w:p>
              </w:tc>
              <w:tc>
                <w:tcPr>
                  <w:tcW w:w="1144" w:type="dxa"/>
                  <w:tcBorders>
                    <w:top w:val="single" w:color="auto" w:sz="12" w:space="0"/>
                    <w:left w:val="single" w:color="auto" w:sz="6" w:space="0"/>
                    <w:bottom w:val="single" w:color="auto" w:sz="6" w:space="0"/>
                    <w:right w:val="single" w:color="auto" w:sz="12" w:space="0"/>
                  </w:tcBorders>
                  <w:vAlign w:val="center"/>
                </w:tcPr>
                <w:p>
                  <w:pPr>
                    <w:pStyle w:val="2"/>
                    <w:spacing w:line="360" w:lineRule="auto"/>
                    <w:jc w:val="center"/>
                    <w:rPr>
                      <w:sz w:val="21"/>
                      <w:szCs w:val="21"/>
                    </w:rPr>
                  </w:pPr>
                  <w:r>
                    <w:rPr>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tcBorders>
                    <w:top w:val="single" w:color="auto" w:sz="6" w:space="0"/>
                    <w:left w:val="single" w:color="auto" w:sz="12" w:space="0"/>
                    <w:bottom w:val="single" w:color="auto" w:sz="6" w:space="0"/>
                    <w:right w:val="double" w:color="auto" w:sz="4" w:space="0"/>
                  </w:tcBorders>
                  <w:vAlign w:val="center"/>
                </w:tcPr>
                <w:p>
                  <w:pPr>
                    <w:pStyle w:val="2"/>
                    <w:spacing w:line="360" w:lineRule="auto"/>
                    <w:jc w:val="center"/>
                    <w:rPr>
                      <w:sz w:val="21"/>
                      <w:szCs w:val="21"/>
                    </w:rPr>
                  </w:pPr>
                  <w:r>
                    <w:rPr>
                      <w:rFonts w:hint="eastAsia"/>
                      <w:sz w:val="21"/>
                      <w:szCs w:val="21"/>
                    </w:rPr>
                    <w:t>进水量（</w:t>
                  </w:r>
                  <w:r>
                    <w:rPr>
                      <w:sz w:val="21"/>
                      <w:szCs w:val="21"/>
                    </w:rPr>
                    <w:t>t/a</w:t>
                  </w:r>
                  <w:r>
                    <w:rPr>
                      <w:rFonts w:hint="eastAsia"/>
                      <w:sz w:val="21"/>
                      <w:szCs w:val="21"/>
                    </w:rPr>
                    <w:t>）</w:t>
                  </w:r>
                </w:p>
              </w:tc>
              <w:tc>
                <w:tcPr>
                  <w:tcW w:w="6971" w:type="dxa"/>
                  <w:gridSpan w:val="6"/>
                  <w:tcBorders>
                    <w:top w:val="single" w:color="auto" w:sz="6" w:space="0"/>
                    <w:left w:val="double" w:color="auto" w:sz="4" w:space="0"/>
                    <w:bottom w:val="single" w:color="auto" w:sz="6" w:space="0"/>
                    <w:right w:val="single" w:color="auto" w:sz="12" w:space="0"/>
                  </w:tcBorders>
                  <w:vAlign w:val="center"/>
                </w:tcPr>
                <w:p>
                  <w:pPr>
                    <w:pStyle w:val="2"/>
                    <w:spacing w:line="360" w:lineRule="auto"/>
                    <w:jc w:val="center"/>
                    <w:rPr>
                      <w:sz w:val="21"/>
                      <w:szCs w:val="21"/>
                    </w:rPr>
                  </w:pPr>
                  <w:r>
                    <w:rPr>
                      <w:sz w:val="21"/>
                      <w:szCs w:val="21"/>
                    </w:rPr>
                    <w:t>5475000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tcBorders>
                    <w:top w:val="single" w:color="auto" w:sz="6" w:space="0"/>
                    <w:left w:val="single" w:color="auto" w:sz="12" w:space="0"/>
                    <w:bottom w:val="single" w:color="auto" w:sz="6" w:space="0"/>
                    <w:right w:val="double" w:color="auto" w:sz="4" w:space="0"/>
                  </w:tcBorders>
                  <w:vAlign w:val="center"/>
                </w:tcPr>
                <w:p>
                  <w:pPr>
                    <w:pStyle w:val="2"/>
                    <w:spacing w:line="360" w:lineRule="auto"/>
                    <w:jc w:val="center"/>
                    <w:rPr>
                      <w:sz w:val="21"/>
                      <w:szCs w:val="21"/>
                    </w:rPr>
                  </w:pPr>
                  <w:r>
                    <w:rPr>
                      <w:rFonts w:hint="eastAsia"/>
                      <w:sz w:val="21"/>
                      <w:szCs w:val="21"/>
                    </w:rPr>
                    <w:t>设计进水水质（</w:t>
                  </w:r>
                  <w:r>
                    <w:rPr>
                      <w:sz w:val="21"/>
                      <w:szCs w:val="21"/>
                    </w:rPr>
                    <w:t>mg/L</w:t>
                  </w:r>
                  <w:r>
                    <w:rPr>
                      <w:rFonts w:hint="eastAsia"/>
                      <w:sz w:val="21"/>
                      <w:szCs w:val="21"/>
                    </w:rPr>
                    <w:t>）</w:t>
                  </w:r>
                </w:p>
              </w:tc>
              <w:tc>
                <w:tcPr>
                  <w:tcW w:w="999" w:type="dxa"/>
                  <w:tcBorders>
                    <w:top w:val="single" w:color="auto" w:sz="6" w:space="0"/>
                    <w:left w:val="double" w:color="auto" w:sz="4" w:space="0"/>
                    <w:bottom w:val="single" w:color="auto" w:sz="6" w:space="0"/>
                    <w:right w:val="single" w:color="auto" w:sz="6" w:space="0"/>
                  </w:tcBorders>
                  <w:vAlign w:val="center"/>
                </w:tcPr>
                <w:p>
                  <w:pPr>
                    <w:adjustRightInd w:val="0"/>
                    <w:spacing w:line="360" w:lineRule="auto"/>
                    <w:jc w:val="center"/>
                    <w:rPr>
                      <w:rFonts w:ascii="Times New Roman" w:hAnsi="Times New Roman"/>
                      <w:szCs w:val="21"/>
                    </w:rPr>
                  </w:pPr>
                  <w:r>
                    <w:rPr>
                      <w:rFonts w:ascii="Times New Roman" w:hAnsi="Times New Roman"/>
                      <w:szCs w:val="21"/>
                    </w:rPr>
                    <w:t>≤300</w:t>
                  </w:r>
                </w:p>
              </w:tc>
              <w:tc>
                <w:tcPr>
                  <w:tcW w:w="1166" w:type="dxa"/>
                  <w:tcBorders>
                    <w:top w:val="single" w:color="auto" w:sz="6" w:space="0"/>
                    <w:left w:val="single" w:color="auto" w:sz="6" w:space="0"/>
                    <w:bottom w:val="single" w:color="auto" w:sz="6" w:space="0"/>
                    <w:right w:val="single" w:color="auto" w:sz="6" w:space="0"/>
                  </w:tcBorders>
                  <w:vAlign w:val="center"/>
                </w:tcPr>
                <w:p>
                  <w:pPr>
                    <w:adjustRightInd w:val="0"/>
                    <w:spacing w:line="360" w:lineRule="auto"/>
                    <w:jc w:val="center"/>
                    <w:rPr>
                      <w:rFonts w:ascii="Times New Roman" w:hAnsi="Times New Roman"/>
                      <w:szCs w:val="21"/>
                    </w:rPr>
                  </w:pPr>
                  <w:r>
                    <w:rPr>
                      <w:rFonts w:ascii="Times New Roman" w:hAnsi="Times New Roman"/>
                      <w:szCs w:val="21"/>
                    </w:rPr>
                    <w:t>≤150</w:t>
                  </w:r>
                </w:p>
              </w:tc>
              <w:tc>
                <w:tcPr>
                  <w:tcW w:w="1015" w:type="dxa"/>
                  <w:tcBorders>
                    <w:top w:val="single" w:color="auto" w:sz="6" w:space="0"/>
                    <w:left w:val="single" w:color="auto" w:sz="6" w:space="0"/>
                    <w:bottom w:val="single" w:color="auto" w:sz="6" w:space="0"/>
                    <w:right w:val="single" w:color="auto" w:sz="6" w:space="0"/>
                  </w:tcBorders>
                  <w:vAlign w:val="center"/>
                </w:tcPr>
                <w:p>
                  <w:pPr>
                    <w:adjustRightInd w:val="0"/>
                    <w:spacing w:line="360" w:lineRule="auto"/>
                    <w:jc w:val="center"/>
                    <w:rPr>
                      <w:rFonts w:ascii="Times New Roman" w:hAnsi="Times New Roman"/>
                      <w:szCs w:val="21"/>
                    </w:rPr>
                  </w:pPr>
                  <w:r>
                    <w:rPr>
                      <w:rFonts w:ascii="Times New Roman" w:hAnsi="Times New Roman"/>
                      <w:szCs w:val="21"/>
                    </w:rPr>
                    <w:t>≤200</w:t>
                  </w:r>
                </w:p>
              </w:tc>
              <w:tc>
                <w:tcPr>
                  <w:tcW w:w="1383" w:type="dxa"/>
                  <w:tcBorders>
                    <w:top w:val="single" w:color="auto" w:sz="6" w:space="0"/>
                    <w:left w:val="single" w:color="auto" w:sz="6" w:space="0"/>
                    <w:bottom w:val="single" w:color="auto" w:sz="6" w:space="0"/>
                    <w:right w:val="single" w:color="auto" w:sz="6" w:space="0"/>
                  </w:tcBorders>
                  <w:vAlign w:val="center"/>
                </w:tcPr>
                <w:p>
                  <w:pPr>
                    <w:adjustRightInd w:val="0"/>
                    <w:spacing w:line="360" w:lineRule="auto"/>
                    <w:jc w:val="center"/>
                    <w:rPr>
                      <w:rFonts w:ascii="Times New Roman" w:hAnsi="Times New Roman"/>
                      <w:szCs w:val="21"/>
                    </w:rPr>
                  </w:pPr>
                  <w:r>
                    <w:rPr>
                      <w:rFonts w:ascii="Times New Roman" w:hAnsi="Times New Roman"/>
                      <w:szCs w:val="21"/>
                    </w:rPr>
                    <w:t>≤25</w:t>
                  </w:r>
                </w:p>
              </w:tc>
              <w:tc>
                <w:tcPr>
                  <w:tcW w:w="1264" w:type="dxa"/>
                  <w:tcBorders>
                    <w:top w:val="single" w:color="auto" w:sz="6" w:space="0"/>
                    <w:left w:val="single" w:color="auto" w:sz="6" w:space="0"/>
                    <w:bottom w:val="single" w:color="auto" w:sz="6" w:space="0"/>
                    <w:right w:val="single" w:color="auto" w:sz="6" w:space="0"/>
                  </w:tcBorders>
                  <w:vAlign w:val="center"/>
                </w:tcPr>
                <w:p>
                  <w:pPr>
                    <w:adjustRightInd w:val="0"/>
                    <w:spacing w:line="360" w:lineRule="auto"/>
                    <w:jc w:val="center"/>
                    <w:rPr>
                      <w:rFonts w:ascii="Times New Roman" w:hAnsi="Times New Roman"/>
                      <w:szCs w:val="21"/>
                    </w:rPr>
                  </w:pPr>
                  <w:r>
                    <w:rPr>
                      <w:rFonts w:ascii="Times New Roman" w:hAnsi="Times New Roman"/>
                      <w:szCs w:val="21"/>
                    </w:rPr>
                    <w:t>≤40</w:t>
                  </w:r>
                </w:p>
              </w:tc>
              <w:tc>
                <w:tcPr>
                  <w:tcW w:w="1144" w:type="dxa"/>
                  <w:tcBorders>
                    <w:top w:val="single" w:color="auto" w:sz="6" w:space="0"/>
                    <w:left w:val="single" w:color="auto" w:sz="6" w:space="0"/>
                    <w:bottom w:val="single" w:color="auto" w:sz="6" w:space="0"/>
                    <w:right w:val="single" w:color="auto" w:sz="12" w:space="0"/>
                  </w:tcBorders>
                  <w:vAlign w:val="center"/>
                </w:tcPr>
                <w:p>
                  <w:pPr>
                    <w:adjustRightInd w:val="0"/>
                    <w:spacing w:line="360" w:lineRule="auto"/>
                    <w:jc w:val="center"/>
                    <w:rPr>
                      <w:rFonts w:ascii="Times New Roman" w:hAnsi="Times New Roman"/>
                      <w:szCs w:val="21"/>
                    </w:rPr>
                  </w:pPr>
                  <w:r>
                    <w:rPr>
                      <w:rFonts w:ascii="Times New Roman" w:hAnsi="Times New Roman"/>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tcBorders>
                    <w:top w:val="single" w:color="auto" w:sz="6" w:space="0"/>
                    <w:left w:val="single" w:color="auto" w:sz="12" w:space="0"/>
                    <w:bottom w:val="single" w:color="auto" w:sz="6" w:space="0"/>
                    <w:right w:val="double" w:color="auto" w:sz="4" w:space="0"/>
                  </w:tcBorders>
                  <w:vAlign w:val="center"/>
                </w:tcPr>
                <w:p>
                  <w:pPr>
                    <w:pStyle w:val="2"/>
                    <w:spacing w:line="360" w:lineRule="auto"/>
                    <w:jc w:val="center"/>
                    <w:rPr>
                      <w:sz w:val="21"/>
                      <w:szCs w:val="21"/>
                    </w:rPr>
                  </w:pPr>
                  <w:r>
                    <w:rPr>
                      <w:rFonts w:hint="eastAsia"/>
                      <w:sz w:val="21"/>
                      <w:szCs w:val="21"/>
                    </w:rPr>
                    <w:t>设计出水水质（</w:t>
                  </w:r>
                  <w:r>
                    <w:rPr>
                      <w:sz w:val="21"/>
                      <w:szCs w:val="21"/>
                    </w:rPr>
                    <w:t>mg/L</w:t>
                  </w:r>
                  <w:r>
                    <w:rPr>
                      <w:rFonts w:hint="eastAsia"/>
                      <w:sz w:val="21"/>
                      <w:szCs w:val="21"/>
                    </w:rPr>
                    <w:t>）</w:t>
                  </w:r>
                </w:p>
              </w:tc>
              <w:tc>
                <w:tcPr>
                  <w:tcW w:w="999" w:type="dxa"/>
                  <w:tcBorders>
                    <w:top w:val="single" w:color="auto" w:sz="6" w:space="0"/>
                    <w:left w:val="double" w:color="auto" w:sz="4" w:space="0"/>
                    <w:bottom w:val="single" w:color="auto" w:sz="6" w:space="0"/>
                    <w:right w:val="single" w:color="auto" w:sz="6" w:space="0"/>
                  </w:tcBorders>
                  <w:vAlign w:val="center"/>
                </w:tcPr>
                <w:p>
                  <w:pPr>
                    <w:pStyle w:val="2"/>
                    <w:spacing w:line="360" w:lineRule="auto"/>
                    <w:jc w:val="center"/>
                    <w:rPr>
                      <w:sz w:val="21"/>
                      <w:szCs w:val="21"/>
                    </w:rPr>
                  </w:pPr>
                  <w:r>
                    <w:rPr>
                      <w:sz w:val="21"/>
                      <w:szCs w:val="21"/>
                    </w:rPr>
                    <w:t>50</w:t>
                  </w:r>
                </w:p>
              </w:tc>
              <w:tc>
                <w:tcPr>
                  <w:tcW w:w="1166"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10</w:t>
                  </w:r>
                </w:p>
              </w:tc>
              <w:tc>
                <w:tcPr>
                  <w:tcW w:w="1015"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10</w:t>
                  </w:r>
                </w:p>
              </w:tc>
              <w:tc>
                <w:tcPr>
                  <w:tcW w:w="1383"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5</w:t>
                  </w:r>
                </w:p>
              </w:tc>
              <w:tc>
                <w:tcPr>
                  <w:tcW w:w="1264"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15</w:t>
                  </w:r>
                </w:p>
              </w:tc>
              <w:tc>
                <w:tcPr>
                  <w:tcW w:w="1144" w:type="dxa"/>
                  <w:tcBorders>
                    <w:top w:val="single" w:color="auto" w:sz="6" w:space="0"/>
                    <w:left w:val="single" w:color="auto" w:sz="6" w:space="0"/>
                    <w:bottom w:val="single" w:color="auto" w:sz="6" w:space="0"/>
                    <w:right w:val="single" w:color="auto" w:sz="12" w:space="0"/>
                  </w:tcBorders>
                  <w:vAlign w:val="center"/>
                </w:tcPr>
                <w:p>
                  <w:pPr>
                    <w:pStyle w:val="2"/>
                    <w:spacing w:line="360" w:lineRule="auto"/>
                    <w:jc w:val="center"/>
                    <w:rPr>
                      <w:sz w:val="21"/>
                      <w:szCs w:val="21"/>
                    </w:rPr>
                  </w:pPr>
                  <w:r>
                    <w:rPr>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tcBorders>
                    <w:top w:val="single" w:color="auto" w:sz="6" w:space="0"/>
                    <w:left w:val="single" w:color="auto" w:sz="12" w:space="0"/>
                    <w:bottom w:val="single" w:color="auto" w:sz="6" w:space="0"/>
                    <w:right w:val="double" w:color="auto" w:sz="4" w:space="0"/>
                  </w:tcBorders>
                  <w:vAlign w:val="center"/>
                </w:tcPr>
                <w:p>
                  <w:pPr>
                    <w:pStyle w:val="2"/>
                    <w:spacing w:line="360" w:lineRule="auto"/>
                    <w:jc w:val="center"/>
                    <w:rPr>
                      <w:sz w:val="21"/>
                      <w:szCs w:val="21"/>
                    </w:rPr>
                  </w:pPr>
                  <w:r>
                    <w:rPr>
                      <w:rFonts w:hint="eastAsia"/>
                      <w:sz w:val="21"/>
                      <w:szCs w:val="21"/>
                    </w:rPr>
                    <w:t>污染物去除效率（</w:t>
                  </w:r>
                  <w:r>
                    <w:rPr>
                      <w:sz w:val="21"/>
                      <w:szCs w:val="21"/>
                    </w:rPr>
                    <w:t>%</w:t>
                  </w:r>
                  <w:r>
                    <w:rPr>
                      <w:rFonts w:hint="eastAsia"/>
                      <w:sz w:val="21"/>
                      <w:szCs w:val="21"/>
                    </w:rPr>
                    <w:t>）</w:t>
                  </w:r>
                </w:p>
              </w:tc>
              <w:tc>
                <w:tcPr>
                  <w:tcW w:w="999" w:type="dxa"/>
                  <w:tcBorders>
                    <w:top w:val="single" w:color="auto" w:sz="6" w:space="0"/>
                    <w:left w:val="double" w:color="auto" w:sz="4" w:space="0"/>
                    <w:bottom w:val="single" w:color="auto" w:sz="6" w:space="0"/>
                    <w:right w:val="single" w:color="auto" w:sz="6" w:space="0"/>
                  </w:tcBorders>
                  <w:vAlign w:val="center"/>
                </w:tcPr>
                <w:p>
                  <w:pPr>
                    <w:pStyle w:val="2"/>
                    <w:spacing w:line="360" w:lineRule="auto"/>
                    <w:jc w:val="center"/>
                    <w:rPr>
                      <w:sz w:val="21"/>
                      <w:szCs w:val="21"/>
                    </w:rPr>
                  </w:pPr>
                  <w:r>
                    <w:rPr>
                      <w:sz w:val="21"/>
                      <w:szCs w:val="21"/>
                    </w:rPr>
                    <w:t>≥83.3%</w:t>
                  </w:r>
                </w:p>
              </w:tc>
              <w:tc>
                <w:tcPr>
                  <w:tcW w:w="1166"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≥93.3%</w:t>
                  </w:r>
                </w:p>
              </w:tc>
              <w:tc>
                <w:tcPr>
                  <w:tcW w:w="1015"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≥95%</w:t>
                  </w:r>
                </w:p>
              </w:tc>
              <w:tc>
                <w:tcPr>
                  <w:tcW w:w="1383" w:type="dxa"/>
                  <w:tcBorders>
                    <w:top w:val="single" w:color="auto" w:sz="6" w:space="0"/>
                    <w:left w:val="single" w:color="auto" w:sz="6" w:space="0"/>
                    <w:bottom w:val="single" w:color="auto" w:sz="6" w:space="0"/>
                    <w:right w:val="single" w:color="auto" w:sz="6" w:space="0"/>
                  </w:tcBorders>
                  <w:vAlign w:val="center"/>
                </w:tcPr>
                <w:p>
                  <w:pPr>
                    <w:pStyle w:val="2"/>
                    <w:spacing w:line="240" w:lineRule="atLeast"/>
                    <w:jc w:val="center"/>
                    <w:rPr>
                      <w:sz w:val="21"/>
                      <w:szCs w:val="21"/>
                    </w:rPr>
                  </w:pPr>
                  <w:r>
                    <w:rPr>
                      <w:sz w:val="21"/>
                      <w:szCs w:val="21"/>
                    </w:rPr>
                    <w:t>≥80%</w:t>
                  </w:r>
                </w:p>
              </w:tc>
              <w:tc>
                <w:tcPr>
                  <w:tcW w:w="1264"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sz w:val="21"/>
                      <w:szCs w:val="21"/>
                    </w:rPr>
                    <w:t>≥62.5%</w:t>
                  </w:r>
                </w:p>
              </w:tc>
              <w:tc>
                <w:tcPr>
                  <w:tcW w:w="1144" w:type="dxa"/>
                  <w:tcBorders>
                    <w:top w:val="single" w:color="auto" w:sz="6" w:space="0"/>
                    <w:left w:val="single" w:color="auto" w:sz="6" w:space="0"/>
                    <w:bottom w:val="single" w:color="auto" w:sz="6" w:space="0"/>
                    <w:right w:val="single" w:color="auto" w:sz="12" w:space="0"/>
                  </w:tcBorders>
                  <w:vAlign w:val="center"/>
                </w:tcPr>
                <w:p>
                  <w:pPr>
                    <w:pStyle w:val="2"/>
                    <w:spacing w:line="360" w:lineRule="auto"/>
                    <w:jc w:val="center"/>
                    <w:rPr>
                      <w:sz w:val="21"/>
                      <w:szCs w:val="21"/>
                    </w:rPr>
                  </w:pPr>
                  <w:r>
                    <w:rPr>
                      <w:sz w:val="21"/>
                      <w:szCs w:val="21"/>
                    </w:rPr>
                    <w:t>≥87.5%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tcBorders>
                    <w:top w:val="single" w:color="auto" w:sz="6" w:space="0"/>
                    <w:left w:val="single" w:color="auto" w:sz="12" w:space="0"/>
                    <w:bottom w:val="single" w:color="auto" w:sz="6" w:space="0"/>
                    <w:right w:val="double" w:color="auto" w:sz="4" w:space="0"/>
                  </w:tcBorders>
                  <w:vAlign w:val="center"/>
                </w:tcPr>
                <w:p>
                  <w:pPr>
                    <w:pStyle w:val="2"/>
                    <w:spacing w:line="360" w:lineRule="auto"/>
                    <w:jc w:val="center"/>
                    <w:rPr>
                      <w:sz w:val="21"/>
                      <w:szCs w:val="21"/>
                    </w:rPr>
                  </w:pPr>
                  <w:r>
                    <w:rPr>
                      <w:rFonts w:hint="eastAsia"/>
                      <w:sz w:val="21"/>
                      <w:szCs w:val="21"/>
                    </w:rPr>
                    <w:t>进水污染物总量（</w:t>
                  </w:r>
                  <w:r>
                    <w:rPr>
                      <w:sz w:val="21"/>
                      <w:szCs w:val="21"/>
                    </w:rPr>
                    <w:t>t/a</w:t>
                  </w:r>
                  <w:r>
                    <w:rPr>
                      <w:rFonts w:hint="eastAsia"/>
                      <w:sz w:val="21"/>
                      <w:szCs w:val="21"/>
                    </w:rPr>
                    <w:t>）</w:t>
                  </w:r>
                </w:p>
              </w:tc>
              <w:tc>
                <w:tcPr>
                  <w:tcW w:w="999" w:type="dxa"/>
                  <w:tcBorders>
                    <w:top w:val="single" w:color="auto" w:sz="6" w:space="0"/>
                    <w:left w:val="double" w:color="auto" w:sz="4"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1642.5</w:t>
                  </w:r>
                </w:p>
              </w:tc>
              <w:tc>
                <w:tcPr>
                  <w:tcW w:w="1166"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821.25</w:t>
                  </w:r>
                </w:p>
              </w:tc>
              <w:tc>
                <w:tcPr>
                  <w:tcW w:w="1015"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1095</w:t>
                  </w:r>
                </w:p>
              </w:tc>
              <w:tc>
                <w:tcPr>
                  <w:tcW w:w="1383"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136.88</w:t>
                  </w:r>
                </w:p>
              </w:tc>
              <w:tc>
                <w:tcPr>
                  <w:tcW w:w="1264"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219</w:t>
                  </w:r>
                </w:p>
              </w:tc>
              <w:tc>
                <w:tcPr>
                  <w:tcW w:w="1144" w:type="dxa"/>
                  <w:tcBorders>
                    <w:top w:val="single" w:color="auto" w:sz="6" w:space="0"/>
                    <w:left w:val="single" w:color="auto" w:sz="6" w:space="0"/>
                    <w:bottom w:val="single" w:color="auto" w:sz="6" w:space="0"/>
                    <w:right w:val="single" w:color="auto" w:sz="12" w:space="0"/>
                  </w:tcBorders>
                  <w:vAlign w:val="center"/>
                </w:tcPr>
                <w:p>
                  <w:pPr>
                    <w:pStyle w:val="2"/>
                    <w:spacing w:line="360" w:lineRule="auto"/>
                    <w:jc w:val="center"/>
                    <w:rPr>
                      <w:sz w:val="21"/>
                      <w:szCs w:val="21"/>
                    </w:rPr>
                  </w:pPr>
                  <w:r>
                    <w:rPr>
                      <w:rFonts w:eastAsia="等线"/>
                      <w:sz w:val="21"/>
                      <w:szCs w:val="21"/>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tcBorders>
                    <w:top w:val="single" w:color="auto" w:sz="6" w:space="0"/>
                    <w:left w:val="single" w:color="auto" w:sz="12" w:space="0"/>
                    <w:bottom w:val="single" w:color="auto" w:sz="6" w:space="0"/>
                    <w:right w:val="double" w:color="auto" w:sz="4" w:space="0"/>
                  </w:tcBorders>
                  <w:vAlign w:val="center"/>
                </w:tcPr>
                <w:p>
                  <w:pPr>
                    <w:pStyle w:val="2"/>
                    <w:spacing w:line="360" w:lineRule="auto"/>
                    <w:jc w:val="center"/>
                    <w:rPr>
                      <w:sz w:val="21"/>
                      <w:szCs w:val="21"/>
                    </w:rPr>
                  </w:pPr>
                  <w:r>
                    <w:rPr>
                      <w:rFonts w:hint="eastAsia"/>
                      <w:sz w:val="21"/>
                      <w:szCs w:val="21"/>
                    </w:rPr>
                    <w:t>出水污染物总量（</w:t>
                  </w:r>
                  <w:r>
                    <w:rPr>
                      <w:sz w:val="21"/>
                      <w:szCs w:val="21"/>
                    </w:rPr>
                    <w:t>t/a</w:t>
                  </w:r>
                  <w:r>
                    <w:rPr>
                      <w:rFonts w:hint="eastAsia"/>
                      <w:sz w:val="21"/>
                      <w:szCs w:val="21"/>
                    </w:rPr>
                    <w:t>）</w:t>
                  </w:r>
                </w:p>
              </w:tc>
              <w:tc>
                <w:tcPr>
                  <w:tcW w:w="999" w:type="dxa"/>
                  <w:tcBorders>
                    <w:top w:val="single" w:color="auto" w:sz="6" w:space="0"/>
                    <w:left w:val="double" w:color="auto" w:sz="4"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273.75</w:t>
                  </w:r>
                </w:p>
              </w:tc>
              <w:tc>
                <w:tcPr>
                  <w:tcW w:w="1166"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54.75</w:t>
                  </w:r>
                </w:p>
              </w:tc>
              <w:tc>
                <w:tcPr>
                  <w:tcW w:w="1015"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54.75</w:t>
                  </w:r>
                </w:p>
              </w:tc>
              <w:tc>
                <w:tcPr>
                  <w:tcW w:w="1383"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27.38</w:t>
                  </w:r>
                </w:p>
              </w:tc>
              <w:tc>
                <w:tcPr>
                  <w:tcW w:w="1264" w:type="dxa"/>
                  <w:tcBorders>
                    <w:top w:val="single" w:color="auto" w:sz="6" w:space="0"/>
                    <w:left w:val="single" w:color="auto" w:sz="6" w:space="0"/>
                    <w:bottom w:val="single" w:color="auto" w:sz="6" w:space="0"/>
                    <w:right w:val="single" w:color="auto" w:sz="6" w:space="0"/>
                  </w:tcBorders>
                  <w:vAlign w:val="center"/>
                </w:tcPr>
                <w:p>
                  <w:pPr>
                    <w:pStyle w:val="2"/>
                    <w:spacing w:line="360" w:lineRule="auto"/>
                    <w:jc w:val="center"/>
                    <w:rPr>
                      <w:sz w:val="21"/>
                      <w:szCs w:val="21"/>
                    </w:rPr>
                  </w:pPr>
                  <w:r>
                    <w:rPr>
                      <w:rFonts w:eastAsia="等线"/>
                      <w:sz w:val="21"/>
                      <w:szCs w:val="21"/>
                    </w:rPr>
                    <w:t>82.13</w:t>
                  </w:r>
                </w:p>
              </w:tc>
              <w:tc>
                <w:tcPr>
                  <w:tcW w:w="1144" w:type="dxa"/>
                  <w:tcBorders>
                    <w:top w:val="single" w:color="auto" w:sz="6" w:space="0"/>
                    <w:left w:val="single" w:color="auto" w:sz="6" w:space="0"/>
                    <w:bottom w:val="single" w:color="auto" w:sz="6" w:space="0"/>
                    <w:right w:val="single" w:color="auto" w:sz="12" w:space="0"/>
                  </w:tcBorders>
                  <w:vAlign w:val="center"/>
                </w:tcPr>
                <w:p>
                  <w:pPr>
                    <w:pStyle w:val="2"/>
                    <w:spacing w:line="360" w:lineRule="auto"/>
                    <w:jc w:val="center"/>
                    <w:rPr>
                      <w:sz w:val="21"/>
                      <w:szCs w:val="21"/>
                    </w:rPr>
                  </w:pPr>
                  <w:r>
                    <w:rPr>
                      <w:rFonts w:eastAsia="等线"/>
                      <w:sz w:val="21"/>
                      <w:szCs w:val="21"/>
                    </w:rPr>
                    <w:t xml:space="preserve">2.74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2443" w:type="dxa"/>
                  <w:tcBorders>
                    <w:top w:val="single" w:color="auto" w:sz="6" w:space="0"/>
                    <w:left w:val="single" w:color="auto" w:sz="12" w:space="0"/>
                    <w:bottom w:val="single" w:color="auto" w:sz="12" w:space="0"/>
                    <w:right w:val="double" w:color="auto" w:sz="4" w:space="0"/>
                  </w:tcBorders>
                  <w:vAlign w:val="center"/>
                </w:tcPr>
                <w:p>
                  <w:pPr>
                    <w:pStyle w:val="2"/>
                    <w:spacing w:line="360" w:lineRule="auto"/>
                    <w:jc w:val="center"/>
                    <w:rPr>
                      <w:sz w:val="21"/>
                      <w:szCs w:val="21"/>
                    </w:rPr>
                  </w:pPr>
                  <w:r>
                    <w:rPr>
                      <w:rFonts w:hint="eastAsia"/>
                      <w:sz w:val="21"/>
                      <w:szCs w:val="21"/>
                    </w:rPr>
                    <w:t>污染物消减量（</w:t>
                  </w:r>
                  <w:r>
                    <w:rPr>
                      <w:sz w:val="21"/>
                      <w:szCs w:val="21"/>
                    </w:rPr>
                    <w:t>t/a</w:t>
                  </w:r>
                  <w:r>
                    <w:rPr>
                      <w:rFonts w:hint="eastAsia"/>
                      <w:sz w:val="21"/>
                      <w:szCs w:val="21"/>
                    </w:rPr>
                    <w:t>）</w:t>
                  </w:r>
                </w:p>
              </w:tc>
              <w:tc>
                <w:tcPr>
                  <w:tcW w:w="999" w:type="dxa"/>
                  <w:tcBorders>
                    <w:top w:val="single" w:color="auto" w:sz="6" w:space="0"/>
                    <w:left w:val="double" w:color="auto" w:sz="4" w:space="0"/>
                    <w:bottom w:val="single" w:color="auto" w:sz="12" w:space="0"/>
                    <w:right w:val="single" w:color="auto" w:sz="6" w:space="0"/>
                  </w:tcBorders>
                  <w:vAlign w:val="center"/>
                </w:tcPr>
                <w:p>
                  <w:pPr>
                    <w:pStyle w:val="2"/>
                    <w:spacing w:line="360" w:lineRule="auto"/>
                    <w:jc w:val="center"/>
                    <w:rPr>
                      <w:sz w:val="21"/>
                      <w:szCs w:val="21"/>
                    </w:rPr>
                  </w:pPr>
                  <w:r>
                    <w:rPr>
                      <w:rFonts w:eastAsia="等线"/>
                      <w:sz w:val="21"/>
                      <w:szCs w:val="21"/>
                    </w:rPr>
                    <w:t>1368.75</w:t>
                  </w:r>
                </w:p>
              </w:tc>
              <w:tc>
                <w:tcPr>
                  <w:tcW w:w="1166" w:type="dxa"/>
                  <w:tcBorders>
                    <w:top w:val="single" w:color="auto" w:sz="6" w:space="0"/>
                    <w:left w:val="single" w:color="auto" w:sz="6" w:space="0"/>
                    <w:bottom w:val="single" w:color="auto" w:sz="12" w:space="0"/>
                    <w:right w:val="single" w:color="auto" w:sz="6" w:space="0"/>
                  </w:tcBorders>
                  <w:vAlign w:val="center"/>
                </w:tcPr>
                <w:p>
                  <w:pPr>
                    <w:pStyle w:val="2"/>
                    <w:spacing w:line="360" w:lineRule="auto"/>
                    <w:jc w:val="center"/>
                    <w:rPr>
                      <w:sz w:val="21"/>
                      <w:szCs w:val="21"/>
                    </w:rPr>
                  </w:pPr>
                  <w:r>
                    <w:rPr>
                      <w:rFonts w:eastAsia="等线"/>
                      <w:sz w:val="21"/>
                      <w:szCs w:val="21"/>
                    </w:rPr>
                    <w:t>766.5</w:t>
                  </w:r>
                </w:p>
              </w:tc>
              <w:tc>
                <w:tcPr>
                  <w:tcW w:w="1015" w:type="dxa"/>
                  <w:tcBorders>
                    <w:top w:val="single" w:color="auto" w:sz="6" w:space="0"/>
                    <w:left w:val="single" w:color="auto" w:sz="6" w:space="0"/>
                    <w:bottom w:val="single" w:color="auto" w:sz="12" w:space="0"/>
                    <w:right w:val="single" w:color="auto" w:sz="6" w:space="0"/>
                  </w:tcBorders>
                  <w:vAlign w:val="center"/>
                </w:tcPr>
                <w:p>
                  <w:pPr>
                    <w:pStyle w:val="2"/>
                    <w:spacing w:line="360" w:lineRule="auto"/>
                    <w:jc w:val="center"/>
                    <w:rPr>
                      <w:sz w:val="21"/>
                      <w:szCs w:val="21"/>
                    </w:rPr>
                  </w:pPr>
                  <w:r>
                    <w:rPr>
                      <w:rFonts w:eastAsia="等线"/>
                      <w:sz w:val="21"/>
                      <w:szCs w:val="21"/>
                    </w:rPr>
                    <w:t>1040.25</w:t>
                  </w:r>
                </w:p>
              </w:tc>
              <w:tc>
                <w:tcPr>
                  <w:tcW w:w="1383" w:type="dxa"/>
                  <w:tcBorders>
                    <w:top w:val="single" w:color="auto" w:sz="6" w:space="0"/>
                    <w:left w:val="single" w:color="auto" w:sz="6" w:space="0"/>
                    <w:bottom w:val="single" w:color="auto" w:sz="12" w:space="0"/>
                    <w:right w:val="single" w:color="auto" w:sz="6" w:space="0"/>
                  </w:tcBorders>
                  <w:vAlign w:val="center"/>
                </w:tcPr>
                <w:p>
                  <w:pPr>
                    <w:pStyle w:val="2"/>
                    <w:spacing w:line="360" w:lineRule="auto"/>
                    <w:jc w:val="center"/>
                    <w:rPr>
                      <w:sz w:val="21"/>
                      <w:szCs w:val="21"/>
                    </w:rPr>
                  </w:pPr>
                  <w:r>
                    <w:rPr>
                      <w:rFonts w:eastAsia="等线"/>
                      <w:sz w:val="21"/>
                      <w:szCs w:val="21"/>
                    </w:rPr>
                    <w:t>109.5</w:t>
                  </w:r>
                </w:p>
              </w:tc>
              <w:tc>
                <w:tcPr>
                  <w:tcW w:w="1264" w:type="dxa"/>
                  <w:tcBorders>
                    <w:top w:val="single" w:color="auto" w:sz="6" w:space="0"/>
                    <w:left w:val="single" w:color="auto" w:sz="6" w:space="0"/>
                    <w:bottom w:val="single" w:color="auto" w:sz="12" w:space="0"/>
                    <w:right w:val="single" w:color="auto" w:sz="6" w:space="0"/>
                  </w:tcBorders>
                  <w:vAlign w:val="center"/>
                </w:tcPr>
                <w:p>
                  <w:pPr>
                    <w:pStyle w:val="2"/>
                    <w:spacing w:line="360" w:lineRule="auto"/>
                    <w:jc w:val="center"/>
                    <w:rPr>
                      <w:sz w:val="21"/>
                      <w:szCs w:val="21"/>
                    </w:rPr>
                  </w:pPr>
                  <w:r>
                    <w:rPr>
                      <w:rFonts w:eastAsia="等线"/>
                      <w:sz w:val="21"/>
                      <w:szCs w:val="21"/>
                    </w:rPr>
                    <w:t>136.88</w:t>
                  </w:r>
                </w:p>
              </w:tc>
              <w:tc>
                <w:tcPr>
                  <w:tcW w:w="1144" w:type="dxa"/>
                  <w:tcBorders>
                    <w:top w:val="single" w:color="auto" w:sz="6" w:space="0"/>
                    <w:left w:val="single" w:color="auto" w:sz="6" w:space="0"/>
                    <w:bottom w:val="single" w:color="auto" w:sz="12" w:space="0"/>
                    <w:right w:val="single" w:color="auto" w:sz="12" w:space="0"/>
                  </w:tcBorders>
                  <w:vAlign w:val="center"/>
                </w:tcPr>
                <w:p>
                  <w:pPr>
                    <w:pStyle w:val="2"/>
                    <w:spacing w:line="360" w:lineRule="auto"/>
                    <w:jc w:val="center"/>
                    <w:rPr>
                      <w:sz w:val="21"/>
                      <w:szCs w:val="21"/>
                    </w:rPr>
                  </w:pPr>
                  <w:r>
                    <w:rPr>
                      <w:rFonts w:eastAsia="等线"/>
                      <w:sz w:val="21"/>
                      <w:szCs w:val="21"/>
                    </w:rPr>
                    <w:t>19.16</w:t>
                  </w:r>
                </w:p>
              </w:tc>
            </w:tr>
          </w:tbl>
          <w:p>
            <w:pPr>
              <w:spacing w:line="360" w:lineRule="auto"/>
              <w:ind w:firstLine="482" w:firstLineChars="200"/>
              <w:rPr>
                <w:rFonts w:ascii="Times New Roman" w:hAnsi="Times New Roman"/>
                <w:b/>
                <w:bCs/>
                <w:sz w:val="24"/>
                <w:szCs w:val="24"/>
              </w:rPr>
            </w:pPr>
            <w:r>
              <w:rPr>
                <w:rFonts w:ascii="Times New Roman" w:hAnsi="Times New Roman"/>
                <w:b/>
                <w:bCs/>
                <w:sz w:val="24"/>
                <w:szCs w:val="24"/>
              </w:rPr>
              <w:t>3</w:t>
            </w:r>
            <w:r>
              <w:rPr>
                <w:rFonts w:hint="eastAsia" w:ascii="Times New Roman" w:hAnsi="Times New Roman"/>
                <w:b/>
                <w:bCs/>
                <w:sz w:val="24"/>
                <w:szCs w:val="24"/>
              </w:rPr>
              <w:t>、噪声</w:t>
            </w:r>
          </w:p>
          <w:p>
            <w:pPr>
              <w:pStyle w:val="114"/>
            </w:pPr>
            <w:r>
              <w:rPr>
                <w:rFonts w:hint="eastAsia"/>
              </w:rPr>
              <w:t>污水处理厂的噪声主要来源于风机、水泵等设备运行噪声。污水泵房中的污水泵、污泥泵、潜水搅拌机主要为潜水式安装，经过水体隔声后传播到外部环境噪声会大大衰减；鼓风机设置在鼓风机房内，对鼓风机采取隔声罩和房内墙贴隔音材料。项目主要噪声源强情况详见表</w:t>
            </w:r>
            <w:r>
              <w:t>5-13</w:t>
            </w:r>
            <w:r>
              <w:rPr>
                <w:rFonts w:hint="eastAsia"/>
              </w:rPr>
              <w:t>。</w:t>
            </w:r>
          </w:p>
          <w:p>
            <w:pPr>
              <w:pStyle w:val="111"/>
            </w:pPr>
            <w:r>
              <w:rPr>
                <w:rFonts w:hint="eastAsia"/>
              </w:rPr>
              <w:t>表</w:t>
            </w:r>
            <w:r>
              <w:t>5-13</w:t>
            </w:r>
            <w:r>
              <w:rPr>
                <w:rFonts w:hint="eastAsia"/>
              </w:rPr>
              <w:t>主要噪声源强一览表</w:t>
            </w:r>
          </w:p>
          <w:tbl>
            <w:tblPr>
              <w:tblStyle w:val="37"/>
              <w:tblW w:w="94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2544"/>
              <w:gridCol w:w="2715"/>
              <w:gridCol w:w="1019"/>
              <w:gridCol w:w="1017"/>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tcBorders>
                    <w:top w:val="single" w:color="auto" w:sz="12" w:space="0"/>
                    <w:left w:val="single" w:color="auto" w:sz="12" w:space="0"/>
                    <w:bottom w:val="doub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b/>
                      <w:szCs w:val="21"/>
                    </w:rPr>
                    <w:t>序号</w:t>
                  </w:r>
                </w:p>
              </w:tc>
              <w:tc>
                <w:tcPr>
                  <w:tcW w:w="2544"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b/>
                      <w:szCs w:val="21"/>
                    </w:rPr>
                    <w:t>建构筑物</w:t>
                  </w:r>
                </w:p>
              </w:tc>
              <w:tc>
                <w:tcPr>
                  <w:tcW w:w="2715"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b/>
                      <w:szCs w:val="21"/>
                    </w:rPr>
                  </w:pPr>
                  <w:r>
                    <w:rPr>
                      <w:rFonts w:hint="eastAsia" w:ascii="Times New Roman"/>
                      <w:b/>
                      <w:szCs w:val="21"/>
                    </w:rPr>
                    <w:t>设备名称</w:t>
                  </w:r>
                </w:p>
              </w:tc>
              <w:tc>
                <w:tcPr>
                  <w:tcW w:w="1019"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b/>
                      <w:szCs w:val="21"/>
                    </w:rPr>
                    <w:t>数量</w:t>
                  </w:r>
                </w:p>
              </w:tc>
              <w:tc>
                <w:tcPr>
                  <w:tcW w:w="1017"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b/>
                      <w:szCs w:val="21"/>
                    </w:rPr>
                  </w:pPr>
                  <w:r>
                    <w:rPr>
                      <w:rFonts w:hint="eastAsia" w:ascii="Times New Roman"/>
                      <w:b/>
                      <w:szCs w:val="21"/>
                    </w:rPr>
                    <w:t>工作方式</w:t>
                  </w:r>
                </w:p>
              </w:tc>
              <w:tc>
                <w:tcPr>
                  <w:tcW w:w="1040" w:type="dxa"/>
                  <w:tcBorders>
                    <w:top w:val="single" w:color="auto" w:sz="12" w:space="0"/>
                    <w:left w:val="single" w:color="auto" w:sz="4" w:space="0"/>
                    <w:bottom w:val="double" w:color="auto" w:sz="4" w:space="0"/>
                    <w:right w:val="single" w:color="auto" w:sz="12" w:space="0"/>
                  </w:tcBorders>
                  <w:shd w:val="clear" w:color="auto" w:fill="FFFFFF"/>
                  <w:vAlign w:val="center"/>
                </w:tcPr>
                <w:p>
                  <w:pPr>
                    <w:spacing w:line="320" w:lineRule="exact"/>
                    <w:jc w:val="center"/>
                    <w:rPr>
                      <w:rFonts w:ascii="Times New Roman" w:hAnsi="Times New Roman"/>
                      <w:b/>
                      <w:szCs w:val="21"/>
                    </w:rPr>
                  </w:pPr>
                  <w:r>
                    <w:rPr>
                      <w:rFonts w:hint="eastAsia" w:ascii="Times New Roman"/>
                      <w:b/>
                      <w:szCs w:val="21"/>
                    </w:rPr>
                    <w:t>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151" w:type="dxa"/>
                  <w:vMerge w:val="restart"/>
                  <w:tcBorders>
                    <w:top w:val="doub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b/>
                      <w:szCs w:val="21"/>
                    </w:rPr>
                    <w:t>一</w:t>
                  </w:r>
                </w:p>
              </w:tc>
              <w:tc>
                <w:tcPr>
                  <w:tcW w:w="2544" w:type="dxa"/>
                  <w:vMerge w:val="restart"/>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细格栅及旋</w:t>
                  </w:r>
                </w:p>
                <w:p>
                  <w:pPr>
                    <w:spacing w:line="320" w:lineRule="exact"/>
                    <w:ind w:left="-105" w:leftChars="-50" w:right="-105" w:rightChars="-50"/>
                    <w:jc w:val="center"/>
                    <w:rPr>
                      <w:rFonts w:ascii="Times New Roman" w:hAnsi="Times New Roman"/>
                      <w:szCs w:val="21"/>
                    </w:rPr>
                  </w:pPr>
                  <w:r>
                    <w:rPr>
                      <w:rFonts w:hint="eastAsia" w:ascii="Times New Roman"/>
                      <w:szCs w:val="21"/>
                    </w:rPr>
                    <w:t>曝气沉砂池</w:t>
                  </w:r>
                </w:p>
              </w:tc>
              <w:tc>
                <w:tcPr>
                  <w:tcW w:w="2715" w:type="dxa"/>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回转式格栅除污机</w:t>
                  </w:r>
                </w:p>
              </w:tc>
              <w:tc>
                <w:tcPr>
                  <w:tcW w:w="1019" w:type="dxa"/>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台</w:t>
                  </w:r>
                </w:p>
              </w:tc>
              <w:tc>
                <w:tcPr>
                  <w:tcW w:w="1017" w:type="dxa"/>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doub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螺旋输送机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气提系统</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套</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曝气沉砂池搅拌</w:t>
                  </w:r>
                  <w:r>
                    <w:rPr>
                      <w:rFonts w:hint="eastAsia" w:ascii="Times New Roman"/>
                      <w:szCs w:val="21"/>
                    </w:rPr>
                    <w:t>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套</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二</w:t>
                  </w:r>
                </w:p>
              </w:tc>
              <w:tc>
                <w:tcPr>
                  <w:tcW w:w="254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tLeast"/>
                    <w:ind w:left="-105" w:leftChars="-50" w:right="-105" w:rightChars="-50"/>
                    <w:jc w:val="center"/>
                    <w:rPr>
                      <w:rFonts w:ascii="Times New Roman" w:hAnsi="Times New Roman"/>
                      <w:szCs w:val="21"/>
                    </w:rPr>
                  </w:pPr>
                  <w:r>
                    <w:rPr>
                      <w:rFonts w:hint="eastAsia" w:ascii="Times New Roman"/>
                      <w:szCs w:val="21"/>
                    </w:rPr>
                    <w:t>改良型合建式</w:t>
                  </w:r>
                  <w:r>
                    <w:rPr>
                      <w:rFonts w:ascii="Times New Roman" w:hAnsi="Times New Roman"/>
                      <w:szCs w:val="21"/>
                    </w:rPr>
                    <w:t>AAO</w:t>
                  </w: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潜水搅拌机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吸刮泥机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套</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szCs w:val="21"/>
                    </w:rPr>
                    <w:t>三</w:t>
                  </w:r>
                </w:p>
              </w:tc>
              <w:tc>
                <w:tcPr>
                  <w:tcW w:w="254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活性砂滤池</w:t>
                  </w:r>
                  <w:r>
                    <w:rPr>
                      <w:rFonts w:ascii="Times New Roman" w:hAnsi="Times New Roman"/>
                      <w:szCs w:val="21"/>
                    </w:rPr>
                    <w:tab/>
                  </w: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驱动电机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反冲洗污水泵</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szCs w:val="21"/>
                    </w:rPr>
                    <w:t>四</w:t>
                  </w:r>
                </w:p>
              </w:tc>
              <w:tc>
                <w:tcPr>
                  <w:tcW w:w="254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ascii="Times New Roman" w:hAnsi="Times New Roman"/>
                      <w:szCs w:val="21"/>
                    </w:rPr>
                    <w:t>PAC</w:t>
                  </w:r>
                  <w:r>
                    <w:rPr>
                      <w:rFonts w:hint="eastAsia" w:ascii="Times New Roman"/>
                      <w:szCs w:val="21"/>
                    </w:rPr>
                    <w:t>及碳源投加系统</w:t>
                  </w:r>
                </w:p>
              </w:tc>
              <w:tc>
                <w:tcPr>
                  <w:tcW w:w="271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szCs w:val="21"/>
                    </w:rPr>
                  </w:pPr>
                  <w:r>
                    <w:rPr>
                      <w:rFonts w:ascii="Times New Roman" w:hAnsi="Times New Roman"/>
                      <w:szCs w:val="21"/>
                    </w:rPr>
                    <w:t>PAC</w:t>
                  </w:r>
                  <w:r>
                    <w:rPr>
                      <w:rFonts w:hint="eastAsia" w:ascii="Times New Roman" w:hAnsi="Times New Roman"/>
                      <w:szCs w:val="21"/>
                    </w:rPr>
                    <w:t>投加泵</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醋酸钠投加泵</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szCs w:val="21"/>
                    </w:rPr>
                    <w:t>五</w:t>
                  </w:r>
                </w:p>
              </w:tc>
              <w:tc>
                <w:tcPr>
                  <w:tcW w:w="254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szCs w:val="21"/>
                    </w:rPr>
                    <w:t>贮泥池</w:t>
                  </w: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潜水搅拌器</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szCs w:val="21"/>
                    </w:rPr>
                    <w:t>六</w:t>
                  </w:r>
                </w:p>
              </w:tc>
              <w:tc>
                <w:tcPr>
                  <w:tcW w:w="254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污泥脱水车间</w:t>
                  </w: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板框脱水机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无轴螺旋输送机（水平）</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无轴螺旋输送机（倾斜）</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加药计量泵</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3</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冲洗泵</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轴流风机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4</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立式搅拌器</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电动单梁起重机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低压进料泵</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高压进料泵</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szCs w:val="21"/>
                    </w:rPr>
                    <w:t>七</w:t>
                  </w:r>
                </w:p>
              </w:tc>
              <w:tc>
                <w:tcPr>
                  <w:tcW w:w="254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中水泵房</w:t>
                  </w: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单级单吸离心泵</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3</w:t>
                  </w:r>
                  <w:r>
                    <w:rPr>
                      <w:rFonts w:hint="eastAsia" w:ascii="Times New Roman" w:hAnsi="Times New Roman"/>
                      <w:szCs w:val="21"/>
                    </w:rPr>
                    <w:t>套</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轴流风机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Times New Roman"/>
                      <w:szCs w:val="21"/>
                    </w:rPr>
                    <w:t>套</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ascii="Times New Roman" w:hAnsi="Times New Roman"/>
                      <w:szCs w:val="21"/>
                    </w:rPr>
                    <w:t>Lx</w:t>
                  </w:r>
                  <w:r>
                    <w:rPr>
                      <w:rFonts w:hint="eastAsia" w:ascii="Times New Roman" w:hAnsi="Times New Roman"/>
                      <w:szCs w:val="21"/>
                    </w:rPr>
                    <w:t>型电动单梁悬挂式起重机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hAnsi="Times New Roman"/>
                      <w:szCs w:val="21"/>
                    </w:rPr>
                    <w:t>套</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szCs w:val="21"/>
                    </w:rPr>
                    <w:t>八</w:t>
                  </w:r>
                </w:p>
              </w:tc>
              <w:tc>
                <w:tcPr>
                  <w:tcW w:w="254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Times New Roman"/>
                      <w:szCs w:val="21"/>
                    </w:rPr>
                    <w:t>鼓风机房</w:t>
                  </w: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空气悬浮鼓风机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3</w:t>
                  </w:r>
                  <w:r>
                    <w:rPr>
                      <w:rFonts w:hint="eastAsia" w:ascii="Times New Roman" w:hAns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Times New Roman"/>
                      <w:szCs w:val="21"/>
                    </w:rPr>
                    <w:t>九</w:t>
                  </w:r>
                </w:p>
              </w:tc>
              <w:tc>
                <w:tcPr>
                  <w:tcW w:w="254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除臭系统</w:t>
                  </w: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离心风机</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4</w:t>
                  </w:r>
                  <w:r>
                    <w:rPr>
                      <w:rFonts w:hint="eastAsia" w:ascii="Times New Roman" w:hAns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71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循环水泵</w:t>
                  </w:r>
                </w:p>
              </w:tc>
              <w:tc>
                <w:tcPr>
                  <w:tcW w:w="101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4</w:t>
                  </w:r>
                  <w:r>
                    <w:rPr>
                      <w:rFonts w:hint="eastAsia" w:ascii="Times New Roman" w:hAnsi="Times New Roman"/>
                      <w:szCs w:val="21"/>
                    </w:rPr>
                    <w:t>台</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连续</w:t>
                  </w:r>
                </w:p>
              </w:tc>
              <w:tc>
                <w:tcPr>
                  <w:tcW w:w="104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1" w:type="dxa"/>
                  <w:vMerge w:val="continue"/>
                  <w:tcBorders>
                    <w:top w:val="single" w:color="auto" w:sz="4" w:space="0"/>
                    <w:left w:val="single" w:color="auto" w:sz="12" w:space="0"/>
                    <w:bottom w:val="single" w:color="auto" w:sz="12"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544" w:type="dxa"/>
                  <w:vMerge w:val="continue"/>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715" w:type="dxa"/>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喷淋水泵</w:t>
                  </w:r>
                </w:p>
              </w:tc>
              <w:tc>
                <w:tcPr>
                  <w:tcW w:w="1019" w:type="dxa"/>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Times New Roman"/>
                      <w:szCs w:val="21"/>
                    </w:rPr>
                    <w:t>台</w:t>
                  </w:r>
                </w:p>
              </w:tc>
              <w:tc>
                <w:tcPr>
                  <w:tcW w:w="1017" w:type="dxa"/>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Times New Roman"/>
                      <w:szCs w:val="21"/>
                    </w:rPr>
                    <w:t>连续</w:t>
                  </w:r>
                </w:p>
              </w:tc>
              <w:tc>
                <w:tcPr>
                  <w:tcW w:w="1040" w:type="dxa"/>
                  <w:tcBorders>
                    <w:top w:val="single" w:color="auto" w:sz="4" w:space="0"/>
                    <w:left w:val="single" w:color="auto" w:sz="4" w:space="0"/>
                    <w:bottom w:val="single" w:color="auto" w:sz="12" w:space="0"/>
                    <w:right w:val="single" w:color="auto" w:sz="12"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r>
          </w:tbl>
          <w:p>
            <w:pPr>
              <w:spacing w:line="360" w:lineRule="auto"/>
              <w:ind w:firstLine="482" w:firstLineChars="200"/>
              <w:rPr>
                <w:rFonts w:ascii="Times New Roman" w:hAnsi="Times New Roman"/>
                <w:b/>
                <w:bCs/>
                <w:sz w:val="24"/>
                <w:szCs w:val="24"/>
              </w:rPr>
            </w:pPr>
            <w:r>
              <w:rPr>
                <w:rFonts w:ascii="Times New Roman" w:hAnsi="Times New Roman"/>
                <w:b/>
                <w:bCs/>
                <w:sz w:val="24"/>
                <w:szCs w:val="24"/>
              </w:rPr>
              <w:t>4</w:t>
            </w:r>
            <w:r>
              <w:rPr>
                <w:rFonts w:hint="eastAsia" w:ascii="Times New Roman" w:hAnsi="Times New Roman"/>
                <w:b/>
                <w:bCs/>
                <w:sz w:val="24"/>
                <w:szCs w:val="24"/>
              </w:rPr>
              <w:t>、固体废物</w:t>
            </w:r>
          </w:p>
          <w:p>
            <w:pPr>
              <w:pStyle w:val="114"/>
            </w:pPr>
            <w:r>
              <w:rPr>
                <w:rFonts w:hint="eastAsia"/>
              </w:rPr>
              <w:t>本项目不新增员工，本项目产生的固体废物包括危险废物、一般固体废物。危险废物包括设备检修产生的废机油和废油漆桶、日常水质检测、分析产生的实验室废液；一般固体废物包括格栅栅渣、沉砂池沉砂和污泥脱水间泥饼。</w:t>
            </w:r>
          </w:p>
          <w:p>
            <w:pPr>
              <w:pStyle w:val="114"/>
            </w:pPr>
            <w:r>
              <w:rPr>
                <w:rFonts w:hint="eastAsia"/>
              </w:rPr>
              <w:t>（</w:t>
            </w:r>
            <w:r>
              <w:t>1</w:t>
            </w:r>
            <w:r>
              <w:rPr>
                <w:rFonts w:hint="eastAsia"/>
              </w:rPr>
              <w:t>）废机油</w:t>
            </w:r>
          </w:p>
          <w:p>
            <w:pPr>
              <w:pStyle w:val="114"/>
            </w:pPr>
            <w:r>
              <w:rPr>
                <w:rFonts w:hint="eastAsia"/>
              </w:rPr>
              <w:t>设备维修过程中会产生废机油，产生量约为</w:t>
            </w:r>
            <w:r>
              <w:t>0.08t/a</w:t>
            </w:r>
            <w:r>
              <w:rPr>
                <w:rFonts w:hint="eastAsia"/>
              </w:rPr>
              <w:t>。根据《国家危险废物名录》，其危险废物类别属于化学试剂（</w:t>
            </w:r>
            <w:r>
              <w:t>900-214-49</w:t>
            </w:r>
            <w:r>
              <w:rPr>
                <w:rFonts w:hint="eastAsia"/>
              </w:rPr>
              <w:t>），委托海南宝来工贸有限公司进行处理。</w:t>
            </w:r>
          </w:p>
          <w:p>
            <w:pPr>
              <w:pStyle w:val="114"/>
            </w:pPr>
            <w:r>
              <w:rPr>
                <w:rFonts w:hint="eastAsia"/>
              </w:rPr>
              <w:t>（</w:t>
            </w:r>
            <w:r>
              <w:t>2</w:t>
            </w:r>
            <w:r>
              <w:rPr>
                <w:rFonts w:hint="eastAsia"/>
              </w:rPr>
              <w:t>）废油漆桶</w:t>
            </w:r>
          </w:p>
          <w:p>
            <w:pPr>
              <w:pStyle w:val="114"/>
            </w:pPr>
            <w:r>
              <w:rPr>
                <w:rFonts w:hint="eastAsia"/>
              </w:rPr>
              <w:t>设备维修过程中会产生废油漆桶，产生量约为</w:t>
            </w:r>
            <w:r>
              <w:t>0.02t/a</w:t>
            </w:r>
            <w:r>
              <w:rPr>
                <w:rFonts w:hint="eastAsia"/>
              </w:rPr>
              <w:t>。根据《国家危险废物名录》，其危险废物类别属于化学试剂（</w:t>
            </w:r>
            <w:r>
              <w:t>900-041-49</w:t>
            </w:r>
            <w:r>
              <w:rPr>
                <w:rFonts w:hint="eastAsia"/>
              </w:rPr>
              <w:t>），委托海南宝来工贸有限公司进行处理。</w:t>
            </w:r>
          </w:p>
          <w:p>
            <w:pPr>
              <w:pStyle w:val="114"/>
            </w:pPr>
            <w:r>
              <w:rPr>
                <w:rFonts w:hint="eastAsia"/>
              </w:rPr>
              <w:t>（</w:t>
            </w:r>
            <w:r>
              <w:t>3</w:t>
            </w:r>
            <w:r>
              <w:rPr>
                <w:rFonts w:hint="eastAsia"/>
              </w:rPr>
              <w:t>）实验室废液</w:t>
            </w:r>
          </w:p>
          <w:p>
            <w:pPr>
              <w:pStyle w:val="114"/>
            </w:pPr>
            <w:r>
              <w:rPr>
                <w:rFonts w:hint="eastAsia"/>
              </w:rPr>
              <w:t>污水厂运营过程中进行日常水质检测、分析产生的实验室废液，产生量约为</w:t>
            </w:r>
            <w:r>
              <w:t>0.15t/a</w:t>
            </w:r>
            <w:r>
              <w:rPr>
                <w:rFonts w:hint="eastAsia"/>
              </w:rPr>
              <w:t>。根据《国家危险废物名录》，其危险废物类别属于化学试剂（</w:t>
            </w:r>
            <w:r>
              <w:t>900-047-49</w:t>
            </w:r>
            <w:r>
              <w:rPr>
                <w:rFonts w:hint="eastAsia"/>
              </w:rPr>
              <w:t>），委托海南宝来工贸有限公司进行处理。</w:t>
            </w:r>
          </w:p>
          <w:p>
            <w:pPr>
              <w:pStyle w:val="111"/>
            </w:pPr>
            <w:r>
              <w:rPr>
                <w:rFonts w:hint="eastAsia"/>
              </w:rPr>
              <w:t>表</w:t>
            </w:r>
            <w:r>
              <w:t>5-14</w:t>
            </w:r>
            <w:r>
              <w:rPr>
                <w:rFonts w:hint="eastAsia"/>
              </w:rPr>
              <w:t>危险废物一览表</w:t>
            </w:r>
          </w:p>
          <w:tbl>
            <w:tblPr>
              <w:tblStyle w:val="37"/>
              <w:tblW w:w="94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2"/>
              <w:gridCol w:w="2169"/>
              <w:gridCol w:w="1581"/>
              <w:gridCol w:w="1456"/>
              <w:gridCol w:w="1285"/>
              <w:gridCol w:w="20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992" w:type="dxa"/>
                  <w:tcBorders>
                    <w:top w:val="single" w:color="auto" w:sz="12" w:space="0"/>
                    <w:left w:val="single" w:color="auto" w:sz="12" w:space="0"/>
                    <w:bottom w:val="double" w:color="auto" w:sz="4" w:space="0"/>
                    <w:right w:val="single" w:color="auto" w:sz="6" w:space="0"/>
                  </w:tcBorders>
                  <w:vAlign w:val="center"/>
                </w:tcPr>
                <w:p>
                  <w:pPr>
                    <w:pStyle w:val="2"/>
                    <w:jc w:val="center"/>
                    <w:rPr>
                      <w:sz w:val="21"/>
                      <w:szCs w:val="21"/>
                    </w:rPr>
                  </w:pPr>
                  <w:r>
                    <w:rPr>
                      <w:rFonts w:hint="eastAsia"/>
                      <w:sz w:val="21"/>
                      <w:szCs w:val="21"/>
                    </w:rPr>
                    <w:t>序号</w:t>
                  </w:r>
                </w:p>
              </w:tc>
              <w:tc>
                <w:tcPr>
                  <w:tcW w:w="2169" w:type="dxa"/>
                  <w:tcBorders>
                    <w:top w:val="single" w:color="auto" w:sz="12" w:space="0"/>
                    <w:left w:val="single" w:color="auto" w:sz="6" w:space="0"/>
                    <w:bottom w:val="double" w:color="auto" w:sz="4" w:space="0"/>
                    <w:right w:val="single" w:color="auto" w:sz="6" w:space="0"/>
                  </w:tcBorders>
                  <w:vAlign w:val="center"/>
                </w:tcPr>
                <w:p>
                  <w:pPr>
                    <w:pStyle w:val="2"/>
                    <w:jc w:val="center"/>
                    <w:rPr>
                      <w:sz w:val="21"/>
                      <w:szCs w:val="21"/>
                    </w:rPr>
                  </w:pPr>
                  <w:r>
                    <w:rPr>
                      <w:rFonts w:hint="eastAsia"/>
                      <w:sz w:val="21"/>
                      <w:szCs w:val="21"/>
                    </w:rPr>
                    <w:t>废物名称</w:t>
                  </w:r>
                </w:p>
              </w:tc>
              <w:tc>
                <w:tcPr>
                  <w:tcW w:w="1581" w:type="dxa"/>
                  <w:tcBorders>
                    <w:top w:val="single" w:color="auto" w:sz="12" w:space="0"/>
                    <w:left w:val="single" w:color="auto" w:sz="6" w:space="0"/>
                    <w:bottom w:val="double" w:color="auto" w:sz="4" w:space="0"/>
                    <w:right w:val="single" w:color="auto" w:sz="6" w:space="0"/>
                  </w:tcBorders>
                  <w:vAlign w:val="center"/>
                </w:tcPr>
                <w:p>
                  <w:pPr>
                    <w:pStyle w:val="2"/>
                    <w:jc w:val="center"/>
                    <w:rPr>
                      <w:sz w:val="21"/>
                      <w:szCs w:val="21"/>
                    </w:rPr>
                  </w:pPr>
                  <w:r>
                    <w:rPr>
                      <w:rFonts w:hint="eastAsia"/>
                      <w:sz w:val="21"/>
                      <w:szCs w:val="21"/>
                    </w:rPr>
                    <w:t>废物代码</w:t>
                  </w:r>
                </w:p>
              </w:tc>
              <w:tc>
                <w:tcPr>
                  <w:tcW w:w="1456" w:type="dxa"/>
                  <w:tcBorders>
                    <w:top w:val="single" w:color="auto" w:sz="12" w:space="0"/>
                    <w:left w:val="single" w:color="auto" w:sz="6" w:space="0"/>
                    <w:bottom w:val="double" w:color="auto" w:sz="4" w:space="0"/>
                    <w:right w:val="single" w:color="auto" w:sz="6" w:space="0"/>
                  </w:tcBorders>
                  <w:vAlign w:val="center"/>
                </w:tcPr>
                <w:p>
                  <w:pPr>
                    <w:pStyle w:val="2"/>
                    <w:jc w:val="center"/>
                    <w:rPr>
                      <w:sz w:val="21"/>
                      <w:szCs w:val="21"/>
                    </w:rPr>
                  </w:pPr>
                  <w:r>
                    <w:rPr>
                      <w:rFonts w:hint="eastAsia"/>
                      <w:sz w:val="21"/>
                      <w:szCs w:val="21"/>
                    </w:rPr>
                    <w:t>预计量（</w:t>
                  </w:r>
                  <w:r>
                    <w:rPr>
                      <w:sz w:val="21"/>
                      <w:szCs w:val="21"/>
                    </w:rPr>
                    <w:t>T</w:t>
                  </w:r>
                  <w:r>
                    <w:rPr>
                      <w:rFonts w:hint="eastAsia"/>
                      <w:sz w:val="21"/>
                      <w:szCs w:val="21"/>
                    </w:rPr>
                    <w:t>）</w:t>
                  </w:r>
                </w:p>
              </w:tc>
              <w:tc>
                <w:tcPr>
                  <w:tcW w:w="1285" w:type="dxa"/>
                  <w:tcBorders>
                    <w:top w:val="single" w:color="auto" w:sz="12" w:space="0"/>
                    <w:left w:val="single" w:color="auto" w:sz="6" w:space="0"/>
                    <w:bottom w:val="double" w:color="auto" w:sz="4" w:space="0"/>
                    <w:right w:val="single" w:color="auto" w:sz="6" w:space="0"/>
                  </w:tcBorders>
                  <w:vAlign w:val="center"/>
                </w:tcPr>
                <w:p>
                  <w:pPr>
                    <w:pStyle w:val="2"/>
                    <w:jc w:val="center"/>
                    <w:rPr>
                      <w:sz w:val="21"/>
                      <w:szCs w:val="21"/>
                    </w:rPr>
                  </w:pPr>
                  <w:r>
                    <w:rPr>
                      <w:rFonts w:hint="eastAsia"/>
                      <w:sz w:val="21"/>
                      <w:szCs w:val="21"/>
                    </w:rPr>
                    <w:t>处理方式</w:t>
                  </w:r>
                </w:p>
              </w:tc>
              <w:tc>
                <w:tcPr>
                  <w:tcW w:w="2003" w:type="dxa"/>
                  <w:tcBorders>
                    <w:top w:val="single" w:color="auto" w:sz="12" w:space="0"/>
                    <w:left w:val="single" w:color="auto" w:sz="6" w:space="0"/>
                    <w:bottom w:val="double" w:color="auto" w:sz="4" w:space="0"/>
                    <w:right w:val="single" w:color="auto" w:sz="12" w:space="0"/>
                  </w:tcBorders>
                  <w:vAlign w:val="center"/>
                </w:tcPr>
                <w:p>
                  <w:pPr>
                    <w:pStyle w:val="2"/>
                    <w:jc w:val="center"/>
                    <w:rPr>
                      <w:sz w:val="21"/>
                      <w:szCs w:val="21"/>
                    </w:rPr>
                  </w:pPr>
                  <w:r>
                    <w:rPr>
                      <w:rFonts w:hint="eastAsia"/>
                      <w:sz w:val="21"/>
                      <w:szCs w:val="21"/>
                    </w:rPr>
                    <w:t>现场包装技术要求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7" w:hRule="atLeast"/>
              </w:trPr>
              <w:tc>
                <w:tcPr>
                  <w:tcW w:w="992" w:type="dxa"/>
                  <w:tcBorders>
                    <w:top w:val="double" w:color="auto" w:sz="4" w:space="0"/>
                    <w:left w:val="single" w:color="auto" w:sz="12" w:space="0"/>
                    <w:bottom w:val="single" w:color="auto" w:sz="6" w:space="0"/>
                    <w:right w:val="single" w:color="auto" w:sz="6" w:space="0"/>
                  </w:tcBorders>
                  <w:vAlign w:val="center"/>
                </w:tcPr>
                <w:p>
                  <w:pPr>
                    <w:pStyle w:val="2"/>
                    <w:jc w:val="center"/>
                    <w:rPr>
                      <w:sz w:val="21"/>
                      <w:szCs w:val="21"/>
                    </w:rPr>
                  </w:pPr>
                  <w:r>
                    <w:rPr>
                      <w:sz w:val="21"/>
                      <w:szCs w:val="21"/>
                    </w:rPr>
                    <w:t>1</w:t>
                  </w:r>
                </w:p>
              </w:tc>
              <w:tc>
                <w:tcPr>
                  <w:tcW w:w="2169" w:type="dxa"/>
                  <w:tcBorders>
                    <w:top w:val="double" w:color="auto" w:sz="4" w:space="0"/>
                    <w:left w:val="single" w:color="auto" w:sz="6" w:space="0"/>
                    <w:bottom w:val="single" w:color="auto" w:sz="6" w:space="0"/>
                    <w:right w:val="single" w:color="auto" w:sz="6" w:space="0"/>
                  </w:tcBorders>
                  <w:vAlign w:val="center"/>
                </w:tcPr>
                <w:p>
                  <w:pPr>
                    <w:pStyle w:val="2"/>
                    <w:jc w:val="center"/>
                    <w:rPr>
                      <w:sz w:val="21"/>
                      <w:szCs w:val="21"/>
                    </w:rPr>
                  </w:pPr>
                  <w:r>
                    <w:rPr>
                      <w:rFonts w:hint="eastAsia"/>
                      <w:sz w:val="21"/>
                      <w:szCs w:val="21"/>
                    </w:rPr>
                    <w:t>废机油</w:t>
                  </w:r>
                </w:p>
              </w:tc>
              <w:tc>
                <w:tcPr>
                  <w:tcW w:w="1581" w:type="dxa"/>
                  <w:tcBorders>
                    <w:top w:val="double" w:color="auto" w:sz="4" w:space="0"/>
                    <w:left w:val="single" w:color="auto" w:sz="6" w:space="0"/>
                    <w:bottom w:val="single" w:color="auto" w:sz="6" w:space="0"/>
                    <w:right w:val="single" w:color="auto" w:sz="6" w:space="0"/>
                  </w:tcBorders>
                  <w:vAlign w:val="center"/>
                </w:tcPr>
                <w:p>
                  <w:pPr>
                    <w:pStyle w:val="2"/>
                    <w:jc w:val="center"/>
                    <w:rPr>
                      <w:sz w:val="21"/>
                      <w:szCs w:val="21"/>
                    </w:rPr>
                  </w:pPr>
                  <w:r>
                    <w:rPr>
                      <w:sz w:val="21"/>
                      <w:szCs w:val="21"/>
                    </w:rPr>
                    <w:t>900-214-49</w:t>
                  </w:r>
                </w:p>
              </w:tc>
              <w:tc>
                <w:tcPr>
                  <w:tcW w:w="1456" w:type="dxa"/>
                  <w:tcBorders>
                    <w:top w:val="double" w:color="auto" w:sz="4" w:space="0"/>
                    <w:left w:val="single" w:color="auto" w:sz="6" w:space="0"/>
                    <w:bottom w:val="single" w:color="auto" w:sz="6" w:space="0"/>
                    <w:right w:val="single" w:color="auto" w:sz="6" w:space="0"/>
                  </w:tcBorders>
                  <w:vAlign w:val="center"/>
                </w:tcPr>
                <w:p>
                  <w:pPr>
                    <w:pStyle w:val="2"/>
                    <w:jc w:val="center"/>
                    <w:rPr>
                      <w:sz w:val="21"/>
                      <w:szCs w:val="21"/>
                    </w:rPr>
                  </w:pPr>
                  <w:r>
                    <w:rPr>
                      <w:sz w:val="21"/>
                      <w:szCs w:val="21"/>
                    </w:rPr>
                    <w:t>0.08</w:t>
                  </w:r>
                </w:p>
              </w:tc>
              <w:tc>
                <w:tcPr>
                  <w:tcW w:w="1285" w:type="dxa"/>
                  <w:vMerge w:val="restart"/>
                  <w:tcBorders>
                    <w:top w:val="double" w:color="auto" w:sz="4" w:space="0"/>
                    <w:left w:val="single" w:color="auto" w:sz="6" w:space="0"/>
                    <w:bottom w:val="single" w:color="auto" w:sz="6" w:space="0"/>
                    <w:right w:val="single" w:color="auto" w:sz="6" w:space="0"/>
                  </w:tcBorders>
                  <w:vAlign w:val="center"/>
                </w:tcPr>
                <w:p>
                  <w:pPr>
                    <w:pStyle w:val="2"/>
                    <w:jc w:val="center"/>
                    <w:rPr>
                      <w:sz w:val="21"/>
                      <w:szCs w:val="21"/>
                    </w:rPr>
                  </w:pPr>
                  <w:r>
                    <w:rPr>
                      <w:rFonts w:hint="eastAsia"/>
                      <w:sz w:val="21"/>
                      <w:szCs w:val="21"/>
                    </w:rPr>
                    <w:t>交由海南宝来工贸有限公司进行处理</w:t>
                  </w:r>
                </w:p>
              </w:tc>
              <w:tc>
                <w:tcPr>
                  <w:tcW w:w="2003" w:type="dxa"/>
                  <w:tcBorders>
                    <w:top w:val="double" w:color="auto" w:sz="4" w:space="0"/>
                    <w:left w:val="single" w:color="auto" w:sz="6" w:space="0"/>
                    <w:bottom w:val="single" w:color="auto" w:sz="6" w:space="0"/>
                    <w:right w:val="single" w:color="auto" w:sz="12" w:space="0"/>
                  </w:tcBorders>
                  <w:vAlign w:val="center"/>
                </w:tcPr>
                <w:p>
                  <w:pPr>
                    <w:pStyle w:val="2"/>
                    <w:jc w:val="center"/>
                    <w:rPr>
                      <w:sz w:val="21"/>
                      <w:szCs w:val="21"/>
                    </w:rPr>
                  </w:pPr>
                  <w:r>
                    <w:rPr>
                      <w:rFonts w:hint="eastAsia"/>
                      <w:sz w:val="21"/>
                      <w:szCs w:val="21"/>
                    </w:rPr>
                    <w:t>桶装（密封）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7" w:hRule="atLeast"/>
              </w:trPr>
              <w:tc>
                <w:tcPr>
                  <w:tcW w:w="992" w:type="dxa"/>
                  <w:tcBorders>
                    <w:top w:val="single" w:color="auto" w:sz="6" w:space="0"/>
                    <w:left w:val="single" w:color="auto" w:sz="12" w:space="0"/>
                    <w:bottom w:val="single" w:color="auto" w:sz="6" w:space="0"/>
                    <w:right w:val="single" w:color="auto" w:sz="6" w:space="0"/>
                  </w:tcBorders>
                  <w:vAlign w:val="center"/>
                </w:tcPr>
                <w:p>
                  <w:pPr>
                    <w:pStyle w:val="2"/>
                    <w:jc w:val="center"/>
                    <w:rPr>
                      <w:sz w:val="21"/>
                      <w:szCs w:val="21"/>
                    </w:rPr>
                  </w:pPr>
                  <w:r>
                    <w:rPr>
                      <w:sz w:val="21"/>
                      <w:szCs w:val="21"/>
                    </w:rPr>
                    <w:t>2</w:t>
                  </w:r>
                </w:p>
              </w:tc>
              <w:tc>
                <w:tcPr>
                  <w:tcW w:w="2169" w:type="dxa"/>
                  <w:tcBorders>
                    <w:top w:val="single" w:color="auto" w:sz="6" w:space="0"/>
                    <w:left w:val="single" w:color="auto" w:sz="6" w:space="0"/>
                    <w:bottom w:val="single" w:color="auto" w:sz="6" w:space="0"/>
                    <w:right w:val="single" w:color="auto" w:sz="6" w:space="0"/>
                  </w:tcBorders>
                  <w:vAlign w:val="center"/>
                </w:tcPr>
                <w:p>
                  <w:pPr>
                    <w:pStyle w:val="2"/>
                    <w:jc w:val="center"/>
                    <w:rPr>
                      <w:sz w:val="21"/>
                      <w:szCs w:val="21"/>
                    </w:rPr>
                  </w:pPr>
                  <w:r>
                    <w:rPr>
                      <w:rFonts w:hint="eastAsia"/>
                      <w:sz w:val="21"/>
                      <w:szCs w:val="21"/>
                    </w:rPr>
                    <w:t>废油漆桶</w:t>
                  </w:r>
                </w:p>
              </w:tc>
              <w:tc>
                <w:tcPr>
                  <w:tcW w:w="1581" w:type="dxa"/>
                  <w:tcBorders>
                    <w:top w:val="single" w:color="auto" w:sz="6" w:space="0"/>
                    <w:left w:val="single" w:color="auto" w:sz="6" w:space="0"/>
                    <w:bottom w:val="single" w:color="auto" w:sz="6" w:space="0"/>
                    <w:right w:val="single" w:color="auto" w:sz="6" w:space="0"/>
                  </w:tcBorders>
                  <w:vAlign w:val="center"/>
                </w:tcPr>
                <w:p>
                  <w:pPr>
                    <w:pStyle w:val="2"/>
                    <w:jc w:val="center"/>
                    <w:rPr>
                      <w:sz w:val="21"/>
                      <w:szCs w:val="21"/>
                    </w:rPr>
                  </w:pPr>
                  <w:r>
                    <w:rPr>
                      <w:sz w:val="21"/>
                      <w:szCs w:val="21"/>
                    </w:rPr>
                    <w:t>900-041-49</w:t>
                  </w:r>
                </w:p>
              </w:tc>
              <w:tc>
                <w:tcPr>
                  <w:tcW w:w="1456" w:type="dxa"/>
                  <w:tcBorders>
                    <w:top w:val="single" w:color="auto" w:sz="6" w:space="0"/>
                    <w:left w:val="single" w:color="auto" w:sz="6" w:space="0"/>
                    <w:bottom w:val="single" w:color="auto" w:sz="6" w:space="0"/>
                    <w:right w:val="single" w:color="auto" w:sz="6" w:space="0"/>
                  </w:tcBorders>
                  <w:vAlign w:val="center"/>
                </w:tcPr>
                <w:p>
                  <w:pPr>
                    <w:pStyle w:val="2"/>
                    <w:jc w:val="center"/>
                    <w:rPr>
                      <w:sz w:val="21"/>
                      <w:szCs w:val="21"/>
                    </w:rPr>
                  </w:pPr>
                  <w:r>
                    <w:rPr>
                      <w:sz w:val="21"/>
                      <w:szCs w:val="21"/>
                    </w:rPr>
                    <w:t>0.02</w:t>
                  </w:r>
                </w:p>
              </w:tc>
              <w:tc>
                <w:tcPr>
                  <w:tcW w:w="1285" w:type="dxa"/>
                  <w:vMerge w:val="continue"/>
                  <w:tcBorders>
                    <w:top w:val="single" w:color="auto" w:sz="6" w:space="0"/>
                    <w:left w:val="single" w:color="auto" w:sz="6" w:space="0"/>
                    <w:bottom w:val="single" w:color="auto" w:sz="6" w:space="0"/>
                    <w:right w:val="single" w:color="auto" w:sz="6" w:space="0"/>
                  </w:tcBorders>
                  <w:vAlign w:val="center"/>
                </w:tcPr>
                <w:p>
                  <w:pPr>
                    <w:pStyle w:val="2"/>
                    <w:jc w:val="center"/>
                    <w:rPr>
                      <w:sz w:val="21"/>
                      <w:szCs w:val="21"/>
                    </w:rPr>
                  </w:pPr>
                </w:p>
              </w:tc>
              <w:tc>
                <w:tcPr>
                  <w:tcW w:w="2003" w:type="dxa"/>
                  <w:tcBorders>
                    <w:top w:val="single" w:color="auto" w:sz="6" w:space="0"/>
                    <w:left w:val="single" w:color="auto" w:sz="6" w:space="0"/>
                    <w:bottom w:val="single" w:color="auto" w:sz="6" w:space="0"/>
                    <w:right w:val="single" w:color="auto" w:sz="12" w:space="0"/>
                  </w:tcBorders>
                  <w:vAlign w:val="center"/>
                </w:tcPr>
                <w:p>
                  <w:pPr>
                    <w:pStyle w:val="2"/>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992" w:type="dxa"/>
                  <w:tcBorders>
                    <w:top w:val="single" w:color="auto" w:sz="6" w:space="0"/>
                    <w:left w:val="single" w:color="auto" w:sz="12" w:space="0"/>
                    <w:bottom w:val="single" w:color="auto" w:sz="12" w:space="0"/>
                    <w:right w:val="single" w:color="auto" w:sz="6" w:space="0"/>
                  </w:tcBorders>
                  <w:vAlign w:val="center"/>
                </w:tcPr>
                <w:p>
                  <w:pPr>
                    <w:pStyle w:val="2"/>
                    <w:jc w:val="center"/>
                    <w:rPr>
                      <w:sz w:val="21"/>
                      <w:szCs w:val="21"/>
                    </w:rPr>
                  </w:pPr>
                  <w:r>
                    <w:rPr>
                      <w:sz w:val="21"/>
                      <w:szCs w:val="21"/>
                    </w:rPr>
                    <w:t>3</w:t>
                  </w:r>
                </w:p>
              </w:tc>
              <w:tc>
                <w:tcPr>
                  <w:tcW w:w="2169" w:type="dxa"/>
                  <w:tcBorders>
                    <w:top w:val="single" w:color="auto" w:sz="6" w:space="0"/>
                    <w:left w:val="single" w:color="auto" w:sz="6" w:space="0"/>
                    <w:bottom w:val="single" w:color="auto" w:sz="12" w:space="0"/>
                    <w:right w:val="single" w:color="auto" w:sz="6" w:space="0"/>
                  </w:tcBorders>
                  <w:vAlign w:val="center"/>
                </w:tcPr>
                <w:p>
                  <w:pPr>
                    <w:pStyle w:val="2"/>
                    <w:jc w:val="center"/>
                    <w:rPr>
                      <w:sz w:val="21"/>
                      <w:szCs w:val="21"/>
                    </w:rPr>
                  </w:pPr>
                  <w:r>
                    <w:rPr>
                      <w:rFonts w:hint="eastAsia"/>
                      <w:sz w:val="21"/>
                      <w:szCs w:val="21"/>
                    </w:rPr>
                    <w:t>实验室废液</w:t>
                  </w:r>
                </w:p>
              </w:tc>
              <w:tc>
                <w:tcPr>
                  <w:tcW w:w="1581" w:type="dxa"/>
                  <w:tcBorders>
                    <w:top w:val="single" w:color="auto" w:sz="6" w:space="0"/>
                    <w:left w:val="single" w:color="auto" w:sz="6" w:space="0"/>
                    <w:bottom w:val="single" w:color="auto" w:sz="12" w:space="0"/>
                    <w:right w:val="single" w:color="auto" w:sz="6" w:space="0"/>
                  </w:tcBorders>
                  <w:vAlign w:val="center"/>
                </w:tcPr>
                <w:p>
                  <w:pPr>
                    <w:pStyle w:val="2"/>
                    <w:jc w:val="center"/>
                    <w:rPr>
                      <w:sz w:val="21"/>
                      <w:szCs w:val="21"/>
                    </w:rPr>
                  </w:pPr>
                  <w:r>
                    <w:rPr>
                      <w:sz w:val="21"/>
                      <w:szCs w:val="21"/>
                    </w:rPr>
                    <w:t>900-047-49</w:t>
                  </w:r>
                </w:p>
              </w:tc>
              <w:tc>
                <w:tcPr>
                  <w:tcW w:w="1456" w:type="dxa"/>
                  <w:tcBorders>
                    <w:top w:val="single" w:color="auto" w:sz="6" w:space="0"/>
                    <w:left w:val="single" w:color="auto" w:sz="6" w:space="0"/>
                    <w:bottom w:val="single" w:color="auto" w:sz="12" w:space="0"/>
                    <w:right w:val="single" w:color="auto" w:sz="6" w:space="0"/>
                  </w:tcBorders>
                  <w:vAlign w:val="center"/>
                </w:tcPr>
                <w:p>
                  <w:pPr>
                    <w:pStyle w:val="2"/>
                    <w:jc w:val="center"/>
                    <w:rPr>
                      <w:sz w:val="21"/>
                      <w:szCs w:val="21"/>
                    </w:rPr>
                  </w:pPr>
                  <w:r>
                    <w:rPr>
                      <w:sz w:val="21"/>
                      <w:szCs w:val="21"/>
                    </w:rPr>
                    <w:t>0.15</w:t>
                  </w:r>
                </w:p>
              </w:tc>
              <w:tc>
                <w:tcPr>
                  <w:tcW w:w="1285" w:type="dxa"/>
                  <w:vMerge w:val="continue"/>
                  <w:tcBorders>
                    <w:top w:val="single" w:color="auto" w:sz="6" w:space="0"/>
                    <w:left w:val="single" w:color="auto" w:sz="6" w:space="0"/>
                    <w:bottom w:val="single" w:color="auto" w:sz="12" w:space="0"/>
                    <w:right w:val="single" w:color="auto" w:sz="6" w:space="0"/>
                  </w:tcBorders>
                  <w:vAlign w:val="center"/>
                </w:tcPr>
                <w:p>
                  <w:pPr>
                    <w:pStyle w:val="2"/>
                    <w:jc w:val="center"/>
                    <w:rPr>
                      <w:sz w:val="21"/>
                      <w:szCs w:val="21"/>
                    </w:rPr>
                  </w:pPr>
                </w:p>
              </w:tc>
              <w:tc>
                <w:tcPr>
                  <w:tcW w:w="2003" w:type="dxa"/>
                  <w:tcBorders>
                    <w:top w:val="single" w:color="auto" w:sz="6" w:space="0"/>
                    <w:left w:val="single" w:color="auto" w:sz="6" w:space="0"/>
                    <w:bottom w:val="single" w:color="auto" w:sz="12" w:space="0"/>
                    <w:right w:val="single" w:color="auto" w:sz="12" w:space="0"/>
                  </w:tcBorders>
                  <w:vAlign w:val="center"/>
                </w:tcPr>
                <w:p>
                  <w:pPr>
                    <w:pStyle w:val="2"/>
                    <w:jc w:val="center"/>
                    <w:rPr>
                      <w:sz w:val="21"/>
                      <w:szCs w:val="21"/>
                    </w:rPr>
                  </w:pPr>
                  <w:r>
                    <w:rPr>
                      <w:rFonts w:hint="eastAsia"/>
                      <w:sz w:val="21"/>
                      <w:szCs w:val="21"/>
                    </w:rPr>
                    <w:t>桶装（密封）</w:t>
                  </w:r>
                </w:p>
              </w:tc>
            </w:tr>
          </w:tbl>
          <w:p>
            <w:pPr>
              <w:pStyle w:val="114"/>
            </w:pPr>
            <w:r>
              <w:rPr>
                <w:rFonts w:hint="eastAsia"/>
              </w:rPr>
              <w:t>（</w:t>
            </w:r>
            <w:r>
              <w:t>4</w:t>
            </w:r>
            <w:r>
              <w:rPr>
                <w:rFonts w:hint="eastAsia"/>
              </w:rPr>
              <w:t>）格栅栅渣</w:t>
            </w:r>
          </w:p>
          <w:p>
            <w:pPr>
              <w:pStyle w:val="114"/>
            </w:pPr>
            <w:r>
              <w:rPr>
                <w:rFonts w:hint="eastAsia"/>
              </w:rPr>
              <w:t>粗、细格栅栅渣多为块状固体物质，其中包括无机物质和有机物质，根据格栅的设计参数可估算格栅量。粗格栅的截留栅渣基本为每</w:t>
            </w:r>
            <w:r>
              <w:t>100000m</w:t>
            </w:r>
            <w:r>
              <w:rPr>
                <w:vertAlign w:val="superscript"/>
              </w:rPr>
              <w:t>3</w:t>
            </w:r>
            <w:r>
              <w:rPr>
                <w:rFonts w:hint="eastAsia"/>
              </w:rPr>
              <w:t>污水产生量为</w:t>
            </w:r>
            <w:r>
              <w:t>3m</w:t>
            </w:r>
            <w:r>
              <w:rPr>
                <w:vertAlign w:val="superscript"/>
              </w:rPr>
              <w:t>3</w:t>
            </w:r>
            <w:r>
              <w:rPr>
                <w:rFonts w:hint="eastAsia"/>
              </w:rPr>
              <w:t>；细格栅的截留栅渣基本为每</w:t>
            </w:r>
            <w:r>
              <w:t>100000m</w:t>
            </w:r>
            <w:r>
              <w:rPr>
                <w:vertAlign w:val="superscript"/>
              </w:rPr>
              <w:t>3</w:t>
            </w:r>
            <w:r>
              <w:rPr>
                <w:rFonts w:hint="eastAsia"/>
              </w:rPr>
              <w:t>污水产生量为</w:t>
            </w:r>
            <w:r>
              <w:t>7m</w:t>
            </w:r>
            <w:r>
              <w:rPr>
                <w:vertAlign w:val="superscript"/>
              </w:rPr>
              <w:t>3</w:t>
            </w:r>
            <w:r>
              <w:rPr>
                <w:rFonts w:hint="eastAsia"/>
              </w:rPr>
              <w:t>。则格栅池栅渣产生量约为</w:t>
            </w:r>
            <w:r>
              <w:t>1.5m</w:t>
            </w:r>
            <w:r>
              <w:rPr>
                <w:vertAlign w:val="superscript"/>
              </w:rPr>
              <w:t>3</w:t>
            </w:r>
            <w:r>
              <w:t>/d</w:t>
            </w:r>
            <w:r>
              <w:rPr>
                <w:rFonts w:hint="eastAsia"/>
              </w:rPr>
              <w:t>，含水率为</w:t>
            </w:r>
            <w:r>
              <w:t>60%</w:t>
            </w:r>
            <w:r>
              <w:rPr>
                <w:rFonts w:hint="eastAsia"/>
              </w:rPr>
              <w:t>，容重取</w:t>
            </w:r>
            <w:r>
              <w:t>960kg/m</w:t>
            </w:r>
            <w:r>
              <w:rPr>
                <w:vertAlign w:val="superscript"/>
              </w:rPr>
              <w:t>3</w:t>
            </w:r>
            <w:r>
              <w:rPr>
                <w:rFonts w:hint="eastAsia"/>
              </w:rPr>
              <w:t>，则栅渣的产量为</w:t>
            </w:r>
            <w:r>
              <w:t>525.6t/a</w:t>
            </w:r>
            <w:r>
              <w:rPr>
                <w:rFonts w:hint="eastAsia"/>
              </w:rPr>
              <w:t>。</w:t>
            </w:r>
          </w:p>
          <w:p>
            <w:pPr>
              <w:pStyle w:val="114"/>
            </w:pPr>
            <w:r>
              <w:rPr>
                <w:rFonts w:hint="eastAsia"/>
              </w:rPr>
              <w:t>（</w:t>
            </w:r>
            <w:r>
              <w:t>5</w:t>
            </w:r>
            <w:r>
              <w:rPr>
                <w:rFonts w:hint="eastAsia"/>
              </w:rPr>
              <w:t>）沉砂池沉砂</w:t>
            </w:r>
          </w:p>
          <w:p>
            <w:pPr>
              <w:pStyle w:val="114"/>
            </w:pPr>
            <w:r>
              <w:rPr>
                <w:rFonts w:hint="eastAsia"/>
              </w:rPr>
              <w:t>沉砂池砂土的产生量每</w:t>
            </w:r>
            <w:r>
              <w:t>100000m</w:t>
            </w:r>
            <w:r>
              <w:rPr>
                <w:vertAlign w:val="superscript"/>
              </w:rPr>
              <w:t>3</w:t>
            </w:r>
            <w:r>
              <w:rPr>
                <w:rFonts w:hint="eastAsia"/>
              </w:rPr>
              <w:t>污水产生量为</w:t>
            </w:r>
            <w:r>
              <w:t>3m</w:t>
            </w:r>
            <w:r>
              <w:rPr>
                <w:vertAlign w:val="superscript"/>
              </w:rPr>
              <w:t>3</w:t>
            </w:r>
            <w:r>
              <w:rPr>
                <w:rFonts w:hint="eastAsia"/>
              </w:rPr>
              <w:t>，含水率为</w:t>
            </w:r>
            <w:r>
              <w:t>50%</w:t>
            </w:r>
            <w:r>
              <w:rPr>
                <w:rFonts w:hint="eastAsia"/>
              </w:rPr>
              <w:t>，其容重按照</w:t>
            </w:r>
            <w:r>
              <w:t>1500kg/m</w:t>
            </w:r>
            <w:r>
              <w:rPr>
                <w:vertAlign w:val="superscript"/>
              </w:rPr>
              <w:t>3</w:t>
            </w:r>
            <w:r>
              <w:rPr>
                <w:rFonts w:hint="eastAsia"/>
              </w:rPr>
              <w:t>进行计算，则沉砂池的砂土产生量为</w:t>
            </w:r>
            <w:r>
              <w:t>0.6m</w:t>
            </w:r>
            <w:r>
              <w:rPr>
                <w:vertAlign w:val="superscript"/>
              </w:rPr>
              <w:t>3</w:t>
            </w:r>
            <w:r>
              <w:t>/d</w:t>
            </w:r>
            <w:r>
              <w:rPr>
                <w:rFonts w:hint="eastAsia"/>
              </w:rPr>
              <w:t>，</w:t>
            </w:r>
            <w:r>
              <w:t>246.375t/a</w:t>
            </w:r>
            <w:r>
              <w:rPr>
                <w:rFonts w:hint="eastAsia"/>
              </w:rPr>
              <w:t>。</w:t>
            </w:r>
          </w:p>
          <w:p>
            <w:pPr>
              <w:pStyle w:val="114"/>
            </w:pPr>
            <w:r>
              <w:rPr>
                <w:rFonts w:hint="eastAsia"/>
              </w:rPr>
              <w:t>（</w:t>
            </w:r>
            <w:r>
              <w:t>6</w:t>
            </w:r>
            <w:r>
              <w:rPr>
                <w:rFonts w:hint="eastAsia"/>
              </w:rPr>
              <w:t>）污泥脱水间泥饼</w:t>
            </w:r>
          </w:p>
          <w:p>
            <w:pPr>
              <w:pStyle w:val="114"/>
            </w:pPr>
            <w:r>
              <w:rPr>
                <w:rFonts w:hint="eastAsia"/>
              </w:rPr>
              <w:t>污泥的产生量按</w:t>
            </w:r>
            <w:r>
              <w:t>1kgBOD</w:t>
            </w:r>
            <w:r>
              <w:rPr>
                <w:vertAlign w:val="subscript"/>
              </w:rPr>
              <w:t>5</w:t>
            </w:r>
            <w:r>
              <w:rPr>
                <w:rFonts w:hint="eastAsia"/>
              </w:rPr>
              <w:t>产生</w:t>
            </w:r>
            <w:r>
              <w:t>0.5kg</w:t>
            </w:r>
            <w:r>
              <w:rPr>
                <w:rFonts w:hint="eastAsia"/>
              </w:rPr>
              <w:t>的干污泥估算，污泥脱水后含水率为</w:t>
            </w:r>
            <w:r>
              <w:t>50%</w:t>
            </w:r>
            <w:r>
              <w:rPr>
                <w:rFonts w:hint="eastAsia"/>
              </w:rPr>
              <w:t>，则污泥</w:t>
            </w:r>
            <w:r>
              <w:t>766.5t/a</w:t>
            </w:r>
            <w:r>
              <w:rPr>
                <w:rFonts w:hint="eastAsia"/>
              </w:rPr>
              <w:t>。</w:t>
            </w:r>
          </w:p>
          <w:p>
            <w:pPr>
              <w:pStyle w:val="114"/>
            </w:pPr>
            <w:r>
              <w:rPr>
                <w:rFonts w:hint="eastAsia"/>
              </w:rPr>
              <w:t>污泥中含有较多的有机成分，由于其颗粒较细，遇水流动性强，已流失污染环境。本项目处理的废水为生活废水，故本项目污水处理厂产生的栅渣和污泥不属于危险废物，可交由定安县生活垃圾填埋场进行卫生填埋。本项目产生的污泥和栅渣即时清运，不在场内设置暂存场所。</w:t>
            </w:r>
          </w:p>
          <w:p>
            <w:pPr>
              <w:pStyle w:val="2"/>
              <w:spacing w:line="360" w:lineRule="auto"/>
              <w:ind w:firstLine="480" w:firstLineChars="200"/>
            </w:pPr>
            <w:r>
              <w:rPr>
                <w:rFonts w:hint="eastAsia"/>
              </w:rPr>
              <w:t>污水处理厂产生的固体废物见表</w:t>
            </w:r>
            <w:r>
              <w:t>5-15</w:t>
            </w:r>
            <w:r>
              <w:rPr>
                <w:rFonts w:hint="eastAsia"/>
              </w:rPr>
              <w:t>。</w:t>
            </w:r>
          </w:p>
          <w:p>
            <w:pPr>
              <w:pStyle w:val="111"/>
            </w:pPr>
            <w:r>
              <w:rPr>
                <w:rFonts w:hint="eastAsia"/>
              </w:rPr>
              <w:t>表</w:t>
            </w:r>
            <w:r>
              <w:t>5-15</w:t>
            </w:r>
            <w:r>
              <w:rPr>
                <w:rFonts w:hint="eastAsia"/>
              </w:rPr>
              <w:t>固体废物产生及处置情况一览表</w:t>
            </w:r>
          </w:p>
          <w:tbl>
            <w:tblPr>
              <w:tblStyle w:val="37"/>
              <w:tblW w:w="94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673"/>
              <w:gridCol w:w="2570"/>
              <w:gridCol w:w="1723"/>
              <w:gridCol w:w="2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741" w:type="dxa"/>
                  <w:tcBorders>
                    <w:top w:val="single" w:color="auto" w:sz="12" w:space="0"/>
                    <w:left w:val="single" w:color="auto" w:sz="12" w:space="0"/>
                    <w:bottom w:val="double" w:color="auto" w:sz="4" w:space="0"/>
                    <w:right w:val="single" w:color="auto" w:sz="4" w:space="0"/>
                  </w:tcBorders>
                  <w:vAlign w:val="center"/>
                </w:tcPr>
                <w:p>
                  <w:pPr>
                    <w:pStyle w:val="2"/>
                    <w:jc w:val="center"/>
                    <w:rPr>
                      <w:sz w:val="21"/>
                      <w:szCs w:val="21"/>
                    </w:rPr>
                  </w:pPr>
                  <w:r>
                    <w:rPr>
                      <w:rFonts w:hint="eastAsia"/>
                      <w:sz w:val="21"/>
                      <w:szCs w:val="21"/>
                    </w:rPr>
                    <w:t>序号</w:t>
                  </w:r>
                </w:p>
              </w:tc>
              <w:tc>
                <w:tcPr>
                  <w:tcW w:w="1673" w:type="dxa"/>
                  <w:tcBorders>
                    <w:top w:val="single" w:color="auto" w:sz="12" w:space="0"/>
                    <w:left w:val="single" w:color="auto" w:sz="4" w:space="0"/>
                    <w:bottom w:val="double" w:color="auto" w:sz="4" w:space="0"/>
                    <w:right w:val="single" w:color="auto" w:sz="4" w:space="0"/>
                  </w:tcBorders>
                  <w:vAlign w:val="center"/>
                </w:tcPr>
                <w:p>
                  <w:pPr>
                    <w:pStyle w:val="2"/>
                    <w:jc w:val="center"/>
                    <w:rPr>
                      <w:sz w:val="21"/>
                      <w:szCs w:val="21"/>
                    </w:rPr>
                  </w:pPr>
                  <w:r>
                    <w:rPr>
                      <w:rFonts w:hint="eastAsia"/>
                      <w:sz w:val="21"/>
                      <w:szCs w:val="21"/>
                    </w:rPr>
                    <w:t>名称</w:t>
                  </w:r>
                </w:p>
              </w:tc>
              <w:tc>
                <w:tcPr>
                  <w:tcW w:w="2570" w:type="dxa"/>
                  <w:tcBorders>
                    <w:top w:val="single" w:color="auto" w:sz="12" w:space="0"/>
                    <w:left w:val="single" w:color="auto" w:sz="4" w:space="0"/>
                    <w:bottom w:val="double" w:color="auto" w:sz="4" w:space="0"/>
                    <w:right w:val="single" w:color="auto" w:sz="4" w:space="0"/>
                  </w:tcBorders>
                  <w:vAlign w:val="center"/>
                </w:tcPr>
                <w:p>
                  <w:pPr>
                    <w:pStyle w:val="2"/>
                    <w:jc w:val="center"/>
                    <w:rPr>
                      <w:sz w:val="21"/>
                      <w:szCs w:val="21"/>
                    </w:rPr>
                  </w:pPr>
                  <w:r>
                    <w:rPr>
                      <w:rFonts w:hint="eastAsia"/>
                      <w:sz w:val="21"/>
                      <w:szCs w:val="21"/>
                    </w:rPr>
                    <w:t>性状</w:t>
                  </w:r>
                </w:p>
              </w:tc>
              <w:tc>
                <w:tcPr>
                  <w:tcW w:w="1723" w:type="dxa"/>
                  <w:tcBorders>
                    <w:top w:val="single" w:color="auto" w:sz="12" w:space="0"/>
                    <w:left w:val="single" w:color="auto" w:sz="4" w:space="0"/>
                    <w:bottom w:val="double" w:color="auto" w:sz="4" w:space="0"/>
                    <w:right w:val="single" w:color="auto" w:sz="4" w:space="0"/>
                  </w:tcBorders>
                  <w:vAlign w:val="center"/>
                </w:tcPr>
                <w:p>
                  <w:pPr>
                    <w:pStyle w:val="2"/>
                    <w:jc w:val="center"/>
                    <w:rPr>
                      <w:sz w:val="21"/>
                      <w:szCs w:val="21"/>
                    </w:rPr>
                  </w:pPr>
                  <w:r>
                    <w:rPr>
                      <w:rFonts w:hint="eastAsia"/>
                      <w:sz w:val="21"/>
                      <w:szCs w:val="21"/>
                    </w:rPr>
                    <w:t>产生量（</w:t>
                  </w:r>
                  <w:r>
                    <w:rPr>
                      <w:sz w:val="21"/>
                      <w:szCs w:val="21"/>
                    </w:rPr>
                    <w:t>t/a</w:t>
                  </w:r>
                  <w:r>
                    <w:rPr>
                      <w:rFonts w:hint="eastAsia"/>
                      <w:sz w:val="21"/>
                      <w:szCs w:val="21"/>
                    </w:rPr>
                    <w:t>）</w:t>
                  </w:r>
                </w:p>
              </w:tc>
              <w:tc>
                <w:tcPr>
                  <w:tcW w:w="2779" w:type="dxa"/>
                  <w:tcBorders>
                    <w:top w:val="single" w:color="auto" w:sz="12" w:space="0"/>
                    <w:left w:val="single" w:color="auto" w:sz="4" w:space="0"/>
                    <w:bottom w:val="double" w:color="auto" w:sz="4" w:space="0"/>
                    <w:right w:val="single" w:color="auto" w:sz="12" w:space="0"/>
                  </w:tcBorders>
                  <w:vAlign w:val="center"/>
                </w:tcPr>
                <w:p>
                  <w:pPr>
                    <w:pStyle w:val="2"/>
                    <w:jc w:val="center"/>
                    <w:rPr>
                      <w:sz w:val="21"/>
                      <w:szCs w:val="21"/>
                    </w:rPr>
                  </w:pPr>
                  <w:r>
                    <w:rPr>
                      <w:rFonts w:hint="eastAsia"/>
                      <w:sz w:val="21"/>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741" w:type="dxa"/>
                  <w:tcBorders>
                    <w:top w:val="double" w:color="auto" w:sz="4" w:space="0"/>
                    <w:left w:val="single" w:color="auto" w:sz="12" w:space="0"/>
                    <w:bottom w:val="single" w:color="auto" w:sz="4" w:space="0"/>
                    <w:right w:val="single" w:color="auto" w:sz="4" w:space="0"/>
                  </w:tcBorders>
                  <w:vAlign w:val="center"/>
                </w:tcPr>
                <w:p>
                  <w:pPr>
                    <w:pStyle w:val="2"/>
                    <w:jc w:val="center"/>
                    <w:rPr>
                      <w:sz w:val="21"/>
                      <w:szCs w:val="21"/>
                    </w:rPr>
                  </w:pPr>
                  <w:r>
                    <w:rPr>
                      <w:sz w:val="21"/>
                      <w:szCs w:val="21"/>
                    </w:rPr>
                    <w:t>1</w:t>
                  </w:r>
                </w:p>
              </w:tc>
              <w:tc>
                <w:tcPr>
                  <w:tcW w:w="1673"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格栅栅渣</w:t>
                  </w:r>
                </w:p>
              </w:tc>
              <w:tc>
                <w:tcPr>
                  <w:tcW w:w="2570"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固态（含水率</w:t>
                  </w:r>
                  <w:r>
                    <w:rPr>
                      <w:sz w:val="21"/>
                      <w:szCs w:val="21"/>
                    </w:rPr>
                    <w:t>60%</w:t>
                  </w:r>
                  <w:r>
                    <w:rPr>
                      <w:rFonts w:hint="eastAsia"/>
                      <w:sz w:val="21"/>
                      <w:szCs w:val="21"/>
                    </w:rPr>
                    <w:t>）</w:t>
                  </w:r>
                </w:p>
              </w:tc>
              <w:tc>
                <w:tcPr>
                  <w:tcW w:w="1723" w:type="dxa"/>
                  <w:tcBorders>
                    <w:top w:val="doub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525.6</w:t>
                  </w:r>
                </w:p>
              </w:tc>
              <w:tc>
                <w:tcPr>
                  <w:tcW w:w="2779" w:type="dxa"/>
                  <w:vMerge w:val="restart"/>
                  <w:tcBorders>
                    <w:top w:val="double" w:color="auto" w:sz="4" w:space="0"/>
                    <w:left w:val="single" w:color="auto" w:sz="4" w:space="0"/>
                    <w:bottom w:val="single" w:color="auto" w:sz="4" w:space="0"/>
                    <w:right w:val="single" w:color="auto" w:sz="12" w:space="0"/>
                  </w:tcBorders>
                  <w:vAlign w:val="center"/>
                </w:tcPr>
                <w:p>
                  <w:pPr>
                    <w:pStyle w:val="2"/>
                    <w:jc w:val="center"/>
                    <w:rPr>
                      <w:sz w:val="21"/>
                      <w:szCs w:val="21"/>
                    </w:rPr>
                  </w:pPr>
                  <w:r>
                    <w:rPr>
                      <w:rFonts w:hint="eastAsia"/>
                      <w:sz w:val="21"/>
                      <w:szCs w:val="21"/>
                    </w:rPr>
                    <w:t>运至定安县垃圾填埋场进行卫生填埋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741" w:type="dxa"/>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r>
                    <w:rPr>
                      <w:sz w:val="21"/>
                      <w:szCs w:val="21"/>
                    </w:rPr>
                    <w:t>2</w:t>
                  </w:r>
                </w:p>
              </w:tc>
              <w:tc>
                <w:tcPr>
                  <w:tcW w:w="1673"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沉砂池砂土</w:t>
                  </w:r>
                </w:p>
              </w:tc>
              <w:tc>
                <w:tcPr>
                  <w:tcW w:w="2570"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固态（含水率</w:t>
                  </w:r>
                  <w:r>
                    <w:rPr>
                      <w:sz w:val="21"/>
                      <w:szCs w:val="21"/>
                    </w:rPr>
                    <w:t>50%</w:t>
                  </w:r>
                  <w:r>
                    <w:rPr>
                      <w:rFonts w:hint="eastAsia"/>
                      <w:sz w:val="21"/>
                      <w:szCs w:val="21"/>
                    </w:rPr>
                    <w:t>）</w:t>
                  </w:r>
                </w:p>
              </w:tc>
              <w:tc>
                <w:tcPr>
                  <w:tcW w:w="1723"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246.375</w:t>
                  </w:r>
                </w:p>
              </w:tc>
              <w:tc>
                <w:tcPr>
                  <w:tcW w:w="2779" w:type="dxa"/>
                  <w:vMerge w:val="continue"/>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741" w:type="dxa"/>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r>
                    <w:rPr>
                      <w:sz w:val="21"/>
                      <w:szCs w:val="21"/>
                    </w:rPr>
                    <w:t>3</w:t>
                  </w:r>
                </w:p>
              </w:tc>
              <w:tc>
                <w:tcPr>
                  <w:tcW w:w="1673"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污泥</w:t>
                  </w:r>
                </w:p>
              </w:tc>
              <w:tc>
                <w:tcPr>
                  <w:tcW w:w="2570"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固态（含水率</w:t>
                  </w:r>
                  <w:r>
                    <w:rPr>
                      <w:sz w:val="21"/>
                      <w:szCs w:val="21"/>
                    </w:rPr>
                    <w:t>50%</w:t>
                  </w:r>
                  <w:r>
                    <w:rPr>
                      <w:rFonts w:hint="eastAsia"/>
                      <w:sz w:val="21"/>
                      <w:szCs w:val="21"/>
                    </w:rPr>
                    <w:t>）</w:t>
                  </w:r>
                </w:p>
              </w:tc>
              <w:tc>
                <w:tcPr>
                  <w:tcW w:w="1723"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766.5</w:t>
                  </w:r>
                </w:p>
              </w:tc>
              <w:tc>
                <w:tcPr>
                  <w:tcW w:w="2779" w:type="dxa"/>
                  <w:vMerge w:val="continue"/>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741" w:type="dxa"/>
                  <w:tcBorders>
                    <w:top w:val="single" w:color="auto" w:sz="4" w:space="0"/>
                    <w:left w:val="single" w:color="auto" w:sz="12" w:space="0"/>
                    <w:bottom w:val="single" w:color="auto" w:sz="4" w:space="0"/>
                    <w:right w:val="single" w:color="auto" w:sz="4" w:space="0"/>
                  </w:tcBorders>
                  <w:vAlign w:val="center"/>
                </w:tcPr>
                <w:p>
                  <w:pPr>
                    <w:pStyle w:val="2"/>
                    <w:jc w:val="center"/>
                    <w:rPr>
                      <w:sz w:val="21"/>
                      <w:szCs w:val="21"/>
                    </w:rPr>
                  </w:pPr>
                  <w:r>
                    <w:rPr>
                      <w:sz w:val="21"/>
                      <w:szCs w:val="21"/>
                    </w:rPr>
                    <w:t>4</w:t>
                  </w:r>
                </w:p>
              </w:tc>
              <w:tc>
                <w:tcPr>
                  <w:tcW w:w="1673"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实验室废液</w:t>
                  </w:r>
                </w:p>
              </w:tc>
              <w:tc>
                <w:tcPr>
                  <w:tcW w:w="2570"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rFonts w:hint="eastAsia"/>
                      <w:sz w:val="21"/>
                      <w:szCs w:val="21"/>
                    </w:rPr>
                    <w:t>液态</w:t>
                  </w:r>
                </w:p>
              </w:tc>
              <w:tc>
                <w:tcPr>
                  <w:tcW w:w="1723" w:type="dxa"/>
                  <w:tcBorders>
                    <w:top w:val="single" w:color="auto" w:sz="4" w:space="0"/>
                    <w:left w:val="single" w:color="auto" w:sz="4" w:space="0"/>
                    <w:bottom w:val="single" w:color="auto" w:sz="4" w:space="0"/>
                    <w:right w:val="single" w:color="auto" w:sz="4" w:space="0"/>
                  </w:tcBorders>
                  <w:vAlign w:val="center"/>
                </w:tcPr>
                <w:p>
                  <w:pPr>
                    <w:pStyle w:val="2"/>
                    <w:jc w:val="center"/>
                    <w:rPr>
                      <w:sz w:val="21"/>
                      <w:szCs w:val="21"/>
                    </w:rPr>
                  </w:pPr>
                  <w:r>
                    <w:rPr>
                      <w:sz w:val="21"/>
                      <w:szCs w:val="21"/>
                    </w:rPr>
                    <w:t>0.5</w:t>
                  </w:r>
                </w:p>
              </w:tc>
              <w:tc>
                <w:tcPr>
                  <w:tcW w:w="2779" w:type="dxa"/>
                  <w:vMerge w:val="restart"/>
                  <w:tcBorders>
                    <w:top w:val="single" w:color="auto" w:sz="4" w:space="0"/>
                    <w:left w:val="single" w:color="auto" w:sz="4" w:space="0"/>
                    <w:bottom w:val="single" w:color="auto" w:sz="4" w:space="0"/>
                    <w:right w:val="single" w:color="auto" w:sz="12" w:space="0"/>
                  </w:tcBorders>
                  <w:vAlign w:val="center"/>
                </w:tcPr>
                <w:p>
                  <w:pPr>
                    <w:pStyle w:val="2"/>
                    <w:jc w:val="center"/>
                    <w:rPr>
                      <w:sz w:val="21"/>
                      <w:szCs w:val="21"/>
                    </w:rPr>
                  </w:pPr>
                  <w:r>
                    <w:rPr>
                      <w:rFonts w:hint="eastAsia"/>
                      <w:sz w:val="21"/>
                      <w:szCs w:val="21"/>
                    </w:rPr>
                    <w:t>委托海南宝来工贸有限公司进行处理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741" w:type="dxa"/>
                  <w:tcBorders>
                    <w:top w:val="single" w:color="auto" w:sz="4" w:space="0"/>
                    <w:left w:val="single" w:color="auto" w:sz="12" w:space="0"/>
                    <w:bottom w:val="single" w:color="auto" w:sz="12" w:space="0"/>
                    <w:right w:val="single" w:color="auto" w:sz="4" w:space="0"/>
                  </w:tcBorders>
                  <w:vAlign w:val="center"/>
                </w:tcPr>
                <w:p>
                  <w:pPr>
                    <w:pStyle w:val="2"/>
                    <w:jc w:val="center"/>
                    <w:rPr>
                      <w:sz w:val="21"/>
                      <w:szCs w:val="21"/>
                    </w:rPr>
                  </w:pPr>
                  <w:r>
                    <w:rPr>
                      <w:sz w:val="21"/>
                      <w:szCs w:val="21"/>
                    </w:rPr>
                    <w:t>5</w:t>
                  </w:r>
                </w:p>
              </w:tc>
              <w:tc>
                <w:tcPr>
                  <w:tcW w:w="1673" w:type="dxa"/>
                  <w:tcBorders>
                    <w:top w:val="single" w:color="auto" w:sz="4" w:space="0"/>
                    <w:left w:val="single" w:color="auto" w:sz="4" w:space="0"/>
                    <w:bottom w:val="single" w:color="auto" w:sz="12" w:space="0"/>
                    <w:right w:val="single" w:color="auto" w:sz="4" w:space="0"/>
                  </w:tcBorders>
                  <w:vAlign w:val="center"/>
                </w:tcPr>
                <w:p>
                  <w:pPr>
                    <w:pStyle w:val="2"/>
                    <w:jc w:val="center"/>
                    <w:rPr>
                      <w:sz w:val="21"/>
                      <w:szCs w:val="21"/>
                    </w:rPr>
                  </w:pPr>
                  <w:r>
                    <w:rPr>
                      <w:rFonts w:hint="eastAsia"/>
                      <w:sz w:val="21"/>
                      <w:szCs w:val="21"/>
                    </w:rPr>
                    <w:t>在线监控废液</w:t>
                  </w:r>
                </w:p>
              </w:tc>
              <w:tc>
                <w:tcPr>
                  <w:tcW w:w="2570" w:type="dxa"/>
                  <w:tcBorders>
                    <w:top w:val="single" w:color="auto" w:sz="4" w:space="0"/>
                    <w:left w:val="single" w:color="auto" w:sz="4" w:space="0"/>
                    <w:bottom w:val="single" w:color="auto" w:sz="12" w:space="0"/>
                    <w:right w:val="single" w:color="auto" w:sz="4" w:space="0"/>
                  </w:tcBorders>
                  <w:vAlign w:val="center"/>
                </w:tcPr>
                <w:p>
                  <w:pPr>
                    <w:pStyle w:val="2"/>
                    <w:jc w:val="center"/>
                    <w:rPr>
                      <w:sz w:val="21"/>
                      <w:szCs w:val="21"/>
                    </w:rPr>
                  </w:pPr>
                  <w:r>
                    <w:rPr>
                      <w:rFonts w:hint="eastAsia"/>
                      <w:sz w:val="21"/>
                      <w:szCs w:val="21"/>
                    </w:rPr>
                    <w:t>液态</w:t>
                  </w:r>
                </w:p>
              </w:tc>
              <w:tc>
                <w:tcPr>
                  <w:tcW w:w="1723" w:type="dxa"/>
                  <w:tcBorders>
                    <w:top w:val="single" w:color="auto" w:sz="4" w:space="0"/>
                    <w:left w:val="single" w:color="auto" w:sz="4" w:space="0"/>
                    <w:bottom w:val="single" w:color="auto" w:sz="12" w:space="0"/>
                    <w:right w:val="single" w:color="auto" w:sz="4" w:space="0"/>
                  </w:tcBorders>
                  <w:vAlign w:val="center"/>
                </w:tcPr>
                <w:p>
                  <w:pPr>
                    <w:pStyle w:val="2"/>
                    <w:jc w:val="center"/>
                    <w:rPr>
                      <w:sz w:val="21"/>
                      <w:szCs w:val="21"/>
                    </w:rPr>
                  </w:pPr>
                  <w:r>
                    <w:rPr>
                      <w:sz w:val="21"/>
                      <w:szCs w:val="21"/>
                    </w:rPr>
                    <w:t>0.4</w:t>
                  </w:r>
                </w:p>
              </w:tc>
              <w:tc>
                <w:tcPr>
                  <w:tcW w:w="2779" w:type="dxa"/>
                  <w:vMerge w:val="continue"/>
                  <w:tcBorders>
                    <w:top w:val="single" w:color="auto" w:sz="4" w:space="0"/>
                    <w:left w:val="single" w:color="auto" w:sz="4" w:space="0"/>
                    <w:bottom w:val="single" w:color="auto" w:sz="12" w:space="0"/>
                    <w:right w:val="single" w:color="auto" w:sz="12" w:space="0"/>
                  </w:tcBorders>
                  <w:vAlign w:val="center"/>
                </w:tcPr>
                <w:p>
                  <w:pPr>
                    <w:pStyle w:val="2"/>
                    <w:jc w:val="center"/>
                    <w:rPr>
                      <w:sz w:val="21"/>
                      <w:szCs w:val="21"/>
                    </w:rPr>
                  </w:pPr>
                </w:p>
              </w:tc>
            </w:tr>
          </w:tbl>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64" w:hRule="atLeast"/>
        </w:trPr>
        <w:tc>
          <w:tcPr>
            <w:tcW w:w="9732" w:type="dxa"/>
            <w:gridSpan w:val="3"/>
          </w:tcPr>
          <w:p>
            <w:pPr>
              <w:numPr>
                <w:ilvl w:val="0"/>
                <w:numId w:val="4"/>
              </w:numPr>
              <w:spacing w:line="360" w:lineRule="auto"/>
              <w:rPr>
                <w:rFonts w:ascii="Times New Roman" w:hAnsi="Times New Roman"/>
                <w:b/>
                <w:bCs/>
                <w:sz w:val="28"/>
                <w:szCs w:val="32"/>
              </w:rPr>
            </w:pPr>
            <w:r>
              <w:rPr>
                <w:rFonts w:hint="eastAsia" w:ascii="Times New Roman" w:hAnsi="Times New Roman"/>
                <w:b/>
                <w:bCs/>
                <w:sz w:val="28"/>
                <w:szCs w:val="32"/>
              </w:rPr>
              <w:t>项目改扩建前后</w:t>
            </w:r>
            <w:r>
              <w:rPr>
                <w:rFonts w:ascii="Times New Roman" w:hAnsi="Times New Roman"/>
                <w:b/>
                <w:bCs/>
                <w:sz w:val="28"/>
                <w:szCs w:val="32"/>
              </w:rPr>
              <w:t>“</w:t>
            </w:r>
            <w:r>
              <w:rPr>
                <w:rFonts w:hint="eastAsia" w:ascii="Times New Roman" w:hAnsi="Times New Roman"/>
                <w:b/>
                <w:bCs/>
                <w:sz w:val="28"/>
                <w:szCs w:val="32"/>
              </w:rPr>
              <w:t>三本账</w:t>
            </w:r>
            <w:r>
              <w:rPr>
                <w:rFonts w:ascii="Times New Roman" w:hAnsi="Times New Roman"/>
                <w:b/>
                <w:bCs/>
                <w:sz w:val="28"/>
                <w:szCs w:val="32"/>
              </w:rPr>
              <w:t>”</w:t>
            </w:r>
            <w:r>
              <w:rPr>
                <w:rFonts w:hint="eastAsia" w:ascii="Times New Roman" w:hAnsi="Times New Roman"/>
                <w:b/>
                <w:bCs/>
                <w:sz w:val="28"/>
                <w:szCs w:val="32"/>
              </w:rPr>
              <w:t>分析</w:t>
            </w:r>
          </w:p>
          <w:p>
            <w:pPr>
              <w:pStyle w:val="114"/>
            </w:pPr>
            <w:r>
              <w:rPr>
                <w:rFonts w:hint="eastAsia"/>
              </w:rPr>
              <w:t>本项目改扩建前后三本账分析见表</w:t>
            </w:r>
            <w:r>
              <w:t>5-16</w:t>
            </w:r>
            <w:r>
              <w:rPr>
                <w:rFonts w:hint="eastAsia"/>
              </w:rPr>
              <w:t>。</w:t>
            </w:r>
          </w:p>
          <w:p>
            <w:pPr>
              <w:pStyle w:val="111"/>
            </w:pPr>
            <w:r>
              <w:rPr>
                <w:rFonts w:hint="eastAsia"/>
              </w:rPr>
              <w:t>表</w:t>
            </w:r>
            <w:r>
              <w:t>5-16</w:t>
            </w:r>
            <w:r>
              <w:rPr>
                <w:rFonts w:hint="eastAsia"/>
              </w:rPr>
              <w:t>定安县定城污水处理厂二期改扩建工程</w:t>
            </w:r>
            <w:r>
              <w:t>“</w:t>
            </w:r>
            <w:r>
              <w:rPr>
                <w:rFonts w:hint="eastAsia"/>
              </w:rPr>
              <w:t>三本账</w:t>
            </w:r>
            <w:r>
              <w:t>”</w:t>
            </w:r>
            <w:r>
              <w:rPr>
                <w:rFonts w:hint="eastAsia"/>
              </w:rPr>
              <w:t>分析（单位</w:t>
            </w:r>
            <w:r>
              <w:t>t/a</w:t>
            </w:r>
            <w:r>
              <w:rPr>
                <w:rFonts w:hint="eastAsia"/>
              </w:rPr>
              <w:t>）</w:t>
            </w:r>
          </w:p>
          <w:tbl>
            <w:tblPr>
              <w:tblStyle w:val="37"/>
              <w:tblW w:w="94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2"/>
              <w:gridCol w:w="1836"/>
              <w:gridCol w:w="1028"/>
              <w:gridCol w:w="1028"/>
              <w:gridCol w:w="1438"/>
              <w:gridCol w:w="1438"/>
              <w:gridCol w:w="12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4" w:hRule="atLeast"/>
              </w:trPr>
              <w:tc>
                <w:tcPr>
                  <w:tcW w:w="3328" w:type="dxa"/>
                  <w:gridSpan w:val="2"/>
                  <w:tcBorders>
                    <w:top w:val="single" w:color="auto" w:sz="12" w:space="0"/>
                    <w:left w:val="single" w:color="auto" w:sz="12" w:space="0"/>
                    <w:bottom w:val="double" w:color="auto" w:sz="4" w:space="0"/>
                    <w:right w:val="single" w:color="auto" w:sz="6" w:space="0"/>
                    <w:tl2br w:val="single" w:color="auto" w:sz="6" w:space="0"/>
                  </w:tcBorders>
                  <w:vAlign w:val="center"/>
                </w:tcPr>
                <w:p>
                  <w:pPr>
                    <w:spacing w:line="240" w:lineRule="atLeast"/>
                    <w:jc w:val="right"/>
                    <w:rPr>
                      <w:rFonts w:ascii="Times New Roman" w:hAnsi="Times New Roman"/>
                      <w:szCs w:val="21"/>
                    </w:rPr>
                  </w:pPr>
                  <w:bookmarkStart w:id="32" w:name="_Hlk530469826"/>
                  <w:r>
                    <w:rPr>
                      <w:rFonts w:hint="eastAsia" w:ascii="Times New Roman" w:hAnsi="Times New Roman"/>
                      <w:szCs w:val="21"/>
                    </w:rPr>
                    <w:t>工程名称</w:t>
                  </w:r>
                </w:p>
                <w:p>
                  <w:pPr>
                    <w:spacing w:line="240" w:lineRule="atLeast"/>
                    <w:jc w:val="left"/>
                    <w:rPr>
                      <w:rFonts w:ascii="Times New Roman" w:hAnsi="Times New Roman"/>
                      <w:szCs w:val="21"/>
                    </w:rPr>
                  </w:pPr>
                  <w:r>
                    <w:rPr>
                      <w:rFonts w:hint="eastAsia" w:ascii="Times New Roman" w:hAnsi="Times New Roman"/>
                      <w:szCs w:val="21"/>
                    </w:rPr>
                    <w:t>主要污染物</w:t>
                  </w:r>
                </w:p>
              </w:tc>
              <w:tc>
                <w:tcPr>
                  <w:tcW w:w="1028"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现有工程</w:t>
                  </w:r>
                </w:p>
                <w:p>
                  <w:pPr>
                    <w:spacing w:line="240" w:lineRule="atLeast"/>
                    <w:jc w:val="center"/>
                    <w:rPr>
                      <w:rFonts w:ascii="Times New Roman" w:hAnsi="Times New Roman"/>
                      <w:szCs w:val="21"/>
                    </w:rPr>
                  </w:pPr>
                  <w:r>
                    <w:rPr>
                      <w:rFonts w:hint="eastAsia" w:ascii="Times New Roman" w:hAnsi="Times New Roman"/>
                      <w:szCs w:val="21"/>
                    </w:rPr>
                    <w:t>排放量</w:t>
                  </w:r>
                </w:p>
                <w:p>
                  <w:pPr>
                    <w:spacing w:line="240" w:lineRule="atLeast"/>
                    <w:jc w:val="center"/>
                    <w:rPr>
                      <w:rFonts w:ascii="Times New Roman" w:hAnsi="Times New Roman"/>
                      <w:szCs w:val="21"/>
                    </w:rPr>
                  </w:pPr>
                  <w:r>
                    <w:rPr>
                      <w:rFonts w:hint="eastAsia" w:ascii="Times New Roman" w:hAnsi="Times New Roman"/>
                      <w:szCs w:val="21"/>
                    </w:rPr>
                    <w:t>（</w:t>
                  </w:r>
                  <w:r>
                    <w:rPr>
                      <w:rFonts w:ascii="Times New Roman" w:hAnsi="Times New Roman"/>
                      <w:szCs w:val="21"/>
                    </w:rPr>
                    <w:t>t/a</w:t>
                  </w:r>
                  <w:r>
                    <w:rPr>
                      <w:rFonts w:hint="eastAsia" w:ascii="Times New Roman" w:hAnsi="Times New Roman"/>
                      <w:szCs w:val="21"/>
                    </w:rPr>
                    <w:t>）</w:t>
                  </w:r>
                </w:p>
              </w:tc>
              <w:tc>
                <w:tcPr>
                  <w:tcW w:w="1028"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扩建工程</w:t>
                  </w:r>
                </w:p>
                <w:p>
                  <w:pPr>
                    <w:spacing w:line="240" w:lineRule="atLeast"/>
                    <w:jc w:val="center"/>
                    <w:rPr>
                      <w:rFonts w:ascii="Times New Roman" w:hAnsi="Times New Roman"/>
                      <w:szCs w:val="21"/>
                    </w:rPr>
                  </w:pPr>
                  <w:r>
                    <w:rPr>
                      <w:rFonts w:hint="eastAsia" w:ascii="Times New Roman" w:hAnsi="Times New Roman"/>
                      <w:szCs w:val="21"/>
                    </w:rPr>
                    <w:t>排放量</w:t>
                  </w:r>
                </w:p>
                <w:p>
                  <w:pPr>
                    <w:spacing w:line="240" w:lineRule="atLeast"/>
                    <w:jc w:val="center"/>
                    <w:rPr>
                      <w:rFonts w:ascii="Times New Roman" w:hAnsi="Times New Roman"/>
                      <w:szCs w:val="21"/>
                    </w:rPr>
                  </w:pPr>
                  <w:r>
                    <w:rPr>
                      <w:rFonts w:hint="eastAsia" w:ascii="Times New Roman" w:hAnsi="Times New Roman"/>
                      <w:szCs w:val="21"/>
                    </w:rPr>
                    <w:t>（</w:t>
                  </w:r>
                  <w:r>
                    <w:rPr>
                      <w:rFonts w:ascii="Times New Roman" w:hAnsi="Times New Roman"/>
                      <w:szCs w:val="21"/>
                    </w:rPr>
                    <w:t>t/a</w:t>
                  </w:r>
                  <w:r>
                    <w:rPr>
                      <w:rFonts w:hint="eastAsia" w:ascii="Times New Roman" w:hAnsi="Times New Roman"/>
                      <w:szCs w:val="21"/>
                    </w:rPr>
                    <w:t>）</w:t>
                  </w:r>
                </w:p>
              </w:tc>
              <w:tc>
                <w:tcPr>
                  <w:tcW w:w="1438"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以新带老量（</w:t>
                  </w:r>
                  <w:r>
                    <w:rPr>
                      <w:rFonts w:ascii="Times New Roman" w:hAnsi="Times New Roman"/>
                      <w:szCs w:val="21"/>
                    </w:rPr>
                    <w:t>t/a</w:t>
                  </w:r>
                  <w:r>
                    <w:rPr>
                      <w:rFonts w:hint="eastAsia" w:ascii="Times New Roman" w:hAnsi="Times New Roman"/>
                      <w:szCs w:val="21"/>
                    </w:rPr>
                    <w:t>）</w:t>
                  </w:r>
                </w:p>
              </w:tc>
              <w:tc>
                <w:tcPr>
                  <w:tcW w:w="1438" w:type="dxa"/>
                  <w:tcBorders>
                    <w:top w:val="single" w:color="auto" w:sz="12"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扩建后</w:t>
                  </w:r>
                </w:p>
                <w:p>
                  <w:pPr>
                    <w:spacing w:line="240" w:lineRule="atLeast"/>
                    <w:jc w:val="center"/>
                    <w:rPr>
                      <w:rFonts w:ascii="Times New Roman" w:hAnsi="Times New Roman"/>
                      <w:szCs w:val="21"/>
                    </w:rPr>
                  </w:pPr>
                  <w:r>
                    <w:rPr>
                      <w:rFonts w:hint="eastAsia" w:ascii="Times New Roman" w:hAnsi="Times New Roman"/>
                      <w:szCs w:val="21"/>
                    </w:rPr>
                    <w:t>全厂总排放量</w:t>
                  </w:r>
                </w:p>
                <w:p>
                  <w:pPr>
                    <w:spacing w:line="240" w:lineRule="atLeast"/>
                    <w:jc w:val="center"/>
                    <w:rPr>
                      <w:rFonts w:ascii="Times New Roman" w:hAnsi="Times New Roman"/>
                      <w:szCs w:val="21"/>
                    </w:rPr>
                  </w:pPr>
                  <w:r>
                    <w:rPr>
                      <w:rFonts w:hint="eastAsia" w:ascii="Times New Roman" w:hAnsi="Times New Roman"/>
                      <w:szCs w:val="21"/>
                    </w:rPr>
                    <w:t>（</w:t>
                  </w:r>
                  <w:r>
                    <w:rPr>
                      <w:rFonts w:ascii="Times New Roman" w:hAnsi="Times New Roman"/>
                      <w:szCs w:val="21"/>
                    </w:rPr>
                    <w:t>t/a</w:t>
                  </w:r>
                  <w:r>
                    <w:rPr>
                      <w:rFonts w:hint="eastAsia" w:ascii="Times New Roman" w:hAnsi="Times New Roman"/>
                      <w:szCs w:val="21"/>
                    </w:rPr>
                    <w:t>）</w:t>
                  </w:r>
                </w:p>
              </w:tc>
              <w:tc>
                <w:tcPr>
                  <w:tcW w:w="1226" w:type="dxa"/>
                  <w:tcBorders>
                    <w:top w:val="single" w:color="auto" w:sz="12" w:space="0"/>
                    <w:left w:val="single" w:color="auto" w:sz="6" w:space="0"/>
                    <w:bottom w:val="double" w:color="auto" w:sz="4"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建设前后</w:t>
                  </w:r>
                </w:p>
                <w:p>
                  <w:pPr>
                    <w:spacing w:line="240" w:lineRule="atLeast"/>
                    <w:jc w:val="center"/>
                    <w:rPr>
                      <w:rFonts w:ascii="Times New Roman" w:hAnsi="Times New Roman"/>
                      <w:szCs w:val="21"/>
                    </w:rPr>
                  </w:pPr>
                  <w:r>
                    <w:rPr>
                      <w:rFonts w:hint="eastAsia" w:ascii="Times New Roman" w:hAnsi="Times New Roman"/>
                      <w:szCs w:val="21"/>
                    </w:rPr>
                    <w:t>污染物</w:t>
                  </w:r>
                </w:p>
                <w:p>
                  <w:pPr>
                    <w:spacing w:line="240" w:lineRule="atLeast"/>
                    <w:jc w:val="center"/>
                    <w:rPr>
                      <w:rFonts w:ascii="Times New Roman" w:hAnsi="Times New Roman"/>
                      <w:szCs w:val="21"/>
                    </w:rPr>
                  </w:pPr>
                  <w:r>
                    <w:rPr>
                      <w:rFonts w:hint="eastAsia" w:ascii="Times New Roman" w:hAnsi="Times New Roman"/>
                      <w:szCs w:val="21"/>
                    </w:rPr>
                    <w:t>排放增减量</w:t>
                  </w:r>
                </w:p>
                <w:p>
                  <w:pPr>
                    <w:spacing w:line="240" w:lineRule="atLeast"/>
                    <w:jc w:val="center"/>
                    <w:rPr>
                      <w:rFonts w:ascii="Times New Roman" w:hAnsi="Times New Roman"/>
                      <w:szCs w:val="21"/>
                    </w:rPr>
                  </w:pPr>
                  <w:r>
                    <w:rPr>
                      <w:rFonts w:hint="eastAsia" w:ascii="Times New Roman" w:hAnsi="Times New Roman"/>
                      <w:szCs w:val="21"/>
                    </w:rPr>
                    <w:t>（</w:t>
                  </w:r>
                  <w:r>
                    <w:rPr>
                      <w:rFonts w:ascii="Times New Roman" w:hAnsi="Times New Roman"/>
                      <w:szCs w:val="21"/>
                    </w:rPr>
                    <w:t>t/a</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0" w:hRule="atLeast"/>
              </w:trPr>
              <w:tc>
                <w:tcPr>
                  <w:tcW w:w="1492" w:type="dxa"/>
                  <w:vMerge w:val="restart"/>
                  <w:tcBorders>
                    <w:top w:val="double" w:color="auto" w:sz="4"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bookmarkStart w:id="33" w:name="_Hlk413852558"/>
                  <w:r>
                    <w:rPr>
                      <w:rFonts w:hint="eastAsia" w:ascii="Times New Roman" w:hAnsi="Times New Roman"/>
                      <w:szCs w:val="21"/>
                    </w:rPr>
                    <w:t>大气污染物</w:t>
                  </w:r>
                </w:p>
              </w:tc>
              <w:tc>
                <w:tcPr>
                  <w:tcW w:w="1836" w:type="dxa"/>
                  <w:tcBorders>
                    <w:top w:val="double" w:color="auto" w:sz="4" w:space="0"/>
                    <w:left w:val="single" w:color="auto" w:sz="6" w:space="0"/>
                    <w:bottom w:val="single" w:color="auto" w:sz="6" w:space="0"/>
                    <w:right w:val="single" w:color="auto" w:sz="6" w:space="0"/>
                  </w:tcBorders>
                  <w:vAlign w:val="center"/>
                </w:tcPr>
                <w:p>
                  <w:pPr>
                    <w:widowControl/>
                    <w:spacing w:line="240" w:lineRule="atLeast"/>
                    <w:jc w:val="center"/>
                    <w:rPr>
                      <w:rFonts w:ascii="Times New Roman" w:hAnsi="Times New Roman"/>
                      <w:kern w:val="0"/>
                      <w:szCs w:val="21"/>
                    </w:rPr>
                  </w:pPr>
                  <w:r>
                    <w:rPr>
                      <w:rFonts w:hint="eastAsia" w:ascii="Times New Roman" w:hAnsi="Times New Roman"/>
                      <w:kern w:val="0"/>
                      <w:szCs w:val="21"/>
                    </w:rPr>
                    <w:t>废气量（万</w:t>
                  </w:r>
                  <w:r>
                    <w:rPr>
                      <w:rFonts w:ascii="Times New Roman" w:hAnsi="Times New Roman"/>
                      <w:kern w:val="0"/>
                      <w:szCs w:val="21"/>
                    </w:rPr>
                    <w:t>Nm</w:t>
                  </w:r>
                  <w:r>
                    <w:rPr>
                      <w:rFonts w:ascii="Times New Roman" w:hAnsi="Times New Roman"/>
                      <w:kern w:val="0"/>
                      <w:szCs w:val="21"/>
                      <w:vertAlign w:val="superscript"/>
                    </w:rPr>
                    <w:t>3</w:t>
                  </w:r>
                  <w:r>
                    <w:rPr>
                      <w:rFonts w:ascii="Times New Roman" w:hAnsi="Times New Roman"/>
                      <w:kern w:val="0"/>
                      <w:szCs w:val="21"/>
                    </w:rPr>
                    <w:t>/a</w:t>
                  </w:r>
                  <w:r>
                    <w:rPr>
                      <w:rFonts w:hint="eastAsia" w:ascii="Times New Roman" w:hAnsi="Times New Roman"/>
                      <w:kern w:val="0"/>
                      <w:szCs w:val="21"/>
                    </w:rPr>
                    <w:t>）</w:t>
                  </w:r>
                </w:p>
              </w:tc>
              <w:tc>
                <w:tcPr>
                  <w:tcW w:w="1028" w:type="dxa"/>
                  <w:tcBorders>
                    <w:top w:val="double" w:color="auto" w:sz="4"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w:t>
                  </w:r>
                </w:p>
              </w:tc>
              <w:tc>
                <w:tcPr>
                  <w:tcW w:w="1028" w:type="dxa"/>
                  <w:tcBorders>
                    <w:top w:val="double" w:color="auto" w:sz="4" w:space="0"/>
                    <w:left w:val="single" w:color="auto" w:sz="6" w:space="0"/>
                    <w:bottom w:val="single" w:color="auto" w:sz="6" w:space="0"/>
                    <w:right w:val="single" w:color="auto" w:sz="6" w:space="0"/>
                  </w:tcBorders>
                  <w:vAlign w:val="center"/>
                </w:tcPr>
                <w:p>
                  <w:pPr>
                    <w:widowControl/>
                    <w:spacing w:line="240" w:lineRule="atLeast"/>
                    <w:jc w:val="center"/>
                    <w:rPr>
                      <w:rFonts w:ascii="Times New Roman" w:hAnsi="Times New Roman"/>
                      <w:kern w:val="0"/>
                      <w:szCs w:val="21"/>
                    </w:rPr>
                  </w:pPr>
                  <w:r>
                    <w:rPr>
                      <w:rFonts w:ascii="Times New Roman" w:hAnsi="Times New Roman"/>
                      <w:kern w:val="0"/>
                      <w:szCs w:val="21"/>
                    </w:rPr>
                    <w:t>10512</w:t>
                  </w:r>
                </w:p>
              </w:tc>
              <w:tc>
                <w:tcPr>
                  <w:tcW w:w="1438" w:type="dxa"/>
                  <w:tcBorders>
                    <w:top w:val="double" w:color="auto" w:sz="4" w:space="0"/>
                    <w:left w:val="single" w:color="auto" w:sz="6" w:space="0"/>
                    <w:bottom w:val="single" w:color="auto" w:sz="6" w:space="0"/>
                    <w:right w:val="single" w:color="auto" w:sz="6" w:space="0"/>
                  </w:tcBorders>
                  <w:vAlign w:val="center"/>
                </w:tcPr>
                <w:p>
                  <w:pPr>
                    <w:widowControl/>
                    <w:spacing w:line="240" w:lineRule="atLeast"/>
                    <w:jc w:val="center"/>
                    <w:rPr>
                      <w:rFonts w:ascii="Times New Roman" w:hAnsi="Times New Roman"/>
                      <w:kern w:val="0"/>
                      <w:szCs w:val="21"/>
                    </w:rPr>
                  </w:pPr>
                  <w:r>
                    <w:rPr>
                      <w:rFonts w:ascii="Times New Roman" w:hAnsi="Times New Roman"/>
                      <w:kern w:val="0"/>
                      <w:szCs w:val="21"/>
                    </w:rPr>
                    <w:t>0</w:t>
                  </w:r>
                </w:p>
              </w:tc>
              <w:tc>
                <w:tcPr>
                  <w:tcW w:w="1438" w:type="dxa"/>
                  <w:tcBorders>
                    <w:top w:val="double" w:color="auto" w:sz="4" w:space="0"/>
                    <w:left w:val="single" w:color="auto" w:sz="6" w:space="0"/>
                    <w:bottom w:val="single" w:color="auto" w:sz="6" w:space="0"/>
                    <w:right w:val="single" w:color="auto" w:sz="6" w:space="0"/>
                  </w:tcBorders>
                  <w:vAlign w:val="center"/>
                </w:tcPr>
                <w:p>
                  <w:pPr>
                    <w:widowControl/>
                    <w:spacing w:line="240" w:lineRule="atLeast"/>
                    <w:jc w:val="center"/>
                    <w:rPr>
                      <w:rFonts w:ascii="Times New Roman" w:hAnsi="Times New Roman"/>
                      <w:kern w:val="0"/>
                      <w:szCs w:val="21"/>
                    </w:rPr>
                  </w:pPr>
                  <w:r>
                    <w:rPr>
                      <w:rFonts w:ascii="Times New Roman" w:hAnsi="Times New Roman"/>
                      <w:kern w:val="0"/>
                      <w:szCs w:val="21"/>
                    </w:rPr>
                    <w:t>10512</w:t>
                  </w:r>
                </w:p>
              </w:tc>
              <w:tc>
                <w:tcPr>
                  <w:tcW w:w="1226" w:type="dxa"/>
                  <w:tcBorders>
                    <w:top w:val="double" w:color="auto" w:sz="4" w:space="0"/>
                    <w:left w:val="single" w:color="auto" w:sz="6" w:space="0"/>
                    <w:bottom w:val="single" w:color="auto" w:sz="6" w:space="0"/>
                    <w:right w:val="single" w:color="auto" w:sz="12" w:space="0"/>
                  </w:tcBorders>
                  <w:vAlign w:val="center"/>
                </w:tcPr>
                <w:p>
                  <w:pPr>
                    <w:widowControl/>
                    <w:spacing w:line="240" w:lineRule="atLeast"/>
                    <w:jc w:val="center"/>
                    <w:rPr>
                      <w:rFonts w:ascii="Times New Roman" w:hAnsi="Times New Roman"/>
                      <w:kern w:val="0"/>
                      <w:szCs w:val="21"/>
                    </w:rPr>
                  </w:pPr>
                  <w:r>
                    <w:rPr>
                      <w:rFonts w:ascii="Times New Roman" w:hAnsi="Times New Roman"/>
                      <w:kern w:val="0"/>
                      <w:szCs w:val="21"/>
                    </w:rPr>
                    <w:t>+10512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氨</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rPr>
                    <w:t>5.9</w:t>
                  </w:r>
                </w:p>
              </w:tc>
              <w:tc>
                <w:tcPr>
                  <w:tcW w:w="102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rPr>
                    <w:t>0.649</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-5.044</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rPr>
                    <w:t>1.505</w:t>
                  </w:r>
                </w:p>
              </w:tc>
              <w:tc>
                <w:tcPr>
                  <w:tcW w:w="1226" w:type="dxa"/>
                  <w:tcBorders>
                    <w:top w:val="single" w:color="auto" w:sz="6" w:space="0"/>
                    <w:left w:val="single" w:color="auto" w:sz="6" w:space="0"/>
                    <w:bottom w:val="single" w:color="auto" w:sz="6" w:space="0"/>
                    <w:right w:val="single" w:color="auto" w:sz="12" w:space="0"/>
                  </w:tcBorders>
                </w:tcPr>
                <w:p>
                  <w:pPr>
                    <w:pStyle w:val="108"/>
                    <w:widowControl w:val="0"/>
                    <w:spacing w:before="0" w:after="0"/>
                    <w:rPr>
                      <w:rFonts w:ascii="Times New Roman"/>
                      <w:szCs w:val="21"/>
                    </w:rPr>
                  </w:pPr>
                  <w:r>
                    <w:rPr>
                      <w:rFonts w:ascii="Times New Roman"/>
                    </w:rPr>
                    <w:t>-2.336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硫化氢</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rPr>
                    <w:t>0.53</w:t>
                  </w:r>
                </w:p>
              </w:tc>
              <w:tc>
                <w:tcPr>
                  <w:tcW w:w="102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rPr>
                    <w:t>0.057</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-0.453</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rPr>
                    <w:t>0.134</w:t>
                  </w:r>
                </w:p>
              </w:tc>
              <w:tc>
                <w:tcPr>
                  <w:tcW w:w="1226" w:type="dxa"/>
                  <w:tcBorders>
                    <w:top w:val="single" w:color="auto" w:sz="6" w:space="0"/>
                    <w:left w:val="single" w:color="auto" w:sz="6" w:space="0"/>
                    <w:bottom w:val="single" w:color="auto" w:sz="6" w:space="0"/>
                    <w:right w:val="single" w:color="auto" w:sz="12" w:space="0"/>
                  </w:tcBorders>
                </w:tcPr>
                <w:p>
                  <w:pPr>
                    <w:pStyle w:val="108"/>
                    <w:widowControl w:val="0"/>
                    <w:spacing w:before="0" w:after="0"/>
                    <w:rPr>
                      <w:rFonts w:ascii="Times New Roman"/>
                      <w:szCs w:val="21"/>
                    </w:rPr>
                  </w:pPr>
                  <w:r>
                    <w:rPr>
                      <w:rFonts w:ascii="Times New Roman"/>
                    </w:rPr>
                    <w:t>-0.396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83"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甲烷</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rPr>
                    <w:t>-</w:t>
                  </w:r>
                </w:p>
              </w:tc>
              <w:tc>
                <w:tcPr>
                  <w:tcW w:w="102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rPr>
                    <w:t>1.83</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rPr>
                    <w:t>1.83</w:t>
                  </w:r>
                </w:p>
              </w:tc>
              <w:tc>
                <w:tcPr>
                  <w:tcW w:w="1226" w:type="dxa"/>
                  <w:tcBorders>
                    <w:top w:val="single" w:color="auto" w:sz="6" w:space="0"/>
                    <w:left w:val="single" w:color="auto" w:sz="6" w:space="0"/>
                    <w:bottom w:val="single" w:color="auto" w:sz="6" w:space="0"/>
                    <w:right w:val="single" w:color="auto" w:sz="12" w:space="0"/>
                  </w:tcBorders>
                </w:tcPr>
                <w:p>
                  <w:pPr>
                    <w:pStyle w:val="108"/>
                    <w:widowControl w:val="0"/>
                    <w:spacing w:before="0" w:after="0"/>
                    <w:rPr>
                      <w:rFonts w:ascii="Times New Roman"/>
                      <w:szCs w:val="21"/>
                    </w:rPr>
                  </w:pPr>
                  <w:r>
                    <w:rPr>
                      <w:rFonts w:ascii="Times New Roman"/>
                    </w:rPr>
                    <w:t>+1.83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restart"/>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水污染物</w:t>
                  </w: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废水排放量</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5475000</w:t>
                  </w:r>
                </w:p>
              </w:tc>
              <w:tc>
                <w:tcPr>
                  <w:tcW w:w="102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5475000</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10950000</w:t>
                  </w:r>
                </w:p>
              </w:tc>
              <w:tc>
                <w:tcPr>
                  <w:tcW w:w="1226" w:type="dxa"/>
                  <w:tcBorders>
                    <w:top w:val="single" w:color="auto" w:sz="6" w:space="0"/>
                    <w:left w:val="single" w:color="auto" w:sz="6" w:space="0"/>
                    <w:bottom w:val="single" w:color="auto" w:sz="6" w:space="0"/>
                    <w:right w:val="single" w:color="auto" w:sz="12" w:space="0"/>
                  </w:tcBorders>
                  <w:vAlign w:val="center"/>
                </w:tcPr>
                <w:p>
                  <w:pPr>
                    <w:pStyle w:val="108"/>
                    <w:widowControl w:val="0"/>
                    <w:spacing w:before="0" w:after="0"/>
                    <w:rPr>
                      <w:rFonts w:ascii="Times New Roman"/>
                      <w:szCs w:val="21"/>
                    </w:rPr>
                  </w:pPr>
                  <w:r>
                    <w:rPr>
                      <w:rFonts w:ascii="Times New Roman"/>
                      <w:szCs w:val="21"/>
                    </w:rPr>
                    <w:t>+5475000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pacing w:val="20"/>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COD</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szCs w:val="21"/>
                    </w:rPr>
                    <w:t>273.75</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273.75</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547.5</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szCs w:val="21"/>
                    </w:rPr>
                    <w:t>+273.75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pacing w:val="20"/>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szCs w:val="21"/>
                    </w:rPr>
                    <w:t>54.75</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54.75</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109.5</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szCs w:val="21"/>
                    </w:rPr>
                    <w:t>+54.75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pacing w:val="20"/>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SS</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szCs w:val="21"/>
                    </w:rPr>
                    <w:t>54.75</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54.75</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109.5</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szCs w:val="21"/>
                    </w:rPr>
                    <w:t>+54.75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pacing w:val="20"/>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szCs w:val="21"/>
                    </w:rPr>
                    <w:t>27.38</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27.38</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54.75</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szCs w:val="21"/>
                    </w:rPr>
                    <w:t>+27.38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pacing w:val="20"/>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TN</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szCs w:val="21"/>
                    </w:rPr>
                    <w:t>82.13</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82.13</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164.25</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szCs w:val="21"/>
                    </w:rPr>
                    <w:t>+82.13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pacing w:val="20"/>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TP</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szCs w:val="21"/>
                    </w:rPr>
                    <w:t xml:space="preserve">2.74 </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szCs w:val="21"/>
                    </w:rPr>
                    <w:t xml:space="preserve">2.74 </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rPr>
                  </w:pPr>
                  <w:r>
                    <w:rPr>
                      <w:rFonts w:ascii="Times New Roman" w:hAnsi="Times New Roman"/>
                    </w:rPr>
                    <w:t>5.475</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hAnsi="Times New Roman"/>
                      <w:szCs w:val="21"/>
                    </w:rPr>
                    <w:t xml:space="preserve">2.74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restart"/>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工业固体废物</w:t>
                  </w:r>
                  <w:r>
                    <w:rPr>
                      <w:rFonts w:ascii="Times New Roman" w:hAnsi="Times New Roman"/>
                      <w:szCs w:val="21"/>
                    </w:rPr>
                    <w:br w:type="textWrapping"/>
                  </w:r>
                  <w:r>
                    <w:rPr>
                      <w:rFonts w:hint="eastAsia" w:ascii="Times New Roman" w:hAnsi="Times New Roman"/>
                      <w:szCs w:val="21"/>
                    </w:rPr>
                    <w:t>（产生量）</w:t>
                  </w: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格栅栅渣</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36.5</w:t>
                  </w:r>
                </w:p>
              </w:tc>
              <w:tc>
                <w:tcPr>
                  <w:tcW w:w="102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525.6</w:t>
                  </w:r>
                </w:p>
              </w:tc>
              <w:tc>
                <w:tcPr>
                  <w:tcW w:w="143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562.1</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rPr>
                    <w:t>+525.6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沉砂池砂土</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3.65</w:t>
                  </w:r>
                </w:p>
              </w:tc>
              <w:tc>
                <w:tcPr>
                  <w:tcW w:w="102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246.375</w:t>
                  </w:r>
                </w:p>
              </w:tc>
              <w:tc>
                <w:tcPr>
                  <w:tcW w:w="143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250.025</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rPr>
                    <w:t>+246.375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污泥</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3240</w:t>
                  </w:r>
                </w:p>
              </w:tc>
              <w:tc>
                <w:tcPr>
                  <w:tcW w:w="102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766.5</w:t>
                  </w:r>
                </w:p>
              </w:tc>
              <w:tc>
                <w:tcPr>
                  <w:tcW w:w="143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4006.5</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rPr>
                    <w:t>+766.5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实验室废液</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0.15</w:t>
                  </w:r>
                </w:p>
              </w:tc>
              <w:tc>
                <w:tcPr>
                  <w:tcW w:w="102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0.15</w:t>
                  </w:r>
                </w:p>
              </w:tc>
              <w:tc>
                <w:tcPr>
                  <w:tcW w:w="143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0.3</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废机油</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0.08</w:t>
                  </w:r>
                </w:p>
              </w:tc>
              <w:tc>
                <w:tcPr>
                  <w:tcW w:w="102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0.08</w:t>
                  </w:r>
                </w:p>
              </w:tc>
              <w:tc>
                <w:tcPr>
                  <w:tcW w:w="143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0.16</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p>
              </w:tc>
              <w:tc>
                <w:tcPr>
                  <w:tcW w:w="183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废油漆桶</w:t>
                  </w:r>
                </w:p>
              </w:tc>
              <w:tc>
                <w:tcPr>
                  <w:tcW w:w="1028"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0.02</w:t>
                  </w:r>
                </w:p>
              </w:tc>
              <w:tc>
                <w:tcPr>
                  <w:tcW w:w="102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0.02</w:t>
                  </w:r>
                </w:p>
              </w:tc>
              <w:tc>
                <w:tcPr>
                  <w:tcW w:w="1438" w:type="dxa"/>
                  <w:tcBorders>
                    <w:top w:val="single" w:color="auto" w:sz="6" w:space="0"/>
                    <w:left w:val="single" w:color="auto" w:sz="6" w:space="0"/>
                    <w:bottom w:val="single" w:color="auto" w:sz="6" w:space="0"/>
                    <w:right w:val="single" w:color="auto" w:sz="6" w:space="0"/>
                  </w:tcBorders>
                  <w:vAlign w:val="center"/>
                </w:tcPr>
                <w:p>
                  <w:pPr>
                    <w:pStyle w:val="106"/>
                    <w:ind w:firstLine="0" w:firstLineChars="0"/>
                    <w:rPr>
                      <w:b w:val="0"/>
                      <w:szCs w:val="21"/>
                    </w:rPr>
                  </w:pPr>
                  <w:r>
                    <w:rPr>
                      <w:b w:val="0"/>
                      <w:szCs w:val="21"/>
                    </w:rPr>
                    <w:t>0</w:t>
                  </w:r>
                </w:p>
              </w:tc>
              <w:tc>
                <w:tcPr>
                  <w:tcW w:w="1438" w:type="dxa"/>
                  <w:tcBorders>
                    <w:top w:val="single" w:color="auto" w:sz="6" w:space="0"/>
                    <w:left w:val="single" w:color="auto" w:sz="6" w:space="0"/>
                    <w:bottom w:val="single" w:color="auto" w:sz="6" w:space="0"/>
                    <w:right w:val="single" w:color="auto" w:sz="6" w:space="0"/>
                  </w:tcBorders>
                  <w:vAlign w:val="center"/>
                </w:tcPr>
                <w:p>
                  <w:pPr>
                    <w:pStyle w:val="108"/>
                    <w:widowControl w:val="0"/>
                    <w:spacing w:before="0" w:after="0"/>
                    <w:rPr>
                      <w:rFonts w:ascii="Times New Roman"/>
                      <w:szCs w:val="21"/>
                    </w:rPr>
                  </w:pPr>
                  <w:r>
                    <w:rPr>
                      <w:rFonts w:ascii="Times New Roman"/>
                      <w:szCs w:val="21"/>
                    </w:rPr>
                    <w:t>0.04</w:t>
                  </w:r>
                </w:p>
              </w:tc>
              <w:tc>
                <w:tcPr>
                  <w:tcW w:w="1226" w:type="dxa"/>
                  <w:tcBorders>
                    <w:top w:val="single" w:color="auto" w:sz="6"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rPr>
                  </w:pPr>
                  <w:r>
                    <w:rPr>
                      <w:rFonts w:ascii="Times New Roman" w:hAnsi="Times New Roman"/>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trPr>
              <w:tc>
                <w:tcPr>
                  <w:tcW w:w="1492" w:type="dxa"/>
                  <w:vMerge w:val="continue"/>
                  <w:tcBorders>
                    <w:top w:val="single" w:color="auto" w:sz="6" w:space="0"/>
                    <w:left w:val="single" w:color="auto" w:sz="12" w:space="0"/>
                    <w:bottom w:val="single" w:color="auto" w:sz="12" w:space="0"/>
                    <w:right w:val="single" w:color="auto" w:sz="6" w:space="0"/>
                  </w:tcBorders>
                  <w:vAlign w:val="center"/>
                </w:tcPr>
                <w:p>
                  <w:pPr>
                    <w:spacing w:line="240" w:lineRule="atLeast"/>
                    <w:jc w:val="center"/>
                    <w:rPr>
                      <w:rFonts w:ascii="Times New Roman" w:hAnsi="Times New Roman"/>
                      <w:szCs w:val="21"/>
                      <w:highlight w:val="yellow"/>
                    </w:rPr>
                  </w:pPr>
                </w:p>
              </w:tc>
              <w:tc>
                <w:tcPr>
                  <w:tcW w:w="1836"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生活垃圾</w:t>
                  </w:r>
                </w:p>
              </w:tc>
              <w:tc>
                <w:tcPr>
                  <w:tcW w:w="1028" w:type="dxa"/>
                  <w:tcBorders>
                    <w:top w:val="single" w:color="auto" w:sz="6" w:space="0"/>
                    <w:left w:val="single" w:color="auto" w:sz="6" w:space="0"/>
                    <w:bottom w:val="single" w:color="auto" w:sz="12"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7.3</w:t>
                  </w:r>
                </w:p>
              </w:tc>
              <w:tc>
                <w:tcPr>
                  <w:tcW w:w="1028" w:type="dxa"/>
                  <w:tcBorders>
                    <w:top w:val="single" w:color="auto" w:sz="6" w:space="0"/>
                    <w:left w:val="single" w:color="auto" w:sz="6" w:space="0"/>
                    <w:bottom w:val="single" w:color="auto" w:sz="12" w:space="0"/>
                    <w:right w:val="single" w:color="auto" w:sz="6" w:space="0"/>
                  </w:tcBorders>
                  <w:vAlign w:val="center"/>
                </w:tcPr>
                <w:p>
                  <w:pPr>
                    <w:pStyle w:val="106"/>
                    <w:ind w:firstLine="0" w:firstLineChars="0"/>
                    <w:rPr>
                      <w:b w:val="0"/>
                      <w:szCs w:val="21"/>
                    </w:rPr>
                  </w:pPr>
                  <w:r>
                    <w:rPr>
                      <w:b w:val="0"/>
                      <w:szCs w:val="21"/>
                    </w:rPr>
                    <w:t>0</w:t>
                  </w:r>
                </w:p>
              </w:tc>
              <w:tc>
                <w:tcPr>
                  <w:tcW w:w="1438" w:type="dxa"/>
                  <w:tcBorders>
                    <w:top w:val="single" w:color="auto" w:sz="6" w:space="0"/>
                    <w:left w:val="single" w:color="auto" w:sz="6" w:space="0"/>
                    <w:bottom w:val="single" w:color="auto" w:sz="12" w:space="0"/>
                    <w:right w:val="single" w:color="auto" w:sz="6" w:space="0"/>
                  </w:tcBorders>
                  <w:vAlign w:val="center"/>
                </w:tcPr>
                <w:p>
                  <w:pPr>
                    <w:pStyle w:val="106"/>
                    <w:ind w:firstLine="0" w:firstLineChars="0"/>
                    <w:rPr>
                      <w:b w:val="0"/>
                      <w:szCs w:val="21"/>
                    </w:rPr>
                  </w:pPr>
                  <w:r>
                    <w:rPr>
                      <w:b w:val="0"/>
                      <w:szCs w:val="21"/>
                    </w:rPr>
                    <w:t>0</w:t>
                  </w:r>
                </w:p>
              </w:tc>
              <w:tc>
                <w:tcPr>
                  <w:tcW w:w="1438" w:type="dxa"/>
                  <w:tcBorders>
                    <w:top w:val="single" w:color="auto" w:sz="6" w:space="0"/>
                    <w:left w:val="single" w:color="auto" w:sz="6" w:space="0"/>
                    <w:bottom w:val="single" w:color="auto" w:sz="12" w:space="0"/>
                    <w:right w:val="single" w:color="auto" w:sz="6" w:space="0"/>
                  </w:tcBorders>
                  <w:vAlign w:val="center"/>
                </w:tcPr>
                <w:p>
                  <w:pPr>
                    <w:pStyle w:val="108"/>
                    <w:widowControl w:val="0"/>
                    <w:spacing w:before="0" w:after="0"/>
                    <w:rPr>
                      <w:rFonts w:ascii="Times New Roman"/>
                      <w:szCs w:val="21"/>
                    </w:rPr>
                  </w:pPr>
                  <w:r>
                    <w:rPr>
                      <w:rFonts w:ascii="Times New Roman"/>
                      <w:szCs w:val="21"/>
                    </w:rPr>
                    <w:t>7.3</w:t>
                  </w:r>
                </w:p>
              </w:tc>
              <w:tc>
                <w:tcPr>
                  <w:tcW w:w="1226" w:type="dxa"/>
                  <w:tcBorders>
                    <w:top w:val="single" w:color="auto" w:sz="6" w:space="0"/>
                    <w:left w:val="single" w:color="auto" w:sz="6" w:space="0"/>
                    <w:bottom w:val="single" w:color="auto" w:sz="12"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+0</w:t>
                  </w:r>
                </w:p>
              </w:tc>
            </w:tr>
            <w:bookmarkEnd w:id="32"/>
            <w:bookmarkEnd w:id="33"/>
          </w:tbl>
          <w:p>
            <w:pPr>
              <w:pStyle w:val="2"/>
              <w:spacing w:line="360" w:lineRule="auto"/>
              <w:jc w:val="center"/>
              <w:rPr>
                <w:b/>
                <w:bCs/>
                <w:sz w:val="21"/>
                <w:szCs w:val="16"/>
              </w:rPr>
            </w:pPr>
          </w:p>
        </w:tc>
      </w:tr>
    </w:tbl>
    <w:p>
      <w:pPr>
        <w:jc w:val="left"/>
        <w:outlineLvl w:val="0"/>
        <w:rPr>
          <w:rFonts w:ascii="Times New Roman" w:hAnsi="Times New Roman"/>
          <w:b/>
          <w:bCs/>
          <w:sz w:val="28"/>
          <w:szCs w:val="28"/>
        </w:rPr>
      </w:pPr>
      <w:bookmarkStart w:id="34" w:name="_Toc354673215"/>
      <w:bookmarkStart w:id="35" w:name="_Toc404248794"/>
      <w:r>
        <w:rPr>
          <w:rFonts w:hint="eastAsia" w:ascii="Times New Roman" w:hAnsi="Times New Roman"/>
          <w:b/>
          <w:bCs/>
          <w:sz w:val="28"/>
          <w:szCs w:val="28"/>
        </w:rPr>
        <w:t>项目主要污染物产生及预计排放情况</w:t>
      </w:r>
      <w:bookmarkEnd w:id="34"/>
      <w:bookmarkEnd w:id="35"/>
    </w:p>
    <w:tbl>
      <w:tblPr>
        <w:tblStyle w:val="37"/>
        <w:tblpPr w:leftFromText="180" w:rightFromText="180" w:vertAnchor="page" w:horzAnchor="margin" w:tblpX="-176" w:tblpY="1759"/>
        <w:tblW w:w="955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2"/>
        <w:gridCol w:w="823"/>
        <w:gridCol w:w="1480"/>
        <w:gridCol w:w="1138"/>
        <w:gridCol w:w="2276"/>
        <w:gridCol w:w="28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00" w:hRule="atLeast"/>
        </w:trPr>
        <w:tc>
          <w:tcPr>
            <w:tcW w:w="962" w:type="dxa"/>
            <w:tcBorders>
              <w:tl2br w:val="single" w:color="auto" w:sz="4" w:space="0"/>
            </w:tcBorders>
            <w:vAlign w:val="center"/>
          </w:tcPr>
          <w:p>
            <w:pPr>
              <w:spacing w:line="360" w:lineRule="exact"/>
              <w:jc w:val="center"/>
              <w:rPr>
                <w:rFonts w:ascii="Times New Roman" w:hAnsi="Times New Roman"/>
                <w:bCs/>
                <w:szCs w:val="21"/>
              </w:rPr>
            </w:pPr>
            <w:r>
              <w:rPr>
                <w:rFonts w:hint="eastAsia" w:ascii="Times New Roman" w:hAnsi="Times New Roman"/>
                <w:bCs/>
                <w:szCs w:val="21"/>
              </w:rPr>
              <w:t>内容</w:t>
            </w:r>
          </w:p>
          <w:p>
            <w:pPr>
              <w:spacing w:line="360" w:lineRule="exact"/>
              <w:jc w:val="center"/>
              <w:rPr>
                <w:rFonts w:ascii="Times New Roman" w:hAnsi="Times New Roman"/>
                <w:bCs/>
                <w:szCs w:val="21"/>
              </w:rPr>
            </w:pPr>
          </w:p>
          <w:p>
            <w:pPr>
              <w:spacing w:line="360" w:lineRule="exact"/>
              <w:rPr>
                <w:rFonts w:ascii="Times New Roman" w:hAnsi="Times New Roman"/>
                <w:bCs/>
                <w:szCs w:val="21"/>
              </w:rPr>
            </w:pPr>
            <w:r>
              <w:rPr>
                <w:rFonts w:hint="eastAsia" w:ascii="Times New Roman" w:hAnsi="Times New Roman"/>
                <w:bCs/>
                <w:szCs w:val="21"/>
              </w:rPr>
              <w:t>类型</w:t>
            </w:r>
          </w:p>
        </w:tc>
        <w:tc>
          <w:tcPr>
            <w:tcW w:w="2303" w:type="dxa"/>
            <w:gridSpan w:val="2"/>
            <w:vAlign w:val="center"/>
          </w:tcPr>
          <w:p>
            <w:pPr>
              <w:spacing w:line="360" w:lineRule="exact"/>
              <w:jc w:val="center"/>
              <w:rPr>
                <w:rFonts w:ascii="Times New Roman" w:hAnsi="Times New Roman"/>
                <w:bCs/>
                <w:szCs w:val="21"/>
              </w:rPr>
            </w:pPr>
            <w:r>
              <w:rPr>
                <w:rFonts w:hint="eastAsia" w:ascii="Times New Roman" w:hAnsi="Times New Roman"/>
                <w:bCs/>
                <w:szCs w:val="21"/>
              </w:rPr>
              <w:t>排放源</w:t>
            </w:r>
          </w:p>
          <w:p>
            <w:pPr>
              <w:spacing w:line="360" w:lineRule="exact"/>
              <w:jc w:val="center"/>
              <w:rPr>
                <w:rFonts w:ascii="Times New Roman" w:hAnsi="Times New Roman"/>
                <w:bCs/>
                <w:szCs w:val="21"/>
              </w:rPr>
            </w:pPr>
            <w:r>
              <w:rPr>
                <w:rFonts w:ascii="Times New Roman" w:hAnsi="Times New Roman"/>
                <w:bCs/>
                <w:szCs w:val="21"/>
              </w:rPr>
              <w:t>(</w:t>
            </w:r>
            <w:r>
              <w:rPr>
                <w:rFonts w:hint="eastAsia" w:ascii="Times New Roman" w:hAnsi="Times New Roman"/>
                <w:bCs/>
                <w:szCs w:val="21"/>
              </w:rPr>
              <w:t>编号</w:t>
            </w:r>
            <w:r>
              <w:rPr>
                <w:rFonts w:ascii="Times New Roman" w:hAnsi="Times New Roman"/>
                <w:bCs/>
                <w:szCs w:val="21"/>
              </w:rPr>
              <w:t>)</w:t>
            </w:r>
          </w:p>
        </w:tc>
        <w:tc>
          <w:tcPr>
            <w:tcW w:w="1138" w:type="dxa"/>
            <w:vAlign w:val="center"/>
          </w:tcPr>
          <w:p>
            <w:pPr>
              <w:spacing w:line="360" w:lineRule="exact"/>
              <w:jc w:val="center"/>
              <w:rPr>
                <w:rFonts w:ascii="Times New Roman" w:hAnsi="Times New Roman"/>
                <w:bCs/>
                <w:szCs w:val="21"/>
              </w:rPr>
            </w:pPr>
            <w:r>
              <w:rPr>
                <w:rFonts w:hint="eastAsia" w:ascii="Times New Roman" w:hAnsi="Times New Roman"/>
                <w:bCs/>
                <w:szCs w:val="21"/>
              </w:rPr>
              <w:t>污染物</w:t>
            </w:r>
          </w:p>
          <w:p>
            <w:pPr>
              <w:spacing w:line="360" w:lineRule="exact"/>
              <w:jc w:val="center"/>
              <w:rPr>
                <w:rFonts w:ascii="Times New Roman" w:hAnsi="Times New Roman"/>
                <w:bCs/>
                <w:szCs w:val="21"/>
              </w:rPr>
            </w:pPr>
            <w:r>
              <w:rPr>
                <w:rFonts w:hint="eastAsia" w:ascii="Times New Roman" w:hAnsi="Times New Roman"/>
                <w:bCs/>
                <w:szCs w:val="21"/>
              </w:rPr>
              <w:t>名称</w:t>
            </w:r>
          </w:p>
        </w:tc>
        <w:tc>
          <w:tcPr>
            <w:tcW w:w="2276" w:type="dxa"/>
            <w:vAlign w:val="center"/>
          </w:tcPr>
          <w:p>
            <w:pPr>
              <w:spacing w:line="360" w:lineRule="exact"/>
              <w:jc w:val="center"/>
              <w:rPr>
                <w:rFonts w:ascii="Times New Roman" w:hAnsi="Times New Roman"/>
                <w:bCs/>
                <w:szCs w:val="21"/>
              </w:rPr>
            </w:pPr>
            <w:r>
              <w:rPr>
                <w:rFonts w:hint="eastAsia" w:ascii="Times New Roman" w:hAnsi="Times New Roman"/>
                <w:bCs/>
                <w:szCs w:val="21"/>
              </w:rPr>
              <w:t>处理前产生浓度</w:t>
            </w:r>
          </w:p>
          <w:p>
            <w:pPr>
              <w:spacing w:line="360" w:lineRule="exact"/>
              <w:jc w:val="center"/>
              <w:rPr>
                <w:rFonts w:ascii="Times New Roman" w:hAnsi="Times New Roman"/>
                <w:bCs/>
                <w:szCs w:val="21"/>
              </w:rPr>
            </w:pPr>
            <w:r>
              <w:rPr>
                <w:rFonts w:hint="eastAsia" w:ascii="Times New Roman" w:hAnsi="Times New Roman"/>
                <w:bCs/>
                <w:szCs w:val="21"/>
              </w:rPr>
              <w:t>及产生量（单位）</w:t>
            </w:r>
          </w:p>
        </w:tc>
        <w:tc>
          <w:tcPr>
            <w:tcW w:w="2879" w:type="dxa"/>
            <w:vAlign w:val="center"/>
          </w:tcPr>
          <w:p>
            <w:pPr>
              <w:spacing w:line="360" w:lineRule="exact"/>
              <w:jc w:val="center"/>
              <w:rPr>
                <w:rFonts w:ascii="Times New Roman" w:hAnsi="Times New Roman"/>
                <w:bCs/>
                <w:szCs w:val="21"/>
              </w:rPr>
            </w:pPr>
            <w:r>
              <w:rPr>
                <w:rFonts w:hint="eastAsia" w:ascii="Times New Roman" w:hAnsi="Times New Roman"/>
                <w:bCs/>
                <w:szCs w:val="21"/>
              </w:rPr>
              <w:t>排放浓度及排放量（单位）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15" w:hRule="atLeast"/>
        </w:trPr>
        <w:tc>
          <w:tcPr>
            <w:tcW w:w="962" w:type="dxa"/>
            <w:vMerge w:val="restart"/>
            <w:vAlign w:val="center"/>
          </w:tcPr>
          <w:p>
            <w:pPr>
              <w:spacing w:line="400" w:lineRule="exact"/>
              <w:jc w:val="center"/>
              <w:rPr>
                <w:rFonts w:ascii="Times New Roman" w:hAnsi="Times New Roman"/>
                <w:bCs/>
                <w:szCs w:val="21"/>
              </w:rPr>
            </w:pPr>
            <w:r>
              <w:rPr>
                <w:rFonts w:hint="eastAsia" w:ascii="Times New Roman" w:hAnsi="Times New Roman"/>
                <w:bCs/>
                <w:szCs w:val="21"/>
              </w:rPr>
              <w:t>大</w:t>
            </w:r>
          </w:p>
          <w:p>
            <w:pPr>
              <w:spacing w:line="400" w:lineRule="exact"/>
              <w:jc w:val="center"/>
              <w:rPr>
                <w:rFonts w:ascii="Times New Roman" w:hAnsi="Times New Roman"/>
                <w:bCs/>
                <w:szCs w:val="21"/>
              </w:rPr>
            </w:pPr>
            <w:r>
              <w:rPr>
                <w:rFonts w:hint="eastAsia" w:ascii="Times New Roman" w:hAnsi="Times New Roman"/>
                <w:bCs/>
                <w:szCs w:val="21"/>
              </w:rPr>
              <w:t>气</w:t>
            </w:r>
          </w:p>
          <w:p>
            <w:pPr>
              <w:spacing w:line="400" w:lineRule="exact"/>
              <w:jc w:val="center"/>
              <w:rPr>
                <w:rFonts w:ascii="Times New Roman" w:hAnsi="Times New Roman"/>
                <w:bCs/>
                <w:szCs w:val="21"/>
              </w:rPr>
            </w:pPr>
            <w:r>
              <w:rPr>
                <w:rFonts w:hint="eastAsia" w:ascii="Times New Roman" w:hAnsi="Times New Roman"/>
                <w:bCs/>
                <w:szCs w:val="21"/>
              </w:rPr>
              <w:t>污</w:t>
            </w:r>
          </w:p>
          <w:p>
            <w:pPr>
              <w:spacing w:line="400" w:lineRule="exact"/>
              <w:jc w:val="center"/>
              <w:rPr>
                <w:rFonts w:ascii="Times New Roman" w:hAnsi="Times New Roman"/>
                <w:bCs/>
                <w:szCs w:val="21"/>
              </w:rPr>
            </w:pPr>
            <w:r>
              <w:rPr>
                <w:rFonts w:hint="eastAsia" w:ascii="Times New Roman" w:hAnsi="Times New Roman"/>
                <w:bCs/>
                <w:szCs w:val="21"/>
              </w:rPr>
              <w:t>染</w:t>
            </w:r>
          </w:p>
          <w:p>
            <w:pPr>
              <w:spacing w:line="400" w:lineRule="exact"/>
              <w:jc w:val="center"/>
              <w:rPr>
                <w:rFonts w:ascii="Times New Roman" w:hAnsi="Times New Roman"/>
                <w:bCs/>
                <w:szCs w:val="21"/>
              </w:rPr>
            </w:pPr>
            <w:r>
              <w:rPr>
                <w:rFonts w:hint="eastAsia" w:ascii="Times New Roman" w:hAnsi="Times New Roman"/>
                <w:bCs/>
                <w:szCs w:val="21"/>
              </w:rPr>
              <w:t>物</w:t>
            </w:r>
          </w:p>
        </w:tc>
        <w:tc>
          <w:tcPr>
            <w:tcW w:w="2303" w:type="dxa"/>
            <w:gridSpan w:val="2"/>
            <w:vAlign w:val="center"/>
          </w:tcPr>
          <w:p>
            <w:pPr>
              <w:jc w:val="center"/>
              <w:rPr>
                <w:rFonts w:ascii="Times New Roman" w:hAnsi="Times New Roman"/>
                <w:bCs/>
                <w:szCs w:val="21"/>
              </w:rPr>
            </w:pPr>
            <w:r>
              <w:rPr>
                <w:rFonts w:hint="eastAsia" w:ascii="Times New Roman" w:hAnsi="Times New Roman"/>
                <w:szCs w:val="21"/>
              </w:rPr>
              <w:t>施工扬尘</w:t>
            </w:r>
          </w:p>
        </w:tc>
        <w:tc>
          <w:tcPr>
            <w:tcW w:w="1138" w:type="dxa"/>
            <w:tcBorders>
              <w:bottom w:val="single" w:color="auto" w:sz="4" w:space="0"/>
            </w:tcBorders>
            <w:vAlign w:val="center"/>
          </w:tcPr>
          <w:p>
            <w:pPr>
              <w:jc w:val="center"/>
              <w:rPr>
                <w:rFonts w:ascii="Times New Roman" w:hAnsi="Times New Roman"/>
                <w:bCs/>
                <w:szCs w:val="21"/>
              </w:rPr>
            </w:pPr>
            <w:r>
              <w:rPr>
                <w:rFonts w:ascii="Times New Roman" w:hAnsi="Times New Roman"/>
                <w:szCs w:val="21"/>
              </w:rPr>
              <w:t>TSP</w:t>
            </w:r>
          </w:p>
        </w:tc>
        <w:tc>
          <w:tcPr>
            <w:tcW w:w="2276" w:type="dxa"/>
            <w:tcBorders>
              <w:bottom w:val="single" w:color="auto" w:sz="4" w:space="0"/>
            </w:tcBorders>
            <w:vAlign w:val="center"/>
          </w:tcPr>
          <w:p>
            <w:pPr>
              <w:jc w:val="center"/>
              <w:rPr>
                <w:rFonts w:ascii="Times New Roman" w:hAnsi="Times New Roman"/>
                <w:bCs/>
                <w:szCs w:val="21"/>
              </w:rPr>
            </w:pPr>
            <w:r>
              <w:rPr>
                <w:rFonts w:hint="eastAsia" w:ascii="Times New Roman" w:hAnsi="Times New Roman"/>
                <w:szCs w:val="21"/>
              </w:rPr>
              <w:t>少量</w:t>
            </w:r>
          </w:p>
        </w:tc>
        <w:tc>
          <w:tcPr>
            <w:tcW w:w="2879" w:type="dxa"/>
            <w:tcBorders>
              <w:bottom w:val="single" w:color="auto" w:sz="4" w:space="0"/>
            </w:tcBorders>
            <w:vAlign w:val="center"/>
          </w:tcPr>
          <w:p>
            <w:pPr>
              <w:jc w:val="center"/>
              <w:rPr>
                <w:rFonts w:ascii="Times New Roman" w:hAnsi="Times New Roman"/>
                <w:bCs/>
                <w:szCs w:val="21"/>
              </w:rPr>
            </w:pPr>
            <w:r>
              <w:rPr>
                <w:rFonts w:hint="eastAsia" w:ascii="Times New Roman" w:hAnsi="Times New Roman"/>
                <w:szCs w:val="21"/>
              </w:rPr>
              <w:t>少量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900" w:hRule="atLeast"/>
        </w:trPr>
        <w:tc>
          <w:tcPr>
            <w:tcW w:w="962" w:type="dxa"/>
            <w:vMerge w:val="continue"/>
            <w:vAlign w:val="center"/>
          </w:tcPr>
          <w:p>
            <w:pPr>
              <w:spacing w:line="400" w:lineRule="exact"/>
              <w:jc w:val="center"/>
              <w:rPr>
                <w:rFonts w:ascii="Times New Roman" w:hAnsi="Times New Roman"/>
                <w:bCs/>
                <w:szCs w:val="21"/>
              </w:rPr>
            </w:pPr>
          </w:p>
        </w:tc>
        <w:tc>
          <w:tcPr>
            <w:tcW w:w="2303" w:type="dxa"/>
            <w:gridSpan w:val="2"/>
            <w:vMerge w:val="restart"/>
            <w:vAlign w:val="center"/>
          </w:tcPr>
          <w:p>
            <w:pPr>
              <w:spacing w:line="400" w:lineRule="exact"/>
              <w:jc w:val="center"/>
              <w:rPr>
                <w:rFonts w:ascii="Times New Roman" w:hAnsi="Times New Roman"/>
                <w:bCs/>
                <w:szCs w:val="21"/>
              </w:rPr>
            </w:pPr>
            <w:r>
              <w:rPr>
                <w:rFonts w:hint="eastAsia" w:ascii="Times New Roman" w:hAnsi="Times New Roman"/>
                <w:bCs/>
                <w:szCs w:val="21"/>
              </w:rPr>
              <w:t>营运期格栅、</w:t>
            </w:r>
            <w:r>
              <w:rPr>
                <w:rFonts w:hint="eastAsia" w:ascii="Times New Roman" w:hAnsi="Times New Roman"/>
                <w:szCs w:val="21"/>
              </w:rPr>
              <w:t>沉砂池、</w:t>
            </w:r>
            <w:r>
              <w:rPr>
                <w:rFonts w:ascii="Times New Roman" w:hAnsi="Times New Roman"/>
                <w:szCs w:val="21"/>
              </w:rPr>
              <w:t>AAO</w:t>
            </w:r>
            <w:r>
              <w:rPr>
                <w:rFonts w:hint="eastAsia" w:ascii="Times New Roman" w:hAnsi="Times New Roman"/>
                <w:szCs w:val="21"/>
              </w:rPr>
              <w:t>、贮泥池及污泥浓缩脱水间</w:t>
            </w:r>
          </w:p>
        </w:tc>
        <w:tc>
          <w:tcPr>
            <w:tcW w:w="1138" w:type="dxa"/>
            <w:tcBorders>
              <w:bottom w:val="single" w:color="auto" w:sz="4" w:space="0"/>
            </w:tcBorders>
            <w:vAlign w:val="center"/>
          </w:tcPr>
          <w:p>
            <w:pPr>
              <w:spacing w:line="500" w:lineRule="exact"/>
              <w:jc w:val="center"/>
              <w:rPr>
                <w:rFonts w:ascii="Times New Roman" w:hAnsi="Times New Roman"/>
                <w:bCs/>
                <w:szCs w:val="21"/>
              </w:rPr>
            </w:pPr>
            <w:r>
              <w:rPr>
                <w:rFonts w:ascii="Times New Roman" w:hAnsi="Times New Roman"/>
                <w:bCs/>
                <w:szCs w:val="21"/>
              </w:rPr>
              <w:t>H</w:t>
            </w:r>
            <w:r>
              <w:rPr>
                <w:rFonts w:ascii="Times New Roman" w:hAnsi="Times New Roman"/>
                <w:bCs/>
                <w:szCs w:val="21"/>
                <w:vertAlign w:val="subscript"/>
              </w:rPr>
              <w:t>2</w:t>
            </w:r>
            <w:r>
              <w:rPr>
                <w:rFonts w:ascii="Times New Roman" w:hAnsi="Times New Roman"/>
                <w:bCs/>
                <w:szCs w:val="21"/>
              </w:rPr>
              <w:t>S</w:t>
            </w:r>
          </w:p>
        </w:tc>
        <w:tc>
          <w:tcPr>
            <w:tcW w:w="2276" w:type="dxa"/>
            <w:tcBorders>
              <w:bottom w:val="single" w:color="auto" w:sz="4" w:space="0"/>
            </w:tcBorders>
            <w:vAlign w:val="center"/>
          </w:tcPr>
          <w:p>
            <w:pPr>
              <w:spacing w:line="500" w:lineRule="exact"/>
              <w:ind w:firstLine="31" w:firstLineChars="15"/>
              <w:jc w:val="center"/>
              <w:rPr>
                <w:rFonts w:ascii="Times New Roman" w:hAnsi="Times New Roman"/>
                <w:bCs/>
                <w:szCs w:val="21"/>
              </w:rPr>
            </w:pPr>
            <w:r>
              <w:rPr>
                <w:rFonts w:ascii="Times New Roman" w:hAnsi="Times New Roman"/>
                <w:bCs/>
                <w:szCs w:val="21"/>
              </w:rPr>
              <w:t>1.08mg/m</w:t>
            </w:r>
            <w:r>
              <w:rPr>
                <w:rFonts w:ascii="Times New Roman" w:hAnsi="Times New Roman"/>
                <w:bCs/>
                <w:szCs w:val="21"/>
                <w:vertAlign w:val="superscript"/>
              </w:rPr>
              <w:t>3</w:t>
            </w:r>
            <w:r>
              <w:rPr>
                <w:rFonts w:hint="eastAsia" w:ascii="Times New Roman" w:hAnsi="Times New Roman"/>
                <w:szCs w:val="21"/>
              </w:rPr>
              <w:t>；</w:t>
            </w:r>
            <w:r>
              <w:rPr>
                <w:rFonts w:ascii="Times New Roman" w:hAnsi="Times New Roman"/>
                <w:szCs w:val="21"/>
              </w:rPr>
              <w:t>0.565 t/a</w:t>
            </w:r>
          </w:p>
        </w:tc>
        <w:tc>
          <w:tcPr>
            <w:tcW w:w="2879" w:type="dxa"/>
            <w:tcBorders>
              <w:bottom w:val="single" w:color="auto" w:sz="4" w:space="0"/>
            </w:tcBorders>
            <w:vAlign w:val="center"/>
          </w:tcPr>
          <w:p>
            <w:pPr>
              <w:spacing w:line="500" w:lineRule="exact"/>
              <w:ind w:firstLine="420" w:firstLineChars="200"/>
              <w:jc w:val="center"/>
              <w:rPr>
                <w:rFonts w:ascii="Times New Roman" w:hAnsi="Times New Roman"/>
                <w:bCs/>
                <w:szCs w:val="21"/>
              </w:rPr>
            </w:pPr>
            <w:r>
              <w:rPr>
                <w:rFonts w:ascii="Times New Roman" w:hAnsi="Times New Roman"/>
                <w:szCs w:val="21"/>
              </w:rPr>
              <w:t>0.054</w:t>
            </w:r>
            <w:r>
              <w:rPr>
                <w:rFonts w:ascii="Times New Roman" w:hAnsi="Times New Roman"/>
                <w:bCs/>
                <w:szCs w:val="21"/>
              </w:rPr>
              <w:t>mg/m</w:t>
            </w:r>
            <w:r>
              <w:rPr>
                <w:rFonts w:ascii="Times New Roman" w:hAnsi="Times New Roman"/>
                <w:bCs/>
                <w:szCs w:val="21"/>
                <w:vertAlign w:val="superscript"/>
              </w:rPr>
              <w:t>3</w:t>
            </w:r>
            <w:r>
              <w:rPr>
                <w:rFonts w:hint="eastAsia" w:ascii="Times New Roman" w:hAnsi="Times New Roman"/>
                <w:szCs w:val="21"/>
              </w:rPr>
              <w:t>；</w:t>
            </w:r>
            <w:r>
              <w:rPr>
                <w:rFonts w:ascii="Times New Roman" w:hAnsi="Times New Roman"/>
                <w:szCs w:val="21"/>
              </w:rPr>
              <w:t>0.028t/a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trPr>
        <w:tc>
          <w:tcPr>
            <w:tcW w:w="962" w:type="dxa"/>
            <w:vMerge w:val="continue"/>
            <w:vAlign w:val="center"/>
          </w:tcPr>
          <w:p>
            <w:pPr>
              <w:spacing w:line="400" w:lineRule="exact"/>
              <w:jc w:val="center"/>
              <w:rPr>
                <w:rFonts w:ascii="Times New Roman" w:hAnsi="Times New Roman"/>
                <w:bCs/>
                <w:szCs w:val="21"/>
              </w:rPr>
            </w:pPr>
          </w:p>
        </w:tc>
        <w:tc>
          <w:tcPr>
            <w:tcW w:w="2303" w:type="dxa"/>
            <w:gridSpan w:val="2"/>
            <w:vMerge w:val="continue"/>
            <w:vAlign w:val="center"/>
          </w:tcPr>
          <w:p>
            <w:pPr>
              <w:spacing w:line="400" w:lineRule="exact"/>
              <w:jc w:val="center"/>
              <w:rPr>
                <w:rFonts w:ascii="Times New Roman" w:hAnsi="Times New Roman"/>
                <w:bCs/>
                <w:szCs w:val="21"/>
              </w:rPr>
            </w:pPr>
          </w:p>
        </w:tc>
        <w:tc>
          <w:tcPr>
            <w:tcW w:w="1138" w:type="dxa"/>
            <w:tcBorders>
              <w:top w:val="single" w:color="auto" w:sz="4" w:space="0"/>
            </w:tcBorders>
            <w:vAlign w:val="center"/>
          </w:tcPr>
          <w:p>
            <w:pPr>
              <w:spacing w:line="500" w:lineRule="exact"/>
              <w:jc w:val="center"/>
              <w:rPr>
                <w:rFonts w:ascii="Times New Roman" w:hAnsi="Times New Roman"/>
                <w:bCs/>
                <w:szCs w:val="21"/>
              </w:rPr>
            </w:pPr>
            <w:r>
              <w:rPr>
                <w:rFonts w:ascii="Times New Roman" w:hAnsi="Times New Roman"/>
                <w:bCs/>
                <w:szCs w:val="21"/>
              </w:rPr>
              <w:t>NH</w:t>
            </w:r>
            <w:r>
              <w:rPr>
                <w:rFonts w:ascii="Times New Roman" w:hAnsi="Times New Roman"/>
                <w:bCs/>
                <w:szCs w:val="21"/>
                <w:vertAlign w:val="subscript"/>
              </w:rPr>
              <w:t>3</w:t>
            </w:r>
          </w:p>
        </w:tc>
        <w:tc>
          <w:tcPr>
            <w:tcW w:w="2276" w:type="dxa"/>
            <w:tcBorders>
              <w:top w:val="single" w:color="auto" w:sz="4" w:space="0"/>
            </w:tcBorders>
            <w:vAlign w:val="center"/>
          </w:tcPr>
          <w:p>
            <w:pPr>
              <w:spacing w:line="500" w:lineRule="exact"/>
              <w:ind w:firstLine="31" w:firstLineChars="15"/>
              <w:jc w:val="center"/>
              <w:rPr>
                <w:rFonts w:ascii="Times New Roman" w:hAnsi="Times New Roman"/>
                <w:bCs/>
                <w:szCs w:val="21"/>
              </w:rPr>
            </w:pPr>
            <w:r>
              <w:rPr>
                <w:rFonts w:ascii="Times New Roman" w:hAnsi="Times New Roman"/>
                <w:bCs/>
                <w:szCs w:val="21"/>
              </w:rPr>
              <w:t>12.03mg/m</w:t>
            </w:r>
            <w:r>
              <w:rPr>
                <w:rFonts w:ascii="Times New Roman" w:hAnsi="Times New Roman"/>
                <w:bCs/>
                <w:szCs w:val="21"/>
                <w:vertAlign w:val="superscript"/>
              </w:rPr>
              <w:t>3</w:t>
            </w:r>
            <w:r>
              <w:rPr>
                <w:rFonts w:hint="eastAsia" w:ascii="Times New Roman" w:hAnsi="Times New Roman"/>
                <w:szCs w:val="21"/>
              </w:rPr>
              <w:t>；</w:t>
            </w:r>
            <w:r>
              <w:rPr>
                <w:rFonts w:ascii="Times New Roman" w:hAnsi="Times New Roman"/>
                <w:szCs w:val="21"/>
              </w:rPr>
              <w:t>6.326t/a</w:t>
            </w:r>
          </w:p>
        </w:tc>
        <w:tc>
          <w:tcPr>
            <w:tcW w:w="2879" w:type="dxa"/>
            <w:tcBorders>
              <w:top w:val="single" w:color="auto" w:sz="4" w:space="0"/>
            </w:tcBorders>
            <w:vAlign w:val="center"/>
          </w:tcPr>
          <w:p>
            <w:pPr>
              <w:spacing w:line="500" w:lineRule="exact"/>
              <w:ind w:firstLine="420" w:firstLineChars="200"/>
              <w:jc w:val="center"/>
              <w:rPr>
                <w:rFonts w:ascii="Times New Roman" w:hAnsi="Times New Roman"/>
                <w:bCs/>
                <w:szCs w:val="21"/>
              </w:rPr>
            </w:pPr>
            <w:r>
              <w:rPr>
                <w:rFonts w:ascii="Times New Roman" w:hAnsi="Times New Roman"/>
                <w:szCs w:val="21"/>
              </w:rPr>
              <w:t>0.602</w:t>
            </w:r>
            <w:r>
              <w:rPr>
                <w:rFonts w:ascii="Times New Roman" w:hAnsi="Times New Roman"/>
                <w:bCs/>
                <w:szCs w:val="21"/>
              </w:rPr>
              <w:t>.mg/m</w:t>
            </w:r>
            <w:r>
              <w:rPr>
                <w:rFonts w:ascii="Times New Roman" w:hAnsi="Times New Roman"/>
                <w:bCs/>
                <w:szCs w:val="21"/>
                <w:vertAlign w:val="superscript"/>
              </w:rPr>
              <w:t>3</w:t>
            </w:r>
            <w:r>
              <w:rPr>
                <w:rFonts w:hint="eastAsia" w:ascii="Times New Roman" w:hAnsi="Times New Roman"/>
                <w:szCs w:val="21"/>
              </w:rPr>
              <w:t>；</w:t>
            </w:r>
            <w:r>
              <w:rPr>
                <w:rFonts w:ascii="Times New Roman" w:hAnsi="Times New Roman"/>
                <w:szCs w:val="21"/>
              </w:rPr>
              <w:t>0.316t/a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95" w:hRule="atLeast"/>
        </w:trPr>
        <w:tc>
          <w:tcPr>
            <w:tcW w:w="962" w:type="dxa"/>
            <w:vMerge w:val="continue"/>
            <w:vAlign w:val="center"/>
          </w:tcPr>
          <w:p>
            <w:pPr>
              <w:spacing w:line="400" w:lineRule="exact"/>
              <w:jc w:val="center"/>
              <w:rPr>
                <w:rFonts w:ascii="Times New Roman" w:hAnsi="Times New Roman"/>
                <w:bCs/>
                <w:szCs w:val="21"/>
              </w:rPr>
            </w:pPr>
          </w:p>
        </w:tc>
        <w:tc>
          <w:tcPr>
            <w:tcW w:w="2303" w:type="dxa"/>
            <w:gridSpan w:val="2"/>
            <w:vMerge w:val="continue"/>
            <w:vAlign w:val="center"/>
          </w:tcPr>
          <w:p>
            <w:pPr>
              <w:spacing w:line="400" w:lineRule="exact"/>
              <w:jc w:val="center"/>
              <w:rPr>
                <w:rFonts w:ascii="Times New Roman" w:hAnsi="Times New Roman"/>
                <w:bCs/>
                <w:szCs w:val="21"/>
              </w:rPr>
            </w:pPr>
          </w:p>
        </w:tc>
        <w:tc>
          <w:tcPr>
            <w:tcW w:w="1138" w:type="dxa"/>
            <w:vAlign w:val="center"/>
          </w:tcPr>
          <w:p>
            <w:pPr>
              <w:spacing w:line="500" w:lineRule="exact"/>
              <w:jc w:val="center"/>
              <w:rPr>
                <w:rFonts w:ascii="Times New Roman" w:hAnsi="Times New Roman"/>
                <w:bCs/>
                <w:szCs w:val="21"/>
              </w:rPr>
            </w:pPr>
            <w:r>
              <w:rPr>
                <w:rFonts w:hint="eastAsia" w:ascii="Times New Roman" w:hAnsi="Times New Roman"/>
                <w:bCs/>
                <w:szCs w:val="21"/>
              </w:rPr>
              <w:t>臭气浓度</w:t>
            </w:r>
          </w:p>
        </w:tc>
        <w:tc>
          <w:tcPr>
            <w:tcW w:w="2276" w:type="dxa"/>
            <w:vAlign w:val="center"/>
          </w:tcPr>
          <w:p>
            <w:pPr>
              <w:spacing w:line="500" w:lineRule="exact"/>
              <w:ind w:firstLine="31" w:firstLineChars="15"/>
              <w:jc w:val="center"/>
              <w:rPr>
                <w:rFonts w:ascii="Times New Roman" w:hAnsi="Times New Roman"/>
                <w:bCs/>
                <w:szCs w:val="21"/>
              </w:rPr>
            </w:pPr>
            <w:r>
              <w:rPr>
                <w:rFonts w:ascii="Times New Roman" w:hAnsi="Times New Roman"/>
                <w:bCs/>
                <w:szCs w:val="21"/>
              </w:rPr>
              <w:t>63~162</w:t>
            </w:r>
          </w:p>
        </w:tc>
        <w:tc>
          <w:tcPr>
            <w:tcW w:w="2879" w:type="dxa"/>
            <w:vAlign w:val="center"/>
          </w:tcPr>
          <w:p>
            <w:pPr>
              <w:spacing w:line="500" w:lineRule="exact"/>
              <w:ind w:firstLine="420" w:firstLineChars="200"/>
              <w:jc w:val="center"/>
              <w:rPr>
                <w:rFonts w:ascii="Times New Roman" w:hAnsi="Times New Roman"/>
                <w:bCs/>
                <w:szCs w:val="21"/>
              </w:rPr>
            </w:pPr>
            <w:r>
              <w:rPr>
                <w:rFonts w:ascii="Times New Roman" w:hAnsi="Times New Roman"/>
                <w:bCs/>
                <w:szCs w:val="21"/>
              </w:rPr>
              <w:t>63~162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285" w:hRule="atLeast"/>
        </w:trPr>
        <w:tc>
          <w:tcPr>
            <w:tcW w:w="962" w:type="dxa"/>
            <w:vMerge w:val="continue"/>
            <w:vAlign w:val="center"/>
          </w:tcPr>
          <w:p>
            <w:pPr>
              <w:spacing w:line="400" w:lineRule="exact"/>
              <w:jc w:val="center"/>
              <w:rPr>
                <w:rFonts w:ascii="Times New Roman" w:hAnsi="Times New Roman"/>
                <w:bCs/>
                <w:szCs w:val="21"/>
              </w:rPr>
            </w:pPr>
          </w:p>
        </w:tc>
        <w:tc>
          <w:tcPr>
            <w:tcW w:w="2303" w:type="dxa"/>
            <w:gridSpan w:val="2"/>
            <w:vMerge w:val="continue"/>
            <w:vAlign w:val="center"/>
          </w:tcPr>
          <w:p>
            <w:pPr>
              <w:spacing w:line="400" w:lineRule="exact"/>
              <w:jc w:val="center"/>
              <w:rPr>
                <w:rFonts w:ascii="Times New Roman" w:hAnsi="Times New Roman"/>
                <w:bCs/>
                <w:szCs w:val="21"/>
              </w:rPr>
            </w:pPr>
          </w:p>
        </w:tc>
        <w:tc>
          <w:tcPr>
            <w:tcW w:w="1138" w:type="dxa"/>
            <w:vAlign w:val="center"/>
          </w:tcPr>
          <w:p>
            <w:pPr>
              <w:spacing w:line="500" w:lineRule="exact"/>
              <w:jc w:val="center"/>
              <w:rPr>
                <w:rFonts w:ascii="Times New Roman" w:hAnsi="Times New Roman"/>
                <w:bCs/>
                <w:szCs w:val="21"/>
                <w:highlight w:val="yellow"/>
              </w:rPr>
            </w:pPr>
            <w:r>
              <w:rPr>
                <w:rFonts w:hint="eastAsia" w:ascii="Times New Roman" w:hAnsi="Times New Roman"/>
                <w:bCs/>
                <w:szCs w:val="21"/>
              </w:rPr>
              <w:t>甲烷</w:t>
            </w:r>
          </w:p>
        </w:tc>
        <w:tc>
          <w:tcPr>
            <w:tcW w:w="2276" w:type="dxa"/>
            <w:vAlign w:val="center"/>
          </w:tcPr>
          <w:p>
            <w:pPr>
              <w:spacing w:line="500" w:lineRule="exact"/>
              <w:ind w:firstLine="31" w:firstLineChars="15"/>
              <w:jc w:val="center"/>
              <w:rPr>
                <w:rFonts w:ascii="Times New Roman" w:hAnsi="Times New Roman"/>
                <w:bCs/>
                <w:szCs w:val="21"/>
              </w:rPr>
            </w:pPr>
            <w:r>
              <w:rPr>
                <w:rFonts w:ascii="Times New Roman" w:hAnsi="Times New Roman"/>
                <w:bCs/>
                <w:szCs w:val="21"/>
              </w:rPr>
              <w:t>1.83t/a</w:t>
            </w:r>
          </w:p>
        </w:tc>
        <w:tc>
          <w:tcPr>
            <w:tcW w:w="2879" w:type="dxa"/>
            <w:tcBorders>
              <w:bottom w:val="single" w:color="auto" w:sz="4" w:space="0"/>
            </w:tcBorders>
            <w:vAlign w:val="center"/>
          </w:tcPr>
          <w:p>
            <w:pPr>
              <w:spacing w:line="500" w:lineRule="exact"/>
              <w:ind w:firstLine="420" w:firstLineChars="200"/>
              <w:jc w:val="center"/>
              <w:rPr>
                <w:rFonts w:ascii="Times New Roman" w:hAnsi="Times New Roman"/>
                <w:bCs/>
                <w:szCs w:val="21"/>
              </w:rPr>
            </w:pPr>
            <w:r>
              <w:rPr>
                <w:rFonts w:ascii="Times New Roman" w:hAnsi="Times New Roman"/>
                <w:bCs/>
                <w:szCs w:val="21"/>
              </w:rPr>
              <w:t>1.83t/a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743" w:hRule="atLeast"/>
        </w:trPr>
        <w:tc>
          <w:tcPr>
            <w:tcW w:w="962" w:type="dxa"/>
            <w:vMerge w:val="restart"/>
            <w:vAlign w:val="center"/>
          </w:tcPr>
          <w:p>
            <w:pPr>
              <w:spacing w:line="400" w:lineRule="exact"/>
              <w:jc w:val="center"/>
              <w:rPr>
                <w:rFonts w:ascii="Times New Roman" w:hAnsi="Times New Roman"/>
                <w:bCs/>
                <w:szCs w:val="21"/>
              </w:rPr>
            </w:pPr>
            <w:r>
              <w:rPr>
                <w:rFonts w:hint="eastAsia" w:ascii="Times New Roman" w:hAnsi="Times New Roman"/>
                <w:bCs/>
                <w:szCs w:val="21"/>
              </w:rPr>
              <w:t>水</w:t>
            </w:r>
          </w:p>
          <w:p>
            <w:pPr>
              <w:spacing w:line="400" w:lineRule="exact"/>
              <w:jc w:val="center"/>
              <w:rPr>
                <w:rFonts w:ascii="Times New Roman" w:hAnsi="Times New Roman"/>
                <w:bCs/>
                <w:szCs w:val="21"/>
              </w:rPr>
            </w:pPr>
            <w:r>
              <w:rPr>
                <w:rFonts w:hint="eastAsia" w:ascii="Times New Roman" w:hAnsi="Times New Roman"/>
                <w:bCs/>
                <w:szCs w:val="21"/>
              </w:rPr>
              <w:t>污</w:t>
            </w:r>
          </w:p>
          <w:p>
            <w:pPr>
              <w:spacing w:line="400" w:lineRule="exact"/>
              <w:jc w:val="center"/>
              <w:rPr>
                <w:rFonts w:ascii="Times New Roman" w:hAnsi="Times New Roman"/>
                <w:bCs/>
                <w:szCs w:val="21"/>
              </w:rPr>
            </w:pPr>
            <w:r>
              <w:rPr>
                <w:rFonts w:hint="eastAsia" w:ascii="Times New Roman" w:hAnsi="Times New Roman"/>
                <w:bCs/>
                <w:szCs w:val="21"/>
              </w:rPr>
              <w:t>染</w:t>
            </w:r>
          </w:p>
          <w:p>
            <w:pPr>
              <w:spacing w:line="400" w:lineRule="exact"/>
              <w:jc w:val="center"/>
              <w:rPr>
                <w:rFonts w:ascii="Times New Roman" w:hAnsi="Times New Roman"/>
                <w:bCs/>
                <w:szCs w:val="21"/>
              </w:rPr>
            </w:pPr>
            <w:r>
              <w:rPr>
                <w:rFonts w:hint="eastAsia" w:ascii="Times New Roman" w:hAnsi="Times New Roman"/>
                <w:bCs/>
                <w:szCs w:val="21"/>
              </w:rPr>
              <w:t>物</w:t>
            </w:r>
          </w:p>
        </w:tc>
        <w:tc>
          <w:tcPr>
            <w:tcW w:w="2303" w:type="dxa"/>
            <w:gridSpan w:val="2"/>
            <w:vAlign w:val="center"/>
          </w:tcPr>
          <w:p>
            <w:pPr>
              <w:jc w:val="center"/>
              <w:rPr>
                <w:rFonts w:ascii="Times New Roman" w:hAnsi="Times New Roman"/>
                <w:bCs/>
                <w:szCs w:val="21"/>
              </w:rPr>
            </w:pPr>
            <w:r>
              <w:rPr>
                <w:rFonts w:hint="eastAsia" w:ascii="Times New Roman" w:hAnsi="Times New Roman"/>
                <w:szCs w:val="21"/>
              </w:rPr>
              <w:t>施工废水</w:t>
            </w:r>
          </w:p>
        </w:tc>
        <w:tc>
          <w:tcPr>
            <w:tcW w:w="1138" w:type="dxa"/>
            <w:tcBorders>
              <w:top w:val="single" w:color="auto" w:sz="4" w:space="0"/>
            </w:tcBorders>
            <w:vAlign w:val="center"/>
          </w:tcPr>
          <w:p>
            <w:pPr>
              <w:jc w:val="center"/>
              <w:rPr>
                <w:rFonts w:ascii="Times New Roman" w:hAnsi="Times New Roman"/>
                <w:bCs/>
                <w:szCs w:val="21"/>
              </w:rPr>
            </w:pPr>
            <w:r>
              <w:rPr>
                <w:rFonts w:ascii="Times New Roman" w:hAnsi="Times New Roman"/>
                <w:szCs w:val="21"/>
              </w:rPr>
              <w:t>SS</w:t>
            </w:r>
            <w:r>
              <w:rPr>
                <w:rFonts w:hint="eastAsia" w:ascii="Times New Roman" w:hAnsi="Times New Roman"/>
                <w:szCs w:val="21"/>
              </w:rPr>
              <w:t>、石油类</w:t>
            </w:r>
          </w:p>
        </w:tc>
        <w:tc>
          <w:tcPr>
            <w:tcW w:w="2276" w:type="dxa"/>
            <w:vAlign w:val="center"/>
          </w:tcPr>
          <w:p>
            <w:pPr>
              <w:jc w:val="center"/>
              <w:rPr>
                <w:rFonts w:ascii="Times New Roman" w:hAnsi="Times New Roman"/>
                <w:bCs/>
                <w:szCs w:val="21"/>
              </w:rPr>
            </w:pPr>
            <w:r>
              <w:rPr>
                <w:rFonts w:hint="eastAsia" w:ascii="Times New Roman" w:hAnsi="Times New Roman"/>
                <w:szCs w:val="21"/>
              </w:rPr>
              <w:t>少量</w:t>
            </w:r>
          </w:p>
        </w:tc>
        <w:tc>
          <w:tcPr>
            <w:tcW w:w="2879" w:type="dxa"/>
            <w:vAlign w:val="center"/>
          </w:tcPr>
          <w:p>
            <w:pPr>
              <w:jc w:val="center"/>
              <w:rPr>
                <w:rFonts w:ascii="Times New Roman" w:hAnsi="Times New Roman"/>
                <w:bCs/>
                <w:szCs w:val="21"/>
              </w:rPr>
            </w:pPr>
            <w:r>
              <w:rPr>
                <w:rFonts w:hint="eastAsia" w:ascii="Times New Roman" w:hAnsi="Times New Roman"/>
                <w:szCs w:val="21"/>
              </w:rPr>
              <w:t>经沉淀后回用，不外排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84" w:hRule="atLeast"/>
        </w:trPr>
        <w:tc>
          <w:tcPr>
            <w:tcW w:w="962" w:type="dxa"/>
            <w:vMerge w:val="continue"/>
            <w:vAlign w:val="center"/>
          </w:tcPr>
          <w:p>
            <w:pPr>
              <w:spacing w:line="400" w:lineRule="exact"/>
              <w:jc w:val="center"/>
              <w:rPr>
                <w:rFonts w:ascii="Times New Roman" w:hAnsi="Times New Roman"/>
                <w:bCs/>
                <w:szCs w:val="21"/>
              </w:rPr>
            </w:pPr>
          </w:p>
        </w:tc>
        <w:tc>
          <w:tcPr>
            <w:tcW w:w="2303" w:type="dxa"/>
            <w:gridSpan w:val="2"/>
            <w:vMerge w:val="restart"/>
            <w:vAlign w:val="center"/>
          </w:tcPr>
          <w:p>
            <w:pPr>
              <w:spacing w:line="400" w:lineRule="exact"/>
              <w:jc w:val="center"/>
              <w:rPr>
                <w:rFonts w:ascii="Times New Roman" w:hAnsi="Times New Roman"/>
                <w:bCs/>
                <w:szCs w:val="21"/>
              </w:rPr>
            </w:pPr>
            <w:r>
              <w:rPr>
                <w:rFonts w:hint="eastAsia" w:ascii="Times New Roman" w:hAnsi="Times New Roman"/>
                <w:bCs/>
                <w:szCs w:val="21"/>
              </w:rPr>
              <w:t>运营期污水排放口</w:t>
            </w:r>
          </w:p>
        </w:tc>
        <w:tc>
          <w:tcPr>
            <w:tcW w:w="1138" w:type="dxa"/>
            <w:tcBorders>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污水量</w:t>
            </w:r>
          </w:p>
        </w:tc>
        <w:tc>
          <w:tcPr>
            <w:tcW w:w="2276" w:type="dxa"/>
            <w:tcBorders>
              <w:bottom w:val="single" w:color="auto" w:sz="4" w:space="0"/>
            </w:tcBorders>
            <w:vAlign w:val="center"/>
          </w:tcPr>
          <w:p>
            <w:pPr>
              <w:spacing w:line="400" w:lineRule="exact"/>
              <w:jc w:val="center"/>
              <w:rPr>
                <w:rFonts w:ascii="Times New Roman" w:hAnsi="Times New Roman"/>
                <w:bCs/>
                <w:szCs w:val="21"/>
              </w:rPr>
            </w:pPr>
            <w:r>
              <w:rPr>
                <w:rFonts w:ascii="Times New Roman" w:hAnsi="Times New Roman"/>
                <w:bCs/>
                <w:szCs w:val="21"/>
              </w:rPr>
              <w:t>Q=5475000</w:t>
            </w:r>
            <w:r>
              <w:rPr>
                <w:rFonts w:hint="eastAsia" w:ascii="Times New Roman" w:hAnsi="Times New Roman"/>
                <w:bCs/>
                <w:szCs w:val="21"/>
              </w:rPr>
              <w:t>吨</w:t>
            </w:r>
            <w:r>
              <w:rPr>
                <w:rFonts w:ascii="Times New Roman" w:hAnsi="Times New Roman"/>
                <w:bCs/>
                <w:szCs w:val="21"/>
              </w:rPr>
              <w:t>/</w:t>
            </w:r>
            <w:r>
              <w:rPr>
                <w:rFonts w:hint="eastAsia" w:ascii="Times New Roman" w:hAnsi="Times New Roman"/>
                <w:bCs/>
                <w:szCs w:val="21"/>
              </w:rPr>
              <w:t>年</w:t>
            </w:r>
          </w:p>
        </w:tc>
        <w:tc>
          <w:tcPr>
            <w:tcW w:w="2879" w:type="dxa"/>
            <w:tcBorders>
              <w:bottom w:val="single" w:color="auto" w:sz="4" w:space="0"/>
            </w:tcBorders>
            <w:vAlign w:val="center"/>
          </w:tcPr>
          <w:p>
            <w:pPr>
              <w:spacing w:line="400" w:lineRule="exact"/>
              <w:jc w:val="center"/>
              <w:rPr>
                <w:rFonts w:ascii="Times New Roman" w:hAnsi="Times New Roman"/>
                <w:bCs/>
                <w:szCs w:val="21"/>
              </w:rPr>
            </w:pPr>
            <w:r>
              <w:rPr>
                <w:rFonts w:ascii="Times New Roman" w:hAnsi="Times New Roman"/>
                <w:bCs/>
                <w:szCs w:val="21"/>
              </w:rPr>
              <w:t>Q=5475000</w:t>
            </w:r>
            <w:r>
              <w:rPr>
                <w:rFonts w:hint="eastAsia" w:ascii="Times New Roman" w:hAnsi="Times New Roman"/>
                <w:bCs/>
                <w:szCs w:val="21"/>
              </w:rPr>
              <w:t>吨</w:t>
            </w:r>
            <w:r>
              <w:rPr>
                <w:rFonts w:ascii="Times New Roman" w:hAnsi="Times New Roman"/>
                <w:bCs/>
                <w:szCs w:val="21"/>
              </w:rPr>
              <w:t>/</w:t>
            </w:r>
            <w:r>
              <w:rPr>
                <w:rFonts w:hint="eastAsia" w:ascii="Times New Roman" w:hAnsi="Times New Roman"/>
                <w:bCs/>
                <w:szCs w:val="21"/>
              </w:rPr>
              <w:t>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694" w:hRule="atLeast"/>
        </w:trPr>
        <w:tc>
          <w:tcPr>
            <w:tcW w:w="962" w:type="dxa"/>
            <w:vMerge w:val="continue"/>
            <w:vAlign w:val="center"/>
          </w:tcPr>
          <w:p>
            <w:pPr>
              <w:spacing w:line="400" w:lineRule="exact"/>
              <w:jc w:val="center"/>
              <w:rPr>
                <w:rFonts w:ascii="Times New Roman" w:hAnsi="Times New Roman"/>
                <w:bCs/>
                <w:szCs w:val="21"/>
              </w:rPr>
            </w:pPr>
          </w:p>
        </w:tc>
        <w:tc>
          <w:tcPr>
            <w:tcW w:w="2303" w:type="dxa"/>
            <w:gridSpan w:val="2"/>
            <w:vMerge w:val="continue"/>
            <w:vAlign w:val="center"/>
          </w:tcPr>
          <w:p>
            <w:pPr>
              <w:spacing w:line="400" w:lineRule="exact"/>
              <w:jc w:val="center"/>
              <w:rPr>
                <w:rFonts w:ascii="Times New Roman" w:hAnsi="Times New Roman"/>
                <w:bCs/>
                <w:szCs w:val="21"/>
              </w:rPr>
            </w:pPr>
          </w:p>
        </w:tc>
        <w:tc>
          <w:tcPr>
            <w:tcW w:w="1138" w:type="dxa"/>
            <w:tcBorders>
              <w:top w:val="single" w:color="auto" w:sz="4" w:space="0"/>
            </w:tcBorders>
            <w:vAlign w:val="center"/>
          </w:tcPr>
          <w:p>
            <w:pPr>
              <w:jc w:val="center"/>
              <w:rPr>
                <w:rFonts w:ascii="Times New Roman" w:hAnsi="Times New Roman"/>
                <w:szCs w:val="21"/>
              </w:rPr>
            </w:pPr>
            <w:r>
              <w:rPr>
                <w:rFonts w:ascii="Times New Roman" w:hAnsi="Times New Roman"/>
                <w:szCs w:val="21"/>
              </w:rPr>
              <w:t>COD</w:t>
            </w:r>
          </w:p>
          <w:p>
            <w:pPr>
              <w:jc w:val="center"/>
              <w:rPr>
                <w:rFonts w:ascii="Times New Roman" w:hAnsi="Times New Roman"/>
                <w:szCs w:val="21"/>
              </w:rPr>
            </w:pPr>
            <w:r>
              <w:rPr>
                <w:rFonts w:ascii="Times New Roman" w:hAnsi="Times New Roman"/>
                <w:szCs w:val="21"/>
              </w:rPr>
              <w:t>BOD</w:t>
            </w:r>
            <w:r>
              <w:rPr>
                <w:rFonts w:ascii="Times New Roman" w:hAnsi="Times New Roman"/>
                <w:szCs w:val="21"/>
                <w:vertAlign w:val="subscript"/>
              </w:rPr>
              <w:t>5</w:t>
            </w:r>
          </w:p>
          <w:p>
            <w:pPr>
              <w:jc w:val="center"/>
              <w:rPr>
                <w:rFonts w:ascii="Times New Roman" w:hAnsi="Times New Roman"/>
                <w:szCs w:val="21"/>
              </w:rPr>
            </w:pPr>
            <w:r>
              <w:rPr>
                <w:rFonts w:ascii="Times New Roman" w:hAnsi="Times New Roman"/>
                <w:szCs w:val="21"/>
              </w:rPr>
              <w:t>SS</w:t>
            </w:r>
          </w:p>
          <w:p>
            <w:pPr>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p>
          <w:p>
            <w:pPr>
              <w:jc w:val="center"/>
              <w:rPr>
                <w:rFonts w:ascii="Times New Roman" w:hAnsi="Times New Roman"/>
                <w:szCs w:val="21"/>
              </w:rPr>
            </w:pPr>
            <w:r>
              <w:rPr>
                <w:rFonts w:ascii="Times New Roman" w:hAnsi="Times New Roman"/>
                <w:szCs w:val="21"/>
              </w:rPr>
              <w:t>TN</w:t>
            </w:r>
          </w:p>
          <w:p>
            <w:pPr>
              <w:pStyle w:val="2"/>
              <w:jc w:val="center"/>
              <w:rPr>
                <w:sz w:val="21"/>
                <w:szCs w:val="21"/>
              </w:rPr>
            </w:pPr>
            <w:r>
              <w:rPr>
                <w:bCs/>
                <w:sz w:val="21"/>
                <w:szCs w:val="21"/>
              </w:rPr>
              <w:t>TP</w:t>
            </w:r>
          </w:p>
        </w:tc>
        <w:tc>
          <w:tcPr>
            <w:tcW w:w="2276" w:type="dxa"/>
            <w:tcBorders>
              <w:top w:val="single" w:color="auto" w:sz="4" w:space="0"/>
            </w:tcBorders>
            <w:vAlign w:val="center"/>
          </w:tcPr>
          <w:p>
            <w:pPr>
              <w:jc w:val="center"/>
              <w:rPr>
                <w:rFonts w:ascii="Times New Roman" w:hAnsi="Times New Roman"/>
                <w:szCs w:val="21"/>
              </w:rPr>
            </w:pPr>
            <w:r>
              <w:rPr>
                <w:rFonts w:ascii="Times New Roman" w:hAnsi="Times New Roman"/>
                <w:szCs w:val="21"/>
              </w:rPr>
              <w:t>300mg/L</w:t>
            </w:r>
            <w:r>
              <w:rPr>
                <w:rFonts w:hint="eastAsia" w:ascii="Times New Roman" w:hAnsi="Times New Roman"/>
                <w:szCs w:val="21"/>
              </w:rPr>
              <w:t>；</w:t>
            </w:r>
            <w:r>
              <w:rPr>
                <w:rFonts w:ascii="Times New Roman" w:hAnsi="Times New Roman"/>
                <w:szCs w:val="21"/>
              </w:rPr>
              <w:t>1642.5t/a</w:t>
            </w:r>
          </w:p>
          <w:p>
            <w:pPr>
              <w:jc w:val="center"/>
              <w:rPr>
                <w:rFonts w:ascii="Times New Roman" w:hAnsi="Times New Roman"/>
                <w:szCs w:val="21"/>
              </w:rPr>
            </w:pPr>
            <w:r>
              <w:rPr>
                <w:rFonts w:ascii="Times New Roman" w:hAnsi="Times New Roman"/>
                <w:szCs w:val="21"/>
              </w:rPr>
              <w:t>150mg/L</w:t>
            </w:r>
            <w:r>
              <w:rPr>
                <w:rFonts w:hint="eastAsia" w:ascii="Times New Roman" w:hAnsi="Times New Roman"/>
                <w:szCs w:val="21"/>
              </w:rPr>
              <w:t>；</w:t>
            </w:r>
            <w:r>
              <w:rPr>
                <w:rFonts w:ascii="Times New Roman" w:hAnsi="Times New Roman"/>
                <w:szCs w:val="21"/>
              </w:rPr>
              <w:t>821.25t/a</w:t>
            </w:r>
          </w:p>
          <w:p>
            <w:pPr>
              <w:jc w:val="center"/>
              <w:rPr>
                <w:rFonts w:ascii="Times New Roman" w:hAnsi="Times New Roman"/>
                <w:szCs w:val="21"/>
              </w:rPr>
            </w:pPr>
            <w:r>
              <w:rPr>
                <w:rFonts w:ascii="Times New Roman" w:hAnsi="Times New Roman"/>
                <w:szCs w:val="21"/>
              </w:rPr>
              <w:t>200mg/L</w:t>
            </w:r>
            <w:r>
              <w:rPr>
                <w:rFonts w:hint="eastAsia" w:ascii="Times New Roman" w:hAnsi="Times New Roman"/>
                <w:szCs w:val="21"/>
              </w:rPr>
              <w:t>；</w:t>
            </w:r>
            <w:r>
              <w:rPr>
                <w:rFonts w:ascii="Times New Roman" w:hAnsi="Times New Roman"/>
                <w:szCs w:val="21"/>
              </w:rPr>
              <w:t>1095t/a</w:t>
            </w:r>
          </w:p>
          <w:p>
            <w:pPr>
              <w:jc w:val="center"/>
              <w:rPr>
                <w:rFonts w:ascii="Times New Roman" w:hAnsi="Times New Roman"/>
                <w:szCs w:val="21"/>
              </w:rPr>
            </w:pPr>
            <w:r>
              <w:rPr>
                <w:rFonts w:ascii="Times New Roman" w:hAnsi="Times New Roman"/>
                <w:szCs w:val="21"/>
              </w:rPr>
              <w:t>25mg/L</w:t>
            </w:r>
            <w:r>
              <w:rPr>
                <w:rFonts w:hint="eastAsia" w:ascii="Times New Roman" w:hAnsi="Times New Roman"/>
                <w:szCs w:val="21"/>
              </w:rPr>
              <w:t>；</w:t>
            </w:r>
            <w:r>
              <w:rPr>
                <w:rFonts w:ascii="Times New Roman" w:hAnsi="Times New Roman"/>
                <w:szCs w:val="21"/>
              </w:rPr>
              <w:t>136.88t/a</w:t>
            </w:r>
          </w:p>
          <w:p>
            <w:pPr>
              <w:jc w:val="center"/>
              <w:rPr>
                <w:rFonts w:ascii="Times New Roman" w:hAnsi="Times New Roman"/>
                <w:szCs w:val="21"/>
              </w:rPr>
            </w:pPr>
            <w:r>
              <w:rPr>
                <w:rFonts w:ascii="Times New Roman" w:hAnsi="Times New Roman"/>
                <w:szCs w:val="21"/>
              </w:rPr>
              <w:t>40mg/L</w:t>
            </w:r>
            <w:r>
              <w:rPr>
                <w:rFonts w:hint="eastAsia" w:ascii="Times New Roman" w:hAnsi="Times New Roman"/>
                <w:szCs w:val="21"/>
              </w:rPr>
              <w:t>；</w:t>
            </w:r>
            <w:r>
              <w:rPr>
                <w:rFonts w:ascii="Times New Roman" w:hAnsi="Times New Roman"/>
                <w:szCs w:val="21"/>
              </w:rPr>
              <w:t>219t/a</w:t>
            </w:r>
          </w:p>
          <w:p>
            <w:pPr>
              <w:pStyle w:val="2"/>
              <w:jc w:val="center"/>
              <w:rPr>
                <w:sz w:val="21"/>
                <w:szCs w:val="21"/>
              </w:rPr>
            </w:pPr>
            <w:r>
              <w:rPr>
                <w:sz w:val="21"/>
                <w:szCs w:val="21"/>
              </w:rPr>
              <w:t>4.0mg/L</w:t>
            </w:r>
            <w:r>
              <w:rPr>
                <w:rFonts w:hint="eastAsia"/>
                <w:sz w:val="21"/>
                <w:szCs w:val="21"/>
              </w:rPr>
              <w:t>；</w:t>
            </w:r>
            <w:r>
              <w:rPr>
                <w:sz w:val="21"/>
                <w:szCs w:val="21"/>
              </w:rPr>
              <w:t>21.9t/a</w:t>
            </w:r>
          </w:p>
        </w:tc>
        <w:tc>
          <w:tcPr>
            <w:tcW w:w="2879" w:type="dxa"/>
            <w:tcBorders>
              <w:top w:val="single" w:color="auto" w:sz="4" w:space="0"/>
            </w:tcBorders>
            <w:vAlign w:val="center"/>
          </w:tcPr>
          <w:p>
            <w:pPr>
              <w:rPr>
                <w:rFonts w:ascii="Times New Roman" w:hAnsi="Times New Roman"/>
                <w:szCs w:val="21"/>
              </w:rPr>
            </w:pPr>
            <w:r>
              <w:rPr>
                <w:rFonts w:ascii="Times New Roman" w:hAnsi="Times New Roman"/>
                <w:szCs w:val="21"/>
              </w:rPr>
              <w:t>50mg/L</w:t>
            </w:r>
            <w:r>
              <w:rPr>
                <w:rFonts w:hint="eastAsia" w:ascii="Times New Roman" w:hAnsi="Times New Roman"/>
                <w:szCs w:val="21"/>
              </w:rPr>
              <w:t>；</w:t>
            </w:r>
            <w:r>
              <w:rPr>
                <w:rFonts w:ascii="Times New Roman" w:hAnsi="Times New Roman"/>
                <w:szCs w:val="21"/>
              </w:rPr>
              <w:t>273.75t/a</w:t>
            </w:r>
          </w:p>
          <w:p>
            <w:pPr>
              <w:rPr>
                <w:rFonts w:ascii="Times New Roman" w:hAnsi="Times New Roman"/>
                <w:szCs w:val="21"/>
              </w:rPr>
            </w:pPr>
            <w:r>
              <w:rPr>
                <w:rFonts w:ascii="Times New Roman" w:hAnsi="Times New Roman"/>
                <w:szCs w:val="21"/>
              </w:rPr>
              <w:t>10mg/L</w:t>
            </w:r>
            <w:r>
              <w:rPr>
                <w:rFonts w:hint="eastAsia" w:ascii="Times New Roman" w:hAnsi="Times New Roman"/>
                <w:szCs w:val="21"/>
              </w:rPr>
              <w:t>；</w:t>
            </w:r>
            <w:r>
              <w:rPr>
                <w:rFonts w:ascii="Times New Roman" w:hAnsi="Times New Roman"/>
                <w:szCs w:val="21"/>
              </w:rPr>
              <w:t>54.75t/a</w:t>
            </w:r>
          </w:p>
          <w:p>
            <w:pPr>
              <w:rPr>
                <w:rFonts w:ascii="Times New Roman" w:hAnsi="Times New Roman"/>
                <w:szCs w:val="21"/>
              </w:rPr>
            </w:pPr>
            <w:r>
              <w:rPr>
                <w:rFonts w:ascii="Times New Roman" w:hAnsi="Times New Roman"/>
                <w:szCs w:val="21"/>
              </w:rPr>
              <w:t>10mg/L</w:t>
            </w:r>
            <w:r>
              <w:rPr>
                <w:rFonts w:hint="eastAsia" w:ascii="Times New Roman" w:hAnsi="Times New Roman"/>
                <w:szCs w:val="21"/>
              </w:rPr>
              <w:t>；</w:t>
            </w:r>
            <w:r>
              <w:rPr>
                <w:rFonts w:ascii="Times New Roman" w:hAnsi="Times New Roman"/>
                <w:szCs w:val="21"/>
              </w:rPr>
              <w:t>54.75t/a</w:t>
            </w:r>
          </w:p>
          <w:p>
            <w:pPr>
              <w:rPr>
                <w:rFonts w:ascii="Times New Roman" w:hAnsi="Times New Roman"/>
                <w:szCs w:val="21"/>
              </w:rPr>
            </w:pPr>
            <w:r>
              <w:rPr>
                <w:rFonts w:ascii="Times New Roman" w:hAnsi="Times New Roman"/>
                <w:szCs w:val="21"/>
              </w:rPr>
              <w:t>5mg/L</w:t>
            </w:r>
            <w:r>
              <w:rPr>
                <w:rFonts w:hint="eastAsia" w:ascii="Times New Roman" w:hAnsi="Times New Roman"/>
                <w:szCs w:val="21"/>
              </w:rPr>
              <w:t>；</w:t>
            </w:r>
            <w:r>
              <w:rPr>
                <w:rFonts w:ascii="Times New Roman" w:hAnsi="Times New Roman"/>
                <w:szCs w:val="21"/>
              </w:rPr>
              <w:t>27.38t/a</w:t>
            </w:r>
          </w:p>
          <w:p>
            <w:pPr>
              <w:rPr>
                <w:rFonts w:ascii="Times New Roman" w:hAnsi="Times New Roman"/>
                <w:szCs w:val="21"/>
              </w:rPr>
            </w:pPr>
            <w:r>
              <w:rPr>
                <w:rFonts w:ascii="Times New Roman" w:hAnsi="Times New Roman"/>
                <w:szCs w:val="21"/>
              </w:rPr>
              <w:t>15mg/L</w:t>
            </w:r>
            <w:r>
              <w:rPr>
                <w:rFonts w:hint="eastAsia" w:ascii="Times New Roman" w:hAnsi="Times New Roman"/>
                <w:szCs w:val="21"/>
              </w:rPr>
              <w:t>；</w:t>
            </w:r>
            <w:r>
              <w:rPr>
                <w:rFonts w:ascii="Times New Roman" w:hAnsi="Times New Roman"/>
                <w:szCs w:val="21"/>
              </w:rPr>
              <w:t>82.13t/a</w:t>
            </w:r>
          </w:p>
          <w:p>
            <w:pPr>
              <w:rPr>
                <w:rFonts w:ascii="Times New Roman" w:hAnsi="Times New Roman"/>
                <w:szCs w:val="21"/>
              </w:rPr>
            </w:pPr>
            <w:r>
              <w:rPr>
                <w:rFonts w:ascii="Times New Roman" w:hAnsi="Times New Roman"/>
                <w:szCs w:val="21"/>
              </w:rPr>
              <w:t>0.5mg/L</w:t>
            </w:r>
            <w:r>
              <w:rPr>
                <w:rFonts w:hint="eastAsia" w:ascii="Times New Roman" w:hAnsi="Times New Roman"/>
                <w:szCs w:val="21"/>
              </w:rPr>
              <w:t>；</w:t>
            </w:r>
            <w:r>
              <w:rPr>
                <w:rFonts w:ascii="Times New Roman" w:hAnsi="Times New Roman"/>
                <w:szCs w:val="21"/>
              </w:rPr>
              <w:t>2.74 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30" w:hRule="atLeast"/>
        </w:trPr>
        <w:tc>
          <w:tcPr>
            <w:tcW w:w="962" w:type="dxa"/>
            <w:vMerge w:val="restart"/>
            <w:vAlign w:val="center"/>
          </w:tcPr>
          <w:p>
            <w:pPr>
              <w:spacing w:line="400" w:lineRule="exact"/>
              <w:jc w:val="center"/>
              <w:rPr>
                <w:rFonts w:ascii="Times New Roman" w:hAnsi="Times New Roman"/>
                <w:bCs/>
                <w:szCs w:val="21"/>
              </w:rPr>
            </w:pPr>
            <w:r>
              <w:rPr>
                <w:rFonts w:hint="eastAsia" w:ascii="Times New Roman" w:hAnsi="Times New Roman"/>
                <w:bCs/>
                <w:szCs w:val="21"/>
              </w:rPr>
              <w:t>固</w:t>
            </w:r>
          </w:p>
          <w:p>
            <w:pPr>
              <w:spacing w:line="400" w:lineRule="exact"/>
              <w:jc w:val="center"/>
              <w:rPr>
                <w:rFonts w:ascii="Times New Roman" w:hAnsi="Times New Roman"/>
                <w:bCs/>
                <w:szCs w:val="21"/>
              </w:rPr>
            </w:pPr>
            <w:r>
              <w:rPr>
                <w:rFonts w:hint="eastAsia" w:ascii="Times New Roman" w:hAnsi="Times New Roman"/>
                <w:bCs/>
                <w:szCs w:val="21"/>
              </w:rPr>
              <w:t>体</w:t>
            </w:r>
          </w:p>
          <w:p>
            <w:pPr>
              <w:spacing w:line="400" w:lineRule="exact"/>
              <w:jc w:val="center"/>
              <w:rPr>
                <w:rFonts w:ascii="Times New Roman" w:hAnsi="Times New Roman"/>
                <w:bCs/>
                <w:szCs w:val="21"/>
              </w:rPr>
            </w:pPr>
            <w:r>
              <w:rPr>
                <w:rFonts w:hint="eastAsia" w:ascii="Times New Roman" w:hAnsi="Times New Roman"/>
                <w:bCs/>
                <w:szCs w:val="21"/>
              </w:rPr>
              <w:t>废</w:t>
            </w:r>
          </w:p>
          <w:p>
            <w:pPr>
              <w:spacing w:line="400" w:lineRule="exact"/>
              <w:jc w:val="center"/>
              <w:rPr>
                <w:rFonts w:ascii="Times New Roman" w:hAnsi="Times New Roman"/>
                <w:bCs/>
                <w:szCs w:val="21"/>
              </w:rPr>
            </w:pPr>
            <w:r>
              <w:rPr>
                <w:rFonts w:hint="eastAsia" w:ascii="Times New Roman" w:hAnsi="Times New Roman"/>
                <w:bCs/>
                <w:szCs w:val="21"/>
              </w:rPr>
              <w:t>物</w:t>
            </w:r>
          </w:p>
        </w:tc>
        <w:tc>
          <w:tcPr>
            <w:tcW w:w="2303" w:type="dxa"/>
            <w:gridSpan w:val="2"/>
            <w:vAlign w:val="center"/>
          </w:tcPr>
          <w:p>
            <w:pPr>
              <w:spacing w:line="400" w:lineRule="exact"/>
              <w:jc w:val="center"/>
              <w:rPr>
                <w:rFonts w:ascii="Times New Roman" w:hAnsi="Times New Roman"/>
                <w:bCs/>
                <w:szCs w:val="21"/>
              </w:rPr>
            </w:pPr>
            <w:r>
              <w:rPr>
                <w:rFonts w:hint="eastAsia" w:ascii="Times New Roman" w:hAnsi="Times New Roman"/>
                <w:bCs/>
                <w:szCs w:val="21"/>
              </w:rPr>
              <w:t>施工期</w:t>
            </w:r>
          </w:p>
        </w:tc>
        <w:tc>
          <w:tcPr>
            <w:tcW w:w="1138" w:type="dxa"/>
            <w:vAlign w:val="center"/>
          </w:tcPr>
          <w:p>
            <w:pPr>
              <w:spacing w:line="400" w:lineRule="exact"/>
              <w:jc w:val="center"/>
              <w:rPr>
                <w:rFonts w:ascii="Times New Roman" w:hAnsi="Times New Roman"/>
                <w:bCs/>
                <w:szCs w:val="21"/>
              </w:rPr>
            </w:pPr>
            <w:r>
              <w:rPr>
                <w:rFonts w:hint="eastAsia" w:ascii="Times New Roman" w:hAnsi="Times New Roman"/>
                <w:bCs/>
                <w:szCs w:val="21"/>
              </w:rPr>
              <w:t>建筑垃圾</w:t>
            </w:r>
          </w:p>
        </w:tc>
        <w:tc>
          <w:tcPr>
            <w:tcW w:w="2276" w:type="dxa"/>
            <w:vAlign w:val="center"/>
          </w:tcPr>
          <w:p>
            <w:pPr>
              <w:spacing w:line="400" w:lineRule="exact"/>
              <w:jc w:val="center"/>
              <w:rPr>
                <w:rFonts w:ascii="Times New Roman" w:hAnsi="Times New Roman"/>
                <w:bCs/>
                <w:szCs w:val="21"/>
                <w:highlight w:val="yellow"/>
              </w:rPr>
            </w:pPr>
            <w:r>
              <w:rPr>
                <w:rFonts w:ascii="Times New Roman" w:hAnsi="Times New Roman"/>
                <w:bCs/>
                <w:szCs w:val="21"/>
              </w:rPr>
              <w:t>1.53</w:t>
            </w:r>
            <w:r>
              <w:rPr>
                <w:rFonts w:hint="eastAsia" w:ascii="Times New Roman" w:hAnsi="Times New Roman"/>
                <w:bCs/>
                <w:szCs w:val="21"/>
              </w:rPr>
              <w:t>万</w:t>
            </w:r>
            <w:r>
              <w:rPr>
                <w:rFonts w:ascii="Times New Roman" w:hAnsi="Times New Roman"/>
                <w:bCs/>
                <w:szCs w:val="21"/>
              </w:rPr>
              <w:t>m</w:t>
            </w:r>
            <w:r>
              <w:rPr>
                <w:rFonts w:ascii="Times New Roman" w:hAnsi="Times New Roman"/>
                <w:bCs/>
                <w:szCs w:val="21"/>
                <w:vertAlign w:val="superscript"/>
              </w:rPr>
              <w:t>3</w:t>
            </w:r>
          </w:p>
        </w:tc>
        <w:tc>
          <w:tcPr>
            <w:tcW w:w="2879" w:type="dxa"/>
            <w:vAlign w:val="center"/>
          </w:tcPr>
          <w:p>
            <w:pPr>
              <w:spacing w:line="400" w:lineRule="exact"/>
              <w:jc w:val="center"/>
              <w:rPr>
                <w:rFonts w:ascii="Times New Roman" w:hAnsi="Times New Roman"/>
                <w:bCs/>
                <w:szCs w:val="21"/>
              </w:rPr>
            </w:pPr>
            <w:r>
              <w:rPr>
                <w:rFonts w:hint="eastAsia" w:ascii="Times New Roman" w:hAnsi="Times New Roman"/>
                <w:bCs/>
                <w:szCs w:val="21"/>
              </w:rPr>
              <w:t>送建筑垃圾填埋场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97" w:hRule="atLeast"/>
        </w:trPr>
        <w:tc>
          <w:tcPr>
            <w:tcW w:w="962" w:type="dxa"/>
            <w:vMerge w:val="continue"/>
            <w:vAlign w:val="center"/>
          </w:tcPr>
          <w:p>
            <w:pPr>
              <w:spacing w:line="400" w:lineRule="exact"/>
              <w:jc w:val="center"/>
              <w:rPr>
                <w:rFonts w:ascii="Times New Roman" w:hAnsi="Times New Roman"/>
                <w:bCs/>
                <w:szCs w:val="21"/>
              </w:rPr>
            </w:pPr>
          </w:p>
        </w:tc>
        <w:tc>
          <w:tcPr>
            <w:tcW w:w="823" w:type="dxa"/>
            <w:vMerge w:val="restart"/>
            <w:vAlign w:val="center"/>
          </w:tcPr>
          <w:p>
            <w:pPr>
              <w:spacing w:line="400" w:lineRule="exact"/>
              <w:jc w:val="center"/>
              <w:rPr>
                <w:rFonts w:ascii="Times New Roman" w:hAnsi="Times New Roman"/>
                <w:bCs/>
                <w:szCs w:val="21"/>
              </w:rPr>
            </w:pPr>
            <w:r>
              <w:rPr>
                <w:rFonts w:hint="eastAsia" w:ascii="Times New Roman" w:hAnsi="Times New Roman"/>
                <w:bCs/>
                <w:szCs w:val="21"/>
              </w:rPr>
              <w:t>运营期</w:t>
            </w:r>
          </w:p>
        </w:tc>
        <w:tc>
          <w:tcPr>
            <w:tcW w:w="1480" w:type="dxa"/>
            <w:tcBorders>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格栅池</w:t>
            </w:r>
          </w:p>
        </w:tc>
        <w:tc>
          <w:tcPr>
            <w:tcW w:w="1138" w:type="dxa"/>
            <w:tcBorders>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格渣</w:t>
            </w:r>
          </w:p>
        </w:tc>
        <w:tc>
          <w:tcPr>
            <w:tcW w:w="2276" w:type="dxa"/>
            <w:tcBorders>
              <w:bottom w:val="single" w:color="auto" w:sz="4" w:space="0"/>
            </w:tcBorders>
            <w:vAlign w:val="center"/>
          </w:tcPr>
          <w:p>
            <w:pPr>
              <w:spacing w:line="400" w:lineRule="exact"/>
              <w:jc w:val="center"/>
              <w:rPr>
                <w:rFonts w:ascii="Times New Roman" w:hAnsi="Times New Roman"/>
                <w:bCs/>
                <w:szCs w:val="21"/>
              </w:rPr>
            </w:pPr>
            <w:r>
              <w:rPr>
                <w:rFonts w:ascii="Times New Roman" w:hAnsi="Times New Roman"/>
                <w:bCs/>
                <w:szCs w:val="21"/>
              </w:rPr>
              <w:t>525.6t/a</w:t>
            </w:r>
          </w:p>
        </w:tc>
        <w:tc>
          <w:tcPr>
            <w:tcW w:w="2879" w:type="dxa"/>
            <w:vMerge w:val="restart"/>
            <w:vAlign w:val="center"/>
          </w:tcPr>
          <w:p>
            <w:pPr>
              <w:spacing w:line="400" w:lineRule="exact"/>
              <w:jc w:val="center"/>
              <w:rPr>
                <w:rFonts w:ascii="Times New Roman" w:hAnsi="Times New Roman"/>
                <w:bCs/>
                <w:szCs w:val="21"/>
              </w:rPr>
            </w:pPr>
            <w:r>
              <w:rPr>
                <w:rFonts w:hint="eastAsia" w:ascii="Times New Roman" w:hAnsi="Times New Roman"/>
                <w:bCs/>
                <w:szCs w:val="21"/>
              </w:rPr>
              <w:t>送垃圾填埋场填埋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83" w:hRule="atLeast"/>
        </w:trPr>
        <w:tc>
          <w:tcPr>
            <w:tcW w:w="962" w:type="dxa"/>
            <w:vMerge w:val="continue"/>
            <w:vAlign w:val="center"/>
          </w:tcPr>
          <w:p>
            <w:pPr>
              <w:spacing w:line="400" w:lineRule="exact"/>
              <w:jc w:val="center"/>
              <w:rPr>
                <w:rFonts w:ascii="Times New Roman" w:hAnsi="Times New Roman"/>
                <w:bCs/>
                <w:szCs w:val="21"/>
              </w:rPr>
            </w:pPr>
          </w:p>
        </w:tc>
        <w:tc>
          <w:tcPr>
            <w:tcW w:w="823" w:type="dxa"/>
            <w:vMerge w:val="continue"/>
            <w:vAlign w:val="center"/>
          </w:tcPr>
          <w:p>
            <w:pPr>
              <w:spacing w:line="400" w:lineRule="exact"/>
              <w:jc w:val="center"/>
              <w:rPr>
                <w:rFonts w:ascii="Times New Roman" w:hAnsi="Times New Roman"/>
                <w:bCs/>
                <w:szCs w:val="21"/>
              </w:rPr>
            </w:pPr>
          </w:p>
        </w:tc>
        <w:tc>
          <w:tcPr>
            <w:tcW w:w="1480" w:type="dxa"/>
            <w:tcBorders>
              <w:top w:val="single" w:color="auto" w:sz="4" w:space="0"/>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沉砂池</w:t>
            </w:r>
          </w:p>
        </w:tc>
        <w:tc>
          <w:tcPr>
            <w:tcW w:w="1138" w:type="dxa"/>
            <w:tcBorders>
              <w:top w:val="single" w:color="auto" w:sz="4" w:space="0"/>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沉砂</w:t>
            </w:r>
          </w:p>
        </w:tc>
        <w:tc>
          <w:tcPr>
            <w:tcW w:w="2276" w:type="dxa"/>
            <w:tcBorders>
              <w:top w:val="single" w:color="auto" w:sz="4" w:space="0"/>
              <w:bottom w:val="single" w:color="auto" w:sz="4" w:space="0"/>
            </w:tcBorders>
            <w:vAlign w:val="center"/>
          </w:tcPr>
          <w:p>
            <w:pPr>
              <w:spacing w:line="400" w:lineRule="exact"/>
              <w:jc w:val="center"/>
              <w:rPr>
                <w:rFonts w:ascii="Times New Roman" w:hAnsi="Times New Roman"/>
                <w:bCs/>
                <w:szCs w:val="21"/>
              </w:rPr>
            </w:pPr>
            <w:r>
              <w:rPr>
                <w:rFonts w:ascii="Times New Roman" w:hAnsi="Times New Roman"/>
                <w:bCs/>
                <w:szCs w:val="21"/>
              </w:rPr>
              <w:t>246.375t/a</w:t>
            </w:r>
          </w:p>
        </w:tc>
        <w:tc>
          <w:tcPr>
            <w:tcW w:w="2879" w:type="dxa"/>
            <w:vMerge w:val="continue"/>
            <w:vAlign w:val="center"/>
          </w:tcPr>
          <w:p>
            <w:pPr>
              <w:spacing w:line="400" w:lineRule="exact"/>
              <w:jc w:val="center"/>
              <w:rPr>
                <w:rFonts w:ascii="Times New Roman" w:hAnsi="Times New Roman"/>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6" w:hRule="atLeast"/>
        </w:trPr>
        <w:tc>
          <w:tcPr>
            <w:tcW w:w="962" w:type="dxa"/>
            <w:vMerge w:val="continue"/>
            <w:vAlign w:val="center"/>
          </w:tcPr>
          <w:p>
            <w:pPr>
              <w:spacing w:line="400" w:lineRule="exact"/>
              <w:jc w:val="center"/>
              <w:rPr>
                <w:rFonts w:ascii="Times New Roman" w:hAnsi="Times New Roman"/>
                <w:bCs/>
                <w:szCs w:val="21"/>
              </w:rPr>
            </w:pPr>
          </w:p>
        </w:tc>
        <w:tc>
          <w:tcPr>
            <w:tcW w:w="823" w:type="dxa"/>
            <w:vMerge w:val="continue"/>
            <w:vAlign w:val="center"/>
          </w:tcPr>
          <w:p>
            <w:pPr>
              <w:spacing w:line="400" w:lineRule="exact"/>
              <w:jc w:val="center"/>
              <w:rPr>
                <w:rFonts w:ascii="Times New Roman" w:hAnsi="Times New Roman"/>
                <w:bCs/>
                <w:szCs w:val="21"/>
              </w:rPr>
            </w:pPr>
          </w:p>
        </w:tc>
        <w:tc>
          <w:tcPr>
            <w:tcW w:w="1480" w:type="dxa"/>
            <w:tcBorders>
              <w:top w:val="single" w:color="auto" w:sz="4" w:space="0"/>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污泥脱水间</w:t>
            </w:r>
          </w:p>
        </w:tc>
        <w:tc>
          <w:tcPr>
            <w:tcW w:w="1138" w:type="dxa"/>
            <w:tcBorders>
              <w:top w:val="single" w:color="auto" w:sz="4" w:space="0"/>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脱水污泥</w:t>
            </w:r>
          </w:p>
        </w:tc>
        <w:tc>
          <w:tcPr>
            <w:tcW w:w="2276" w:type="dxa"/>
            <w:tcBorders>
              <w:top w:val="single" w:color="auto" w:sz="4" w:space="0"/>
              <w:bottom w:val="single" w:color="auto" w:sz="4" w:space="0"/>
            </w:tcBorders>
            <w:vAlign w:val="center"/>
          </w:tcPr>
          <w:p>
            <w:pPr>
              <w:spacing w:line="400" w:lineRule="exact"/>
              <w:jc w:val="center"/>
              <w:rPr>
                <w:rFonts w:ascii="Times New Roman" w:hAnsi="Times New Roman"/>
                <w:bCs/>
                <w:szCs w:val="21"/>
              </w:rPr>
            </w:pPr>
            <w:r>
              <w:rPr>
                <w:rFonts w:ascii="Times New Roman" w:hAnsi="Times New Roman"/>
                <w:bCs/>
                <w:szCs w:val="21"/>
              </w:rPr>
              <w:t>766.5t/a</w:t>
            </w:r>
          </w:p>
        </w:tc>
        <w:tc>
          <w:tcPr>
            <w:tcW w:w="2879" w:type="dxa"/>
            <w:vMerge w:val="continue"/>
            <w:vAlign w:val="center"/>
          </w:tcPr>
          <w:p>
            <w:pPr>
              <w:spacing w:line="400" w:lineRule="exact"/>
              <w:jc w:val="center"/>
              <w:rPr>
                <w:rFonts w:ascii="Times New Roman" w:hAnsi="Times New Roman"/>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8" w:hRule="atLeast"/>
        </w:trPr>
        <w:tc>
          <w:tcPr>
            <w:tcW w:w="962" w:type="dxa"/>
            <w:vMerge w:val="continue"/>
            <w:vAlign w:val="center"/>
          </w:tcPr>
          <w:p>
            <w:pPr>
              <w:spacing w:line="400" w:lineRule="exact"/>
              <w:jc w:val="center"/>
              <w:rPr>
                <w:rFonts w:ascii="Times New Roman" w:hAnsi="Times New Roman"/>
                <w:bCs/>
                <w:szCs w:val="21"/>
              </w:rPr>
            </w:pPr>
          </w:p>
        </w:tc>
        <w:tc>
          <w:tcPr>
            <w:tcW w:w="823" w:type="dxa"/>
            <w:vMerge w:val="continue"/>
            <w:vAlign w:val="center"/>
          </w:tcPr>
          <w:p>
            <w:pPr>
              <w:spacing w:line="400" w:lineRule="exact"/>
              <w:jc w:val="center"/>
              <w:rPr>
                <w:rFonts w:ascii="Times New Roman" w:hAnsi="Times New Roman"/>
                <w:bCs/>
                <w:szCs w:val="21"/>
              </w:rPr>
            </w:pPr>
          </w:p>
        </w:tc>
        <w:tc>
          <w:tcPr>
            <w:tcW w:w="1480" w:type="dxa"/>
            <w:tcBorders>
              <w:top w:val="single" w:color="auto" w:sz="4" w:space="0"/>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实验室</w:t>
            </w:r>
          </w:p>
        </w:tc>
        <w:tc>
          <w:tcPr>
            <w:tcW w:w="1138" w:type="dxa"/>
            <w:tcBorders>
              <w:top w:val="single" w:color="auto" w:sz="4" w:space="0"/>
            </w:tcBorders>
            <w:vAlign w:val="center"/>
          </w:tcPr>
          <w:p>
            <w:pPr>
              <w:jc w:val="center"/>
              <w:rPr>
                <w:rFonts w:ascii="Times New Roman" w:hAnsi="Times New Roman"/>
                <w:bCs/>
                <w:szCs w:val="21"/>
              </w:rPr>
            </w:pPr>
            <w:r>
              <w:rPr>
                <w:rFonts w:hint="eastAsia" w:ascii="Times New Roman" w:hAnsi="Times New Roman"/>
                <w:bCs/>
                <w:szCs w:val="21"/>
              </w:rPr>
              <w:t>废化学试剂</w:t>
            </w:r>
          </w:p>
        </w:tc>
        <w:tc>
          <w:tcPr>
            <w:tcW w:w="2276" w:type="dxa"/>
            <w:tcBorders>
              <w:top w:val="single" w:color="auto" w:sz="4" w:space="0"/>
            </w:tcBorders>
            <w:vAlign w:val="center"/>
          </w:tcPr>
          <w:p>
            <w:pPr>
              <w:spacing w:line="400" w:lineRule="exact"/>
              <w:jc w:val="center"/>
              <w:rPr>
                <w:rFonts w:ascii="Times New Roman" w:hAnsi="Times New Roman"/>
                <w:bCs/>
                <w:szCs w:val="21"/>
              </w:rPr>
            </w:pPr>
            <w:r>
              <w:rPr>
                <w:rFonts w:ascii="Times New Roman" w:hAnsi="Times New Roman"/>
                <w:bCs/>
                <w:szCs w:val="21"/>
              </w:rPr>
              <w:t>0.15t/a</w:t>
            </w:r>
          </w:p>
        </w:tc>
        <w:tc>
          <w:tcPr>
            <w:tcW w:w="2879" w:type="dxa"/>
            <w:vMerge w:val="restart"/>
            <w:vAlign w:val="center"/>
          </w:tcPr>
          <w:p>
            <w:pPr>
              <w:spacing w:line="400" w:lineRule="exact"/>
              <w:jc w:val="center"/>
              <w:rPr>
                <w:rFonts w:ascii="Times New Roman" w:hAnsi="Times New Roman"/>
                <w:bCs/>
                <w:szCs w:val="21"/>
              </w:rPr>
            </w:pPr>
            <w:r>
              <w:rPr>
                <w:rFonts w:hint="eastAsia" w:ascii="Times New Roman" w:hAnsi="Times New Roman"/>
                <w:bCs/>
                <w:szCs w:val="21"/>
              </w:rPr>
              <w:t>暂存于危废暂存间，委托海南宝来工贸有限公司统一处置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962" w:type="dxa"/>
            <w:vMerge w:val="continue"/>
            <w:vAlign w:val="center"/>
          </w:tcPr>
          <w:p>
            <w:pPr>
              <w:spacing w:line="400" w:lineRule="exact"/>
              <w:jc w:val="center"/>
              <w:rPr>
                <w:rFonts w:ascii="Times New Roman" w:hAnsi="Times New Roman"/>
                <w:bCs/>
                <w:szCs w:val="21"/>
              </w:rPr>
            </w:pPr>
          </w:p>
        </w:tc>
        <w:tc>
          <w:tcPr>
            <w:tcW w:w="823" w:type="dxa"/>
            <w:vMerge w:val="continue"/>
            <w:vAlign w:val="center"/>
          </w:tcPr>
          <w:p>
            <w:pPr>
              <w:spacing w:line="400" w:lineRule="exact"/>
              <w:jc w:val="center"/>
              <w:rPr>
                <w:rFonts w:ascii="Times New Roman" w:hAnsi="Times New Roman"/>
                <w:bCs/>
                <w:szCs w:val="21"/>
              </w:rPr>
            </w:pPr>
          </w:p>
        </w:tc>
        <w:tc>
          <w:tcPr>
            <w:tcW w:w="1480" w:type="dxa"/>
            <w:vMerge w:val="restart"/>
            <w:tcBorders>
              <w:top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设备检修</w:t>
            </w:r>
          </w:p>
        </w:tc>
        <w:tc>
          <w:tcPr>
            <w:tcW w:w="1138" w:type="dxa"/>
            <w:tcBorders>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废机油</w:t>
            </w:r>
          </w:p>
        </w:tc>
        <w:tc>
          <w:tcPr>
            <w:tcW w:w="2276" w:type="dxa"/>
            <w:tcBorders>
              <w:bottom w:val="single" w:color="auto" w:sz="4" w:space="0"/>
            </w:tcBorders>
            <w:vAlign w:val="center"/>
          </w:tcPr>
          <w:p>
            <w:pPr>
              <w:spacing w:line="400" w:lineRule="exact"/>
              <w:jc w:val="center"/>
              <w:rPr>
                <w:rFonts w:ascii="Times New Roman" w:hAnsi="Times New Roman"/>
                <w:bCs/>
                <w:szCs w:val="21"/>
              </w:rPr>
            </w:pPr>
            <w:r>
              <w:rPr>
                <w:rFonts w:ascii="Times New Roman" w:hAnsi="Times New Roman"/>
                <w:bCs/>
                <w:szCs w:val="21"/>
              </w:rPr>
              <w:t>0.08t/a</w:t>
            </w:r>
          </w:p>
        </w:tc>
        <w:tc>
          <w:tcPr>
            <w:tcW w:w="2879" w:type="dxa"/>
            <w:vMerge w:val="continue"/>
            <w:vAlign w:val="center"/>
          </w:tcPr>
          <w:p>
            <w:pPr>
              <w:spacing w:line="400" w:lineRule="exact"/>
              <w:jc w:val="center"/>
              <w:rPr>
                <w:rFonts w:ascii="Times New Roman" w:hAnsi="Times New Roman"/>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456" w:hRule="atLeast"/>
        </w:trPr>
        <w:tc>
          <w:tcPr>
            <w:tcW w:w="962" w:type="dxa"/>
            <w:vMerge w:val="continue"/>
            <w:vAlign w:val="center"/>
          </w:tcPr>
          <w:p>
            <w:pPr>
              <w:spacing w:line="400" w:lineRule="exact"/>
              <w:jc w:val="center"/>
              <w:rPr>
                <w:rFonts w:ascii="Times New Roman" w:hAnsi="Times New Roman"/>
                <w:bCs/>
                <w:szCs w:val="21"/>
              </w:rPr>
            </w:pPr>
          </w:p>
        </w:tc>
        <w:tc>
          <w:tcPr>
            <w:tcW w:w="823" w:type="dxa"/>
            <w:vMerge w:val="continue"/>
            <w:vAlign w:val="center"/>
          </w:tcPr>
          <w:p>
            <w:pPr>
              <w:spacing w:line="400" w:lineRule="exact"/>
              <w:jc w:val="center"/>
              <w:rPr>
                <w:rFonts w:ascii="Times New Roman" w:hAnsi="Times New Roman"/>
                <w:bCs/>
                <w:szCs w:val="21"/>
              </w:rPr>
            </w:pPr>
          </w:p>
        </w:tc>
        <w:tc>
          <w:tcPr>
            <w:tcW w:w="1480" w:type="dxa"/>
            <w:vMerge w:val="continue"/>
            <w:tcBorders>
              <w:bottom w:val="single" w:color="auto" w:sz="4" w:space="0"/>
            </w:tcBorders>
            <w:vAlign w:val="center"/>
          </w:tcPr>
          <w:p>
            <w:pPr>
              <w:spacing w:line="400" w:lineRule="exact"/>
              <w:jc w:val="center"/>
              <w:rPr>
                <w:rFonts w:ascii="Times New Roman" w:hAnsi="Times New Roman"/>
                <w:bCs/>
                <w:szCs w:val="21"/>
              </w:rPr>
            </w:pPr>
          </w:p>
        </w:tc>
        <w:tc>
          <w:tcPr>
            <w:tcW w:w="1138" w:type="dxa"/>
            <w:tcBorders>
              <w:top w:val="single" w:color="auto" w:sz="4" w:space="0"/>
              <w:bottom w:val="single" w:color="auto" w:sz="4" w:space="0"/>
            </w:tcBorders>
            <w:vAlign w:val="center"/>
          </w:tcPr>
          <w:p>
            <w:pPr>
              <w:spacing w:line="400" w:lineRule="exact"/>
              <w:jc w:val="center"/>
              <w:rPr>
                <w:rFonts w:ascii="Times New Roman" w:hAnsi="Times New Roman"/>
                <w:bCs/>
                <w:szCs w:val="21"/>
              </w:rPr>
            </w:pPr>
            <w:r>
              <w:rPr>
                <w:rFonts w:hint="eastAsia" w:ascii="Times New Roman" w:hAnsi="Times New Roman"/>
                <w:bCs/>
                <w:szCs w:val="21"/>
              </w:rPr>
              <w:t>废油漆桶</w:t>
            </w:r>
          </w:p>
        </w:tc>
        <w:tc>
          <w:tcPr>
            <w:tcW w:w="2276" w:type="dxa"/>
            <w:tcBorders>
              <w:top w:val="single" w:color="auto" w:sz="4" w:space="0"/>
              <w:bottom w:val="single" w:color="auto" w:sz="4" w:space="0"/>
            </w:tcBorders>
            <w:vAlign w:val="center"/>
          </w:tcPr>
          <w:p>
            <w:pPr>
              <w:spacing w:line="400" w:lineRule="exact"/>
              <w:jc w:val="center"/>
              <w:rPr>
                <w:rFonts w:ascii="Times New Roman" w:hAnsi="Times New Roman"/>
                <w:bCs/>
                <w:szCs w:val="21"/>
              </w:rPr>
            </w:pPr>
            <w:r>
              <w:rPr>
                <w:rFonts w:ascii="Times New Roman" w:hAnsi="Times New Roman"/>
                <w:bCs/>
                <w:szCs w:val="21"/>
              </w:rPr>
              <w:t>0.02t/a</w:t>
            </w:r>
          </w:p>
        </w:tc>
        <w:tc>
          <w:tcPr>
            <w:tcW w:w="2879" w:type="dxa"/>
            <w:vMerge w:val="continue"/>
            <w:vAlign w:val="center"/>
          </w:tcPr>
          <w:p>
            <w:pPr>
              <w:spacing w:line="400" w:lineRule="exact"/>
              <w:jc w:val="center"/>
              <w:rPr>
                <w:rFonts w:ascii="Times New Roman" w:hAnsi="Times New Roman"/>
                <w:bCs/>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47" w:hRule="atLeast"/>
        </w:trPr>
        <w:tc>
          <w:tcPr>
            <w:tcW w:w="962" w:type="dxa"/>
            <w:vAlign w:val="center"/>
          </w:tcPr>
          <w:p>
            <w:pPr>
              <w:spacing w:line="400" w:lineRule="exact"/>
              <w:jc w:val="center"/>
              <w:rPr>
                <w:rFonts w:ascii="Times New Roman" w:hAnsi="Times New Roman"/>
                <w:bCs/>
                <w:szCs w:val="21"/>
              </w:rPr>
            </w:pPr>
            <w:r>
              <w:rPr>
                <w:rFonts w:hint="eastAsia" w:ascii="Times New Roman" w:hAnsi="Times New Roman"/>
                <w:bCs/>
                <w:szCs w:val="21"/>
              </w:rPr>
              <w:t>噪</w:t>
            </w:r>
          </w:p>
          <w:p>
            <w:pPr>
              <w:spacing w:line="400" w:lineRule="exact"/>
              <w:jc w:val="center"/>
              <w:rPr>
                <w:rFonts w:ascii="Times New Roman" w:hAnsi="Times New Roman"/>
                <w:bCs/>
                <w:szCs w:val="21"/>
              </w:rPr>
            </w:pPr>
            <w:r>
              <w:rPr>
                <w:rFonts w:hint="eastAsia" w:ascii="Times New Roman" w:hAnsi="Times New Roman"/>
                <w:bCs/>
                <w:szCs w:val="21"/>
              </w:rPr>
              <w:t>声</w:t>
            </w:r>
          </w:p>
        </w:tc>
        <w:tc>
          <w:tcPr>
            <w:tcW w:w="8596" w:type="dxa"/>
            <w:gridSpan w:val="5"/>
            <w:vAlign w:val="center"/>
          </w:tcPr>
          <w:p>
            <w:pPr>
              <w:spacing w:line="400" w:lineRule="exact"/>
              <w:rPr>
                <w:rFonts w:ascii="Times New Roman" w:hAnsi="Times New Roman"/>
                <w:bCs/>
                <w:szCs w:val="21"/>
              </w:rPr>
            </w:pPr>
            <w:r>
              <w:rPr>
                <w:rFonts w:hint="eastAsia" w:ascii="Times New Roman" w:hAnsi="Times New Roman"/>
                <w:bCs/>
                <w:szCs w:val="21"/>
              </w:rPr>
              <w:t>污水处理厂的噪声主要来源于污水泵房和鼓风机房，均为点源，噪声源强</w:t>
            </w:r>
            <w:r>
              <w:rPr>
                <w:rFonts w:ascii="Times New Roman" w:hAnsi="Times New Roman"/>
                <w:bCs/>
                <w:szCs w:val="21"/>
              </w:rPr>
              <w:t>75</w:t>
            </w:r>
            <w:r>
              <w:rPr>
                <w:rFonts w:hint="eastAsia" w:ascii="Times New Roman" w:hAnsi="Times New Roman"/>
                <w:bCs/>
                <w:szCs w:val="21"/>
              </w:rPr>
              <w:t>～</w:t>
            </w:r>
            <w:r>
              <w:rPr>
                <w:rFonts w:ascii="Times New Roman" w:hAnsi="Times New Roman"/>
                <w:bCs/>
                <w:szCs w:val="21"/>
              </w:rPr>
              <w:t>93dB</w:t>
            </w:r>
            <w:r>
              <w:rPr>
                <w:rFonts w:hint="eastAsia" w:ascii="Times New Roman" w:hAnsi="Times New Roman"/>
                <w:bCs/>
                <w:szCs w:val="21"/>
              </w:rPr>
              <w:t>（</w:t>
            </w:r>
            <w:r>
              <w:rPr>
                <w:rFonts w:ascii="Times New Roman" w:hAnsi="Times New Roman"/>
                <w:bCs/>
                <w:szCs w:val="21"/>
              </w:rPr>
              <w:t>A</w:t>
            </w:r>
            <w:r>
              <w:rPr>
                <w:rFonts w:hint="eastAsia" w:ascii="Times New Roman" w:hAnsi="Times New Roman"/>
                <w:bCs/>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35" w:hRule="atLeast"/>
        </w:trPr>
        <w:tc>
          <w:tcPr>
            <w:tcW w:w="962" w:type="dxa"/>
            <w:vAlign w:val="center"/>
          </w:tcPr>
          <w:p>
            <w:pPr>
              <w:spacing w:line="400" w:lineRule="exact"/>
              <w:jc w:val="center"/>
              <w:rPr>
                <w:rFonts w:ascii="Times New Roman" w:hAnsi="Times New Roman"/>
                <w:bCs/>
                <w:szCs w:val="21"/>
              </w:rPr>
            </w:pPr>
            <w:r>
              <w:rPr>
                <w:rFonts w:hint="eastAsia" w:ascii="Times New Roman" w:hAnsi="Times New Roman"/>
                <w:bCs/>
                <w:szCs w:val="21"/>
              </w:rPr>
              <w:t>生态环境</w:t>
            </w:r>
          </w:p>
        </w:tc>
        <w:tc>
          <w:tcPr>
            <w:tcW w:w="8596" w:type="dxa"/>
            <w:gridSpan w:val="5"/>
          </w:tcPr>
          <w:p>
            <w:pPr>
              <w:spacing w:line="400" w:lineRule="exact"/>
              <w:rPr>
                <w:rFonts w:ascii="Times New Roman" w:hAnsi="Times New Roman"/>
                <w:szCs w:val="21"/>
              </w:rPr>
            </w:pPr>
            <w:r>
              <w:rPr>
                <w:rFonts w:hint="eastAsia" w:ascii="Times New Roman" w:hAnsi="Times New Roman"/>
                <w:szCs w:val="21"/>
              </w:rPr>
              <w:t>主要生态影响</w:t>
            </w:r>
          </w:p>
          <w:p>
            <w:pPr>
              <w:spacing w:line="400" w:lineRule="exact"/>
              <w:rPr>
                <w:rFonts w:ascii="Times New Roman" w:hAnsi="Times New Roman"/>
                <w:szCs w:val="21"/>
              </w:rPr>
            </w:pPr>
            <w:r>
              <w:rPr>
                <w:rFonts w:hint="eastAsia" w:ascii="Times New Roman" w:hAnsi="Times New Roman"/>
                <w:szCs w:val="21"/>
              </w:rPr>
              <w:t>项目属于改扩建项目，在一期工程厂区内进行建设，对周边生态环境影响较小。</w:t>
            </w:r>
          </w:p>
          <w:p>
            <w:pPr>
              <w:pStyle w:val="2"/>
            </w:pPr>
          </w:p>
          <w:p>
            <w:pPr>
              <w:pStyle w:val="2"/>
            </w:pPr>
          </w:p>
        </w:tc>
      </w:tr>
    </w:tbl>
    <w:p>
      <w:pPr>
        <w:spacing w:before="240" w:after="60"/>
        <w:jc w:val="left"/>
        <w:outlineLvl w:val="0"/>
        <w:rPr>
          <w:rFonts w:ascii="Times New Roman" w:hAnsi="Times New Roman"/>
          <w:b/>
          <w:bCs/>
          <w:sz w:val="32"/>
          <w:szCs w:val="32"/>
        </w:rPr>
      </w:pPr>
      <w:bookmarkStart w:id="36" w:name="_Toc354673216"/>
      <w:bookmarkStart w:id="37" w:name="_Toc404248795"/>
      <w:r>
        <w:rPr>
          <w:rFonts w:hint="eastAsia" w:ascii="Times New Roman" w:hAnsi="Times New Roman"/>
          <w:b/>
          <w:bCs/>
          <w:sz w:val="32"/>
          <w:szCs w:val="32"/>
        </w:rPr>
        <w:t>环境影响分析</w:t>
      </w:r>
      <w:bookmarkEnd w:id="36"/>
      <w:bookmarkEnd w:id="37"/>
    </w:p>
    <w:tbl>
      <w:tblPr>
        <w:tblStyle w:val="37"/>
        <w:tblW w:w="966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62" w:type="dxa"/>
          </w:tcPr>
          <w:p>
            <w:pPr>
              <w:spacing w:line="360" w:lineRule="auto"/>
              <w:jc w:val="left"/>
              <w:rPr>
                <w:rFonts w:ascii="Times New Roman" w:hAnsi="Times New Roman"/>
                <w:b/>
                <w:bCs/>
                <w:sz w:val="28"/>
                <w:szCs w:val="28"/>
              </w:rPr>
            </w:pPr>
            <w:r>
              <w:rPr>
                <w:rFonts w:hint="eastAsia" w:ascii="Times New Roman" w:hAnsi="Times New Roman"/>
                <w:b/>
                <w:bCs/>
                <w:sz w:val="28"/>
                <w:szCs w:val="28"/>
              </w:rPr>
              <w:t>施工期环境影响分析</w:t>
            </w:r>
          </w:p>
          <w:p>
            <w:pPr>
              <w:pStyle w:val="114"/>
            </w:pPr>
            <w:r>
              <w:rPr>
                <w:rFonts w:hint="eastAsia"/>
                <w:lang w:val="de-DE"/>
              </w:rPr>
              <w:t>本项目施工期间</w:t>
            </w:r>
            <w:r>
              <w:rPr>
                <w:rFonts w:hint="eastAsia"/>
              </w:rPr>
              <w:t>的环境影响主要有：对水环境、环境空气、声环境、生态环境（包括水土流失等）的影响，</w:t>
            </w:r>
            <w:r>
              <w:rPr>
                <w:rFonts w:hint="eastAsia"/>
                <w:lang w:val="de-DE"/>
              </w:rPr>
              <w:t>其影响和防治措施如下：</w:t>
            </w:r>
          </w:p>
          <w:p>
            <w:pPr>
              <w:autoSpaceDE w:val="0"/>
              <w:autoSpaceDN w:val="0"/>
              <w:adjustRightInd w:val="0"/>
              <w:snapToGrid w:val="0"/>
              <w:spacing w:line="360" w:lineRule="auto"/>
              <w:ind w:firstLine="482" w:firstLineChars="200"/>
              <w:jc w:val="left"/>
              <w:rPr>
                <w:rFonts w:ascii="Times New Roman" w:hAnsi="Times New Roman"/>
                <w:b/>
                <w:bCs/>
                <w:kern w:val="0"/>
                <w:sz w:val="24"/>
                <w:szCs w:val="24"/>
              </w:rPr>
            </w:pPr>
            <w:r>
              <w:rPr>
                <w:rFonts w:ascii="Times New Roman" w:hAnsi="Times New Roman"/>
                <w:b/>
                <w:bCs/>
                <w:kern w:val="0"/>
                <w:sz w:val="24"/>
                <w:szCs w:val="24"/>
              </w:rPr>
              <w:t>1</w:t>
            </w:r>
            <w:r>
              <w:rPr>
                <w:rFonts w:hint="eastAsia" w:ascii="Times New Roman" w:hAnsi="Times New Roman"/>
                <w:b/>
                <w:bCs/>
                <w:kern w:val="0"/>
                <w:sz w:val="24"/>
                <w:szCs w:val="24"/>
              </w:rPr>
              <w:t>、施工期水环境影响</w:t>
            </w:r>
            <w:r>
              <w:rPr>
                <w:rFonts w:hint="eastAsia" w:ascii="Times New Roman" w:hAnsi="Times New Roman"/>
                <w:b/>
                <w:sz w:val="24"/>
              </w:rPr>
              <w:t>分析及防治措施：</w:t>
            </w:r>
          </w:p>
          <w:p>
            <w:pPr>
              <w:pStyle w:val="114"/>
              <w:rPr>
                <w:shd w:val="solid" w:color="FFFFFF" w:fill="auto"/>
              </w:rPr>
            </w:pPr>
            <w:r>
              <w:rPr>
                <w:rFonts w:hint="eastAsia"/>
                <w:shd w:val="solid" w:color="FFFFFF" w:fill="auto"/>
              </w:rPr>
              <w:t>项目施工期间产生的废水主要为建筑施工废水和施工人员生活污水。</w:t>
            </w:r>
          </w:p>
          <w:p>
            <w:pPr>
              <w:pStyle w:val="114"/>
              <w:rPr>
                <w:shd w:val="solid" w:color="FFFFFF" w:fill="auto"/>
              </w:rPr>
            </w:pPr>
            <w:r>
              <w:rPr>
                <w:rFonts w:hint="eastAsia"/>
                <w:shd w:val="solid" w:color="FFFFFF" w:fill="auto"/>
              </w:rPr>
              <w:t>（</w:t>
            </w:r>
            <w:r>
              <w:rPr>
                <w:shd w:val="solid" w:color="FFFFFF" w:fill="auto"/>
              </w:rPr>
              <w:t>1</w:t>
            </w:r>
            <w:r>
              <w:rPr>
                <w:rFonts w:hint="eastAsia"/>
                <w:shd w:val="solid" w:color="FFFFFF" w:fill="auto"/>
              </w:rPr>
              <w:t>）建筑施工废水：</w:t>
            </w:r>
          </w:p>
          <w:p>
            <w:pPr>
              <w:pStyle w:val="114"/>
              <w:rPr>
                <w:shd w:val="solid" w:color="FFFFFF" w:fill="auto"/>
              </w:rPr>
            </w:pPr>
            <w:r>
              <w:rPr>
                <w:rFonts w:hint="eastAsia"/>
                <w:shd w:val="solid" w:color="FFFFFF" w:fill="auto"/>
              </w:rPr>
              <w:t>建筑施工废水包括结构阶段混凝土养护排水和各种运输车辆冲洗水，若不经处理，直接排入，则有可能导致纳污水体的严重污染事故。为此，应注重施工期水污染防范工作。建筑施工废水经临时沉淀池澄清后可循环使用不外排，不会对周边地表水环境造成较大影响。</w:t>
            </w:r>
          </w:p>
          <w:p>
            <w:pPr>
              <w:pStyle w:val="114"/>
              <w:ind w:firstLineChars="0"/>
              <w:rPr>
                <w:shd w:val="solid" w:color="FFFFFF" w:fill="auto"/>
              </w:rPr>
            </w:pPr>
            <w:r>
              <w:rPr>
                <w:rFonts w:hint="eastAsia"/>
                <w:shd w:val="solid" w:color="FFFFFF" w:fill="auto"/>
              </w:rPr>
              <w:t>施工废水污染防治措施如下：</w:t>
            </w:r>
          </w:p>
          <w:p>
            <w:pPr>
              <w:pStyle w:val="114"/>
              <w:ind w:firstLineChars="0"/>
              <w:rPr>
                <w:shd w:val="solid" w:color="FFFFFF" w:fill="auto"/>
              </w:rPr>
            </w:pPr>
            <w:r>
              <w:rPr>
                <w:rFonts w:hint="eastAsia"/>
                <w:shd w:val="solid" w:color="FFFFFF" w:fill="auto"/>
              </w:rPr>
              <w:t>①尽量选用先进的设备、机械、以有效地减少跑、冒、滴、漏的数量，从而减少含油污水的产生量。</w:t>
            </w:r>
          </w:p>
          <w:p>
            <w:pPr>
              <w:pStyle w:val="114"/>
              <w:ind w:firstLineChars="0"/>
              <w:rPr>
                <w:shd w:val="solid" w:color="FFFFFF" w:fill="auto"/>
              </w:rPr>
            </w:pPr>
            <w:r>
              <w:rPr>
                <w:rFonts w:hint="eastAsia"/>
                <w:shd w:val="solid" w:color="FFFFFF" w:fill="auto"/>
              </w:rPr>
              <w:t>②运输、施工机械冲洗水油污应集中采取隔油池和砂滤处理。</w:t>
            </w:r>
          </w:p>
          <w:p>
            <w:pPr>
              <w:pStyle w:val="114"/>
              <w:rPr>
                <w:shd w:val="solid" w:color="FFFFFF" w:fill="auto"/>
              </w:rPr>
            </w:pPr>
            <w:r>
              <w:rPr>
                <w:rFonts w:hint="eastAsia" w:ascii="宋体" w:hAnsi="宋体" w:cs="宋体"/>
                <w:shd w:val="solid" w:color="FFFFFF" w:fill="auto"/>
              </w:rPr>
              <w:t>③</w:t>
            </w:r>
            <w:r>
              <w:rPr>
                <w:rFonts w:hint="eastAsia"/>
                <w:shd w:val="solid" w:color="FFFFFF" w:fill="auto"/>
              </w:rPr>
              <w:t>施工材料运输车辆应有防雨设备，施工材料（油料、化学品等）堆放场地应有防雨导流设施，防止大风暴雨冲刷造成渗漏进入地表水体造成污染。</w:t>
            </w:r>
          </w:p>
          <w:p>
            <w:pPr>
              <w:pStyle w:val="114"/>
              <w:rPr>
                <w:shd w:val="solid" w:color="FFFFFF" w:fill="auto"/>
              </w:rPr>
            </w:pPr>
            <w:r>
              <w:rPr>
                <w:rFonts w:hint="eastAsia" w:ascii="宋体" w:hAnsi="宋体" w:cs="宋体"/>
                <w:shd w:val="solid" w:color="FFFFFF" w:fill="auto"/>
              </w:rPr>
              <w:t>④</w:t>
            </w:r>
            <w:r>
              <w:rPr>
                <w:rFonts w:hint="eastAsia"/>
                <w:shd w:val="solid" w:color="FFFFFF" w:fill="auto"/>
              </w:rPr>
              <w:t>机械、设备的维修保养尽量集中的维修点进行。</w:t>
            </w:r>
          </w:p>
          <w:p>
            <w:pPr>
              <w:pStyle w:val="114"/>
              <w:ind w:firstLineChars="0"/>
              <w:rPr>
                <w:shd w:val="solid" w:color="FFFFFF" w:fill="auto"/>
              </w:rPr>
            </w:pPr>
            <w:r>
              <w:rPr>
                <w:rFonts w:hint="eastAsia"/>
                <w:shd w:val="solid" w:color="FFFFFF" w:fill="auto"/>
              </w:rPr>
              <w:t>⑤对收集的浸油废料采取打包密封后，危险废物收集暂存，与一期工程产生的危险废物一同委托海南宝来工贸有限公司处置。</w:t>
            </w:r>
          </w:p>
          <w:p>
            <w:pPr>
              <w:pStyle w:val="114"/>
              <w:rPr>
                <w:shd w:val="solid" w:color="FFFFFF" w:fill="auto"/>
              </w:rPr>
            </w:pPr>
            <w:r>
              <w:rPr>
                <w:rFonts w:hint="eastAsia" w:ascii="宋体" w:hAnsi="宋体" w:cs="宋体"/>
                <w:shd w:val="solid" w:color="FFFFFF" w:fill="auto"/>
              </w:rPr>
              <w:t>（</w:t>
            </w:r>
            <w:r>
              <w:rPr>
                <w:rFonts w:ascii="宋体" w:hAnsi="宋体" w:cs="宋体"/>
                <w:shd w:val="solid" w:color="FFFFFF" w:fill="auto"/>
              </w:rPr>
              <w:t>2</w:t>
            </w:r>
            <w:r>
              <w:rPr>
                <w:rFonts w:hint="eastAsia" w:ascii="宋体" w:hAnsi="宋体" w:cs="宋体"/>
                <w:shd w:val="solid" w:color="FFFFFF" w:fill="auto"/>
              </w:rPr>
              <w:t>）</w:t>
            </w:r>
            <w:r>
              <w:rPr>
                <w:rFonts w:hint="eastAsia"/>
                <w:shd w:val="solid" w:color="FFFFFF" w:fill="auto"/>
              </w:rPr>
              <w:t>施工人员生活废水：</w:t>
            </w:r>
          </w:p>
          <w:p>
            <w:pPr>
              <w:pStyle w:val="114"/>
              <w:rPr>
                <w:shd w:val="solid" w:color="FFFFFF" w:fill="auto"/>
              </w:rPr>
            </w:pPr>
            <w:r>
              <w:rPr>
                <w:rFonts w:hint="eastAsia"/>
                <w:shd w:val="solid" w:color="FFFFFF" w:fill="auto"/>
              </w:rPr>
              <w:t>二期工程施工人员生活污水依托本污水处理厂现有的生活废水收集处理系统收集处理。</w:t>
            </w:r>
          </w:p>
          <w:p>
            <w:pPr>
              <w:autoSpaceDE w:val="0"/>
              <w:autoSpaceDN w:val="0"/>
              <w:adjustRightInd w:val="0"/>
              <w:snapToGrid w:val="0"/>
              <w:spacing w:line="360" w:lineRule="auto"/>
              <w:ind w:firstLine="482" w:firstLineChars="200"/>
              <w:jc w:val="left"/>
              <w:rPr>
                <w:rFonts w:ascii="Times New Roman" w:hAnsi="Times New Roman"/>
                <w:b/>
                <w:kern w:val="0"/>
                <w:sz w:val="24"/>
                <w:szCs w:val="24"/>
              </w:rPr>
            </w:pPr>
            <w:r>
              <w:rPr>
                <w:rFonts w:ascii="Times New Roman" w:hAnsi="Times New Roman"/>
                <w:b/>
                <w:kern w:val="0"/>
                <w:sz w:val="24"/>
                <w:szCs w:val="24"/>
              </w:rPr>
              <w:t>2</w:t>
            </w:r>
            <w:r>
              <w:rPr>
                <w:rFonts w:hint="eastAsia" w:ascii="Times New Roman" w:hAnsi="Times New Roman"/>
                <w:b/>
                <w:kern w:val="0"/>
                <w:sz w:val="24"/>
                <w:szCs w:val="24"/>
              </w:rPr>
              <w:t>、施工期环境空气影响</w:t>
            </w:r>
            <w:r>
              <w:rPr>
                <w:rFonts w:hint="eastAsia" w:ascii="Times New Roman" w:hAnsi="Times New Roman"/>
                <w:b/>
                <w:sz w:val="24"/>
              </w:rPr>
              <w:t>分析及防治措施：</w:t>
            </w:r>
          </w:p>
          <w:p>
            <w:pPr>
              <w:pStyle w:val="114"/>
            </w:pPr>
            <w:r>
              <w:rPr>
                <w:rFonts w:hint="eastAsia"/>
              </w:rPr>
              <w:t>施工期大气污染源主要为施工扬尘、运输扬尘、机械和运输设备尾气。</w:t>
            </w:r>
          </w:p>
          <w:p>
            <w:pPr>
              <w:pStyle w:val="114"/>
            </w:pPr>
            <w:r>
              <w:rPr>
                <w:rFonts w:hint="eastAsia"/>
              </w:rPr>
              <w:t>根据《海南省大气污染防治条例》中有关要求，本项目施工期大气污染防治措施：</w:t>
            </w:r>
          </w:p>
          <w:p>
            <w:pPr>
              <w:pStyle w:val="114"/>
            </w:pPr>
            <w:r>
              <w:rPr>
                <w:rFonts w:hint="eastAsia"/>
              </w:rPr>
              <w:t>①厂内施工现场应定期洒水，冲洗地面、车辆设施和沉淀过滤设施，建材（黄沙、水泥）要加以覆盖，应当采用密闭方式清运，禁止高空抛掷、扬撒；</w:t>
            </w:r>
          </w:p>
          <w:p>
            <w:pPr>
              <w:pStyle w:val="114"/>
            </w:pPr>
            <w:r>
              <w:rPr>
                <w:rFonts w:hint="eastAsia"/>
              </w:rPr>
              <w:t>②建筑土方、工程渣土、建筑垃圾应当及时清运，在场地内堆存的，应当采用密闭式防尘网遮盖，工程渣土、建筑垃圾应当进行资源化处理；</w:t>
            </w:r>
          </w:p>
          <w:p>
            <w:pPr>
              <w:pStyle w:val="114"/>
            </w:pPr>
            <w:r>
              <w:rPr>
                <w:rFonts w:hint="eastAsia"/>
              </w:rPr>
              <w:t>③施工现场铺贴各类瓷砖、石板材等装饰块件的，禁止采用干式方法进行切割。</w:t>
            </w:r>
          </w:p>
          <w:p>
            <w:pPr>
              <w:autoSpaceDE w:val="0"/>
              <w:autoSpaceDN w:val="0"/>
              <w:adjustRightInd w:val="0"/>
              <w:snapToGrid w:val="0"/>
              <w:spacing w:line="360" w:lineRule="auto"/>
              <w:ind w:firstLine="482" w:firstLineChars="200"/>
              <w:jc w:val="left"/>
              <w:rPr>
                <w:rFonts w:ascii="Times New Roman" w:hAnsi="Times New Roman"/>
                <w:b/>
                <w:kern w:val="0"/>
                <w:sz w:val="24"/>
                <w:szCs w:val="24"/>
              </w:rPr>
            </w:pPr>
            <w:r>
              <w:rPr>
                <w:rFonts w:ascii="Times New Roman" w:hAnsi="Times New Roman"/>
                <w:b/>
                <w:kern w:val="0"/>
                <w:sz w:val="24"/>
                <w:szCs w:val="24"/>
              </w:rPr>
              <w:t>3</w:t>
            </w:r>
            <w:r>
              <w:rPr>
                <w:rFonts w:hint="eastAsia" w:ascii="Times New Roman" w:hAnsi="Times New Roman"/>
                <w:b/>
                <w:kern w:val="0"/>
                <w:sz w:val="24"/>
                <w:szCs w:val="24"/>
              </w:rPr>
              <w:t>、施工期声环境影响分析及防治措施：</w:t>
            </w:r>
          </w:p>
          <w:p>
            <w:pPr>
              <w:pStyle w:val="114"/>
            </w:pPr>
            <w:r>
              <w:rPr>
                <w:rFonts w:hint="eastAsia"/>
              </w:rPr>
              <w:t>施工期噪声主要来源于施工机械，如推土机、挖掘机、载重汽车等。虽然施工噪声仅在施工期的土建施工阶段产生，随着施工的结束而消失，但由于噪声较强且日夜连续作业，将会对周围声环境产生严重的影响，必须重视对施工期噪声的控制。距施工机械不同距离处的声级见下表</w:t>
            </w:r>
            <w:r>
              <w:t>6-1</w:t>
            </w:r>
            <w:r>
              <w:rPr>
                <w:rFonts w:hint="eastAsia"/>
              </w:rPr>
              <w:t>：</w:t>
            </w:r>
          </w:p>
          <w:p>
            <w:pPr>
              <w:pStyle w:val="111"/>
            </w:pPr>
            <w:r>
              <w:rPr>
                <w:rFonts w:hint="eastAsia"/>
              </w:rPr>
              <w:t>表</w:t>
            </w:r>
            <w:r>
              <w:t>6-1</w:t>
            </w:r>
            <w:r>
              <w:rPr>
                <w:rFonts w:hint="eastAsia"/>
              </w:rPr>
              <w:t>距施工机械不同距离处的声级一览表</w:t>
            </w:r>
          </w:p>
          <w:tbl>
            <w:tblPr>
              <w:tblStyle w:val="37"/>
              <w:tblW w:w="94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8"/>
              <w:gridCol w:w="1928"/>
              <w:gridCol w:w="995"/>
              <w:gridCol w:w="697"/>
              <w:gridCol w:w="921"/>
              <w:gridCol w:w="921"/>
              <w:gridCol w:w="921"/>
              <w:gridCol w:w="922"/>
              <w:gridCol w:w="1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38" w:type="dxa"/>
                  <w:vMerge w:val="restart"/>
                  <w:tcBorders>
                    <w:top w:val="single" w:color="auto" w:sz="12" w:space="0"/>
                    <w:left w:val="single" w:color="auto" w:sz="12" w:space="0"/>
                    <w:bottom w:val="single" w:color="auto" w:sz="6" w:space="0"/>
                    <w:right w:val="single" w:color="auto" w:sz="6" w:space="0"/>
                  </w:tcBorders>
                  <w:vAlign w:val="center"/>
                </w:tcPr>
                <w:p>
                  <w:pPr>
                    <w:pStyle w:val="77"/>
                  </w:pPr>
                  <w:r>
                    <w:rPr>
                      <w:rFonts w:hint="eastAsia"/>
                    </w:rPr>
                    <w:t>序号</w:t>
                  </w:r>
                </w:p>
              </w:tc>
              <w:tc>
                <w:tcPr>
                  <w:tcW w:w="2923" w:type="dxa"/>
                  <w:gridSpan w:val="2"/>
                  <w:vMerge w:val="restart"/>
                  <w:tcBorders>
                    <w:top w:val="single" w:color="auto" w:sz="12" w:space="0"/>
                    <w:left w:val="single" w:color="auto" w:sz="6" w:space="0"/>
                    <w:bottom w:val="single" w:color="auto" w:sz="6" w:space="0"/>
                    <w:right w:val="single" w:color="auto" w:sz="6" w:space="0"/>
                  </w:tcBorders>
                  <w:vAlign w:val="center"/>
                </w:tcPr>
                <w:p>
                  <w:pPr>
                    <w:pStyle w:val="77"/>
                  </w:pPr>
                  <w:r>
                    <w:rPr>
                      <w:rFonts w:hint="eastAsia"/>
                    </w:rPr>
                    <w:t>设备名称</w:t>
                  </w:r>
                </w:p>
              </w:tc>
              <w:tc>
                <w:tcPr>
                  <w:tcW w:w="5443" w:type="dxa"/>
                  <w:gridSpan w:val="6"/>
                  <w:tcBorders>
                    <w:top w:val="single" w:color="auto" w:sz="12" w:space="0"/>
                    <w:left w:val="single" w:color="auto" w:sz="6" w:space="0"/>
                    <w:bottom w:val="single" w:color="auto" w:sz="6" w:space="0"/>
                    <w:right w:val="single" w:color="auto" w:sz="12" w:space="0"/>
                  </w:tcBorders>
                  <w:vAlign w:val="center"/>
                </w:tcPr>
                <w:p>
                  <w:pPr>
                    <w:pStyle w:val="77"/>
                  </w:pPr>
                  <w:r>
                    <w:rPr>
                      <w:rFonts w:hint="eastAsia"/>
                    </w:rPr>
                    <w:t>噪声级</w:t>
                  </w:r>
                  <w: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38" w:type="dxa"/>
                  <w:vMerge w:val="continue"/>
                  <w:tcBorders>
                    <w:top w:val="single" w:color="auto" w:sz="6" w:space="0"/>
                    <w:left w:val="single" w:color="auto" w:sz="12" w:space="0"/>
                    <w:bottom w:val="double" w:color="auto" w:sz="4" w:space="0"/>
                    <w:right w:val="single" w:color="auto" w:sz="6" w:space="0"/>
                  </w:tcBorders>
                  <w:vAlign w:val="center"/>
                </w:tcPr>
                <w:p>
                  <w:pPr>
                    <w:pStyle w:val="77"/>
                  </w:pPr>
                </w:p>
              </w:tc>
              <w:tc>
                <w:tcPr>
                  <w:tcW w:w="2923" w:type="dxa"/>
                  <w:gridSpan w:val="2"/>
                  <w:vMerge w:val="continue"/>
                  <w:tcBorders>
                    <w:top w:val="single" w:color="auto" w:sz="6" w:space="0"/>
                    <w:left w:val="single" w:color="auto" w:sz="6" w:space="0"/>
                    <w:bottom w:val="double" w:color="auto" w:sz="4" w:space="0"/>
                    <w:right w:val="single" w:color="auto" w:sz="6" w:space="0"/>
                  </w:tcBorders>
                  <w:vAlign w:val="center"/>
                </w:tcPr>
                <w:p>
                  <w:pPr>
                    <w:pStyle w:val="77"/>
                  </w:pPr>
                </w:p>
              </w:tc>
              <w:tc>
                <w:tcPr>
                  <w:tcW w:w="697" w:type="dxa"/>
                  <w:tcBorders>
                    <w:top w:val="single" w:color="auto" w:sz="6" w:space="0"/>
                    <w:left w:val="single" w:color="auto" w:sz="6" w:space="0"/>
                    <w:bottom w:val="double" w:color="auto" w:sz="4" w:space="0"/>
                    <w:right w:val="single" w:color="auto" w:sz="6" w:space="0"/>
                  </w:tcBorders>
                  <w:vAlign w:val="center"/>
                </w:tcPr>
                <w:p>
                  <w:pPr>
                    <w:pStyle w:val="77"/>
                  </w:pPr>
                  <w:r>
                    <w:t>10m</w:t>
                  </w:r>
                </w:p>
              </w:tc>
              <w:tc>
                <w:tcPr>
                  <w:tcW w:w="921" w:type="dxa"/>
                  <w:tcBorders>
                    <w:top w:val="single" w:color="auto" w:sz="6" w:space="0"/>
                    <w:left w:val="single" w:color="auto" w:sz="6" w:space="0"/>
                    <w:bottom w:val="double" w:color="auto" w:sz="4" w:space="0"/>
                    <w:right w:val="single" w:color="auto" w:sz="6" w:space="0"/>
                  </w:tcBorders>
                  <w:vAlign w:val="center"/>
                </w:tcPr>
                <w:p>
                  <w:pPr>
                    <w:pStyle w:val="77"/>
                  </w:pPr>
                  <w:r>
                    <w:t>20m</w:t>
                  </w:r>
                </w:p>
              </w:tc>
              <w:tc>
                <w:tcPr>
                  <w:tcW w:w="921" w:type="dxa"/>
                  <w:tcBorders>
                    <w:top w:val="single" w:color="auto" w:sz="6" w:space="0"/>
                    <w:left w:val="single" w:color="auto" w:sz="6" w:space="0"/>
                    <w:bottom w:val="double" w:color="auto" w:sz="4" w:space="0"/>
                    <w:right w:val="single" w:color="auto" w:sz="6" w:space="0"/>
                  </w:tcBorders>
                  <w:vAlign w:val="center"/>
                </w:tcPr>
                <w:p>
                  <w:pPr>
                    <w:pStyle w:val="77"/>
                  </w:pPr>
                  <w:r>
                    <w:t>30m</w:t>
                  </w:r>
                </w:p>
              </w:tc>
              <w:tc>
                <w:tcPr>
                  <w:tcW w:w="921" w:type="dxa"/>
                  <w:tcBorders>
                    <w:top w:val="single" w:color="auto" w:sz="6" w:space="0"/>
                    <w:left w:val="single" w:color="auto" w:sz="6" w:space="0"/>
                    <w:bottom w:val="double" w:color="auto" w:sz="4" w:space="0"/>
                    <w:right w:val="single" w:color="auto" w:sz="6" w:space="0"/>
                  </w:tcBorders>
                  <w:vAlign w:val="center"/>
                </w:tcPr>
                <w:p>
                  <w:pPr>
                    <w:pStyle w:val="77"/>
                  </w:pPr>
                  <w:r>
                    <w:t>50m</w:t>
                  </w:r>
                </w:p>
              </w:tc>
              <w:tc>
                <w:tcPr>
                  <w:tcW w:w="922" w:type="dxa"/>
                  <w:tcBorders>
                    <w:top w:val="single" w:color="auto" w:sz="6" w:space="0"/>
                    <w:left w:val="single" w:color="auto" w:sz="6" w:space="0"/>
                    <w:bottom w:val="double" w:color="auto" w:sz="4" w:space="0"/>
                    <w:right w:val="single" w:color="auto" w:sz="6" w:space="0"/>
                  </w:tcBorders>
                  <w:vAlign w:val="center"/>
                </w:tcPr>
                <w:p>
                  <w:pPr>
                    <w:pStyle w:val="77"/>
                  </w:pPr>
                  <w:r>
                    <w:t>100m</w:t>
                  </w:r>
                </w:p>
              </w:tc>
              <w:tc>
                <w:tcPr>
                  <w:tcW w:w="1061" w:type="dxa"/>
                  <w:tcBorders>
                    <w:top w:val="single" w:color="auto" w:sz="6" w:space="0"/>
                    <w:left w:val="single" w:color="auto" w:sz="6" w:space="0"/>
                    <w:bottom w:val="double" w:color="auto" w:sz="4" w:space="0"/>
                    <w:right w:val="single" w:color="auto" w:sz="12" w:space="0"/>
                  </w:tcBorders>
                  <w:vAlign w:val="center"/>
                </w:tcPr>
                <w:p>
                  <w:pPr>
                    <w:pStyle w:val="77"/>
                  </w:pPr>
                  <w:r>
                    <w:t>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38" w:type="dxa"/>
                  <w:tcBorders>
                    <w:top w:val="double" w:color="auto" w:sz="4" w:space="0"/>
                    <w:left w:val="single" w:color="auto" w:sz="12" w:space="0"/>
                    <w:bottom w:val="single" w:color="auto" w:sz="6" w:space="0"/>
                    <w:right w:val="single" w:color="auto" w:sz="6" w:space="0"/>
                  </w:tcBorders>
                  <w:vAlign w:val="center"/>
                </w:tcPr>
                <w:p>
                  <w:pPr>
                    <w:pStyle w:val="77"/>
                  </w:pPr>
                  <w:r>
                    <w:t>1</w:t>
                  </w:r>
                </w:p>
              </w:tc>
              <w:tc>
                <w:tcPr>
                  <w:tcW w:w="2923" w:type="dxa"/>
                  <w:gridSpan w:val="2"/>
                  <w:tcBorders>
                    <w:top w:val="double" w:color="auto" w:sz="4" w:space="0"/>
                    <w:left w:val="single" w:color="auto" w:sz="6" w:space="0"/>
                    <w:bottom w:val="single" w:color="auto" w:sz="6" w:space="0"/>
                    <w:right w:val="single" w:color="auto" w:sz="6" w:space="0"/>
                  </w:tcBorders>
                  <w:vAlign w:val="center"/>
                </w:tcPr>
                <w:p>
                  <w:pPr>
                    <w:pStyle w:val="77"/>
                  </w:pPr>
                  <w:r>
                    <w:rPr>
                      <w:rFonts w:hint="eastAsia"/>
                    </w:rPr>
                    <w:t>挖掘机</w:t>
                  </w:r>
                </w:p>
              </w:tc>
              <w:tc>
                <w:tcPr>
                  <w:tcW w:w="697" w:type="dxa"/>
                  <w:tcBorders>
                    <w:top w:val="double" w:color="auto" w:sz="4" w:space="0"/>
                    <w:left w:val="single" w:color="auto" w:sz="6" w:space="0"/>
                    <w:bottom w:val="single" w:color="auto" w:sz="6" w:space="0"/>
                    <w:right w:val="single" w:color="auto" w:sz="6" w:space="0"/>
                  </w:tcBorders>
                  <w:vAlign w:val="center"/>
                </w:tcPr>
                <w:p>
                  <w:pPr>
                    <w:pStyle w:val="77"/>
                  </w:pPr>
                  <w:r>
                    <w:t>68</w:t>
                  </w:r>
                </w:p>
              </w:tc>
              <w:tc>
                <w:tcPr>
                  <w:tcW w:w="921" w:type="dxa"/>
                  <w:tcBorders>
                    <w:top w:val="double" w:color="auto" w:sz="4" w:space="0"/>
                    <w:left w:val="single" w:color="auto" w:sz="6" w:space="0"/>
                    <w:bottom w:val="single" w:color="auto" w:sz="6" w:space="0"/>
                    <w:right w:val="single" w:color="auto" w:sz="6" w:space="0"/>
                  </w:tcBorders>
                  <w:vAlign w:val="center"/>
                </w:tcPr>
                <w:p>
                  <w:pPr>
                    <w:pStyle w:val="77"/>
                  </w:pPr>
                  <w:r>
                    <w:t>62</w:t>
                  </w:r>
                </w:p>
              </w:tc>
              <w:tc>
                <w:tcPr>
                  <w:tcW w:w="921" w:type="dxa"/>
                  <w:tcBorders>
                    <w:top w:val="double" w:color="auto" w:sz="4" w:space="0"/>
                    <w:left w:val="single" w:color="auto" w:sz="6" w:space="0"/>
                    <w:bottom w:val="single" w:color="auto" w:sz="6" w:space="0"/>
                    <w:right w:val="single" w:color="auto" w:sz="6" w:space="0"/>
                  </w:tcBorders>
                  <w:vAlign w:val="center"/>
                </w:tcPr>
                <w:p>
                  <w:pPr>
                    <w:pStyle w:val="77"/>
                  </w:pPr>
                  <w:r>
                    <w:t>58</w:t>
                  </w:r>
                </w:p>
              </w:tc>
              <w:tc>
                <w:tcPr>
                  <w:tcW w:w="921" w:type="dxa"/>
                  <w:tcBorders>
                    <w:top w:val="double" w:color="auto" w:sz="4" w:space="0"/>
                    <w:left w:val="single" w:color="auto" w:sz="6" w:space="0"/>
                    <w:bottom w:val="single" w:color="auto" w:sz="6" w:space="0"/>
                    <w:right w:val="single" w:color="auto" w:sz="6" w:space="0"/>
                  </w:tcBorders>
                  <w:vAlign w:val="center"/>
                </w:tcPr>
                <w:p>
                  <w:pPr>
                    <w:pStyle w:val="77"/>
                  </w:pPr>
                  <w:r>
                    <w:t>54</w:t>
                  </w:r>
                </w:p>
              </w:tc>
              <w:tc>
                <w:tcPr>
                  <w:tcW w:w="922" w:type="dxa"/>
                  <w:tcBorders>
                    <w:top w:val="double" w:color="auto" w:sz="4" w:space="0"/>
                    <w:left w:val="single" w:color="auto" w:sz="6" w:space="0"/>
                    <w:bottom w:val="single" w:color="auto" w:sz="6" w:space="0"/>
                    <w:right w:val="single" w:color="auto" w:sz="6" w:space="0"/>
                  </w:tcBorders>
                  <w:vAlign w:val="center"/>
                </w:tcPr>
                <w:p>
                  <w:pPr>
                    <w:pStyle w:val="77"/>
                  </w:pPr>
                  <w:r>
                    <w:t>48</w:t>
                  </w:r>
                </w:p>
              </w:tc>
              <w:tc>
                <w:tcPr>
                  <w:tcW w:w="1061" w:type="dxa"/>
                  <w:tcBorders>
                    <w:top w:val="double" w:color="auto" w:sz="4" w:space="0"/>
                    <w:left w:val="single" w:color="auto" w:sz="6" w:space="0"/>
                    <w:bottom w:val="single" w:color="auto" w:sz="6" w:space="0"/>
                    <w:right w:val="single" w:color="auto" w:sz="12" w:space="0"/>
                  </w:tcBorders>
                  <w:vAlign w:val="center"/>
                </w:tcPr>
                <w:p>
                  <w:pPr>
                    <w:pStyle w:val="77"/>
                  </w:pPr>
                  <w:r>
                    <w:t>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38" w:type="dxa"/>
                  <w:tcBorders>
                    <w:top w:val="single" w:color="auto" w:sz="6" w:space="0"/>
                    <w:left w:val="single" w:color="auto" w:sz="12" w:space="0"/>
                    <w:bottom w:val="single" w:color="auto" w:sz="6" w:space="0"/>
                    <w:right w:val="single" w:color="auto" w:sz="6" w:space="0"/>
                  </w:tcBorders>
                  <w:vAlign w:val="center"/>
                </w:tcPr>
                <w:p>
                  <w:pPr>
                    <w:pStyle w:val="77"/>
                  </w:pPr>
                  <w:r>
                    <w:t>2</w:t>
                  </w:r>
                </w:p>
              </w:tc>
              <w:tc>
                <w:tcPr>
                  <w:tcW w:w="2923" w:type="dxa"/>
                  <w:gridSpan w:val="2"/>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混凝土输送泵</w:t>
                  </w:r>
                </w:p>
              </w:tc>
              <w:tc>
                <w:tcPr>
                  <w:tcW w:w="697" w:type="dxa"/>
                  <w:tcBorders>
                    <w:top w:val="single" w:color="auto" w:sz="6" w:space="0"/>
                    <w:left w:val="single" w:color="auto" w:sz="6" w:space="0"/>
                    <w:bottom w:val="single" w:color="auto" w:sz="6" w:space="0"/>
                    <w:right w:val="single" w:color="auto" w:sz="6" w:space="0"/>
                  </w:tcBorders>
                  <w:vAlign w:val="center"/>
                </w:tcPr>
                <w:p>
                  <w:pPr>
                    <w:pStyle w:val="77"/>
                  </w:pPr>
                  <w:r>
                    <w:t>75</w:t>
                  </w:r>
                </w:p>
              </w:tc>
              <w:tc>
                <w:tcPr>
                  <w:tcW w:w="921" w:type="dxa"/>
                  <w:tcBorders>
                    <w:top w:val="single" w:color="auto" w:sz="6" w:space="0"/>
                    <w:left w:val="single" w:color="auto" w:sz="6" w:space="0"/>
                    <w:bottom w:val="single" w:color="auto" w:sz="6" w:space="0"/>
                    <w:right w:val="single" w:color="auto" w:sz="6" w:space="0"/>
                  </w:tcBorders>
                  <w:vAlign w:val="center"/>
                </w:tcPr>
                <w:p>
                  <w:pPr>
                    <w:pStyle w:val="77"/>
                  </w:pPr>
                  <w:r>
                    <w:t>69</w:t>
                  </w:r>
                </w:p>
              </w:tc>
              <w:tc>
                <w:tcPr>
                  <w:tcW w:w="921" w:type="dxa"/>
                  <w:tcBorders>
                    <w:top w:val="single" w:color="auto" w:sz="6" w:space="0"/>
                    <w:left w:val="single" w:color="auto" w:sz="6" w:space="0"/>
                    <w:bottom w:val="single" w:color="auto" w:sz="6" w:space="0"/>
                    <w:right w:val="single" w:color="auto" w:sz="6" w:space="0"/>
                  </w:tcBorders>
                  <w:vAlign w:val="center"/>
                </w:tcPr>
                <w:p>
                  <w:pPr>
                    <w:pStyle w:val="77"/>
                  </w:pPr>
                  <w:r>
                    <w:t>65</w:t>
                  </w:r>
                </w:p>
              </w:tc>
              <w:tc>
                <w:tcPr>
                  <w:tcW w:w="921" w:type="dxa"/>
                  <w:tcBorders>
                    <w:top w:val="single" w:color="auto" w:sz="6" w:space="0"/>
                    <w:left w:val="single" w:color="auto" w:sz="6" w:space="0"/>
                    <w:bottom w:val="single" w:color="auto" w:sz="6" w:space="0"/>
                    <w:right w:val="single" w:color="auto" w:sz="6" w:space="0"/>
                  </w:tcBorders>
                  <w:vAlign w:val="center"/>
                </w:tcPr>
                <w:p>
                  <w:pPr>
                    <w:pStyle w:val="77"/>
                  </w:pPr>
                  <w:r>
                    <w:t>61</w:t>
                  </w:r>
                </w:p>
              </w:tc>
              <w:tc>
                <w:tcPr>
                  <w:tcW w:w="922" w:type="dxa"/>
                  <w:tcBorders>
                    <w:top w:val="single" w:color="auto" w:sz="6" w:space="0"/>
                    <w:left w:val="single" w:color="auto" w:sz="6" w:space="0"/>
                    <w:bottom w:val="single" w:color="auto" w:sz="6" w:space="0"/>
                    <w:right w:val="single" w:color="auto" w:sz="6" w:space="0"/>
                  </w:tcBorders>
                  <w:vAlign w:val="center"/>
                </w:tcPr>
                <w:p>
                  <w:pPr>
                    <w:pStyle w:val="77"/>
                  </w:pPr>
                  <w:r>
                    <w:t>55</w:t>
                  </w:r>
                </w:p>
              </w:tc>
              <w:tc>
                <w:tcPr>
                  <w:tcW w:w="1061" w:type="dxa"/>
                  <w:tcBorders>
                    <w:top w:val="single" w:color="auto" w:sz="6" w:space="0"/>
                    <w:left w:val="single" w:color="auto" w:sz="6" w:space="0"/>
                    <w:bottom w:val="single" w:color="auto" w:sz="6" w:space="0"/>
                    <w:right w:val="single" w:color="auto" w:sz="12" w:space="0"/>
                  </w:tcBorders>
                  <w:vAlign w:val="center"/>
                </w:tcPr>
                <w:p>
                  <w:pPr>
                    <w:pStyle w:val="77"/>
                  </w:pPr>
                  <w: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38" w:type="dxa"/>
                  <w:tcBorders>
                    <w:top w:val="single" w:color="auto" w:sz="6" w:space="0"/>
                    <w:left w:val="single" w:color="auto" w:sz="12" w:space="0"/>
                    <w:bottom w:val="single" w:color="auto" w:sz="6" w:space="0"/>
                    <w:right w:val="single" w:color="auto" w:sz="6" w:space="0"/>
                  </w:tcBorders>
                  <w:vAlign w:val="center"/>
                </w:tcPr>
                <w:p>
                  <w:pPr>
                    <w:pStyle w:val="77"/>
                  </w:pPr>
                  <w:r>
                    <w:t>3</w:t>
                  </w:r>
                </w:p>
              </w:tc>
              <w:tc>
                <w:tcPr>
                  <w:tcW w:w="2923" w:type="dxa"/>
                  <w:gridSpan w:val="2"/>
                  <w:tcBorders>
                    <w:top w:val="single" w:color="auto" w:sz="6" w:space="0"/>
                    <w:left w:val="single" w:color="auto" w:sz="6" w:space="0"/>
                    <w:bottom w:val="single" w:color="auto" w:sz="6" w:space="0"/>
                    <w:right w:val="single" w:color="auto" w:sz="6" w:space="0"/>
                  </w:tcBorders>
                  <w:vAlign w:val="center"/>
                </w:tcPr>
                <w:p>
                  <w:pPr>
                    <w:pStyle w:val="77"/>
                  </w:pPr>
                  <w:r>
                    <w:rPr>
                      <w:rFonts w:hint="eastAsia"/>
                    </w:rPr>
                    <w:t>电锯、电钻</w:t>
                  </w:r>
                </w:p>
              </w:tc>
              <w:tc>
                <w:tcPr>
                  <w:tcW w:w="697" w:type="dxa"/>
                  <w:tcBorders>
                    <w:top w:val="single" w:color="auto" w:sz="6" w:space="0"/>
                    <w:left w:val="single" w:color="auto" w:sz="6" w:space="0"/>
                    <w:bottom w:val="single" w:color="auto" w:sz="6" w:space="0"/>
                    <w:right w:val="single" w:color="auto" w:sz="6" w:space="0"/>
                  </w:tcBorders>
                  <w:vAlign w:val="center"/>
                </w:tcPr>
                <w:p>
                  <w:pPr>
                    <w:pStyle w:val="77"/>
                  </w:pPr>
                  <w:r>
                    <w:t>80</w:t>
                  </w:r>
                </w:p>
              </w:tc>
              <w:tc>
                <w:tcPr>
                  <w:tcW w:w="921" w:type="dxa"/>
                  <w:tcBorders>
                    <w:top w:val="single" w:color="auto" w:sz="6" w:space="0"/>
                    <w:left w:val="single" w:color="auto" w:sz="6" w:space="0"/>
                    <w:bottom w:val="single" w:color="auto" w:sz="6" w:space="0"/>
                    <w:right w:val="single" w:color="auto" w:sz="6" w:space="0"/>
                  </w:tcBorders>
                  <w:vAlign w:val="center"/>
                </w:tcPr>
                <w:p>
                  <w:pPr>
                    <w:pStyle w:val="77"/>
                  </w:pPr>
                  <w:r>
                    <w:t>74</w:t>
                  </w:r>
                </w:p>
              </w:tc>
              <w:tc>
                <w:tcPr>
                  <w:tcW w:w="921" w:type="dxa"/>
                  <w:tcBorders>
                    <w:top w:val="single" w:color="auto" w:sz="6" w:space="0"/>
                    <w:left w:val="single" w:color="auto" w:sz="6" w:space="0"/>
                    <w:bottom w:val="single" w:color="auto" w:sz="6" w:space="0"/>
                    <w:right w:val="single" w:color="auto" w:sz="6" w:space="0"/>
                  </w:tcBorders>
                  <w:vAlign w:val="center"/>
                </w:tcPr>
                <w:p>
                  <w:pPr>
                    <w:pStyle w:val="77"/>
                  </w:pPr>
                  <w:r>
                    <w:t>70</w:t>
                  </w:r>
                </w:p>
              </w:tc>
              <w:tc>
                <w:tcPr>
                  <w:tcW w:w="921" w:type="dxa"/>
                  <w:tcBorders>
                    <w:top w:val="single" w:color="auto" w:sz="6" w:space="0"/>
                    <w:left w:val="single" w:color="auto" w:sz="6" w:space="0"/>
                    <w:bottom w:val="single" w:color="auto" w:sz="6" w:space="0"/>
                    <w:right w:val="single" w:color="auto" w:sz="6" w:space="0"/>
                  </w:tcBorders>
                  <w:vAlign w:val="center"/>
                </w:tcPr>
                <w:p>
                  <w:pPr>
                    <w:pStyle w:val="77"/>
                  </w:pPr>
                  <w:r>
                    <w:t>66</w:t>
                  </w:r>
                </w:p>
              </w:tc>
              <w:tc>
                <w:tcPr>
                  <w:tcW w:w="922" w:type="dxa"/>
                  <w:tcBorders>
                    <w:top w:val="single" w:color="auto" w:sz="6" w:space="0"/>
                    <w:left w:val="single" w:color="auto" w:sz="6" w:space="0"/>
                    <w:bottom w:val="single" w:color="auto" w:sz="6" w:space="0"/>
                    <w:right w:val="single" w:color="auto" w:sz="6" w:space="0"/>
                  </w:tcBorders>
                  <w:vAlign w:val="center"/>
                </w:tcPr>
                <w:p>
                  <w:pPr>
                    <w:pStyle w:val="77"/>
                  </w:pPr>
                  <w:r>
                    <w:t>60</w:t>
                  </w:r>
                </w:p>
              </w:tc>
              <w:tc>
                <w:tcPr>
                  <w:tcW w:w="1061" w:type="dxa"/>
                  <w:tcBorders>
                    <w:top w:val="single" w:color="auto" w:sz="6" w:space="0"/>
                    <w:left w:val="single" w:color="auto" w:sz="6" w:space="0"/>
                    <w:bottom w:val="single" w:color="auto" w:sz="6" w:space="0"/>
                    <w:right w:val="single" w:color="auto" w:sz="12" w:space="0"/>
                  </w:tcBorders>
                  <w:vAlign w:val="center"/>
                </w:tcPr>
                <w:p>
                  <w:pPr>
                    <w:pStyle w:val="77"/>
                  </w:pPr>
                  <w:r>
                    <w:t>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66" w:type="dxa"/>
                  <w:gridSpan w:val="2"/>
                  <w:vMerge w:val="restart"/>
                  <w:tcBorders>
                    <w:top w:val="single" w:color="auto" w:sz="6" w:space="0"/>
                    <w:left w:val="single" w:color="auto" w:sz="12" w:space="0"/>
                    <w:bottom w:val="single" w:color="auto" w:sz="6" w:space="0"/>
                    <w:right w:val="single" w:color="auto" w:sz="6" w:space="0"/>
                  </w:tcBorders>
                  <w:vAlign w:val="center"/>
                </w:tcPr>
                <w:p>
                  <w:pPr>
                    <w:pStyle w:val="77"/>
                  </w:pPr>
                  <w:r>
                    <w:rPr>
                      <w:rFonts w:hint="eastAsia"/>
                    </w:rPr>
                    <w:t>《建筑施工场界环境噪声排放标准》</w:t>
                  </w:r>
                  <w:r>
                    <w:t>GB12523-2011</w:t>
                  </w:r>
                </w:p>
              </w:tc>
              <w:tc>
                <w:tcPr>
                  <w:tcW w:w="995" w:type="dxa"/>
                  <w:tcBorders>
                    <w:top w:val="single" w:color="auto" w:sz="6" w:space="0"/>
                    <w:left w:val="single" w:color="auto" w:sz="6" w:space="0"/>
                    <w:bottom w:val="single" w:color="auto" w:sz="6" w:space="0"/>
                    <w:right w:val="single" w:color="auto" w:sz="6" w:space="0"/>
                  </w:tcBorders>
                  <w:vAlign w:val="center"/>
                </w:tcPr>
                <w:p>
                  <w:pPr>
                    <w:pStyle w:val="77"/>
                  </w:pPr>
                  <w:r>
                    <w:rPr>
                      <w:rFonts w:hint="eastAsia"/>
                    </w:rPr>
                    <w:t>昼间</w:t>
                  </w:r>
                </w:p>
              </w:tc>
              <w:tc>
                <w:tcPr>
                  <w:tcW w:w="5443" w:type="dxa"/>
                  <w:gridSpan w:val="6"/>
                  <w:tcBorders>
                    <w:top w:val="single" w:color="auto" w:sz="6" w:space="0"/>
                    <w:left w:val="single" w:color="auto" w:sz="6" w:space="0"/>
                    <w:bottom w:val="single" w:color="auto" w:sz="6" w:space="0"/>
                    <w:right w:val="single" w:color="auto" w:sz="12" w:space="0"/>
                  </w:tcBorders>
                  <w:vAlign w:val="center"/>
                </w:tcPr>
                <w:p>
                  <w:pPr>
                    <w:pStyle w:val="77"/>
                  </w:pPr>
                  <w: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966" w:type="dxa"/>
                  <w:gridSpan w:val="2"/>
                  <w:vMerge w:val="continue"/>
                  <w:tcBorders>
                    <w:top w:val="single" w:color="auto" w:sz="6" w:space="0"/>
                    <w:left w:val="single" w:color="auto" w:sz="12" w:space="0"/>
                    <w:bottom w:val="single" w:color="auto" w:sz="12" w:space="0"/>
                    <w:right w:val="single" w:color="auto" w:sz="6" w:space="0"/>
                  </w:tcBorders>
                  <w:vAlign w:val="center"/>
                </w:tcPr>
                <w:p>
                  <w:pPr>
                    <w:pStyle w:val="77"/>
                  </w:pPr>
                </w:p>
              </w:tc>
              <w:tc>
                <w:tcPr>
                  <w:tcW w:w="995"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夜间</w:t>
                  </w:r>
                </w:p>
              </w:tc>
              <w:tc>
                <w:tcPr>
                  <w:tcW w:w="5443" w:type="dxa"/>
                  <w:gridSpan w:val="6"/>
                  <w:tcBorders>
                    <w:top w:val="single" w:color="auto" w:sz="6" w:space="0"/>
                    <w:left w:val="single" w:color="auto" w:sz="6" w:space="0"/>
                    <w:bottom w:val="single" w:color="auto" w:sz="12" w:space="0"/>
                    <w:right w:val="single" w:color="auto" w:sz="12" w:space="0"/>
                  </w:tcBorders>
                  <w:vAlign w:val="center"/>
                </w:tcPr>
                <w:p>
                  <w:pPr>
                    <w:pStyle w:val="77"/>
                  </w:pPr>
                  <w:r>
                    <w:t>55</w:t>
                  </w:r>
                </w:p>
              </w:tc>
            </w:tr>
          </w:tbl>
          <w:p>
            <w:pPr>
              <w:pStyle w:val="114"/>
            </w:pPr>
            <w:r>
              <w:rPr>
                <w:rFonts w:hint="eastAsia"/>
              </w:rPr>
              <w:t>由上表可以看出，施工噪声将会使距声源</w:t>
            </w:r>
            <w:r>
              <w:t>50</w:t>
            </w:r>
            <w:r>
              <w:rPr>
                <w:rFonts w:hint="eastAsia"/>
              </w:rPr>
              <w:t>米范围内的昼间声级、</w:t>
            </w:r>
            <w:r>
              <w:t>200m</w:t>
            </w:r>
            <w:r>
              <w:rPr>
                <w:rFonts w:hint="eastAsia"/>
              </w:rPr>
              <w:t>范围内夜间声级超过《建筑施工场界环境噪声排放标准》</w:t>
            </w:r>
            <w:r>
              <w:t>GB12523-2011</w:t>
            </w:r>
            <w:r>
              <w:rPr>
                <w:rFonts w:hint="eastAsia"/>
              </w:rPr>
              <w:t>标准。本项目夜间不施工，且项目周边</w:t>
            </w:r>
            <w:r>
              <w:t>200m</w:t>
            </w:r>
            <w:r>
              <w:rPr>
                <w:rFonts w:hint="eastAsia"/>
              </w:rPr>
              <w:t>范围内无声环境敏感点，故施工噪声对周围环境影响不大。</w:t>
            </w:r>
          </w:p>
          <w:p>
            <w:pPr>
              <w:pStyle w:val="114"/>
            </w:pPr>
            <w:r>
              <w:rPr>
                <w:rFonts w:hint="eastAsia"/>
              </w:rPr>
              <w:t>建设单位应尽量选用低噪声的机械和设备；控制对产生高噪声设备使用，对高噪声设备的施工，应尽量安排在白天使用，避免在人群休息时进行。此外，应对产生噪声的施工设备加强维护和维修工作。</w:t>
            </w:r>
          </w:p>
          <w:p>
            <w:pPr>
              <w:pStyle w:val="114"/>
            </w:pPr>
            <w:r>
              <w:rPr>
                <w:rFonts w:hint="eastAsia"/>
              </w:rPr>
              <w:t>建筑施工由于各阶段使用的机械设备组合情况不同，所以噪声辐射影响的程度也不尽相同。污水处理厂扩建工程建设阶段设备多属高噪声机械，噪声特点是持续时间长，强度高。下面结合施工特点，对一些重点噪声设备和声源，提出一些治理措施和建议：</w:t>
            </w:r>
          </w:p>
          <w:p>
            <w:pPr>
              <w:pStyle w:val="114"/>
            </w:pPr>
            <w:r>
              <w:rPr>
                <w:rFonts w:hint="eastAsia" w:ascii="宋体" w:hAnsi="宋体" w:cs="宋体"/>
              </w:rPr>
              <w:t>①</w:t>
            </w:r>
            <w:r>
              <w:rPr>
                <w:rFonts w:hint="eastAsia"/>
              </w:rPr>
              <w:t>从规范施工秩序着手，合理安排施工时间，合理布局施工场地，选用良好的施工设备，降低设备声级，降低人为的噪声，建立临时隔声障减少噪声污染。</w:t>
            </w:r>
          </w:p>
          <w:p>
            <w:pPr>
              <w:pStyle w:val="114"/>
            </w:pPr>
            <w:r>
              <w:rPr>
                <w:rFonts w:hint="eastAsia" w:ascii="宋体" w:hAnsi="宋体" w:cs="宋体"/>
              </w:rPr>
              <w:t>②</w:t>
            </w:r>
            <w:r>
              <w:rPr>
                <w:rFonts w:hint="eastAsia"/>
              </w:rPr>
              <w:t>对各施工环节中噪声较为突出且又难以对声源进行降噪可能的设备装置，应采取临时围障措施，在围障中最好敷以吸声材料，以次达到降噪效果。</w:t>
            </w:r>
          </w:p>
          <w:p>
            <w:pPr>
              <w:pStyle w:val="114"/>
            </w:pPr>
            <w:r>
              <w:rPr>
                <w:rFonts w:hint="eastAsia" w:ascii="宋体" w:hAnsi="宋体" w:cs="宋体"/>
              </w:rPr>
              <w:t>③</w:t>
            </w:r>
            <w:r>
              <w:rPr>
                <w:rFonts w:hint="eastAsia"/>
              </w:rPr>
              <w:t>施工中发放劳动防护设备，以减小噪声对现场施工人员的影响。</w:t>
            </w:r>
          </w:p>
          <w:p>
            <w:pPr>
              <w:pStyle w:val="114"/>
            </w:pPr>
            <w:r>
              <w:rPr>
                <w:rFonts w:hint="eastAsia"/>
              </w:rPr>
              <w:t>经过采取以上综合防治措施，可以将施工期噪声值对周围环境敏感点的影响降至最小。</w:t>
            </w:r>
          </w:p>
          <w:p>
            <w:pPr>
              <w:spacing w:line="360" w:lineRule="auto"/>
              <w:ind w:firstLine="482" w:firstLineChars="200"/>
              <w:rPr>
                <w:rFonts w:ascii="Times New Roman" w:hAnsi="Times New Roman"/>
                <w:b/>
                <w:bCs/>
                <w:sz w:val="24"/>
                <w:szCs w:val="24"/>
              </w:rPr>
            </w:pPr>
            <w:r>
              <w:rPr>
                <w:rFonts w:ascii="Times New Roman" w:hAnsi="Times New Roman"/>
                <w:b/>
                <w:bCs/>
                <w:sz w:val="24"/>
                <w:szCs w:val="24"/>
              </w:rPr>
              <w:t>4</w:t>
            </w:r>
            <w:r>
              <w:rPr>
                <w:rFonts w:hint="eastAsia" w:ascii="Times New Roman" w:hAnsi="Times New Roman"/>
                <w:b/>
                <w:bCs/>
                <w:sz w:val="24"/>
                <w:szCs w:val="24"/>
              </w:rPr>
              <w:t>、固体废物影响分析</w:t>
            </w:r>
          </w:p>
          <w:p>
            <w:pPr>
              <w:pStyle w:val="114"/>
            </w:pPr>
            <w:r>
              <w:rPr>
                <w:rFonts w:hint="eastAsia"/>
              </w:rPr>
              <w:t>本项目施工期主要固体废物为建筑垃圾、浸油废料和生活垃圾。</w:t>
            </w:r>
          </w:p>
          <w:p>
            <w:pPr>
              <w:pStyle w:val="114"/>
            </w:pPr>
            <w:r>
              <w:rPr>
                <w:rFonts w:hint="eastAsia"/>
              </w:rPr>
              <w:t>（</w:t>
            </w:r>
            <w:r>
              <w:t>1</w:t>
            </w:r>
            <w:r>
              <w:rPr>
                <w:rFonts w:hint="eastAsia"/>
              </w:rPr>
              <w:t>）建筑垃圾主要为项目池体建造、道路平整、材料运输等施工过程，主要包括废弃建筑材料、废弃混泥土、钢筋、废弃包装材料等。根据建设部《城市建筑垃圾管理规定》、《城市建筑垃圾和工程渣土管理规定》中对建筑垃圾的相关处理处置规定和要求，施工中可采取如下措施：</w:t>
            </w:r>
          </w:p>
          <w:p>
            <w:pPr>
              <w:pStyle w:val="114"/>
              <w:ind w:firstLineChars="0"/>
            </w:pPr>
            <w:r>
              <w:rPr>
                <w:rFonts w:hint="eastAsia"/>
              </w:rPr>
              <w:t>①及时清理施工现场不可回收利用的建筑废物，送至政府指定点统一处理；</w:t>
            </w:r>
          </w:p>
          <w:p>
            <w:pPr>
              <w:pStyle w:val="114"/>
            </w:pPr>
            <w:r>
              <w:rPr>
                <w:rFonts w:hint="eastAsia" w:ascii="宋体" w:hAnsi="宋体" w:cs="宋体"/>
              </w:rPr>
              <w:t>②</w:t>
            </w:r>
            <w:r>
              <w:rPr>
                <w:rFonts w:hint="eastAsia"/>
              </w:rPr>
              <w:t>设专人及时收集废弃在施工现场的废包装材料及金属类废料，就近送至当地回收站进行处理并回收利用。</w:t>
            </w:r>
          </w:p>
          <w:p>
            <w:pPr>
              <w:pStyle w:val="114"/>
            </w:pPr>
            <w:r>
              <w:rPr>
                <w:rFonts w:hint="eastAsia"/>
                <w:shd w:val="solid" w:color="FFFFFF" w:fill="auto"/>
              </w:rPr>
              <w:t>（</w:t>
            </w:r>
            <w:r>
              <w:rPr>
                <w:shd w:val="solid" w:color="FFFFFF" w:fill="auto"/>
              </w:rPr>
              <w:t>2</w:t>
            </w:r>
            <w:r>
              <w:rPr>
                <w:rFonts w:hint="eastAsia"/>
                <w:shd w:val="solid" w:color="FFFFFF" w:fill="auto"/>
              </w:rPr>
              <w:t>）浸油废料采取打包密封后，危险废物收集暂存，与一期工程产生的危险废物一同委托海南宝来工贸有限公司处置。</w:t>
            </w:r>
          </w:p>
          <w:p>
            <w:pPr>
              <w:pStyle w:val="114"/>
            </w:pPr>
            <w:r>
              <w:rPr>
                <w:rFonts w:hint="eastAsia"/>
              </w:rPr>
              <w:t>（</w:t>
            </w:r>
            <w:r>
              <w:t>3</w:t>
            </w:r>
            <w:r>
              <w:rPr>
                <w:rFonts w:hint="eastAsia"/>
              </w:rPr>
              <w:t>）生活垃圾收集后由环卫部门统一定期清理。</w:t>
            </w:r>
          </w:p>
          <w:p>
            <w:pPr>
              <w:pStyle w:val="114"/>
            </w:pPr>
            <w:r>
              <w:rPr>
                <w:rFonts w:hint="eastAsia"/>
              </w:rPr>
              <w:t>综上，施工期产生的固体废物对环境影响较小，影响范围小，影响时间短，影响随着施工期的结束而结束，不会产生累积效应。即便如此，在整个施工过程中应当注重环保，做到科学施工、合理安排、杜绝事故。另外，本环评建议对建筑固废实行集中分类收集，并根据固废特点进行合理回收利用，在做到废弃资源合理利用的同时减少对环境的影响。</w:t>
            </w:r>
          </w:p>
          <w:p>
            <w:pPr>
              <w:spacing w:line="360" w:lineRule="auto"/>
              <w:ind w:firstLine="482" w:firstLineChars="200"/>
              <w:rPr>
                <w:rFonts w:ascii="Times New Roman" w:hAnsi="Times New Roman"/>
                <w:bCs/>
                <w:sz w:val="24"/>
                <w:szCs w:val="24"/>
              </w:rPr>
            </w:pPr>
            <w:r>
              <w:rPr>
                <w:rFonts w:ascii="Times New Roman" w:hAnsi="Times New Roman"/>
                <w:b/>
                <w:bCs/>
                <w:sz w:val="24"/>
                <w:szCs w:val="24"/>
              </w:rPr>
              <w:t>5</w:t>
            </w:r>
            <w:r>
              <w:rPr>
                <w:rFonts w:hint="eastAsia" w:ascii="Times New Roman" w:hAnsi="Times New Roman"/>
                <w:b/>
                <w:bCs/>
                <w:sz w:val="24"/>
                <w:szCs w:val="24"/>
              </w:rPr>
              <w:t>、水土流失及弃土影响分析及防治措施</w:t>
            </w:r>
          </w:p>
          <w:p>
            <w:pPr>
              <w:pStyle w:val="114"/>
            </w:pPr>
            <w:r>
              <w:rPr>
                <w:rFonts w:hint="eastAsia"/>
              </w:rPr>
              <w:t>建设期水土流失主要产生在土地平整和土方挖掘中，施工期间应注意加强施工道路的路面建设，创造良好的施工场地排水条件，减少雨水冲刷和停留时间，达到减少水土流失的目的。建设单位应采取以下水土保持措施：</w:t>
            </w:r>
          </w:p>
          <w:p>
            <w:pPr>
              <w:pStyle w:val="114"/>
            </w:pPr>
            <w:r>
              <w:t>a</w:t>
            </w:r>
            <w:r>
              <w:rPr>
                <w:rFonts w:hint="eastAsia"/>
              </w:rPr>
              <w:t>、尽量减少施工区的数量和面积，在设计的施工区内施工，不能随意扩大施工区，减少开挖面。如不能马上施工，不要过早涉入施工区。</w:t>
            </w:r>
          </w:p>
          <w:p>
            <w:pPr>
              <w:pStyle w:val="114"/>
            </w:pPr>
            <w:r>
              <w:t>b</w:t>
            </w:r>
            <w:r>
              <w:rPr>
                <w:rFonts w:hint="eastAsia"/>
              </w:rPr>
              <w:t>、各种防护措施与主体工程同步实施，以预防雨季路面径流直接冲刷坡面而造成水土流失。若遇下雨，可用沙袋或草席压住坡面进行暂时防护，以减少水土流失。</w:t>
            </w:r>
          </w:p>
          <w:p>
            <w:pPr>
              <w:pStyle w:val="114"/>
            </w:pPr>
            <w:r>
              <w:t>c</w:t>
            </w:r>
            <w:r>
              <w:rPr>
                <w:rFonts w:hint="eastAsia"/>
              </w:rPr>
              <w:t>、按绿化设计实施绿化工程。</w:t>
            </w:r>
          </w:p>
          <w:p>
            <w:pPr>
              <w:pStyle w:val="114"/>
            </w:pPr>
            <w:r>
              <w:rPr>
                <w:rFonts w:hint="eastAsia"/>
              </w:rPr>
              <w:t>本环评建议建设单位在项目建设前请有资质的单位做好水土保持方案，并严格按照水土保持方案中提出的水土保持措施做好水土保持工作，将施工期水土流失降到最低水平。</w:t>
            </w:r>
          </w:p>
          <w:p>
            <w:pPr>
              <w:pStyle w:val="114"/>
            </w:pPr>
            <w:r>
              <w:rPr>
                <w:rFonts w:hint="eastAsia"/>
              </w:rPr>
              <w:t>总之，施工期各要素对环境的影响是暂时的、局部的，采取有效的控制措施，可将影响降至最低，施工结束后，其影响基本可消除。</w:t>
            </w:r>
          </w:p>
          <w:p>
            <w:pPr>
              <w:pStyle w:val="114"/>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62" w:type="dxa"/>
          </w:tcPr>
          <w:p>
            <w:pPr>
              <w:spacing w:line="360" w:lineRule="auto"/>
              <w:rPr>
                <w:rFonts w:ascii="Times New Roman" w:hAnsi="Times New Roman"/>
                <w:b/>
                <w:bCs/>
                <w:sz w:val="24"/>
                <w:szCs w:val="24"/>
              </w:rPr>
            </w:pPr>
            <w:r>
              <w:rPr>
                <w:rFonts w:hint="eastAsia" w:ascii="Times New Roman" w:hAnsi="Times New Roman"/>
                <w:b/>
                <w:bCs/>
                <w:sz w:val="24"/>
                <w:szCs w:val="24"/>
              </w:rPr>
              <w:t>营运期环境影响分析</w:t>
            </w:r>
          </w:p>
          <w:p>
            <w:pPr>
              <w:pStyle w:val="114"/>
              <w:ind w:firstLine="482"/>
              <w:rPr>
                <w:b/>
              </w:rPr>
            </w:pPr>
            <w:r>
              <w:rPr>
                <w:rFonts w:hint="eastAsia"/>
                <w:b/>
              </w:rPr>
              <w:t>一、环境空气影响分析</w:t>
            </w:r>
          </w:p>
          <w:p>
            <w:pPr>
              <w:pStyle w:val="114"/>
            </w:pPr>
            <w:r>
              <w:t>1</w:t>
            </w:r>
            <w:r>
              <w:rPr>
                <w:rFonts w:hint="eastAsia"/>
              </w:rPr>
              <w:t>、废气源强</w:t>
            </w:r>
          </w:p>
          <w:p>
            <w:pPr>
              <w:pStyle w:val="114"/>
            </w:pPr>
            <w:r>
              <w:rPr>
                <w:rFonts w:hint="eastAsia"/>
              </w:rPr>
              <w:t>根据工程分析可知：本工程营运期排放的臭气污染物主要为</w:t>
            </w:r>
            <w:r>
              <w:t>NH</w:t>
            </w:r>
            <w:r>
              <w:rPr>
                <w:vertAlign w:val="subscript"/>
              </w:rPr>
              <w:t>3</w:t>
            </w:r>
            <w:r>
              <w:rPr>
                <w:rFonts w:hint="eastAsia"/>
              </w:rPr>
              <w:t>、</w:t>
            </w:r>
            <w:r>
              <w:t>H</w:t>
            </w:r>
            <w:r>
              <w:rPr>
                <w:vertAlign w:val="subscript"/>
              </w:rPr>
              <w:t>2</w:t>
            </w:r>
            <w:r>
              <w:t>S</w:t>
            </w:r>
            <w:r>
              <w:rPr>
                <w:rFonts w:hint="eastAsia"/>
              </w:rPr>
              <w:t>、甲烷和臭气浓度。由于本次扩建同时对一期工程臭气进行收集、处理，项目扩建后，全厂</w:t>
            </w:r>
            <w:r>
              <w:t>NH</w:t>
            </w:r>
            <w:r>
              <w:rPr>
                <w:vertAlign w:val="subscript"/>
              </w:rPr>
              <w:t>3</w:t>
            </w:r>
            <w:r>
              <w:rPr>
                <w:rFonts w:hint="eastAsia"/>
              </w:rPr>
              <w:t>和</w:t>
            </w:r>
            <w:r>
              <w:t>H</w:t>
            </w:r>
            <w:r>
              <w:rPr>
                <w:vertAlign w:val="subscript"/>
              </w:rPr>
              <w:t>2</w:t>
            </w:r>
            <w:r>
              <w:t>S</w:t>
            </w:r>
            <w:r>
              <w:rPr>
                <w:rFonts w:hint="eastAsia"/>
              </w:rPr>
              <w:t>排放量均有较大程度削减，其中</w:t>
            </w:r>
            <w:r>
              <w:t>NH</w:t>
            </w:r>
            <w:r>
              <w:rPr>
                <w:vertAlign w:val="subscript"/>
              </w:rPr>
              <w:t>3</w:t>
            </w:r>
            <w:r>
              <w:rPr>
                <w:rFonts w:hint="eastAsia"/>
              </w:rPr>
              <w:t>消减量为</w:t>
            </w:r>
            <w:r>
              <w:t>2.336t/a</w:t>
            </w:r>
            <w:r>
              <w:rPr>
                <w:rFonts w:hint="eastAsia"/>
              </w:rPr>
              <w:t>，</w:t>
            </w:r>
            <w:r>
              <w:t>H</w:t>
            </w:r>
            <w:r>
              <w:rPr>
                <w:vertAlign w:val="subscript"/>
              </w:rPr>
              <w:t>2</w:t>
            </w:r>
            <w:r>
              <w:t>S</w:t>
            </w:r>
            <w:r>
              <w:rPr>
                <w:rFonts w:hint="eastAsia"/>
              </w:rPr>
              <w:t>消减量为</w:t>
            </w:r>
            <w:r>
              <w:t>0.396t/a</w:t>
            </w:r>
            <w:r>
              <w:rPr>
                <w:rFonts w:hint="eastAsia"/>
              </w:rPr>
              <w:t>。</w:t>
            </w:r>
          </w:p>
          <w:p>
            <w:pPr>
              <w:pStyle w:val="114"/>
            </w:pPr>
            <w:r>
              <w:rPr>
                <w:rFonts w:hint="eastAsia"/>
              </w:rPr>
              <w:t>本次评价工作以本项目有组织废气源强为计算依据，详见表</w:t>
            </w:r>
            <w:r>
              <w:t>6-2</w:t>
            </w:r>
            <w:r>
              <w:rPr>
                <w:rFonts w:hint="eastAsia"/>
              </w:rPr>
              <w:t>。</w:t>
            </w:r>
          </w:p>
          <w:p>
            <w:pPr>
              <w:pStyle w:val="111"/>
            </w:pPr>
            <w:r>
              <w:rPr>
                <w:rFonts w:hint="eastAsia"/>
              </w:rPr>
              <w:t>表</w:t>
            </w:r>
            <w:r>
              <w:t>6-2</w:t>
            </w:r>
            <w:r>
              <w:rPr>
                <w:rFonts w:hint="eastAsia"/>
              </w:rPr>
              <w:t>本项目恶臭污染物有组织源强参数表</w:t>
            </w:r>
          </w:p>
          <w:tbl>
            <w:tblPr>
              <w:tblStyle w:val="37"/>
              <w:tblW w:w="915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8"/>
              <w:gridCol w:w="849"/>
              <w:gridCol w:w="708"/>
              <w:gridCol w:w="850"/>
              <w:gridCol w:w="677"/>
              <w:gridCol w:w="704"/>
              <w:gridCol w:w="708"/>
              <w:gridCol w:w="705"/>
              <w:gridCol w:w="845"/>
              <w:gridCol w:w="703"/>
              <w:gridCol w:w="840"/>
              <w:gridCol w:w="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68" w:type="dxa"/>
                  <w:vMerge w:val="restart"/>
                  <w:tcBorders>
                    <w:top w:val="single" w:color="auto" w:sz="12" w:space="0"/>
                    <w:left w:val="single" w:color="auto" w:sz="12" w:space="0"/>
                    <w:bottom w:val="single" w:color="auto" w:sz="6" w:space="0"/>
                    <w:right w:val="single" w:color="auto" w:sz="6" w:space="0"/>
                  </w:tcBorders>
                  <w:vAlign w:val="center"/>
                </w:tcPr>
                <w:p>
                  <w:pPr>
                    <w:pStyle w:val="77"/>
                    <w:rPr>
                      <w:b/>
                      <w:bCs/>
                    </w:rPr>
                  </w:pPr>
                  <w:r>
                    <w:rPr>
                      <w:rFonts w:hint="eastAsia"/>
                      <w:b/>
                      <w:bCs/>
                    </w:rPr>
                    <w:t>名称</w:t>
                  </w:r>
                </w:p>
              </w:tc>
              <w:tc>
                <w:tcPr>
                  <w:tcW w:w="1557" w:type="dxa"/>
                  <w:gridSpan w:val="2"/>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排气筒底部中心坐标</w:t>
                  </w:r>
                </w:p>
              </w:tc>
              <w:tc>
                <w:tcPr>
                  <w:tcW w:w="850"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排气筒底部海拔高度</w:t>
                  </w:r>
                  <w:r>
                    <w:rPr>
                      <w:b/>
                      <w:bCs/>
                    </w:rPr>
                    <w:t>(m)</w:t>
                  </w:r>
                </w:p>
              </w:tc>
              <w:tc>
                <w:tcPr>
                  <w:tcW w:w="2794" w:type="dxa"/>
                  <w:gridSpan w:val="4"/>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排气筒参数</w:t>
                  </w:r>
                </w:p>
              </w:tc>
              <w:tc>
                <w:tcPr>
                  <w:tcW w:w="845"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年排放小时数</w:t>
                  </w:r>
                  <w:r>
                    <w:rPr>
                      <w:b/>
                      <w:bCs/>
                    </w:rPr>
                    <w:t>/h</w:t>
                  </w:r>
                </w:p>
              </w:tc>
              <w:tc>
                <w:tcPr>
                  <w:tcW w:w="703"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排放工况</w:t>
                  </w:r>
                </w:p>
              </w:tc>
              <w:tc>
                <w:tcPr>
                  <w:tcW w:w="1634" w:type="dxa"/>
                  <w:gridSpan w:val="2"/>
                  <w:tcBorders>
                    <w:top w:val="single" w:color="auto" w:sz="12" w:space="0"/>
                    <w:left w:val="single" w:color="auto" w:sz="6" w:space="0"/>
                    <w:bottom w:val="single" w:color="auto" w:sz="6" w:space="0"/>
                    <w:right w:val="single" w:color="auto" w:sz="12" w:space="0"/>
                  </w:tcBorders>
                  <w:vAlign w:val="center"/>
                </w:tcPr>
                <w:p>
                  <w:pPr>
                    <w:pStyle w:val="77"/>
                    <w:rPr>
                      <w:b/>
                      <w:bCs/>
                    </w:rPr>
                  </w:pPr>
                  <w:r>
                    <w:rPr>
                      <w:rFonts w:hint="eastAsia"/>
                      <w:b/>
                      <w:bCs/>
                    </w:rPr>
                    <w:t>排放速</w:t>
                  </w:r>
                </w:p>
                <w:p>
                  <w:pPr>
                    <w:pStyle w:val="77"/>
                    <w:rPr>
                      <w:b/>
                      <w:bCs/>
                    </w:rPr>
                  </w:pPr>
                  <w:r>
                    <w:rPr>
                      <w:rFonts w:hint="eastAsia"/>
                      <w:b/>
                      <w:bCs/>
                    </w:rPr>
                    <w:t>率</w:t>
                  </w:r>
                  <w:r>
                    <w:rPr>
                      <w:b/>
                      <w:bCs/>
                    </w:rPr>
                    <w:t>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5" w:hRule="atLeast"/>
                <w:jc w:val="center"/>
              </w:trPr>
              <w:tc>
                <w:tcPr>
                  <w:tcW w:w="768" w:type="dxa"/>
                  <w:vMerge w:val="continue"/>
                  <w:tcBorders>
                    <w:top w:val="single" w:color="auto" w:sz="6" w:space="0"/>
                    <w:left w:val="single" w:color="auto" w:sz="12" w:space="0"/>
                    <w:bottom w:val="double" w:color="auto" w:sz="4" w:space="0"/>
                    <w:right w:val="single" w:color="auto" w:sz="6" w:space="0"/>
                  </w:tcBorders>
                  <w:vAlign w:val="center"/>
                </w:tcPr>
                <w:p>
                  <w:pPr>
                    <w:pStyle w:val="77"/>
                    <w:rPr>
                      <w:b/>
                      <w:bCs/>
                    </w:rPr>
                  </w:pPr>
                </w:p>
              </w:tc>
              <w:tc>
                <w:tcPr>
                  <w:tcW w:w="849" w:type="dxa"/>
                  <w:tcBorders>
                    <w:top w:val="single" w:color="auto" w:sz="6" w:space="0"/>
                    <w:left w:val="single" w:color="auto" w:sz="6" w:space="0"/>
                    <w:bottom w:val="double" w:color="auto" w:sz="4" w:space="0"/>
                    <w:right w:val="single" w:color="auto" w:sz="6" w:space="0"/>
                  </w:tcBorders>
                  <w:vAlign w:val="center"/>
                </w:tcPr>
                <w:p>
                  <w:pPr>
                    <w:pStyle w:val="77"/>
                    <w:rPr>
                      <w:b/>
                      <w:bCs/>
                    </w:rPr>
                  </w:pPr>
                  <w:r>
                    <w:rPr>
                      <w:b/>
                      <w:bCs/>
                    </w:rPr>
                    <w:t>X</w:t>
                  </w:r>
                </w:p>
              </w:tc>
              <w:tc>
                <w:tcPr>
                  <w:tcW w:w="708" w:type="dxa"/>
                  <w:tcBorders>
                    <w:top w:val="single" w:color="auto" w:sz="6" w:space="0"/>
                    <w:left w:val="single" w:color="auto" w:sz="6" w:space="0"/>
                    <w:bottom w:val="double" w:color="auto" w:sz="4" w:space="0"/>
                    <w:right w:val="single" w:color="auto" w:sz="6" w:space="0"/>
                  </w:tcBorders>
                  <w:vAlign w:val="center"/>
                </w:tcPr>
                <w:p>
                  <w:pPr>
                    <w:pStyle w:val="77"/>
                    <w:rPr>
                      <w:b/>
                      <w:bCs/>
                    </w:rPr>
                  </w:pPr>
                  <w:r>
                    <w:rPr>
                      <w:b/>
                      <w:bCs/>
                    </w:rPr>
                    <w:t>Y</w:t>
                  </w:r>
                </w:p>
              </w:tc>
              <w:tc>
                <w:tcPr>
                  <w:tcW w:w="850"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677"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高度</w:t>
                  </w:r>
                </w:p>
                <w:p>
                  <w:pPr>
                    <w:pStyle w:val="77"/>
                    <w:rPr>
                      <w:b/>
                      <w:bCs/>
                    </w:rPr>
                  </w:pPr>
                  <w:r>
                    <w:rPr>
                      <w:b/>
                      <w:bCs/>
                    </w:rPr>
                    <w:t>(m)</w:t>
                  </w:r>
                </w:p>
              </w:tc>
              <w:tc>
                <w:tcPr>
                  <w:tcW w:w="704"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内径</w:t>
                  </w:r>
                </w:p>
                <w:p>
                  <w:pPr>
                    <w:pStyle w:val="77"/>
                    <w:rPr>
                      <w:b/>
                      <w:bCs/>
                    </w:rPr>
                  </w:pPr>
                  <w:r>
                    <w:rPr>
                      <w:b/>
                      <w:bCs/>
                    </w:rPr>
                    <w:t>(m)</w:t>
                  </w:r>
                </w:p>
              </w:tc>
              <w:tc>
                <w:tcPr>
                  <w:tcW w:w="708"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流速</w:t>
                  </w:r>
                </w:p>
                <w:p>
                  <w:pPr>
                    <w:pStyle w:val="77"/>
                    <w:rPr>
                      <w:b/>
                      <w:bCs/>
                    </w:rPr>
                  </w:pPr>
                  <w:r>
                    <w:rPr>
                      <w:b/>
                      <w:bCs/>
                    </w:rPr>
                    <w:t>(m/s)</w:t>
                  </w:r>
                </w:p>
              </w:tc>
              <w:tc>
                <w:tcPr>
                  <w:tcW w:w="705"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温度</w:t>
                  </w:r>
                </w:p>
                <w:p>
                  <w:pPr>
                    <w:pStyle w:val="77"/>
                    <w:rPr>
                      <w:b/>
                      <w:bCs/>
                    </w:rPr>
                  </w:pPr>
                  <w:r>
                    <w:rPr>
                      <w:b/>
                      <w:bCs/>
                    </w:rPr>
                    <w:t>(</w:t>
                  </w:r>
                  <w:r>
                    <w:rPr>
                      <w:rFonts w:hint="eastAsia" w:cs="宋体"/>
                      <w:b/>
                      <w:bCs/>
                    </w:rPr>
                    <w:t>℃</w:t>
                  </w:r>
                  <w:r>
                    <w:rPr>
                      <w:b/>
                      <w:bCs/>
                    </w:rPr>
                    <w:t>)</w:t>
                  </w:r>
                </w:p>
              </w:tc>
              <w:tc>
                <w:tcPr>
                  <w:tcW w:w="845"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703"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840" w:type="dxa"/>
                  <w:tcBorders>
                    <w:top w:val="single" w:color="auto" w:sz="6" w:space="0"/>
                    <w:left w:val="single" w:color="auto" w:sz="6" w:space="0"/>
                    <w:bottom w:val="double" w:color="auto" w:sz="4" w:space="0"/>
                    <w:right w:val="single" w:color="auto" w:sz="6" w:space="0"/>
                  </w:tcBorders>
                  <w:vAlign w:val="center"/>
                </w:tcPr>
                <w:p>
                  <w:pPr>
                    <w:pStyle w:val="77"/>
                    <w:rPr>
                      <w:b/>
                      <w:bCs/>
                    </w:rPr>
                  </w:pPr>
                  <w:r>
                    <w:rPr>
                      <w:b/>
                      <w:bCs/>
                    </w:rPr>
                    <w:t>NH</w:t>
                  </w:r>
                  <w:r>
                    <w:rPr>
                      <w:b/>
                      <w:bCs/>
                      <w:vertAlign w:val="subscript"/>
                    </w:rPr>
                    <w:t>3</w:t>
                  </w:r>
                </w:p>
              </w:tc>
              <w:tc>
                <w:tcPr>
                  <w:tcW w:w="794" w:type="dxa"/>
                  <w:tcBorders>
                    <w:top w:val="single" w:color="auto" w:sz="6" w:space="0"/>
                    <w:left w:val="single" w:color="auto" w:sz="6" w:space="0"/>
                    <w:bottom w:val="double" w:color="auto" w:sz="4" w:space="0"/>
                    <w:right w:val="single" w:color="auto" w:sz="12" w:space="0"/>
                  </w:tcBorders>
                  <w:vAlign w:val="center"/>
                </w:tcPr>
                <w:p>
                  <w:pPr>
                    <w:pStyle w:val="77"/>
                    <w:rPr>
                      <w:b/>
                      <w:bCs/>
                    </w:rPr>
                  </w:pPr>
                  <w:r>
                    <w:rPr>
                      <w:b/>
                      <w:bCs/>
                    </w:rPr>
                    <w:t>H</w:t>
                  </w:r>
                  <w:r>
                    <w:rPr>
                      <w:b/>
                      <w:bCs/>
                      <w:vertAlign w:val="subscript"/>
                    </w:rPr>
                    <w:t>2</w:t>
                  </w:r>
                  <w:r>
                    <w:rPr>
                      <w:b/>
                      <w:bCs/>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1" w:hRule="atLeast"/>
                <w:jc w:val="center"/>
              </w:trPr>
              <w:tc>
                <w:tcPr>
                  <w:tcW w:w="768" w:type="dxa"/>
                  <w:tcBorders>
                    <w:top w:val="double" w:color="auto" w:sz="4" w:space="0"/>
                    <w:left w:val="single" w:color="auto" w:sz="12" w:space="0"/>
                    <w:bottom w:val="single" w:color="auto" w:sz="12" w:space="0"/>
                    <w:right w:val="single" w:color="auto" w:sz="6" w:space="0"/>
                  </w:tcBorders>
                  <w:vAlign w:val="center"/>
                </w:tcPr>
                <w:p>
                  <w:pPr>
                    <w:pStyle w:val="77"/>
                  </w:pPr>
                  <w:r>
                    <w:t>1#</w:t>
                  </w:r>
                  <w:r>
                    <w:rPr>
                      <w:rFonts w:hint="eastAsia"/>
                    </w:rPr>
                    <w:t>排气筒</w:t>
                  </w:r>
                </w:p>
              </w:tc>
              <w:tc>
                <w:tcPr>
                  <w:tcW w:w="849" w:type="dxa"/>
                  <w:tcBorders>
                    <w:top w:val="double" w:color="auto" w:sz="4" w:space="0"/>
                    <w:left w:val="single" w:color="auto" w:sz="6" w:space="0"/>
                    <w:bottom w:val="single" w:color="auto" w:sz="12" w:space="0"/>
                    <w:right w:val="single" w:color="auto" w:sz="6" w:space="0"/>
                  </w:tcBorders>
                  <w:vAlign w:val="center"/>
                </w:tcPr>
                <w:p>
                  <w:pPr>
                    <w:pStyle w:val="77"/>
                  </w:pPr>
                  <w:r>
                    <w:t>209</w:t>
                  </w:r>
                </w:p>
              </w:tc>
              <w:tc>
                <w:tcPr>
                  <w:tcW w:w="708" w:type="dxa"/>
                  <w:tcBorders>
                    <w:top w:val="double" w:color="auto" w:sz="4" w:space="0"/>
                    <w:left w:val="single" w:color="auto" w:sz="6" w:space="0"/>
                    <w:bottom w:val="single" w:color="auto" w:sz="12" w:space="0"/>
                    <w:right w:val="single" w:color="auto" w:sz="6" w:space="0"/>
                  </w:tcBorders>
                  <w:vAlign w:val="center"/>
                </w:tcPr>
                <w:p>
                  <w:pPr>
                    <w:pStyle w:val="77"/>
                  </w:pPr>
                  <w:r>
                    <w:t>123</w:t>
                  </w:r>
                </w:p>
              </w:tc>
              <w:tc>
                <w:tcPr>
                  <w:tcW w:w="850" w:type="dxa"/>
                  <w:tcBorders>
                    <w:top w:val="double" w:color="auto" w:sz="4" w:space="0"/>
                    <w:left w:val="single" w:color="auto" w:sz="6" w:space="0"/>
                    <w:bottom w:val="single" w:color="auto" w:sz="12" w:space="0"/>
                    <w:right w:val="single" w:color="auto" w:sz="6" w:space="0"/>
                  </w:tcBorders>
                  <w:vAlign w:val="center"/>
                </w:tcPr>
                <w:p>
                  <w:pPr>
                    <w:pStyle w:val="77"/>
                  </w:pPr>
                  <w:r>
                    <w:t>13</w:t>
                  </w:r>
                </w:p>
              </w:tc>
              <w:tc>
                <w:tcPr>
                  <w:tcW w:w="677" w:type="dxa"/>
                  <w:tcBorders>
                    <w:top w:val="double" w:color="auto" w:sz="4" w:space="0"/>
                    <w:left w:val="single" w:color="auto" w:sz="6" w:space="0"/>
                    <w:bottom w:val="single" w:color="auto" w:sz="12" w:space="0"/>
                    <w:right w:val="single" w:color="auto" w:sz="6" w:space="0"/>
                  </w:tcBorders>
                  <w:vAlign w:val="center"/>
                </w:tcPr>
                <w:p>
                  <w:pPr>
                    <w:pStyle w:val="77"/>
                  </w:pPr>
                  <w:r>
                    <w:t>15</w:t>
                  </w:r>
                </w:p>
              </w:tc>
              <w:tc>
                <w:tcPr>
                  <w:tcW w:w="704" w:type="dxa"/>
                  <w:tcBorders>
                    <w:top w:val="double" w:color="auto" w:sz="4" w:space="0"/>
                    <w:left w:val="single" w:color="auto" w:sz="6" w:space="0"/>
                    <w:bottom w:val="single" w:color="auto" w:sz="12" w:space="0"/>
                    <w:right w:val="single" w:color="auto" w:sz="6" w:space="0"/>
                  </w:tcBorders>
                  <w:vAlign w:val="center"/>
                </w:tcPr>
                <w:p>
                  <w:pPr>
                    <w:pStyle w:val="77"/>
                  </w:pPr>
                  <w:r>
                    <w:t>0.5</w:t>
                  </w:r>
                </w:p>
              </w:tc>
              <w:tc>
                <w:tcPr>
                  <w:tcW w:w="708" w:type="dxa"/>
                  <w:tcBorders>
                    <w:top w:val="double" w:color="auto" w:sz="4" w:space="0"/>
                    <w:left w:val="single" w:color="auto" w:sz="6" w:space="0"/>
                    <w:bottom w:val="single" w:color="auto" w:sz="12" w:space="0"/>
                    <w:right w:val="single" w:color="auto" w:sz="6" w:space="0"/>
                  </w:tcBorders>
                  <w:vAlign w:val="center"/>
                </w:tcPr>
                <w:p>
                  <w:pPr>
                    <w:pStyle w:val="77"/>
                  </w:pPr>
                  <w:r>
                    <w:t>84.9</w:t>
                  </w:r>
                </w:p>
              </w:tc>
              <w:tc>
                <w:tcPr>
                  <w:tcW w:w="705" w:type="dxa"/>
                  <w:tcBorders>
                    <w:top w:val="double" w:color="auto" w:sz="4" w:space="0"/>
                    <w:left w:val="single" w:color="auto" w:sz="6" w:space="0"/>
                    <w:bottom w:val="single" w:color="auto" w:sz="12" w:space="0"/>
                    <w:right w:val="single" w:color="auto" w:sz="6" w:space="0"/>
                  </w:tcBorders>
                  <w:vAlign w:val="center"/>
                </w:tcPr>
                <w:p>
                  <w:pPr>
                    <w:pStyle w:val="77"/>
                  </w:pPr>
                  <w:r>
                    <w:t>25</w:t>
                  </w:r>
                </w:p>
              </w:tc>
              <w:tc>
                <w:tcPr>
                  <w:tcW w:w="845" w:type="dxa"/>
                  <w:tcBorders>
                    <w:top w:val="double" w:color="auto" w:sz="4" w:space="0"/>
                    <w:left w:val="single" w:color="auto" w:sz="6" w:space="0"/>
                    <w:bottom w:val="single" w:color="auto" w:sz="12" w:space="0"/>
                    <w:right w:val="single" w:color="auto" w:sz="6" w:space="0"/>
                  </w:tcBorders>
                  <w:vAlign w:val="center"/>
                </w:tcPr>
                <w:p>
                  <w:pPr>
                    <w:pStyle w:val="77"/>
                  </w:pPr>
                  <w:r>
                    <w:t>8760</w:t>
                  </w:r>
                </w:p>
              </w:tc>
              <w:tc>
                <w:tcPr>
                  <w:tcW w:w="703" w:type="dxa"/>
                  <w:tcBorders>
                    <w:top w:val="double" w:color="auto" w:sz="4" w:space="0"/>
                    <w:left w:val="single" w:color="auto" w:sz="6" w:space="0"/>
                    <w:bottom w:val="single" w:color="auto" w:sz="12" w:space="0"/>
                    <w:right w:val="single" w:color="auto" w:sz="6" w:space="0"/>
                  </w:tcBorders>
                  <w:vAlign w:val="center"/>
                </w:tcPr>
                <w:p>
                  <w:pPr>
                    <w:pStyle w:val="77"/>
                  </w:pPr>
                  <w:r>
                    <w:rPr>
                      <w:rFonts w:hint="eastAsia"/>
                    </w:rPr>
                    <w:t>正常排放</w:t>
                  </w:r>
                </w:p>
              </w:tc>
              <w:tc>
                <w:tcPr>
                  <w:tcW w:w="840" w:type="dxa"/>
                  <w:tcBorders>
                    <w:top w:val="double" w:color="auto" w:sz="4" w:space="0"/>
                    <w:left w:val="single" w:color="auto" w:sz="6" w:space="0"/>
                    <w:bottom w:val="single" w:color="auto" w:sz="12" w:space="0"/>
                    <w:right w:val="single" w:color="auto" w:sz="6" w:space="0"/>
                  </w:tcBorders>
                  <w:vAlign w:val="center"/>
                </w:tcPr>
                <w:p>
                  <w:pPr>
                    <w:pStyle w:val="77"/>
                  </w:pPr>
                  <w:r>
                    <w:t>0.0361</w:t>
                  </w:r>
                </w:p>
              </w:tc>
              <w:tc>
                <w:tcPr>
                  <w:tcW w:w="794" w:type="dxa"/>
                  <w:tcBorders>
                    <w:top w:val="double" w:color="auto" w:sz="4" w:space="0"/>
                    <w:left w:val="single" w:color="auto" w:sz="6" w:space="0"/>
                    <w:bottom w:val="single" w:color="auto" w:sz="12" w:space="0"/>
                    <w:right w:val="single" w:color="auto" w:sz="12" w:space="0"/>
                  </w:tcBorders>
                  <w:vAlign w:val="center"/>
                </w:tcPr>
                <w:p>
                  <w:pPr>
                    <w:pStyle w:val="77"/>
                  </w:pPr>
                  <w:r>
                    <w:t>0.0033</w:t>
                  </w:r>
                </w:p>
              </w:tc>
            </w:tr>
          </w:tbl>
          <w:p>
            <w:pPr>
              <w:pStyle w:val="114"/>
            </w:pPr>
            <w:r>
              <w:t>2</w:t>
            </w:r>
            <w:r>
              <w:rPr>
                <w:rFonts w:hint="eastAsia"/>
              </w:rPr>
              <w:t>、评价工作等级和评价范围</w:t>
            </w:r>
          </w:p>
          <w:p>
            <w:pPr>
              <w:pStyle w:val="114"/>
            </w:pPr>
            <w:r>
              <w:rPr>
                <w:rFonts w:hint="eastAsia"/>
              </w:rPr>
              <w:t>（</w:t>
            </w:r>
            <w:r>
              <w:t>1</w:t>
            </w:r>
            <w:r>
              <w:rPr>
                <w:rFonts w:hint="eastAsia"/>
              </w:rPr>
              <w:t>）大气评价等级</w:t>
            </w:r>
          </w:p>
          <w:p>
            <w:pPr>
              <w:pStyle w:val="114"/>
            </w:pPr>
            <w:r>
              <w:rPr>
                <w:rFonts w:hint="eastAsia"/>
              </w:rPr>
              <w:t>根据《环境影响评价技术导则大气环境》（</w:t>
            </w:r>
            <w:r>
              <w:t>HJ2.2-2018</w:t>
            </w:r>
            <w:r>
              <w:rPr>
                <w:rFonts w:hint="eastAsia"/>
              </w:rPr>
              <w:t>），大气环境评价工作等级划分依据是结合污染源正常排放的主要污染物及排放参数，采用附录</w:t>
            </w:r>
            <w:r>
              <w:t>A</w:t>
            </w:r>
            <w:r>
              <w:rPr>
                <w:rFonts w:hint="eastAsia"/>
              </w:rPr>
              <w:t>推荐模型中估算模型分别计算项目污染源的最大环境影响，然后按评价工作分级判据进行分级。</w:t>
            </w:r>
          </w:p>
          <w:p>
            <w:pPr>
              <w:pStyle w:val="114"/>
            </w:pPr>
            <w:r>
              <w:rPr>
                <w:rFonts w:hint="eastAsia"/>
              </w:rPr>
              <w:t>建设项目选用氨气、硫化氢作为主要大气污染物计算其最大地面浓度占标率，计算公式如下：</w:t>
            </w:r>
          </w:p>
          <w:p>
            <w:pPr>
              <w:spacing w:line="360" w:lineRule="auto"/>
              <w:jc w:val="center"/>
              <w:rPr>
                <w:rFonts w:ascii="Times New Roman" w:hAnsi="Times New Roman"/>
                <w:sz w:val="24"/>
                <w:szCs w:val="24"/>
              </w:rPr>
            </w:pPr>
            <w:r>
              <w:rPr>
                <w:rFonts w:ascii="Times New Roman" w:hAnsi="Times New Roman"/>
                <w:sz w:val="24"/>
                <w:szCs w:val="24"/>
              </w:rPr>
              <w:object>
                <v:shape id="_x0000_i1056" o:spt="75" alt="" type="#_x0000_t75" style="height:34.5pt;width:80.25pt;" o:ole="t" filled="f" o:preferrelative="t" stroked="f" coordsize="21600,21600">
                  <v:path/>
                  <v:fill on="f" focussize="0,0"/>
                  <v:stroke on="f"/>
                  <v:imagedata r:id="rId51" o:title=""/>
                  <o:lock v:ext="edit" aspectratio="t"/>
                  <w10:wrap type="none"/>
                  <w10:anchorlock/>
                </v:shape>
                <o:OLEObject Type="Embed" ProgID="Equations" ShapeID="_x0000_i1056" DrawAspect="Content" ObjectID="_1468075725" r:id="rId50">
                  <o:LockedField>false</o:LockedField>
                </o:OLEObject>
              </w:objec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式中：</w:t>
            </w:r>
            <w:r>
              <w:rPr>
                <w:rFonts w:ascii="Times New Roman" w:hAnsi="Times New Roman"/>
                <w:sz w:val="24"/>
                <w:szCs w:val="24"/>
              </w:rPr>
              <w:t>Pi——</w:t>
            </w:r>
            <w:r>
              <w:rPr>
                <w:rFonts w:hint="eastAsia" w:ascii="Times New Roman" w:hAnsi="Times New Roman"/>
                <w:sz w:val="24"/>
                <w:szCs w:val="24"/>
              </w:rPr>
              <w:t>第</w:t>
            </w:r>
            <w:r>
              <w:rPr>
                <w:rFonts w:ascii="Times New Roman" w:hAnsi="Times New Roman"/>
                <w:sz w:val="24"/>
                <w:szCs w:val="24"/>
              </w:rPr>
              <w:t>i</w:t>
            </w:r>
            <w:r>
              <w:rPr>
                <w:rFonts w:hint="eastAsia" w:ascii="Times New Roman" w:hAnsi="Times New Roman"/>
                <w:sz w:val="24"/>
                <w:szCs w:val="24"/>
              </w:rPr>
              <w:t>个污染物的最大地面空气质量浓度占标率，</w:t>
            </w:r>
            <w:r>
              <w:rPr>
                <w:rFonts w:ascii="Times New Roman" w:hAnsi="Times New Roman"/>
                <w:sz w:val="24"/>
                <w:szCs w:val="24"/>
              </w:rPr>
              <w:t>%</w:t>
            </w:r>
            <w:r>
              <w:rPr>
                <w:rFonts w:hint="eastAsia" w:ascii="Times New Roman" w:hAnsi="Times New Roman"/>
                <w:sz w:val="24"/>
                <w:szCs w:val="24"/>
              </w:rPr>
              <w:t>；</w:t>
            </w:r>
          </w:p>
          <w:p>
            <w:pPr>
              <w:spacing w:line="360" w:lineRule="auto"/>
              <w:ind w:firstLine="1320" w:firstLineChars="550"/>
              <w:rPr>
                <w:rFonts w:ascii="Times New Roman" w:hAnsi="Times New Roman"/>
                <w:sz w:val="24"/>
                <w:szCs w:val="24"/>
              </w:rPr>
            </w:pPr>
            <w:r>
              <w:rPr>
                <w:rFonts w:ascii="Times New Roman" w:hAnsi="Times New Roman"/>
                <w:sz w:val="24"/>
                <w:szCs w:val="24"/>
              </w:rPr>
              <w:t>Ci——</w:t>
            </w:r>
            <w:r>
              <w:rPr>
                <w:rFonts w:hint="eastAsia" w:ascii="Times New Roman" w:hAnsi="Times New Roman"/>
                <w:sz w:val="24"/>
                <w:szCs w:val="24"/>
              </w:rPr>
              <w:t>采用估算模式计算出的第</w:t>
            </w:r>
            <w:r>
              <w:rPr>
                <w:rFonts w:ascii="Times New Roman" w:hAnsi="Times New Roman"/>
                <w:sz w:val="24"/>
                <w:szCs w:val="24"/>
              </w:rPr>
              <w:t>i</w:t>
            </w:r>
            <w:r>
              <w:rPr>
                <w:rFonts w:hint="eastAsia" w:ascii="Times New Roman" w:hAnsi="Times New Roman"/>
                <w:sz w:val="24"/>
                <w:szCs w:val="24"/>
              </w:rPr>
              <w:t>个污染物的最大</w:t>
            </w:r>
            <w:r>
              <w:rPr>
                <w:rFonts w:ascii="Times New Roman" w:hAnsi="Times New Roman"/>
                <w:sz w:val="24"/>
                <w:szCs w:val="24"/>
              </w:rPr>
              <w:t>1h</w:t>
            </w:r>
            <w:r>
              <w:rPr>
                <w:rFonts w:hint="eastAsia" w:ascii="Times New Roman" w:hAnsi="Times New Roman"/>
                <w:sz w:val="24"/>
                <w:szCs w:val="24"/>
              </w:rPr>
              <w:t>地面空气质量浓度，</w:t>
            </w:r>
            <w:r>
              <w:rPr>
                <w:rFonts w:ascii="Times New Roman" w:hAnsi="Times New Roman"/>
                <w:sz w:val="24"/>
                <w:szCs w:val="24"/>
              </w:rPr>
              <w:t>μg/m3</w:t>
            </w:r>
            <w:r>
              <w:rPr>
                <w:rFonts w:hint="eastAsia" w:ascii="Times New Roman" w:hAnsi="Times New Roman"/>
                <w:sz w:val="24"/>
                <w:szCs w:val="24"/>
              </w:rPr>
              <w:t>；</w:t>
            </w:r>
          </w:p>
          <w:p>
            <w:pPr>
              <w:spacing w:line="360" w:lineRule="auto"/>
              <w:ind w:firstLine="1320" w:firstLineChars="550"/>
              <w:rPr>
                <w:rFonts w:ascii="Times New Roman" w:hAnsi="Times New Roman"/>
                <w:sz w:val="24"/>
                <w:szCs w:val="24"/>
              </w:rPr>
            </w:pPr>
            <w:r>
              <w:rPr>
                <w:rFonts w:ascii="Times New Roman" w:hAnsi="Times New Roman"/>
                <w:sz w:val="24"/>
                <w:szCs w:val="24"/>
              </w:rPr>
              <w:t>Coi——</w:t>
            </w:r>
            <w:r>
              <w:rPr>
                <w:rFonts w:hint="eastAsia" w:ascii="Times New Roman" w:hAnsi="Times New Roman"/>
                <w:sz w:val="24"/>
                <w:szCs w:val="24"/>
              </w:rPr>
              <w:t>第</w:t>
            </w:r>
            <w:r>
              <w:rPr>
                <w:rFonts w:ascii="Times New Roman" w:hAnsi="Times New Roman"/>
                <w:sz w:val="24"/>
                <w:szCs w:val="24"/>
              </w:rPr>
              <w:t>i</w:t>
            </w:r>
            <w:r>
              <w:rPr>
                <w:rFonts w:hint="eastAsia" w:ascii="Times New Roman" w:hAnsi="Times New Roman"/>
                <w:sz w:val="24"/>
                <w:szCs w:val="24"/>
              </w:rPr>
              <w:t>个污染物的环境空气质量浓度标准，</w:t>
            </w:r>
            <w:r>
              <w:rPr>
                <w:rFonts w:ascii="Times New Roman" w:hAnsi="Times New Roman"/>
                <w:sz w:val="24"/>
                <w:szCs w:val="24"/>
              </w:rPr>
              <w:t>μg/m</w:t>
            </w:r>
            <w:r>
              <w:rPr>
                <w:rFonts w:ascii="Times New Roman" w:hAnsi="Times New Roman"/>
                <w:sz w:val="24"/>
                <w:szCs w:val="24"/>
                <w:vertAlign w:val="superscript"/>
              </w:rPr>
              <w:t>3</w:t>
            </w:r>
            <w:r>
              <w:rPr>
                <w:rFonts w:hint="eastAsia" w:ascii="Times New Roman" w:hAnsi="Times New Roman"/>
                <w:sz w:val="24"/>
                <w:szCs w:val="24"/>
              </w:rPr>
              <w:t>；</w:t>
            </w:r>
          </w:p>
          <w:p>
            <w:pPr>
              <w:spacing w:line="360" w:lineRule="auto"/>
              <w:ind w:firstLine="1320" w:firstLineChars="550"/>
              <w:rPr>
                <w:rFonts w:ascii="Times New Roman" w:hAnsi="Times New Roman"/>
                <w:sz w:val="24"/>
                <w:szCs w:val="24"/>
              </w:rPr>
            </w:pPr>
            <w:r>
              <w:rPr>
                <w:rFonts w:ascii="Times New Roman" w:hAnsi="Times New Roman"/>
                <w:sz w:val="24"/>
                <w:szCs w:val="24"/>
              </w:rPr>
              <w:t>Coi</w:t>
            </w:r>
            <w:r>
              <w:rPr>
                <w:rFonts w:hint="eastAsia" w:ascii="Times New Roman" w:hAnsi="Times New Roman"/>
                <w:sz w:val="24"/>
                <w:szCs w:val="24"/>
              </w:rPr>
              <w:t>一般选用</w:t>
            </w:r>
            <w:r>
              <w:rPr>
                <w:rFonts w:ascii="Times New Roman" w:hAnsi="Times New Roman"/>
                <w:sz w:val="24"/>
                <w:szCs w:val="24"/>
              </w:rPr>
              <w:t>GB3095</w:t>
            </w:r>
            <w:r>
              <w:rPr>
                <w:rFonts w:hint="eastAsia" w:ascii="Times New Roman" w:hAnsi="Times New Roman"/>
                <w:sz w:val="24"/>
                <w:szCs w:val="24"/>
              </w:rPr>
              <w:t>中</w:t>
            </w:r>
            <w:r>
              <w:rPr>
                <w:rFonts w:ascii="Times New Roman" w:hAnsi="Times New Roman"/>
                <w:sz w:val="24"/>
                <w:szCs w:val="24"/>
              </w:rPr>
              <w:t>1h</w:t>
            </w:r>
            <w:r>
              <w:rPr>
                <w:rFonts w:hint="eastAsia" w:ascii="Times New Roman" w:hAnsi="Times New Roman"/>
                <w:sz w:val="24"/>
                <w:szCs w:val="24"/>
              </w:rPr>
              <w:t>平均质量浓度的二级浓度限值，如项目位于一类环境空气功能区，应选择相应的一级浓度限值；对该标准中未包含的污染物，使用</w:t>
            </w:r>
            <w:r>
              <w:rPr>
                <w:rFonts w:ascii="Times New Roman" w:hAnsi="Times New Roman"/>
                <w:sz w:val="24"/>
                <w:szCs w:val="24"/>
              </w:rPr>
              <w:t>5.2</w:t>
            </w:r>
            <w:r>
              <w:rPr>
                <w:rFonts w:hint="eastAsia" w:ascii="Times New Roman" w:hAnsi="Times New Roman"/>
                <w:sz w:val="24"/>
                <w:szCs w:val="24"/>
              </w:rPr>
              <w:t>确定的各评价因子</w:t>
            </w:r>
            <w:r>
              <w:rPr>
                <w:rFonts w:ascii="Times New Roman" w:hAnsi="Times New Roman"/>
                <w:sz w:val="24"/>
                <w:szCs w:val="24"/>
              </w:rPr>
              <w:t>1h</w:t>
            </w:r>
            <w:r>
              <w:rPr>
                <w:rFonts w:hint="eastAsia" w:ascii="Times New Roman" w:hAnsi="Times New Roman"/>
                <w:sz w:val="24"/>
                <w:szCs w:val="24"/>
              </w:rPr>
              <w:t>平均质量浓度限值。对仅有</w:t>
            </w:r>
            <w:r>
              <w:rPr>
                <w:rFonts w:ascii="Times New Roman" w:hAnsi="Times New Roman"/>
                <w:sz w:val="24"/>
                <w:szCs w:val="24"/>
              </w:rPr>
              <w:t>8h</w:t>
            </w:r>
            <w:r>
              <w:rPr>
                <w:rFonts w:hint="eastAsia" w:ascii="Times New Roman" w:hAnsi="Times New Roman"/>
                <w:sz w:val="24"/>
                <w:szCs w:val="24"/>
              </w:rPr>
              <w:t>平均质量浓度限值、日平均质量浓度限值或年平均质量浓度限值的，可分别按</w:t>
            </w:r>
            <w:r>
              <w:rPr>
                <w:rFonts w:ascii="Times New Roman" w:hAnsi="Times New Roman"/>
                <w:sz w:val="24"/>
                <w:szCs w:val="24"/>
              </w:rPr>
              <w:t>2</w:t>
            </w:r>
            <w:r>
              <w:rPr>
                <w:rFonts w:hint="eastAsia" w:ascii="Times New Roman" w:hAnsi="Times New Roman"/>
                <w:sz w:val="24"/>
                <w:szCs w:val="24"/>
              </w:rPr>
              <w:t>倍、</w:t>
            </w:r>
            <w:r>
              <w:rPr>
                <w:rFonts w:ascii="Times New Roman" w:hAnsi="Times New Roman"/>
                <w:sz w:val="24"/>
                <w:szCs w:val="24"/>
              </w:rPr>
              <w:t>3</w:t>
            </w:r>
            <w:r>
              <w:rPr>
                <w:rFonts w:hint="eastAsia" w:ascii="Times New Roman" w:hAnsi="Times New Roman"/>
                <w:sz w:val="24"/>
                <w:szCs w:val="24"/>
              </w:rPr>
              <w:t>倍、</w:t>
            </w:r>
            <w:r>
              <w:rPr>
                <w:rFonts w:ascii="Times New Roman" w:hAnsi="Times New Roman"/>
                <w:sz w:val="24"/>
                <w:szCs w:val="24"/>
              </w:rPr>
              <w:t>6</w:t>
            </w:r>
            <w:r>
              <w:rPr>
                <w:rFonts w:hint="eastAsia" w:ascii="Times New Roman" w:hAnsi="Times New Roman"/>
                <w:sz w:val="24"/>
                <w:szCs w:val="24"/>
              </w:rPr>
              <w:t>倍折算为</w:t>
            </w:r>
            <w:r>
              <w:rPr>
                <w:rFonts w:ascii="Times New Roman" w:hAnsi="Times New Roman"/>
                <w:sz w:val="24"/>
                <w:szCs w:val="24"/>
              </w:rPr>
              <w:t>1h</w:t>
            </w:r>
            <w:r>
              <w:rPr>
                <w:rFonts w:hint="eastAsia" w:ascii="Times New Roman" w:hAnsi="Times New Roman"/>
                <w:sz w:val="24"/>
                <w:szCs w:val="24"/>
              </w:rPr>
              <w:t>平均质量浓度限值。评价工作等级分级依据见表</w:t>
            </w:r>
            <w:r>
              <w:rPr>
                <w:rFonts w:ascii="Times New Roman" w:hAnsi="Times New Roman"/>
                <w:sz w:val="24"/>
                <w:szCs w:val="24"/>
              </w:rPr>
              <w:t>6-3</w:t>
            </w:r>
            <w:r>
              <w:rPr>
                <w:rFonts w:hint="eastAsia" w:ascii="Times New Roman" w:hAnsi="Times New Roman"/>
                <w:sz w:val="24"/>
                <w:szCs w:val="24"/>
              </w:rPr>
              <w:t>。</w:t>
            </w:r>
          </w:p>
          <w:p>
            <w:pPr>
              <w:pStyle w:val="111"/>
            </w:pPr>
            <w:r>
              <w:rPr>
                <w:rFonts w:hint="eastAsia"/>
              </w:rPr>
              <w:t>表</w:t>
            </w:r>
            <w:r>
              <w:t>6-3</w:t>
            </w:r>
            <w:r>
              <w:rPr>
                <w:rFonts w:hint="eastAsia"/>
              </w:rPr>
              <w:t>评价等级判别表</w:t>
            </w:r>
          </w:p>
          <w:tbl>
            <w:tblPr>
              <w:tblStyle w:val="37"/>
              <w:tblW w:w="935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50"/>
              <w:gridCol w:w="64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50" w:type="dxa"/>
                  <w:tcBorders>
                    <w:top w:val="single" w:color="000000" w:sz="12" w:space="0"/>
                    <w:left w:val="single" w:color="000000" w:sz="12" w:space="0"/>
                    <w:bottom w:val="double" w:color="auto" w:sz="4" w:space="0"/>
                    <w:right w:val="single" w:color="000000"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评价工作等级</w:t>
                  </w:r>
                </w:p>
              </w:tc>
              <w:tc>
                <w:tcPr>
                  <w:tcW w:w="6406" w:type="dxa"/>
                  <w:tcBorders>
                    <w:top w:val="single" w:color="000000" w:sz="12" w:space="0"/>
                    <w:left w:val="single" w:color="000000" w:sz="4" w:space="0"/>
                    <w:bottom w:val="double" w:color="auto" w:sz="4" w:space="0"/>
                    <w:right w:val="single" w:color="000000"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50" w:type="dxa"/>
                  <w:tcBorders>
                    <w:top w:val="double" w:color="auto"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一级评级</w:t>
                  </w:r>
                </w:p>
              </w:tc>
              <w:tc>
                <w:tcPr>
                  <w:tcW w:w="6406" w:type="dxa"/>
                  <w:tcBorders>
                    <w:top w:val="double" w:color="auto"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szCs w:val="21"/>
                    </w:rPr>
                  </w:pPr>
                  <w:r>
                    <w:rPr>
                      <w:rFonts w:ascii="Times New Roman" w:hAnsi="Times New Roman"/>
                      <w:szCs w:val="21"/>
                    </w:rPr>
                    <w:t>Pmax≥10%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50" w:type="dxa"/>
                  <w:tcBorders>
                    <w:top w:val="single" w:color="000000" w:sz="4" w:space="0"/>
                    <w:left w:val="single" w:color="000000" w:sz="12" w:space="0"/>
                    <w:bottom w:val="single" w:color="000000" w:sz="4" w:space="0"/>
                    <w:right w:val="single" w:color="000000"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二级评价</w:t>
                  </w:r>
                </w:p>
              </w:tc>
              <w:tc>
                <w:tcPr>
                  <w:tcW w:w="6406" w:type="dxa"/>
                  <w:tcBorders>
                    <w:top w:val="single" w:color="000000" w:sz="4" w:space="0"/>
                    <w:left w:val="single" w:color="000000" w:sz="4" w:space="0"/>
                    <w:bottom w:val="single" w:color="000000" w:sz="4" w:space="0"/>
                    <w:right w:val="single" w:color="000000" w:sz="12" w:space="0"/>
                  </w:tcBorders>
                  <w:vAlign w:val="center"/>
                </w:tcPr>
                <w:p>
                  <w:pPr>
                    <w:spacing w:line="240" w:lineRule="atLeast"/>
                    <w:jc w:val="center"/>
                    <w:rPr>
                      <w:rFonts w:ascii="Times New Roman" w:hAnsi="Times New Roman"/>
                      <w:szCs w:val="21"/>
                    </w:rPr>
                  </w:pPr>
                  <w:r>
                    <w:rPr>
                      <w:rFonts w:ascii="Times New Roman" w:hAnsi="Times New Roman"/>
                      <w:szCs w:val="21"/>
                    </w:rPr>
                    <w:t>1%≤Pmax</w:t>
                  </w:r>
                  <w:r>
                    <w:rPr>
                      <w:rFonts w:hint="eastAsia" w:ascii="Times New Roman" w:hAnsi="Times New Roman"/>
                      <w:szCs w:val="21"/>
                    </w:rPr>
                    <w:t>＜</w:t>
                  </w:r>
                  <w:r>
                    <w:rPr>
                      <w:rFonts w:ascii="Times New Roman" w:hAnsi="Times New Roman"/>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50" w:type="dxa"/>
                  <w:tcBorders>
                    <w:top w:val="single" w:color="000000" w:sz="4" w:space="0"/>
                    <w:left w:val="single" w:color="000000" w:sz="12" w:space="0"/>
                    <w:bottom w:val="single" w:color="000000" w:sz="12" w:space="0"/>
                    <w:right w:val="single" w:color="000000"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三级评价</w:t>
                  </w:r>
                </w:p>
              </w:tc>
              <w:tc>
                <w:tcPr>
                  <w:tcW w:w="6406" w:type="dxa"/>
                  <w:tcBorders>
                    <w:top w:val="single" w:color="000000" w:sz="4" w:space="0"/>
                    <w:left w:val="single" w:color="000000" w:sz="4" w:space="0"/>
                    <w:bottom w:val="single" w:color="000000" w:sz="12" w:space="0"/>
                    <w:right w:val="single" w:color="000000" w:sz="12" w:space="0"/>
                  </w:tcBorders>
                  <w:vAlign w:val="center"/>
                </w:tcPr>
                <w:p>
                  <w:pPr>
                    <w:spacing w:line="240" w:lineRule="atLeast"/>
                    <w:jc w:val="center"/>
                    <w:rPr>
                      <w:rFonts w:ascii="Times New Roman" w:hAnsi="Times New Roman"/>
                      <w:szCs w:val="21"/>
                    </w:rPr>
                  </w:pPr>
                  <w:r>
                    <w:rPr>
                      <w:rFonts w:ascii="Times New Roman" w:hAnsi="Times New Roman"/>
                      <w:szCs w:val="21"/>
                    </w:rPr>
                    <w:t>Pmax</w:t>
                  </w:r>
                  <w:r>
                    <w:rPr>
                      <w:rFonts w:hint="eastAsia" w:ascii="Times New Roman" w:hAnsi="Times New Roman"/>
                      <w:szCs w:val="21"/>
                    </w:rPr>
                    <w:t>＜</w:t>
                  </w:r>
                  <w:r>
                    <w:rPr>
                      <w:rFonts w:ascii="Times New Roman" w:hAnsi="Times New Roman"/>
                      <w:szCs w:val="21"/>
                    </w:rPr>
                    <w:t>1%</w:t>
                  </w:r>
                </w:p>
              </w:tc>
            </w:tr>
          </w:tbl>
          <w:p>
            <w:pPr>
              <w:pStyle w:val="114"/>
            </w:pPr>
            <w:r>
              <w:rPr>
                <w:rFonts w:hint="eastAsia"/>
              </w:rPr>
              <w:t>根据导则要求：同一项目有多个污染源（两个及以上，下同）时，则按各污染源分别确定评价等级，并取评价等级最高者作为项目的评价等级。本环评采用</w:t>
            </w:r>
            <w:r>
              <w:t>AERSCREEN</w:t>
            </w:r>
            <w:r>
              <w:rPr>
                <w:rFonts w:hint="eastAsia"/>
              </w:rPr>
              <w:t>估算模型计算项目污染源的最大环境影响。拟建项目估算模式参数详见表</w:t>
            </w:r>
            <w:r>
              <w:t>6-4</w:t>
            </w:r>
            <w:r>
              <w:rPr>
                <w:rFonts w:hint="eastAsia"/>
              </w:rPr>
              <w:t>，估算结果见表</w:t>
            </w:r>
            <w:r>
              <w:t>6-5</w:t>
            </w:r>
            <w:r>
              <w:rPr>
                <w:rFonts w:hint="eastAsia"/>
              </w:rPr>
              <w:t>。</w:t>
            </w:r>
          </w:p>
          <w:p>
            <w:pPr>
              <w:pStyle w:val="111"/>
            </w:pPr>
          </w:p>
          <w:p>
            <w:pPr>
              <w:pStyle w:val="111"/>
            </w:pPr>
            <w:r>
              <w:rPr>
                <w:rFonts w:hint="eastAsia"/>
              </w:rPr>
              <w:t>表</w:t>
            </w:r>
            <w:r>
              <w:t>6-4</w:t>
            </w:r>
            <w:r>
              <w:rPr>
                <w:rFonts w:hint="eastAsia"/>
              </w:rPr>
              <w:t>估算模型参数表</w:t>
            </w:r>
          </w:p>
          <w:tbl>
            <w:tblPr>
              <w:tblStyle w:val="37"/>
              <w:tblW w:w="935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70"/>
              <w:gridCol w:w="3875"/>
              <w:gridCol w:w="25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845" w:type="dxa"/>
                  <w:gridSpan w:val="2"/>
                  <w:tcBorders>
                    <w:top w:val="single" w:color="000000" w:sz="12" w:space="0"/>
                    <w:left w:val="single" w:color="000000" w:sz="12" w:space="0"/>
                    <w:bottom w:val="double" w:color="auto"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参数</w:t>
                  </w:r>
                </w:p>
              </w:tc>
              <w:tc>
                <w:tcPr>
                  <w:tcW w:w="2511" w:type="dxa"/>
                  <w:tcBorders>
                    <w:top w:val="single" w:color="000000" w:sz="12" w:space="0"/>
                    <w:left w:val="single" w:color="000000" w:sz="4" w:space="0"/>
                    <w:bottom w:val="double" w:color="auto" w:sz="4" w:space="0"/>
                    <w:right w:val="single" w:color="000000" w:sz="12" w:space="0"/>
                  </w:tcBorders>
                  <w:vAlign w:val="center"/>
                </w:tcPr>
                <w:p>
                  <w:pPr>
                    <w:pStyle w:val="100"/>
                    <w:spacing w:line="240" w:lineRule="atLeast"/>
                    <w:ind w:firstLine="0" w:firstLineChars="0"/>
                    <w:jc w:val="center"/>
                    <w:rPr>
                      <w:sz w:val="21"/>
                      <w:szCs w:val="21"/>
                    </w:rPr>
                  </w:pPr>
                  <w:r>
                    <w:rPr>
                      <w:rFonts w:hint="eastAsia"/>
                      <w:sz w:val="21"/>
                      <w:szCs w:val="21"/>
                    </w:rPr>
                    <w:t>取值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70" w:type="dxa"/>
                  <w:vMerge w:val="restart"/>
                  <w:tcBorders>
                    <w:top w:val="double" w:color="auto"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城市</w:t>
                  </w:r>
                  <w:r>
                    <w:rPr>
                      <w:sz w:val="21"/>
                      <w:szCs w:val="21"/>
                    </w:rPr>
                    <w:t>/</w:t>
                  </w:r>
                  <w:r>
                    <w:rPr>
                      <w:rFonts w:hint="eastAsia"/>
                      <w:sz w:val="21"/>
                      <w:szCs w:val="21"/>
                    </w:rPr>
                    <w:t>农村选项</w:t>
                  </w:r>
                </w:p>
              </w:tc>
              <w:tc>
                <w:tcPr>
                  <w:tcW w:w="3875" w:type="dxa"/>
                  <w:tcBorders>
                    <w:top w:val="double" w:color="auto" w:sz="4" w:space="0"/>
                    <w:left w:val="single" w:color="000000" w:sz="4"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城市</w:t>
                  </w:r>
                  <w:r>
                    <w:rPr>
                      <w:sz w:val="21"/>
                      <w:szCs w:val="21"/>
                    </w:rPr>
                    <w:t>/</w:t>
                  </w:r>
                  <w:r>
                    <w:rPr>
                      <w:rFonts w:hint="eastAsia"/>
                      <w:sz w:val="21"/>
                      <w:szCs w:val="21"/>
                    </w:rPr>
                    <w:t>农村</w:t>
                  </w:r>
                </w:p>
              </w:tc>
              <w:tc>
                <w:tcPr>
                  <w:tcW w:w="2511" w:type="dxa"/>
                  <w:tcBorders>
                    <w:top w:val="double" w:color="auto"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rFonts w:hint="eastAsia"/>
                      <w:sz w:val="21"/>
                      <w:szCs w:val="21"/>
                    </w:rPr>
                    <w:t>农村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70" w:type="dxa"/>
                  <w:vMerge w:val="continue"/>
                  <w:tcBorders>
                    <w:top w:val="single" w:color="000000"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p>
              </w:tc>
              <w:tc>
                <w:tcPr>
                  <w:tcW w:w="3875" w:type="dxa"/>
                  <w:tcBorders>
                    <w:top w:val="single" w:color="000000" w:sz="4" w:space="0"/>
                    <w:left w:val="single" w:color="000000" w:sz="4"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人口数（城市选项时）</w:t>
                  </w:r>
                </w:p>
              </w:tc>
              <w:tc>
                <w:tcPr>
                  <w:tcW w:w="2511" w:type="dxa"/>
                  <w:tcBorders>
                    <w:top w:val="single" w:color="000000"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845" w:type="dxa"/>
                  <w:gridSpan w:val="2"/>
                  <w:tcBorders>
                    <w:top w:val="single" w:color="000000"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最高环境温度</w:t>
                  </w:r>
                  <w:r>
                    <w:rPr>
                      <w:sz w:val="21"/>
                      <w:szCs w:val="21"/>
                    </w:rPr>
                    <w:t>/</w:t>
                  </w:r>
                  <w:r>
                    <w:rPr>
                      <w:rFonts w:hint="eastAsia" w:ascii="宋体" w:hAnsi="宋体" w:cs="宋体"/>
                      <w:sz w:val="21"/>
                      <w:szCs w:val="21"/>
                    </w:rPr>
                    <w:t>℃</w:t>
                  </w:r>
                </w:p>
              </w:tc>
              <w:tc>
                <w:tcPr>
                  <w:tcW w:w="2511" w:type="dxa"/>
                  <w:tcBorders>
                    <w:top w:val="single" w:color="000000"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sz w:val="21"/>
                      <w:szCs w:val="21"/>
                    </w:rPr>
                    <w:t>39.7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845" w:type="dxa"/>
                  <w:gridSpan w:val="2"/>
                  <w:tcBorders>
                    <w:top w:val="single" w:color="000000"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最低环境温度</w:t>
                  </w:r>
                  <w:r>
                    <w:rPr>
                      <w:sz w:val="21"/>
                      <w:szCs w:val="21"/>
                    </w:rPr>
                    <w:t>/</w:t>
                  </w:r>
                  <w:r>
                    <w:rPr>
                      <w:rFonts w:hint="eastAsia" w:ascii="宋体" w:hAnsi="宋体" w:cs="宋体"/>
                      <w:sz w:val="21"/>
                      <w:szCs w:val="21"/>
                    </w:rPr>
                    <w:t>℃</w:t>
                  </w:r>
                </w:p>
              </w:tc>
              <w:tc>
                <w:tcPr>
                  <w:tcW w:w="2511" w:type="dxa"/>
                  <w:tcBorders>
                    <w:top w:val="single" w:color="000000"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845" w:type="dxa"/>
                  <w:gridSpan w:val="2"/>
                  <w:tcBorders>
                    <w:top w:val="single" w:color="000000"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土地利用类型</w:t>
                  </w:r>
                </w:p>
              </w:tc>
              <w:tc>
                <w:tcPr>
                  <w:tcW w:w="2511" w:type="dxa"/>
                  <w:tcBorders>
                    <w:top w:val="single" w:color="000000"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rFonts w:hint="eastAsia"/>
                      <w:sz w:val="21"/>
                      <w:szCs w:val="21"/>
                    </w:rPr>
                    <w:t>农田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845" w:type="dxa"/>
                  <w:gridSpan w:val="2"/>
                  <w:tcBorders>
                    <w:top w:val="single" w:color="000000"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区域湿度条件</w:t>
                  </w:r>
                </w:p>
              </w:tc>
              <w:tc>
                <w:tcPr>
                  <w:tcW w:w="2511" w:type="dxa"/>
                  <w:tcBorders>
                    <w:top w:val="single" w:color="000000"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sz w:val="21"/>
                      <w:szCs w:val="21"/>
                    </w:rPr>
                    <w:t>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70" w:type="dxa"/>
                  <w:vMerge w:val="restart"/>
                  <w:tcBorders>
                    <w:top w:val="single" w:color="000000"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是否考虑地形</w:t>
                  </w:r>
                </w:p>
              </w:tc>
              <w:tc>
                <w:tcPr>
                  <w:tcW w:w="3875" w:type="dxa"/>
                  <w:tcBorders>
                    <w:top w:val="single" w:color="000000" w:sz="4" w:space="0"/>
                    <w:left w:val="single" w:color="000000" w:sz="4"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考虑地形</w:t>
                  </w:r>
                </w:p>
              </w:tc>
              <w:tc>
                <w:tcPr>
                  <w:tcW w:w="2511" w:type="dxa"/>
                  <w:tcBorders>
                    <w:top w:val="single" w:color="000000"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rFonts w:hint="eastAsia"/>
                      <w:sz w:val="21"/>
                      <w:szCs w:val="21"/>
                    </w:rPr>
                    <w:t>口是</w:t>
                  </w:r>
                  <w:r>
                    <w:rPr>
                      <w:sz w:val="21"/>
                      <w:szCs w:val="21"/>
                    </w:rPr>
                    <w:fldChar w:fldCharType="begin"/>
                  </w:r>
                  <w:r>
                    <w:rPr>
                      <w:sz w:val="21"/>
                      <w:szCs w:val="21"/>
                    </w:rPr>
                    <w:instrText xml:space="preserve"> eq \o\ac(</w:instrText>
                  </w:r>
                  <w:r>
                    <w:rPr>
                      <w:position w:val="-4"/>
                      <w:sz w:val="31"/>
                      <w:szCs w:val="21"/>
                    </w:rPr>
                    <w:instrText xml:space="preserve">□</w:instrText>
                  </w:r>
                  <w:r>
                    <w:rPr>
                      <w:sz w:val="21"/>
                      <w:szCs w:val="21"/>
                    </w:rPr>
                    <w:instrText xml:space="preserve">,√)</w:instrText>
                  </w:r>
                  <w:r>
                    <w:rPr>
                      <w:sz w:val="21"/>
                      <w:szCs w:val="21"/>
                    </w:rPr>
                    <w:fldChar w:fldCharType="end"/>
                  </w:r>
                  <w:r>
                    <w:rPr>
                      <w:rFonts w:hint="eastAsia"/>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70" w:type="dxa"/>
                  <w:vMerge w:val="continue"/>
                  <w:tcBorders>
                    <w:top w:val="single" w:color="000000"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p>
              </w:tc>
              <w:tc>
                <w:tcPr>
                  <w:tcW w:w="3875" w:type="dxa"/>
                  <w:tcBorders>
                    <w:top w:val="single" w:color="000000" w:sz="4" w:space="0"/>
                    <w:left w:val="single" w:color="000000" w:sz="4"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地形数据分辨率</w:t>
                  </w:r>
                  <w:r>
                    <w:rPr>
                      <w:sz w:val="21"/>
                      <w:szCs w:val="21"/>
                    </w:rPr>
                    <w:t>/m</w:t>
                  </w:r>
                </w:p>
              </w:tc>
              <w:tc>
                <w:tcPr>
                  <w:tcW w:w="2511" w:type="dxa"/>
                  <w:tcBorders>
                    <w:top w:val="single" w:color="000000"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70" w:type="dxa"/>
                  <w:vMerge w:val="restart"/>
                  <w:tcBorders>
                    <w:top w:val="single" w:color="000000"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是否考虑岸线熏烟</w:t>
                  </w:r>
                </w:p>
              </w:tc>
              <w:tc>
                <w:tcPr>
                  <w:tcW w:w="3875" w:type="dxa"/>
                  <w:tcBorders>
                    <w:top w:val="single" w:color="000000" w:sz="4" w:space="0"/>
                    <w:left w:val="single" w:color="000000" w:sz="4"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考虑岸线熏烟</w:t>
                  </w:r>
                  <w:r>
                    <w:rPr>
                      <w:sz w:val="21"/>
                      <w:szCs w:val="21"/>
                    </w:rPr>
                    <w:t>/km</w:t>
                  </w:r>
                </w:p>
              </w:tc>
              <w:tc>
                <w:tcPr>
                  <w:tcW w:w="2511" w:type="dxa"/>
                  <w:tcBorders>
                    <w:top w:val="single" w:color="000000"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rFonts w:hint="eastAsia"/>
                      <w:sz w:val="21"/>
                      <w:szCs w:val="21"/>
                    </w:rPr>
                    <w:t>口是</w:t>
                  </w:r>
                  <w:r>
                    <w:rPr>
                      <w:sz w:val="21"/>
                      <w:szCs w:val="21"/>
                    </w:rPr>
                    <w:fldChar w:fldCharType="begin"/>
                  </w:r>
                  <w:r>
                    <w:rPr>
                      <w:sz w:val="21"/>
                      <w:szCs w:val="21"/>
                    </w:rPr>
                    <w:instrText xml:space="preserve"> eq \o\ac(</w:instrText>
                  </w:r>
                  <w:r>
                    <w:rPr>
                      <w:position w:val="-4"/>
                      <w:sz w:val="31"/>
                      <w:szCs w:val="21"/>
                    </w:rPr>
                    <w:instrText xml:space="preserve">□</w:instrText>
                  </w:r>
                  <w:r>
                    <w:rPr>
                      <w:sz w:val="21"/>
                      <w:szCs w:val="21"/>
                    </w:rPr>
                    <w:instrText xml:space="preserve">,√)</w:instrText>
                  </w:r>
                  <w:r>
                    <w:rPr>
                      <w:sz w:val="21"/>
                      <w:szCs w:val="21"/>
                    </w:rPr>
                    <w:fldChar w:fldCharType="end"/>
                  </w:r>
                  <w:r>
                    <w:rPr>
                      <w:rFonts w:hint="eastAsia"/>
                      <w:sz w:val="21"/>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70" w:type="dxa"/>
                  <w:vMerge w:val="continue"/>
                  <w:tcBorders>
                    <w:top w:val="single" w:color="000000" w:sz="4" w:space="0"/>
                    <w:left w:val="single" w:color="000000" w:sz="12"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p>
              </w:tc>
              <w:tc>
                <w:tcPr>
                  <w:tcW w:w="3875" w:type="dxa"/>
                  <w:tcBorders>
                    <w:top w:val="single" w:color="000000" w:sz="4" w:space="0"/>
                    <w:left w:val="single" w:color="000000" w:sz="4" w:space="0"/>
                    <w:bottom w:val="single" w:color="000000" w:sz="4"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岸线距离</w:t>
                  </w:r>
                  <w:r>
                    <w:rPr>
                      <w:sz w:val="21"/>
                      <w:szCs w:val="21"/>
                    </w:rPr>
                    <w:t>/km</w:t>
                  </w:r>
                </w:p>
              </w:tc>
              <w:tc>
                <w:tcPr>
                  <w:tcW w:w="2511" w:type="dxa"/>
                  <w:tcBorders>
                    <w:top w:val="single" w:color="000000" w:sz="4" w:space="0"/>
                    <w:left w:val="single" w:color="000000" w:sz="4" w:space="0"/>
                    <w:bottom w:val="single" w:color="000000" w:sz="4" w:space="0"/>
                    <w:right w:val="single" w:color="000000" w:sz="12" w:space="0"/>
                  </w:tcBorders>
                  <w:vAlign w:val="center"/>
                </w:tcPr>
                <w:p>
                  <w:pPr>
                    <w:pStyle w:val="100"/>
                    <w:spacing w:line="240" w:lineRule="atLeast"/>
                    <w:ind w:firstLine="0" w:firstLineChars="0"/>
                    <w:jc w:val="center"/>
                    <w:rPr>
                      <w:sz w:val="21"/>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970" w:type="dxa"/>
                  <w:vMerge w:val="continue"/>
                  <w:tcBorders>
                    <w:top w:val="single" w:color="000000" w:sz="4" w:space="0"/>
                    <w:left w:val="single" w:color="000000" w:sz="12" w:space="0"/>
                    <w:bottom w:val="single" w:color="000000" w:sz="12" w:space="0"/>
                    <w:right w:val="single" w:color="000000" w:sz="4" w:space="0"/>
                  </w:tcBorders>
                  <w:vAlign w:val="center"/>
                </w:tcPr>
                <w:p>
                  <w:pPr>
                    <w:pStyle w:val="100"/>
                    <w:spacing w:line="240" w:lineRule="atLeast"/>
                    <w:ind w:firstLine="0" w:firstLineChars="0"/>
                    <w:jc w:val="center"/>
                    <w:rPr>
                      <w:sz w:val="21"/>
                      <w:szCs w:val="21"/>
                    </w:rPr>
                  </w:pPr>
                </w:p>
              </w:tc>
              <w:tc>
                <w:tcPr>
                  <w:tcW w:w="3875" w:type="dxa"/>
                  <w:tcBorders>
                    <w:top w:val="single" w:color="000000" w:sz="4" w:space="0"/>
                    <w:left w:val="single" w:color="000000" w:sz="4" w:space="0"/>
                    <w:bottom w:val="single" w:color="000000" w:sz="12" w:space="0"/>
                    <w:right w:val="single" w:color="000000" w:sz="4" w:space="0"/>
                  </w:tcBorders>
                  <w:vAlign w:val="center"/>
                </w:tcPr>
                <w:p>
                  <w:pPr>
                    <w:pStyle w:val="100"/>
                    <w:spacing w:line="240" w:lineRule="atLeast"/>
                    <w:ind w:firstLine="0" w:firstLineChars="0"/>
                    <w:jc w:val="center"/>
                    <w:rPr>
                      <w:sz w:val="21"/>
                      <w:szCs w:val="21"/>
                    </w:rPr>
                  </w:pPr>
                  <w:r>
                    <w:rPr>
                      <w:rFonts w:hint="eastAsia"/>
                      <w:sz w:val="21"/>
                      <w:szCs w:val="21"/>
                    </w:rPr>
                    <w:t>岸线方向</w:t>
                  </w:r>
                  <w:r>
                    <w:rPr>
                      <w:sz w:val="21"/>
                      <w:szCs w:val="21"/>
                    </w:rPr>
                    <w:t>/°</w:t>
                  </w:r>
                </w:p>
              </w:tc>
              <w:tc>
                <w:tcPr>
                  <w:tcW w:w="2511" w:type="dxa"/>
                  <w:tcBorders>
                    <w:top w:val="single" w:color="000000" w:sz="4" w:space="0"/>
                    <w:left w:val="single" w:color="000000" w:sz="4" w:space="0"/>
                    <w:bottom w:val="single" w:color="000000" w:sz="12" w:space="0"/>
                    <w:right w:val="single" w:color="000000" w:sz="12" w:space="0"/>
                  </w:tcBorders>
                  <w:vAlign w:val="center"/>
                </w:tcPr>
                <w:p>
                  <w:pPr>
                    <w:pStyle w:val="100"/>
                    <w:spacing w:line="240" w:lineRule="atLeast"/>
                    <w:ind w:firstLine="0" w:firstLineChars="0"/>
                    <w:jc w:val="center"/>
                    <w:rPr>
                      <w:sz w:val="21"/>
                      <w:szCs w:val="21"/>
                    </w:rPr>
                  </w:pPr>
                  <w:r>
                    <w:rPr>
                      <w:sz w:val="21"/>
                      <w:szCs w:val="21"/>
                    </w:rPr>
                    <w:t>/</w:t>
                  </w:r>
                </w:p>
              </w:tc>
            </w:tr>
          </w:tbl>
          <w:p>
            <w:pPr>
              <w:autoSpaceDE w:val="0"/>
              <w:autoSpaceDN w:val="0"/>
              <w:ind w:firstLine="420" w:firstLineChars="200"/>
              <w:rPr>
                <w:rFonts w:ascii="黑体" w:hAnsi="黑体" w:eastAsia="黑体"/>
                <w:szCs w:val="21"/>
              </w:rPr>
            </w:pPr>
            <w:r>
              <w:rPr>
                <w:rFonts w:hint="eastAsia" w:ascii="黑体" w:hAnsi="黑体" w:eastAsia="黑体"/>
                <w:szCs w:val="21"/>
              </w:rPr>
              <w:t>注：气象数据来源：国家气象数据中心</w:t>
            </w:r>
          </w:p>
          <w:p>
            <w:pPr>
              <w:pStyle w:val="111"/>
            </w:pPr>
            <w:r>
              <w:rPr>
                <w:rFonts w:hint="eastAsia"/>
              </w:rPr>
              <w:t>表</w:t>
            </w:r>
            <w:r>
              <w:t xml:space="preserve">6-5 </w:t>
            </w:r>
            <w:r>
              <w:rPr>
                <w:rFonts w:hint="eastAsia"/>
              </w:rPr>
              <w:t>项目废气估算模型计算结果</w:t>
            </w:r>
          </w:p>
          <w:tbl>
            <w:tblPr>
              <w:tblStyle w:val="37"/>
              <w:tblW w:w="941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08"/>
              <w:gridCol w:w="1446"/>
              <w:gridCol w:w="1842"/>
              <w:gridCol w:w="1137"/>
              <w:gridCol w:w="1842"/>
              <w:gridCol w:w="11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vMerge w:val="restart"/>
                  <w:tcBorders>
                    <w:top w:val="single" w:color="auto" w:sz="12"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序号</w:t>
                  </w:r>
                </w:p>
              </w:tc>
              <w:tc>
                <w:tcPr>
                  <w:tcW w:w="7408" w:type="dxa"/>
                  <w:gridSpan w:val="5"/>
                  <w:tcBorders>
                    <w:top w:val="single" w:color="auto" w:sz="12" w:space="0"/>
                    <w:left w:val="single" w:color="auto" w:sz="6" w:space="0"/>
                    <w:bottom w:val="single" w:color="auto" w:sz="2"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臭气治理排气筒（</w:t>
                  </w:r>
                  <w:r>
                    <w:rPr>
                      <w:rFonts w:ascii="Times New Roman" w:hAnsi="Times New Roman"/>
                      <w:szCs w:val="21"/>
                    </w:rPr>
                    <w:t>P1</w:t>
                  </w: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vMerge w:val="continue"/>
                  <w:tcBorders>
                    <w:top w:val="single" w:color="auto" w:sz="12"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p>
              </w:tc>
              <w:tc>
                <w:tcPr>
                  <w:tcW w:w="1446" w:type="dxa"/>
                  <w:vMerge w:val="restart"/>
                  <w:tcBorders>
                    <w:top w:val="single" w:color="auto" w:sz="2"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下风向距离</w:t>
                  </w:r>
                  <w:r>
                    <w:rPr>
                      <w:rFonts w:ascii="Times New Roman" w:hAnsi="Times New Roman"/>
                      <w:szCs w:val="21"/>
                    </w:rPr>
                    <w:t>D(m)</w:t>
                  </w:r>
                </w:p>
              </w:tc>
              <w:tc>
                <w:tcPr>
                  <w:tcW w:w="2979" w:type="dxa"/>
                  <w:gridSpan w:val="2"/>
                  <w:tcBorders>
                    <w:top w:val="single" w:color="auto" w:sz="2"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p>
              </w:tc>
              <w:tc>
                <w:tcPr>
                  <w:tcW w:w="2983" w:type="dxa"/>
                  <w:gridSpan w:val="2"/>
                  <w:tcBorders>
                    <w:top w:val="single" w:color="auto" w:sz="2" w:space="0"/>
                    <w:left w:val="single" w:color="auto" w:sz="6"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vMerge w:val="continue"/>
                  <w:tcBorders>
                    <w:top w:val="single" w:color="auto" w:sz="6" w:space="0"/>
                    <w:left w:val="single" w:color="auto" w:sz="12" w:space="0"/>
                    <w:bottom w:val="double" w:color="auto" w:sz="4" w:space="0"/>
                    <w:right w:val="single" w:color="auto" w:sz="6" w:space="0"/>
                  </w:tcBorders>
                  <w:vAlign w:val="center"/>
                </w:tcPr>
                <w:p>
                  <w:pPr>
                    <w:spacing w:line="240" w:lineRule="atLeast"/>
                    <w:jc w:val="center"/>
                    <w:rPr>
                      <w:rFonts w:ascii="Times New Roman" w:hAnsi="Times New Roman"/>
                      <w:szCs w:val="21"/>
                    </w:rPr>
                  </w:pPr>
                </w:p>
              </w:tc>
              <w:tc>
                <w:tcPr>
                  <w:tcW w:w="1446" w:type="dxa"/>
                  <w:vMerge w:val="continue"/>
                  <w:tcBorders>
                    <w:top w:val="single" w:color="auto" w:sz="6"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szCs w:val="21"/>
                    </w:rPr>
                  </w:pPr>
                </w:p>
              </w:tc>
              <w:tc>
                <w:tcPr>
                  <w:tcW w:w="1842" w:type="dxa"/>
                  <w:tcBorders>
                    <w:top w:val="single" w:color="auto" w:sz="6"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浓度</w:t>
                  </w:r>
                </w:p>
                <w:p>
                  <w:pPr>
                    <w:spacing w:line="240" w:lineRule="atLeast"/>
                    <w:jc w:val="center"/>
                    <w:rPr>
                      <w:rFonts w:ascii="Times New Roman" w:hAnsi="Times New Roman"/>
                      <w:szCs w:val="21"/>
                    </w:rPr>
                  </w:pPr>
                  <w:r>
                    <w:rPr>
                      <w:rFonts w:ascii="Times New Roman" w:hAnsi="Times New Roman"/>
                      <w:szCs w:val="21"/>
                    </w:rPr>
                    <w:t>ug/m</w:t>
                  </w:r>
                  <w:r>
                    <w:rPr>
                      <w:rFonts w:ascii="Times New Roman" w:hAnsi="Times New Roman"/>
                      <w:szCs w:val="21"/>
                      <w:vertAlign w:val="superscript"/>
                    </w:rPr>
                    <w:t>3</w:t>
                  </w:r>
                </w:p>
              </w:tc>
              <w:tc>
                <w:tcPr>
                  <w:tcW w:w="1137" w:type="dxa"/>
                  <w:tcBorders>
                    <w:top w:val="single" w:color="auto" w:sz="6" w:space="0"/>
                    <w:left w:val="single" w:color="auto" w:sz="6" w:space="0"/>
                    <w:bottom w:val="double" w:color="auto" w:sz="4"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占标率</w:t>
                  </w:r>
                </w:p>
                <w:p>
                  <w:pPr>
                    <w:spacing w:line="240" w:lineRule="atLeast"/>
                    <w:jc w:val="center"/>
                    <w:rPr>
                      <w:rFonts w:ascii="Times New Roman" w:hAnsi="Times New Roman"/>
                      <w:szCs w:val="21"/>
                    </w:rPr>
                  </w:pPr>
                  <w:r>
                    <w:rPr>
                      <w:rFonts w:hint="eastAsia" w:ascii="Times New Roman" w:hAnsi="Times New Roman"/>
                      <w:szCs w:val="21"/>
                    </w:rPr>
                    <w:t>％</w:t>
                  </w:r>
                </w:p>
              </w:tc>
              <w:tc>
                <w:tcPr>
                  <w:tcW w:w="1842" w:type="dxa"/>
                  <w:tcBorders>
                    <w:top w:val="single" w:color="auto" w:sz="6" w:space="0"/>
                    <w:left w:val="single" w:color="auto" w:sz="6" w:space="0"/>
                    <w:bottom w:val="double" w:color="auto" w:sz="4" w:space="0"/>
                    <w:right w:val="single" w:color="auto" w:sz="2" w:space="0"/>
                  </w:tcBorders>
                  <w:vAlign w:val="center"/>
                </w:tcPr>
                <w:p>
                  <w:pPr>
                    <w:spacing w:line="240" w:lineRule="atLeast"/>
                    <w:jc w:val="center"/>
                    <w:rPr>
                      <w:rFonts w:ascii="Times New Roman" w:hAnsi="Times New Roman"/>
                      <w:szCs w:val="21"/>
                    </w:rPr>
                  </w:pPr>
                  <w:r>
                    <w:rPr>
                      <w:rFonts w:hint="eastAsia" w:ascii="Times New Roman" w:hAnsi="Times New Roman"/>
                      <w:szCs w:val="21"/>
                    </w:rPr>
                    <w:t>浓度</w:t>
                  </w:r>
                </w:p>
                <w:p>
                  <w:pPr>
                    <w:spacing w:line="240" w:lineRule="atLeast"/>
                    <w:jc w:val="center"/>
                    <w:rPr>
                      <w:rFonts w:ascii="Times New Roman" w:hAnsi="Times New Roman"/>
                      <w:szCs w:val="21"/>
                    </w:rPr>
                  </w:pPr>
                  <w:r>
                    <w:rPr>
                      <w:rFonts w:ascii="Times New Roman" w:hAnsi="Times New Roman"/>
                      <w:szCs w:val="21"/>
                    </w:rPr>
                    <w:t>ug/m</w:t>
                  </w:r>
                  <w:r>
                    <w:rPr>
                      <w:rFonts w:ascii="Times New Roman" w:hAnsi="Times New Roman"/>
                      <w:szCs w:val="21"/>
                      <w:vertAlign w:val="superscript"/>
                    </w:rPr>
                    <w:t>3</w:t>
                  </w:r>
                </w:p>
              </w:tc>
              <w:tc>
                <w:tcPr>
                  <w:tcW w:w="1141" w:type="dxa"/>
                  <w:tcBorders>
                    <w:top w:val="single" w:color="auto" w:sz="6" w:space="0"/>
                    <w:left w:val="single" w:color="auto" w:sz="2" w:space="0"/>
                    <w:bottom w:val="double" w:color="auto" w:sz="4" w:space="0"/>
                    <w:right w:val="single" w:color="auto" w:sz="12" w:space="0"/>
                  </w:tcBorders>
                  <w:vAlign w:val="center"/>
                </w:tcPr>
                <w:p>
                  <w:pPr>
                    <w:spacing w:line="240" w:lineRule="atLeast"/>
                    <w:jc w:val="center"/>
                    <w:rPr>
                      <w:rFonts w:ascii="Times New Roman" w:hAnsi="Times New Roman"/>
                      <w:szCs w:val="21"/>
                    </w:rPr>
                  </w:pPr>
                  <w:r>
                    <w:rPr>
                      <w:rFonts w:hint="eastAsia" w:ascii="Times New Roman" w:hAnsi="Times New Roman"/>
                      <w:szCs w:val="21"/>
                    </w:rPr>
                    <w:t>占标率</w:t>
                  </w:r>
                </w:p>
                <w:p>
                  <w:pPr>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44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0.0049</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0.0024</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0.0004</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0.0044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2</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3.8857</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1.94</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0.3552</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3.55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2.3373</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1.17</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0.2137</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2.14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4</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3.3202</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1.66</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0.3035</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5</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2.8705</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1.44</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0.2624</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2.62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6</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400.0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2.3013</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1.15</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0.2104</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7</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1.8927</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0.95</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0.1730</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1.73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8</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1.8030</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0.90</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0.1648</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1.65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9</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700.0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1.6876</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0.84</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0.1543</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1.54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10</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800.0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2.5475</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1.27</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0.2329</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2.33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11</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900.0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7.5332</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3.77</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0.6886</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6.88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12</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1000.0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6.5595</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3.28</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0.5996</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5.99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13</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1200.0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5.1368</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2.57</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0.4696</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4.70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14</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1400.0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3.2942</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1.65</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0.3011</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3.01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15</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1600.0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3.7590</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1.88</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0.3436</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3.44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16</w:t>
                  </w:r>
                </w:p>
              </w:tc>
              <w:tc>
                <w:tcPr>
                  <w:tcW w:w="1446"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1800.0</w:t>
                  </w:r>
                </w:p>
              </w:tc>
              <w:tc>
                <w:tcPr>
                  <w:tcW w:w="1842"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3.2302</w:t>
                  </w:r>
                </w:p>
              </w:tc>
              <w:tc>
                <w:tcPr>
                  <w:tcW w:w="113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szCs w:val="21"/>
                    </w:rPr>
                  </w:pPr>
                  <w:r>
                    <w:rPr>
                      <w:rFonts w:ascii="Times New Roman" w:hAnsi="Times New Roman"/>
                      <w:szCs w:val="21"/>
                    </w:rPr>
                    <w:t>1.62</w:t>
                  </w:r>
                </w:p>
              </w:tc>
              <w:tc>
                <w:tcPr>
                  <w:tcW w:w="1842" w:type="dxa"/>
                  <w:tcBorders>
                    <w:top w:val="single" w:color="auto" w:sz="6" w:space="0"/>
                    <w:left w:val="single" w:color="auto" w:sz="6" w:space="0"/>
                    <w:bottom w:val="single" w:color="auto" w:sz="6" w:space="0"/>
                    <w:right w:val="single" w:color="auto" w:sz="2" w:space="0"/>
                  </w:tcBorders>
                  <w:vAlign w:val="center"/>
                </w:tcPr>
                <w:p>
                  <w:pPr>
                    <w:jc w:val="center"/>
                    <w:rPr>
                      <w:rFonts w:ascii="Times New Roman" w:hAnsi="Times New Roman"/>
                      <w:szCs w:val="21"/>
                    </w:rPr>
                  </w:pPr>
                  <w:r>
                    <w:rPr>
                      <w:rFonts w:ascii="Times New Roman" w:hAnsi="Times New Roman"/>
                      <w:szCs w:val="21"/>
                    </w:rPr>
                    <w:t>0.2953</w:t>
                  </w:r>
                </w:p>
              </w:tc>
              <w:tc>
                <w:tcPr>
                  <w:tcW w:w="1141" w:type="dxa"/>
                  <w:tcBorders>
                    <w:top w:val="single" w:color="auto" w:sz="6" w:space="0"/>
                    <w:left w:val="single" w:color="auto" w:sz="2" w:space="0"/>
                    <w:bottom w:val="single" w:color="auto" w:sz="6" w:space="0"/>
                    <w:right w:val="single" w:color="auto" w:sz="12" w:space="0"/>
                  </w:tcBorders>
                  <w:vAlign w:val="center"/>
                </w:tcPr>
                <w:p>
                  <w:pPr>
                    <w:jc w:val="center"/>
                    <w:rPr>
                      <w:rFonts w:ascii="Times New Roman" w:hAnsi="Times New Roman"/>
                      <w:szCs w:val="21"/>
                    </w:rPr>
                  </w:pPr>
                  <w:r>
                    <w:rPr>
                      <w:rFonts w:ascii="Times New Roman" w:hAnsi="Times New Roman"/>
                      <w:szCs w:val="21"/>
                    </w:rPr>
                    <w:t>2.95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hint="eastAsia" w:ascii="Times New Roman" w:hAnsi="Times New Roman"/>
                      <w:szCs w:val="21"/>
                    </w:rPr>
                    <w:t>下风向最大质量浓度及占标率</w:t>
                  </w:r>
                  <w:r>
                    <w:rPr>
                      <w:rFonts w:ascii="Times New Roman" w:hAnsi="Times New Roman"/>
                      <w:szCs w:val="21"/>
                    </w:rPr>
                    <w:t>%</w:t>
                  </w:r>
                </w:p>
              </w:tc>
              <w:tc>
                <w:tcPr>
                  <w:tcW w:w="1446"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904</w:t>
                  </w:r>
                </w:p>
              </w:tc>
              <w:tc>
                <w:tcPr>
                  <w:tcW w:w="1842"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7.5620</w:t>
                  </w:r>
                </w:p>
              </w:tc>
              <w:tc>
                <w:tcPr>
                  <w:tcW w:w="1137" w:type="dxa"/>
                  <w:tcBorders>
                    <w:top w:val="single" w:color="auto" w:sz="6" w:space="0"/>
                    <w:left w:val="single" w:color="auto" w:sz="6" w:space="0"/>
                    <w:bottom w:val="single" w:color="auto" w:sz="6"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3.78</w:t>
                  </w:r>
                </w:p>
              </w:tc>
              <w:tc>
                <w:tcPr>
                  <w:tcW w:w="1842" w:type="dxa"/>
                  <w:tcBorders>
                    <w:top w:val="single" w:color="auto" w:sz="6" w:space="0"/>
                    <w:left w:val="single" w:color="auto" w:sz="6" w:space="0"/>
                    <w:bottom w:val="single" w:color="auto" w:sz="6" w:space="0"/>
                    <w:right w:val="single" w:color="auto" w:sz="2" w:space="0"/>
                  </w:tcBorders>
                  <w:vAlign w:val="center"/>
                </w:tcPr>
                <w:p>
                  <w:pPr>
                    <w:spacing w:line="240" w:lineRule="atLeast"/>
                    <w:jc w:val="center"/>
                    <w:rPr>
                      <w:rFonts w:ascii="Times New Roman" w:hAnsi="Times New Roman"/>
                      <w:szCs w:val="21"/>
                    </w:rPr>
                  </w:pPr>
                  <w:r>
                    <w:rPr>
                      <w:rFonts w:ascii="Times New Roman" w:hAnsi="Times New Roman"/>
                      <w:szCs w:val="21"/>
                    </w:rPr>
                    <w:t>0.6913</w:t>
                  </w:r>
                </w:p>
              </w:tc>
              <w:tc>
                <w:tcPr>
                  <w:tcW w:w="1141" w:type="dxa"/>
                  <w:tcBorders>
                    <w:top w:val="single" w:color="auto" w:sz="6" w:space="0"/>
                    <w:left w:val="single" w:color="auto" w:sz="2" w:space="0"/>
                    <w:bottom w:val="single" w:color="auto" w:sz="6"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6.91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08" w:type="dxa"/>
                  <w:tcBorders>
                    <w:top w:val="single" w:color="auto" w:sz="6" w:space="0"/>
                    <w:left w:val="single" w:color="auto" w:sz="12" w:space="0"/>
                    <w:bottom w:val="single" w:color="auto" w:sz="12" w:space="0"/>
                    <w:right w:val="single" w:color="auto" w:sz="6" w:space="0"/>
                  </w:tcBorders>
                  <w:vAlign w:val="center"/>
                </w:tcPr>
                <w:p>
                  <w:pPr>
                    <w:spacing w:line="240" w:lineRule="atLeast"/>
                    <w:jc w:val="center"/>
                    <w:rPr>
                      <w:rFonts w:ascii="Times New Roman" w:hAnsi="Times New Roman"/>
                      <w:szCs w:val="21"/>
                    </w:rPr>
                  </w:pPr>
                  <w:r>
                    <w:rPr>
                      <w:rFonts w:ascii="Times New Roman" w:hAnsi="Times New Roman"/>
                      <w:szCs w:val="21"/>
                    </w:rPr>
                    <w:t>D10%</w:t>
                  </w:r>
                  <w:r>
                    <w:rPr>
                      <w:rFonts w:hint="eastAsia" w:ascii="Times New Roman" w:hAnsi="Times New Roman"/>
                      <w:szCs w:val="21"/>
                    </w:rPr>
                    <w:t>最远距离</w:t>
                  </w:r>
                  <w:r>
                    <w:rPr>
                      <w:rFonts w:ascii="Times New Roman" w:hAnsi="Times New Roman"/>
                      <w:szCs w:val="21"/>
                    </w:rPr>
                    <w:t>/m</w:t>
                  </w:r>
                </w:p>
              </w:tc>
              <w:tc>
                <w:tcPr>
                  <w:tcW w:w="7408" w:type="dxa"/>
                  <w:gridSpan w:val="5"/>
                  <w:tcBorders>
                    <w:top w:val="single" w:color="auto" w:sz="6" w:space="0"/>
                    <w:left w:val="single" w:color="auto" w:sz="6" w:space="0"/>
                    <w:bottom w:val="single" w:color="auto" w:sz="12" w:space="0"/>
                    <w:right w:val="single" w:color="auto" w:sz="12" w:space="0"/>
                  </w:tcBorders>
                  <w:vAlign w:val="center"/>
                </w:tcPr>
                <w:p>
                  <w:pPr>
                    <w:spacing w:line="240" w:lineRule="atLeast"/>
                    <w:jc w:val="center"/>
                    <w:rPr>
                      <w:rFonts w:ascii="Times New Roman" w:hAnsi="Times New Roman"/>
                      <w:szCs w:val="21"/>
                    </w:rPr>
                  </w:pPr>
                  <w:r>
                    <w:rPr>
                      <w:rFonts w:ascii="Times New Roman" w:hAnsi="Times New Roman"/>
                      <w:szCs w:val="21"/>
                    </w:rPr>
                    <w:t>0</w:t>
                  </w:r>
                </w:p>
              </w:tc>
            </w:tr>
          </w:tbl>
          <w:p>
            <w:pPr>
              <w:pStyle w:val="2"/>
              <w:jc w:val="center"/>
              <w:rPr>
                <w:szCs w:val="24"/>
              </w:rPr>
            </w:pPr>
          </w:p>
          <w:p>
            <w:pPr>
              <w:pStyle w:val="114"/>
            </w:pPr>
            <w:r>
              <w:rPr>
                <w:rFonts w:hint="eastAsia"/>
              </w:rPr>
              <w:t>根据表</w:t>
            </w:r>
            <w:r>
              <w:t>6-5</w:t>
            </w:r>
            <w:r>
              <w:rPr>
                <w:rFonts w:hint="eastAsia"/>
              </w:rPr>
              <w:t>估算结果可知，最大占标率</w:t>
            </w:r>
            <w:r>
              <w:t>Pmax: 6.91% (H</w:t>
            </w:r>
            <w:r>
              <w:rPr>
                <w:vertAlign w:val="subscript"/>
              </w:rPr>
              <w:t>2</w:t>
            </w:r>
            <w:r>
              <w:t>S)</w:t>
            </w:r>
            <w:r>
              <w:rPr>
                <w:rFonts w:hint="eastAsia"/>
              </w:rPr>
              <w:t>，根据《环境影响评价技术导则大气环境》（</w:t>
            </w:r>
            <w:r>
              <w:t>HJ2.2-2018</w:t>
            </w:r>
            <w:r>
              <w:rPr>
                <w:rFonts w:hint="eastAsia"/>
              </w:rPr>
              <w:t>），大气环境评价等级定为二级。</w:t>
            </w:r>
          </w:p>
          <w:p>
            <w:pPr>
              <w:pStyle w:val="114"/>
            </w:pPr>
            <w:r>
              <w:rPr>
                <w:rFonts w:hint="eastAsia"/>
              </w:rPr>
              <w:t>拟建项目大气环境影响评价工作等级为二级，根据《环境影响评价技术导则大气环境》（</w:t>
            </w:r>
            <w:r>
              <w:t>HJ2.2-2018</w:t>
            </w:r>
            <w:r>
              <w:rPr>
                <w:rFonts w:hint="eastAsia"/>
              </w:rPr>
              <w:t>）中</w:t>
            </w:r>
            <w:r>
              <w:t>8.1.2</w:t>
            </w:r>
            <w:r>
              <w:rPr>
                <w:rFonts w:hint="eastAsia"/>
              </w:rPr>
              <w:t>内容：二级评价项目不进行进一步预测与评价，只对污染物排放量进行核算。</w:t>
            </w:r>
          </w:p>
          <w:p>
            <w:pPr>
              <w:pStyle w:val="114"/>
            </w:pPr>
            <w:r>
              <w:rPr>
                <w:rFonts w:hint="eastAsia"/>
              </w:rPr>
              <w:t>项目实施后，本项目有组织排放核算表详见表</w:t>
            </w:r>
            <w:r>
              <w:t>6-6</w:t>
            </w:r>
            <w:r>
              <w:rPr>
                <w:rFonts w:hint="eastAsia"/>
              </w:rPr>
              <w:t>。</w:t>
            </w:r>
          </w:p>
          <w:p>
            <w:pPr>
              <w:pStyle w:val="111"/>
            </w:pPr>
            <w:r>
              <w:rPr>
                <w:rFonts w:hint="eastAsia"/>
              </w:rPr>
              <w:t>表</w:t>
            </w:r>
            <w:r>
              <w:t>6-6</w:t>
            </w:r>
            <w:r>
              <w:rPr>
                <w:rFonts w:hint="eastAsia"/>
              </w:rPr>
              <w:t>大气污染物有组织排放量核算表</w:t>
            </w:r>
          </w:p>
          <w:tbl>
            <w:tblPr>
              <w:tblStyle w:val="37"/>
              <w:tblW w:w="94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448"/>
              <w:gridCol w:w="964"/>
              <w:gridCol w:w="2013"/>
              <w:gridCol w:w="2015"/>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Borders>
                    <w:top w:val="single" w:color="auto" w:sz="12" w:space="0"/>
                    <w:left w:val="single" w:color="auto" w:sz="12" w:space="0"/>
                    <w:bottom w:val="double" w:color="auto" w:sz="4" w:space="0"/>
                    <w:right w:val="single" w:color="auto" w:sz="4"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序号</w:t>
                  </w:r>
                </w:p>
              </w:tc>
              <w:tc>
                <w:tcPr>
                  <w:tcW w:w="1448" w:type="dxa"/>
                  <w:tcBorders>
                    <w:top w:val="single" w:color="auto" w:sz="12" w:space="0"/>
                    <w:left w:val="single" w:color="auto" w:sz="4" w:space="0"/>
                    <w:bottom w:val="double" w:color="auto" w:sz="4" w:space="0"/>
                    <w:right w:val="single" w:color="auto" w:sz="4"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排放口编号</w:t>
                  </w:r>
                </w:p>
              </w:tc>
              <w:tc>
                <w:tcPr>
                  <w:tcW w:w="964" w:type="dxa"/>
                  <w:tcBorders>
                    <w:top w:val="single" w:color="auto" w:sz="12" w:space="0"/>
                    <w:left w:val="single" w:color="auto" w:sz="4" w:space="0"/>
                    <w:bottom w:val="double" w:color="auto" w:sz="4" w:space="0"/>
                    <w:right w:val="single" w:color="auto" w:sz="4"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污染物</w:t>
                  </w:r>
                </w:p>
              </w:tc>
              <w:tc>
                <w:tcPr>
                  <w:tcW w:w="2013" w:type="dxa"/>
                  <w:tcBorders>
                    <w:top w:val="single" w:color="auto" w:sz="12" w:space="0"/>
                    <w:left w:val="single" w:color="auto" w:sz="4" w:space="0"/>
                    <w:bottom w:val="double" w:color="auto" w:sz="4" w:space="0"/>
                    <w:right w:val="single" w:color="auto" w:sz="4"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核算排放浓度</w:t>
                  </w:r>
                  <w:r>
                    <w:rPr>
                      <w:rFonts w:ascii="Times New Roman" w:hAnsi="Times New Roman"/>
                      <w:kern w:val="0"/>
                      <w:szCs w:val="21"/>
                    </w:rPr>
                    <w:t>/</w:t>
                  </w:r>
                </w:p>
                <w:p>
                  <w:pPr>
                    <w:spacing w:line="240" w:lineRule="atLeast"/>
                    <w:jc w:val="center"/>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μg/m</w:t>
                  </w:r>
                  <w:r>
                    <w:rPr>
                      <w:rFonts w:ascii="Times New Roman" w:hAnsi="Times New Roman"/>
                      <w:kern w:val="0"/>
                      <w:szCs w:val="21"/>
                      <w:vertAlign w:val="superscript"/>
                    </w:rPr>
                    <w:t>3</w:t>
                  </w:r>
                  <w:r>
                    <w:rPr>
                      <w:rFonts w:hint="eastAsia" w:ascii="Times New Roman" w:hAnsi="Times New Roman"/>
                      <w:kern w:val="0"/>
                      <w:szCs w:val="21"/>
                    </w:rPr>
                    <w:t>）</w:t>
                  </w:r>
                </w:p>
              </w:tc>
              <w:tc>
                <w:tcPr>
                  <w:tcW w:w="2015" w:type="dxa"/>
                  <w:tcBorders>
                    <w:top w:val="single" w:color="auto" w:sz="12" w:space="0"/>
                    <w:left w:val="single" w:color="auto" w:sz="4" w:space="0"/>
                    <w:bottom w:val="double" w:color="auto" w:sz="4" w:space="0"/>
                    <w:right w:val="single" w:color="auto" w:sz="4"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核算排放速率</w:t>
                  </w:r>
                  <w:r>
                    <w:rPr>
                      <w:rFonts w:ascii="Times New Roman" w:hAnsi="Times New Roman"/>
                      <w:kern w:val="0"/>
                      <w:szCs w:val="21"/>
                    </w:rPr>
                    <w:t>/</w:t>
                  </w:r>
                </w:p>
                <w:p>
                  <w:pPr>
                    <w:spacing w:line="240" w:lineRule="atLeast"/>
                    <w:jc w:val="center"/>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kg/h</w:t>
                  </w:r>
                  <w:r>
                    <w:rPr>
                      <w:rFonts w:hint="eastAsia" w:ascii="Times New Roman" w:hAnsi="Times New Roman"/>
                      <w:kern w:val="0"/>
                      <w:szCs w:val="21"/>
                    </w:rPr>
                    <w:t>）</w:t>
                  </w:r>
                </w:p>
              </w:tc>
              <w:tc>
                <w:tcPr>
                  <w:tcW w:w="2017" w:type="dxa"/>
                  <w:tcBorders>
                    <w:top w:val="single" w:color="auto" w:sz="12"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核算年排放量</w:t>
                  </w:r>
                  <w:r>
                    <w:rPr>
                      <w:rFonts w:ascii="Times New Roman" w:hAnsi="Times New Roman"/>
                      <w:kern w:val="0"/>
                      <w:szCs w:val="21"/>
                    </w:rPr>
                    <w:t>/</w:t>
                  </w:r>
                </w:p>
                <w:p>
                  <w:pPr>
                    <w:spacing w:line="240" w:lineRule="atLeast"/>
                    <w:jc w:val="center"/>
                    <w:rPr>
                      <w:rFonts w:ascii="Times New Roman" w:hAnsi="Times New Roman"/>
                      <w:kern w:val="0"/>
                      <w:szCs w:val="21"/>
                    </w:rPr>
                  </w:pPr>
                  <w:r>
                    <w:rPr>
                      <w:rFonts w:hint="eastAsia" w:ascii="Times New Roman" w:hAnsi="Times New Roman"/>
                      <w:kern w:val="0"/>
                      <w:szCs w:val="21"/>
                    </w:rPr>
                    <w:t>（</w:t>
                  </w:r>
                  <w:r>
                    <w:rPr>
                      <w:rFonts w:ascii="Times New Roman" w:hAnsi="Times New Roman"/>
                      <w:kern w:val="0"/>
                      <w:szCs w:val="21"/>
                    </w:rPr>
                    <w:t>t/a</w:t>
                  </w:r>
                  <w:r>
                    <w:rPr>
                      <w:rFonts w:hint="eastAsia" w:ascii="Times New Roman" w:hAnsi="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16" w:type="dxa"/>
                  <w:gridSpan w:val="6"/>
                  <w:tcBorders>
                    <w:top w:val="double" w:color="auto" w:sz="4" w:space="0"/>
                    <w:left w:val="single" w:color="auto" w:sz="12" w:space="0"/>
                    <w:bottom w:val="single" w:color="auto" w:sz="4" w:space="0"/>
                    <w:right w:val="single" w:color="auto" w:sz="12"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Merge w:val="restart"/>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kern w:val="0"/>
                      <w:szCs w:val="21"/>
                    </w:rPr>
                    <w:t>1</w:t>
                  </w:r>
                </w:p>
              </w:tc>
              <w:tc>
                <w:tcPr>
                  <w:tcW w:w="144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kern w:val="0"/>
                      <w:szCs w:val="21"/>
                    </w:rPr>
                    <w:t>P1</w:t>
                  </w:r>
                </w:p>
              </w:tc>
              <w:tc>
                <w:tcPr>
                  <w:tcW w:w="96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kern w:val="0"/>
                      <w:szCs w:val="21"/>
                    </w:rPr>
                    <w:t>NH</w:t>
                  </w:r>
                  <w:r>
                    <w:rPr>
                      <w:rFonts w:ascii="Times New Roman" w:hAnsi="Times New Roman"/>
                      <w:kern w:val="0"/>
                      <w:szCs w:val="21"/>
                      <w:vertAlign w:val="subscript"/>
                    </w:rPr>
                    <w:t>3</w:t>
                  </w:r>
                </w:p>
              </w:tc>
              <w:tc>
                <w:tcPr>
                  <w:tcW w:w="201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rPr>
                    <w:t>602</w:t>
                  </w:r>
                </w:p>
              </w:tc>
              <w:tc>
                <w:tcPr>
                  <w:tcW w:w="201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rPr>
                    <w:t>0.0361</w:t>
                  </w:r>
                </w:p>
              </w:tc>
              <w:tc>
                <w:tcPr>
                  <w:tcW w:w="2017"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kern w:val="0"/>
                      <w:szCs w:val="21"/>
                    </w:rPr>
                  </w:pPr>
                  <w:r>
                    <w:rPr>
                      <w:rFonts w:ascii="Times New Roman" w:hAnsi="Times New Roman"/>
                    </w:rPr>
                    <w: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p>
              </w:tc>
              <w:tc>
                <w:tcPr>
                  <w:tcW w:w="144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p>
              </w:tc>
              <w:tc>
                <w:tcPr>
                  <w:tcW w:w="96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kern w:val="0"/>
                      <w:szCs w:val="21"/>
                    </w:rPr>
                    <w:t>H</w:t>
                  </w:r>
                  <w:r>
                    <w:rPr>
                      <w:rFonts w:ascii="Times New Roman" w:hAnsi="Times New Roman"/>
                      <w:kern w:val="0"/>
                      <w:szCs w:val="21"/>
                      <w:vertAlign w:val="subscript"/>
                    </w:rPr>
                    <w:t>2</w:t>
                  </w:r>
                  <w:r>
                    <w:rPr>
                      <w:rFonts w:ascii="Times New Roman" w:hAnsi="Times New Roman"/>
                      <w:kern w:val="0"/>
                      <w:szCs w:val="21"/>
                    </w:rPr>
                    <w:t>S</w:t>
                  </w:r>
                </w:p>
              </w:tc>
              <w:tc>
                <w:tcPr>
                  <w:tcW w:w="201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rPr>
                    <w:t>54</w:t>
                  </w:r>
                </w:p>
              </w:tc>
              <w:tc>
                <w:tcPr>
                  <w:tcW w:w="201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rPr>
                    <w:t>0.0033</w:t>
                  </w:r>
                </w:p>
              </w:tc>
              <w:tc>
                <w:tcPr>
                  <w:tcW w:w="2017"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kern w:val="0"/>
                      <w:szCs w:val="21"/>
                    </w:rPr>
                  </w:pPr>
                  <w:r>
                    <w:rPr>
                      <w:rFonts w:ascii="Times New Roman" w:hAnsi="Times New Roma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07" w:type="dxa"/>
                  <w:gridSpan w:val="2"/>
                  <w:vMerge w:val="restart"/>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主要排放口合计</w:t>
                  </w:r>
                </w:p>
              </w:tc>
              <w:tc>
                <w:tcPr>
                  <w:tcW w:w="4992"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kern w:val="0"/>
                      <w:szCs w:val="21"/>
                    </w:rPr>
                    <w:t>NH</w:t>
                  </w:r>
                  <w:r>
                    <w:rPr>
                      <w:rFonts w:ascii="Times New Roman" w:hAnsi="Times New Roman"/>
                      <w:kern w:val="0"/>
                      <w:szCs w:val="21"/>
                      <w:vertAlign w:val="subscript"/>
                    </w:rPr>
                    <w:t>3</w:t>
                  </w:r>
                </w:p>
              </w:tc>
              <w:tc>
                <w:tcPr>
                  <w:tcW w:w="2017"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kern w:val="0"/>
                      <w:szCs w:val="21"/>
                    </w:rPr>
                  </w:pPr>
                  <w:r>
                    <w:rPr>
                      <w:rFonts w:ascii="Times New Roman" w:hAnsi="Times New Roman"/>
                    </w:rPr>
                    <w: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07" w:type="dxa"/>
                  <w:gridSpan w:val="2"/>
                  <w:vMerge w:val="continue"/>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p>
              </w:tc>
              <w:tc>
                <w:tcPr>
                  <w:tcW w:w="4992"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kern w:val="0"/>
                      <w:szCs w:val="21"/>
                    </w:rPr>
                    <w:t>H</w:t>
                  </w:r>
                  <w:r>
                    <w:rPr>
                      <w:rFonts w:ascii="Times New Roman" w:hAnsi="Times New Roman"/>
                      <w:kern w:val="0"/>
                      <w:szCs w:val="21"/>
                      <w:vertAlign w:val="subscript"/>
                    </w:rPr>
                    <w:t>2</w:t>
                  </w:r>
                  <w:r>
                    <w:rPr>
                      <w:rFonts w:ascii="Times New Roman" w:hAnsi="Times New Roman"/>
                      <w:kern w:val="0"/>
                      <w:szCs w:val="21"/>
                    </w:rPr>
                    <w:t>S</w:t>
                  </w:r>
                </w:p>
              </w:tc>
              <w:tc>
                <w:tcPr>
                  <w:tcW w:w="2017"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kern w:val="0"/>
                      <w:szCs w:val="21"/>
                    </w:rPr>
                  </w:pPr>
                  <w:r>
                    <w:rPr>
                      <w:rFonts w:ascii="Times New Roman" w:hAnsi="Times New Roman"/>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16" w:type="dxa"/>
                  <w:gridSpan w:val="6"/>
                  <w:tcBorders>
                    <w:top w:val="single" w:color="auto" w:sz="4" w:space="0"/>
                    <w:left w:val="single" w:color="auto" w:sz="12" w:space="0"/>
                    <w:bottom w:val="single" w:color="auto" w:sz="4" w:space="0"/>
                    <w:right w:val="single" w:color="auto" w:sz="12"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jc w:val="center"/>
              </w:trPr>
              <w:tc>
                <w:tcPr>
                  <w:tcW w:w="2407" w:type="dxa"/>
                  <w:gridSpan w:val="2"/>
                  <w:vMerge w:val="restart"/>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hint="eastAsia" w:ascii="Times New Roman" w:hAnsi="Times New Roman"/>
                      <w:kern w:val="0"/>
                      <w:szCs w:val="21"/>
                    </w:rPr>
                    <w:t>有组织排放总计</w:t>
                  </w:r>
                </w:p>
              </w:tc>
              <w:tc>
                <w:tcPr>
                  <w:tcW w:w="4992"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kern w:val="0"/>
                      <w:szCs w:val="21"/>
                    </w:rPr>
                    <w:t>NH</w:t>
                  </w:r>
                  <w:r>
                    <w:rPr>
                      <w:rFonts w:ascii="Times New Roman" w:hAnsi="Times New Roman"/>
                      <w:kern w:val="0"/>
                      <w:szCs w:val="21"/>
                      <w:vertAlign w:val="subscript"/>
                    </w:rPr>
                    <w:t>3</w:t>
                  </w:r>
                </w:p>
              </w:tc>
              <w:tc>
                <w:tcPr>
                  <w:tcW w:w="2017"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kern w:val="0"/>
                      <w:szCs w:val="21"/>
                    </w:rPr>
                  </w:pPr>
                  <w:r>
                    <w:rPr>
                      <w:rFonts w:ascii="Times New Roman" w:hAnsi="Times New Roman"/>
                    </w:rPr>
                    <w: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07" w:type="dxa"/>
                  <w:gridSpan w:val="2"/>
                  <w:vMerge w:val="continue"/>
                  <w:tcBorders>
                    <w:top w:val="sing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p>
              </w:tc>
              <w:tc>
                <w:tcPr>
                  <w:tcW w:w="4992"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kern w:val="0"/>
                      <w:szCs w:val="21"/>
                    </w:rPr>
                  </w:pPr>
                  <w:r>
                    <w:rPr>
                      <w:rFonts w:ascii="Times New Roman" w:hAnsi="Times New Roman"/>
                      <w:kern w:val="0"/>
                      <w:szCs w:val="21"/>
                    </w:rPr>
                    <w:t>H</w:t>
                  </w:r>
                  <w:r>
                    <w:rPr>
                      <w:rFonts w:ascii="Times New Roman" w:hAnsi="Times New Roman"/>
                      <w:kern w:val="0"/>
                      <w:szCs w:val="21"/>
                      <w:vertAlign w:val="subscript"/>
                    </w:rPr>
                    <w:t>2</w:t>
                  </w:r>
                  <w:r>
                    <w:rPr>
                      <w:rFonts w:ascii="Times New Roman" w:hAnsi="Times New Roman"/>
                      <w:kern w:val="0"/>
                      <w:szCs w:val="21"/>
                    </w:rPr>
                    <w:t>S</w:t>
                  </w:r>
                </w:p>
              </w:tc>
              <w:tc>
                <w:tcPr>
                  <w:tcW w:w="2017" w:type="dxa"/>
                  <w:tcBorders>
                    <w:top w:val="single" w:color="auto" w:sz="4" w:space="0"/>
                    <w:left w:val="single" w:color="auto" w:sz="4" w:space="0"/>
                    <w:bottom w:val="single" w:color="auto" w:sz="4" w:space="0"/>
                    <w:right w:val="single" w:color="auto" w:sz="12" w:space="0"/>
                  </w:tcBorders>
                  <w:vAlign w:val="center"/>
                </w:tcPr>
                <w:p>
                  <w:pPr>
                    <w:spacing w:line="240" w:lineRule="atLeast"/>
                    <w:jc w:val="center"/>
                    <w:rPr>
                      <w:rFonts w:ascii="Times New Roman" w:hAnsi="Times New Roman"/>
                      <w:kern w:val="0"/>
                      <w:szCs w:val="21"/>
                    </w:rPr>
                  </w:pPr>
                  <w:r>
                    <w:rPr>
                      <w:rFonts w:ascii="Times New Roman" w:hAnsi="Times New Roman"/>
                    </w:rPr>
                    <w:t>0.028</w:t>
                  </w:r>
                </w:p>
              </w:tc>
            </w:tr>
          </w:tbl>
          <w:p>
            <w:pPr>
              <w:pStyle w:val="114"/>
            </w:pPr>
            <w:r>
              <w:rPr>
                <w:rFonts w:hint="eastAsia"/>
              </w:rPr>
              <w:t>根据表</w:t>
            </w:r>
            <w:r>
              <w:t>6-6</w:t>
            </w:r>
            <w:r>
              <w:rPr>
                <w:rFonts w:hint="eastAsia"/>
              </w:rPr>
              <w:t>可知：</w:t>
            </w:r>
            <w:r>
              <w:t>NH</w:t>
            </w:r>
            <w:r>
              <w:rPr>
                <w:vertAlign w:val="subscript"/>
              </w:rPr>
              <w:t>3</w:t>
            </w:r>
            <w:r>
              <w:rPr>
                <w:rFonts w:hint="eastAsia"/>
              </w:rPr>
              <w:t>排放速率为</w:t>
            </w:r>
            <w:r>
              <w:t>0.0361kg/h</w:t>
            </w:r>
            <w:r>
              <w:rPr>
                <w:rFonts w:hint="eastAsia"/>
              </w:rPr>
              <w:t>、</w:t>
            </w:r>
            <w:r>
              <w:t>H</w:t>
            </w:r>
            <w:r>
              <w:rPr>
                <w:vertAlign w:val="subscript"/>
              </w:rPr>
              <w:t>2</w:t>
            </w:r>
            <w:r>
              <w:t>S</w:t>
            </w:r>
            <w:r>
              <w:rPr>
                <w:rFonts w:hint="eastAsia"/>
              </w:rPr>
              <w:t>排放速率为</w:t>
            </w:r>
            <w:r>
              <w:t>0.0033 kg/h</w:t>
            </w:r>
            <w:r>
              <w:rPr>
                <w:rFonts w:hint="eastAsia"/>
              </w:rPr>
              <w:t>，满足《恶臭污染物排放标准》（</w:t>
            </w:r>
            <w:r>
              <w:t>GB14554-93</w:t>
            </w:r>
            <w:r>
              <w:rPr>
                <w:rFonts w:hint="eastAsia"/>
              </w:rPr>
              <w:t>）中</w:t>
            </w:r>
            <w:r>
              <w:t>NH</w:t>
            </w:r>
            <w:r>
              <w:rPr>
                <w:vertAlign w:val="subscript"/>
              </w:rPr>
              <w:t>3</w:t>
            </w:r>
            <w:r>
              <w:rPr>
                <w:rFonts w:hint="eastAsia"/>
              </w:rPr>
              <w:t>：</w:t>
            </w:r>
            <w:r>
              <w:t>4.9 kg/h</w:t>
            </w:r>
            <w:r>
              <w:rPr>
                <w:rFonts w:hint="eastAsia"/>
              </w:rPr>
              <w:t>、</w:t>
            </w:r>
            <w:r>
              <w:t>H</w:t>
            </w:r>
            <w:r>
              <w:rPr>
                <w:vertAlign w:val="subscript"/>
              </w:rPr>
              <w:t>2</w:t>
            </w:r>
            <w:r>
              <w:t>S</w:t>
            </w:r>
            <w:r>
              <w:rPr>
                <w:rFonts w:hint="eastAsia"/>
              </w:rPr>
              <w:t>：</w:t>
            </w:r>
            <w:r>
              <w:t>0.33 kg/h</w:t>
            </w:r>
            <w:r>
              <w:rPr>
                <w:rFonts w:hint="eastAsia"/>
              </w:rPr>
              <w:t>的排放限值要求；可实现达标排放。</w:t>
            </w:r>
          </w:p>
          <w:p>
            <w:pPr>
              <w:pStyle w:val="114"/>
            </w:pPr>
            <w:r>
              <w:rPr>
                <w:rFonts w:hint="eastAsia"/>
              </w:rPr>
              <w:t>根据工程分析可知，项目实施后本项目无组织废气排放量核算情况详见表</w:t>
            </w:r>
            <w:r>
              <w:t>6-7</w:t>
            </w:r>
            <w:r>
              <w:rPr>
                <w:rFonts w:hint="eastAsia"/>
              </w:rPr>
              <w:t>。</w:t>
            </w:r>
          </w:p>
          <w:p>
            <w:pPr>
              <w:pStyle w:val="111"/>
              <w:rPr>
                <w:bCs/>
              </w:rPr>
            </w:pPr>
            <w:r>
              <w:rPr>
                <w:rFonts w:hint="eastAsia"/>
                <w:bCs/>
                <w:szCs w:val="24"/>
              </w:rPr>
              <w:t>表</w:t>
            </w:r>
            <w:r>
              <w:rPr>
                <w:bCs/>
                <w:szCs w:val="24"/>
              </w:rPr>
              <w:t xml:space="preserve">6-7   </w:t>
            </w:r>
            <w:r>
              <w:rPr>
                <w:rFonts w:hint="eastAsia"/>
                <w:bCs/>
                <w:szCs w:val="24"/>
              </w:rPr>
              <w:t>大气污染物无组织排放量核算表</w:t>
            </w:r>
          </w:p>
          <w:tbl>
            <w:tblPr>
              <w:tblStyle w:val="37"/>
              <w:tblW w:w="9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04"/>
              <w:gridCol w:w="1286"/>
              <w:gridCol w:w="1288"/>
              <w:gridCol w:w="966"/>
              <w:gridCol w:w="1770"/>
              <w:gridCol w:w="1448"/>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639" w:type="dxa"/>
                  <w:vMerge w:val="restart"/>
                  <w:tcBorders>
                    <w:top w:val="single" w:color="auto" w:sz="12" w:space="0"/>
                    <w:left w:val="single" w:color="auto" w:sz="12" w:space="0"/>
                    <w:bottom w:val="single" w:color="auto" w:sz="4" w:space="0"/>
                    <w:right w:val="single" w:color="auto" w:sz="4" w:space="0"/>
                  </w:tcBorders>
                  <w:vAlign w:val="center"/>
                </w:tcPr>
                <w:p>
                  <w:pPr>
                    <w:pStyle w:val="109"/>
                    <w:rPr>
                      <w:color w:val="auto"/>
                    </w:rPr>
                  </w:pPr>
                  <w:r>
                    <w:rPr>
                      <w:rFonts w:hint="eastAsia"/>
                      <w:color w:val="auto"/>
                    </w:rPr>
                    <w:t>序号</w:t>
                  </w:r>
                </w:p>
              </w:tc>
              <w:tc>
                <w:tcPr>
                  <w:tcW w:w="804" w:type="dxa"/>
                  <w:vMerge w:val="restart"/>
                  <w:tcBorders>
                    <w:top w:val="single" w:color="auto" w:sz="12" w:space="0"/>
                    <w:left w:val="single" w:color="auto" w:sz="4" w:space="0"/>
                    <w:bottom w:val="single" w:color="auto" w:sz="4" w:space="0"/>
                    <w:right w:val="single" w:color="auto" w:sz="4" w:space="0"/>
                  </w:tcBorders>
                  <w:vAlign w:val="center"/>
                </w:tcPr>
                <w:p>
                  <w:pPr>
                    <w:pStyle w:val="109"/>
                    <w:rPr>
                      <w:color w:val="auto"/>
                    </w:rPr>
                  </w:pPr>
                  <w:r>
                    <w:rPr>
                      <w:rFonts w:hint="eastAsia"/>
                      <w:color w:val="auto"/>
                    </w:rPr>
                    <w:t>排放口编号</w:t>
                  </w:r>
                </w:p>
              </w:tc>
              <w:tc>
                <w:tcPr>
                  <w:tcW w:w="1286" w:type="dxa"/>
                  <w:vMerge w:val="restart"/>
                  <w:tcBorders>
                    <w:top w:val="single" w:color="auto" w:sz="12" w:space="0"/>
                    <w:left w:val="single" w:color="auto" w:sz="4" w:space="0"/>
                    <w:bottom w:val="single" w:color="auto" w:sz="4" w:space="0"/>
                    <w:right w:val="single" w:color="auto" w:sz="4" w:space="0"/>
                  </w:tcBorders>
                  <w:vAlign w:val="center"/>
                </w:tcPr>
                <w:p>
                  <w:pPr>
                    <w:pStyle w:val="109"/>
                    <w:rPr>
                      <w:color w:val="auto"/>
                    </w:rPr>
                  </w:pPr>
                  <w:r>
                    <w:rPr>
                      <w:rFonts w:hint="eastAsia"/>
                      <w:color w:val="auto"/>
                    </w:rPr>
                    <w:t>产污环节</w:t>
                  </w:r>
                </w:p>
              </w:tc>
              <w:tc>
                <w:tcPr>
                  <w:tcW w:w="1288" w:type="dxa"/>
                  <w:vMerge w:val="restart"/>
                  <w:tcBorders>
                    <w:top w:val="single" w:color="auto" w:sz="12" w:space="0"/>
                    <w:left w:val="single" w:color="auto" w:sz="4" w:space="0"/>
                    <w:bottom w:val="single" w:color="auto" w:sz="4" w:space="0"/>
                    <w:right w:val="single" w:color="auto" w:sz="4" w:space="0"/>
                  </w:tcBorders>
                  <w:vAlign w:val="center"/>
                </w:tcPr>
                <w:p>
                  <w:pPr>
                    <w:pStyle w:val="109"/>
                    <w:rPr>
                      <w:color w:val="auto"/>
                    </w:rPr>
                  </w:pPr>
                  <w:r>
                    <w:rPr>
                      <w:rFonts w:hint="eastAsia"/>
                      <w:color w:val="auto"/>
                    </w:rPr>
                    <w:t>污染物</w:t>
                  </w:r>
                </w:p>
              </w:tc>
              <w:tc>
                <w:tcPr>
                  <w:tcW w:w="966" w:type="dxa"/>
                  <w:vMerge w:val="restart"/>
                  <w:tcBorders>
                    <w:top w:val="single" w:color="auto" w:sz="12" w:space="0"/>
                    <w:left w:val="single" w:color="auto" w:sz="4" w:space="0"/>
                    <w:bottom w:val="single" w:color="auto" w:sz="4" w:space="0"/>
                    <w:right w:val="single" w:color="auto" w:sz="4" w:space="0"/>
                  </w:tcBorders>
                  <w:vAlign w:val="center"/>
                </w:tcPr>
                <w:p>
                  <w:pPr>
                    <w:pStyle w:val="109"/>
                    <w:rPr>
                      <w:color w:val="auto"/>
                    </w:rPr>
                  </w:pPr>
                  <w:r>
                    <w:rPr>
                      <w:rFonts w:hint="eastAsia"/>
                      <w:color w:val="auto"/>
                    </w:rPr>
                    <w:t>主要污染防治措施</w:t>
                  </w:r>
                </w:p>
              </w:tc>
              <w:tc>
                <w:tcPr>
                  <w:tcW w:w="3218" w:type="dxa"/>
                  <w:gridSpan w:val="2"/>
                  <w:tcBorders>
                    <w:top w:val="single" w:color="auto" w:sz="12" w:space="0"/>
                    <w:left w:val="single" w:color="auto" w:sz="4" w:space="0"/>
                    <w:bottom w:val="single" w:color="auto" w:sz="4" w:space="0"/>
                    <w:right w:val="single" w:color="auto" w:sz="4" w:space="0"/>
                  </w:tcBorders>
                  <w:vAlign w:val="center"/>
                </w:tcPr>
                <w:p>
                  <w:pPr>
                    <w:pStyle w:val="109"/>
                    <w:rPr>
                      <w:color w:val="auto"/>
                    </w:rPr>
                  </w:pPr>
                  <w:r>
                    <w:rPr>
                      <w:rFonts w:hint="eastAsia"/>
                      <w:color w:val="auto"/>
                    </w:rPr>
                    <w:t>国家或地方污染物排放标准</w:t>
                  </w:r>
                </w:p>
              </w:tc>
              <w:tc>
                <w:tcPr>
                  <w:tcW w:w="1215" w:type="dxa"/>
                  <w:vMerge w:val="restart"/>
                  <w:tcBorders>
                    <w:top w:val="single" w:color="auto" w:sz="12" w:space="0"/>
                    <w:left w:val="single" w:color="auto" w:sz="4" w:space="0"/>
                    <w:bottom w:val="single" w:color="auto" w:sz="4" w:space="0"/>
                    <w:right w:val="single" w:color="auto" w:sz="12" w:space="0"/>
                  </w:tcBorders>
                  <w:vAlign w:val="center"/>
                </w:tcPr>
                <w:p>
                  <w:pPr>
                    <w:pStyle w:val="109"/>
                    <w:rPr>
                      <w:color w:val="auto"/>
                    </w:rPr>
                  </w:pPr>
                  <w:r>
                    <w:rPr>
                      <w:rFonts w:hint="eastAsia"/>
                      <w:color w:val="auto"/>
                    </w:rPr>
                    <w:t>年排放量（</w:t>
                  </w:r>
                  <w:r>
                    <w:rPr>
                      <w:color w:val="auto"/>
                    </w:rPr>
                    <w:t>t/a</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639" w:type="dxa"/>
                  <w:vMerge w:val="continue"/>
                  <w:tcBorders>
                    <w:top w:val="single" w:color="auto" w:sz="4" w:space="0"/>
                    <w:left w:val="single" w:color="auto" w:sz="12" w:space="0"/>
                    <w:bottom w:val="double" w:color="auto" w:sz="4" w:space="0"/>
                    <w:right w:val="single" w:color="auto" w:sz="4" w:space="0"/>
                  </w:tcBorders>
                  <w:vAlign w:val="center"/>
                </w:tcPr>
                <w:p>
                  <w:pPr>
                    <w:pStyle w:val="109"/>
                    <w:rPr>
                      <w:color w:val="auto"/>
                    </w:rPr>
                  </w:pPr>
                </w:p>
              </w:tc>
              <w:tc>
                <w:tcPr>
                  <w:tcW w:w="804" w:type="dxa"/>
                  <w:vMerge w:val="continue"/>
                  <w:tcBorders>
                    <w:top w:val="single" w:color="auto" w:sz="4" w:space="0"/>
                    <w:left w:val="single" w:color="auto" w:sz="4" w:space="0"/>
                    <w:bottom w:val="double" w:color="auto" w:sz="4" w:space="0"/>
                    <w:right w:val="single" w:color="auto" w:sz="4" w:space="0"/>
                  </w:tcBorders>
                  <w:vAlign w:val="center"/>
                </w:tcPr>
                <w:p>
                  <w:pPr>
                    <w:pStyle w:val="109"/>
                    <w:rPr>
                      <w:color w:val="auto"/>
                    </w:rPr>
                  </w:pPr>
                </w:p>
              </w:tc>
              <w:tc>
                <w:tcPr>
                  <w:tcW w:w="1286" w:type="dxa"/>
                  <w:vMerge w:val="continue"/>
                  <w:tcBorders>
                    <w:top w:val="single" w:color="auto" w:sz="4" w:space="0"/>
                    <w:left w:val="single" w:color="auto" w:sz="4" w:space="0"/>
                    <w:bottom w:val="double" w:color="auto" w:sz="4" w:space="0"/>
                    <w:right w:val="single" w:color="auto" w:sz="4" w:space="0"/>
                  </w:tcBorders>
                  <w:vAlign w:val="center"/>
                </w:tcPr>
                <w:p>
                  <w:pPr>
                    <w:pStyle w:val="109"/>
                    <w:rPr>
                      <w:color w:val="auto"/>
                    </w:rPr>
                  </w:pPr>
                </w:p>
              </w:tc>
              <w:tc>
                <w:tcPr>
                  <w:tcW w:w="1288" w:type="dxa"/>
                  <w:vMerge w:val="continue"/>
                  <w:tcBorders>
                    <w:top w:val="single" w:color="auto" w:sz="4" w:space="0"/>
                    <w:left w:val="single" w:color="auto" w:sz="4" w:space="0"/>
                    <w:bottom w:val="double" w:color="auto" w:sz="4" w:space="0"/>
                    <w:right w:val="single" w:color="auto" w:sz="4" w:space="0"/>
                  </w:tcBorders>
                  <w:vAlign w:val="center"/>
                </w:tcPr>
                <w:p>
                  <w:pPr>
                    <w:pStyle w:val="109"/>
                    <w:rPr>
                      <w:color w:val="auto"/>
                    </w:rPr>
                  </w:pPr>
                </w:p>
              </w:tc>
              <w:tc>
                <w:tcPr>
                  <w:tcW w:w="966" w:type="dxa"/>
                  <w:vMerge w:val="continue"/>
                  <w:tcBorders>
                    <w:top w:val="single" w:color="auto" w:sz="4" w:space="0"/>
                    <w:left w:val="single" w:color="auto" w:sz="4" w:space="0"/>
                    <w:bottom w:val="double" w:color="auto" w:sz="4" w:space="0"/>
                    <w:right w:val="single" w:color="auto" w:sz="4" w:space="0"/>
                  </w:tcBorders>
                  <w:vAlign w:val="center"/>
                </w:tcPr>
                <w:p>
                  <w:pPr>
                    <w:pStyle w:val="109"/>
                    <w:rPr>
                      <w:color w:val="auto"/>
                    </w:rPr>
                  </w:pPr>
                </w:p>
              </w:tc>
              <w:tc>
                <w:tcPr>
                  <w:tcW w:w="1770" w:type="dxa"/>
                  <w:tcBorders>
                    <w:top w:val="single" w:color="auto" w:sz="4" w:space="0"/>
                    <w:left w:val="single" w:color="auto" w:sz="4" w:space="0"/>
                    <w:bottom w:val="double" w:color="auto" w:sz="4" w:space="0"/>
                    <w:right w:val="single" w:color="auto" w:sz="4" w:space="0"/>
                  </w:tcBorders>
                  <w:vAlign w:val="center"/>
                </w:tcPr>
                <w:p>
                  <w:pPr>
                    <w:pStyle w:val="109"/>
                    <w:rPr>
                      <w:color w:val="auto"/>
                    </w:rPr>
                  </w:pPr>
                  <w:r>
                    <w:rPr>
                      <w:rFonts w:hint="eastAsia"/>
                      <w:color w:val="auto"/>
                    </w:rPr>
                    <w:t>标准名称</w:t>
                  </w:r>
                </w:p>
              </w:tc>
              <w:tc>
                <w:tcPr>
                  <w:tcW w:w="1448" w:type="dxa"/>
                  <w:tcBorders>
                    <w:top w:val="single" w:color="auto" w:sz="4" w:space="0"/>
                    <w:left w:val="single" w:color="auto" w:sz="4" w:space="0"/>
                    <w:bottom w:val="double" w:color="auto" w:sz="4" w:space="0"/>
                    <w:right w:val="single" w:color="auto" w:sz="4" w:space="0"/>
                  </w:tcBorders>
                  <w:vAlign w:val="center"/>
                </w:tcPr>
                <w:p>
                  <w:pPr>
                    <w:pStyle w:val="109"/>
                    <w:rPr>
                      <w:color w:val="auto"/>
                    </w:rPr>
                  </w:pPr>
                  <w:r>
                    <w:rPr>
                      <w:rFonts w:hint="eastAsia"/>
                      <w:color w:val="auto"/>
                    </w:rPr>
                    <w:t>浓度限值（</w:t>
                  </w:r>
                  <w:r>
                    <w:rPr>
                      <w:color w:val="auto"/>
                    </w:rPr>
                    <w:t>mg/m</w:t>
                  </w:r>
                  <w:r>
                    <w:rPr>
                      <w:color w:val="auto"/>
                      <w:vertAlign w:val="superscript"/>
                    </w:rPr>
                    <w:t>3</w:t>
                  </w:r>
                  <w:r>
                    <w:rPr>
                      <w:rFonts w:hint="eastAsia"/>
                      <w:color w:val="auto"/>
                    </w:rPr>
                    <w:t>）</w:t>
                  </w:r>
                </w:p>
              </w:tc>
              <w:tc>
                <w:tcPr>
                  <w:tcW w:w="1215" w:type="dxa"/>
                  <w:vMerge w:val="continue"/>
                  <w:tcBorders>
                    <w:top w:val="single" w:color="auto" w:sz="4" w:space="0"/>
                    <w:left w:val="single" w:color="auto" w:sz="4" w:space="0"/>
                    <w:bottom w:val="double" w:color="auto" w:sz="4" w:space="0"/>
                    <w:right w:val="single" w:color="auto" w:sz="12" w:space="0"/>
                  </w:tcBorders>
                  <w:vAlign w:val="center"/>
                </w:tcPr>
                <w:p>
                  <w:pPr>
                    <w:pStyle w:val="109"/>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639" w:type="dxa"/>
                  <w:vMerge w:val="restart"/>
                  <w:tcBorders>
                    <w:top w:val="double" w:color="auto" w:sz="4" w:space="0"/>
                    <w:left w:val="single" w:color="auto" w:sz="12" w:space="0"/>
                    <w:bottom w:val="single" w:color="auto" w:sz="4" w:space="0"/>
                    <w:right w:val="single" w:color="auto" w:sz="4" w:space="0"/>
                  </w:tcBorders>
                  <w:vAlign w:val="center"/>
                </w:tcPr>
                <w:p>
                  <w:pPr>
                    <w:pStyle w:val="109"/>
                    <w:rPr>
                      <w:color w:val="auto"/>
                    </w:rPr>
                  </w:pPr>
                  <w:r>
                    <w:rPr>
                      <w:color w:val="auto"/>
                    </w:rPr>
                    <w:t>1</w:t>
                  </w:r>
                </w:p>
              </w:tc>
              <w:tc>
                <w:tcPr>
                  <w:tcW w:w="804" w:type="dxa"/>
                  <w:vMerge w:val="restart"/>
                  <w:tcBorders>
                    <w:top w:val="double" w:color="auto" w:sz="4" w:space="0"/>
                    <w:left w:val="single" w:color="auto" w:sz="4" w:space="0"/>
                    <w:bottom w:val="single" w:color="auto" w:sz="4" w:space="0"/>
                    <w:right w:val="single" w:color="auto" w:sz="4" w:space="0"/>
                  </w:tcBorders>
                  <w:vAlign w:val="center"/>
                </w:tcPr>
                <w:p>
                  <w:pPr>
                    <w:pStyle w:val="109"/>
                    <w:rPr>
                      <w:color w:val="auto"/>
                    </w:rPr>
                  </w:pPr>
                  <w:r>
                    <w:rPr>
                      <w:color w:val="auto"/>
                    </w:rPr>
                    <w:t>1</w:t>
                  </w:r>
                </w:p>
              </w:tc>
              <w:tc>
                <w:tcPr>
                  <w:tcW w:w="1286" w:type="dxa"/>
                  <w:vMerge w:val="restart"/>
                  <w:tcBorders>
                    <w:top w:val="double" w:color="auto" w:sz="4" w:space="0"/>
                    <w:left w:val="single" w:color="auto" w:sz="4" w:space="0"/>
                    <w:bottom w:val="single" w:color="auto" w:sz="4" w:space="0"/>
                    <w:right w:val="single" w:color="auto" w:sz="4" w:space="0"/>
                  </w:tcBorders>
                  <w:vAlign w:val="center"/>
                </w:tcPr>
                <w:p>
                  <w:pPr>
                    <w:pStyle w:val="109"/>
                    <w:rPr>
                      <w:color w:val="auto"/>
                    </w:rPr>
                  </w:pPr>
                  <w:r>
                    <w:rPr>
                      <w:rFonts w:hint="eastAsia"/>
                      <w:color w:val="auto"/>
                    </w:rPr>
                    <w:t>细格栅、沉砂池</w:t>
                  </w:r>
                </w:p>
              </w:tc>
              <w:tc>
                <w:tcPr>
                  <w:tcW w:w="1288" w:type="dxa"/>
                  <w:tcBorders>
                    <w:top w:val="double" w:color="auto" w:sz="4" w:space="0"/>
                    <w:left w:val="single" w:color="auto" w:sz="4" w:space="0"/>
                    <w:bottom w:val="single" w:color="auto" w:sz="4" w:space="0"/>
                    <w:right w:val="single" w:color="auto" w:sz="4" w:space="0"/>
                  </w:tcBorders>
                  <w:vAlign w:val="center"/>
                </w:tcPr>
                <w:p>
                  <w:pPr>
                    <w:pStyle w:val="109"/>
                    <w:rPr>
                      <w:color w:val="auto"/>
                    </w:rPr>
                  </w:pPr>
                  <w:r>
                    <w:rPr>
                      <w:rFonts w:eastAsia="等线"/>
                      <w:color w:val="auto"/>
                    </w:rPr>
                    <w:t>NH</w:t>
                  </w:r>
                  <w:r>
                    <w:rPr>
                      <w:rFonts w:eastAsia="等线"/>
                      <w:color w:val="auto"/>
                      <w:vertAlign w:val="subscript"/>
                    </w:rPr>
                    <w:t>3</w:t>
                  </w:r>
                </w:p>
              </w:tc>
              <w:tc>
                <w:tcPr>
                  <w:tcW w:w="966" w:type="dxa"/>
                  <w:vMerge w:val="restart"/>
                  <w:tcBorders>
                    <w:top w:val="double" w:color="auto" w:sz="4" w:space="0"/>
                    <w:left w:val="single" w:color="auto" w:sz="4" w:space="0"/>
                    <w:bottom w:val="single" w:color="auto" w:sz="4" w:space="0"/>
                    <w:right w:val="single" w:color="auto" w:sz="4" w:space="0"/>
                  </w:tcBorders>
                  <w:vAlign w:val="center"/>
                </w:tcPr>
                <w:p>
                  <w:pPr>
                    <w:pStyle w:val="109"/>
                    <w:rPr>
                      <w:color w:val="auto"/>
                    </w:rPr>
                  </w:pPr>
                  <w:r>
                    <w:rPr>
                      <w:color w:val="auto"/>
                    </w:rPr>
                    <w:t>/</w:t>
                  </w:r>
                </w:p>
              </w:tc>
              <w:tc>
                <w:tcPr>
                  <w:tcW w:w="1770" w:type="dxa"/>
                  <w:vMerge w:val="restart"/>
                  <w:tcBorders>
                    <w:top w:val="double" w:color="auto" w:sz="4" w:space="0"/>
                    <w:left w:val="single" w:color="auto" w:sz="4" w:space="0"/>
                    <w:bottom w:val="single" w:color="auto" w:sz="4" w:space="0"/>
                    <w:right w:val="single" w:color="auto" w:sz="4" w:space="0"/>
                  </w:tcBorders>
                  <w:vAlign w:val="center"/>
                </w:tcPr>
                <w:p>
                  <w:pPr>
                    <w:pStyle w:val="109"/>
                    <w:rPr>
                      <w:color w:val="auto"/>
                    </w:rPr>
                  </w:pPr>
                  <w:r>
                    <w:rPr>
                      <w:rFonts w:hint="eastAsia"/>
                      <w:color w:val="auto"/>
                    </w:rPr>
                    <w:t>《恶臭污染物排放标准》</w:t>
                  </w:r>
                </w:p>
                <w:p>
                  <w:pPr>
                    <w:pStyle w:val="109"/>
                    <w:rPr>
                      <w:color w:val="auto"/>
                    </w:rPr>
                  </w:pPr>
                  <w:r>
                    <w:rPr>
                      <w:color w:val="auto"/>
                    </w:rPr>
                    <w:t>GB14554-93</w:t>
                  </w:r>
                </w:p>
              </w:tc>
              <w:tc>
                <w:tcPr>
                  <w:tcW w:w="1448" w:type="dxa"/>
                  <w:tcBorders>
                    <w:top w:val="double" w:color="auto" w:sz="4" w:space="0"/>
                    <w:left w:val="single" w:color="auto" w:sz="4" w:space="0"/>
                    <w:bottom w:val="single" w:color="auto" w:sz="4" w:space="0"/>
                    <w:right w:val="single" w:color="auto" w:sz="4" w:space="0"/>
                  </w:tcBorders>
                  <w:vAlign w:val="center"/>
                </w:tcPr>
                <w:p>
                  <w:pPr>
                    <w:pStyle w:val="109"/>
                    <w:rPr>
                      <w:color w:val="auto"/>
                    </w:rPr>
                  </w:pPr>
                  <w:r>
                    <w:rPr>
                      <w:color w:val="auto"/>
                    </w:rPr>
                    <w:t>1.5</w:t>
                  </w:r>
                </w:p>
              </w:tc>
              <w:tc>
                <w:tcPr>
                  <w:tcW w:w="1215" w:type="dxa"/>
                  <w:tcBorders>
                    <w:top w:val="double" w:color="auto" w:sz="4" w:space="0"/>
                    <w:left w:val="single" w:color="auto" w:sz="4" w:space="0"/>
                    <w:bottom w:val="single" w:color="auto" w:sz="4" w:space="0"/>
                    <w:right w:val="single" w:color="auto" w:sz="12" w:space="0"/>
                  </w:tcBorders>
                  <w:vAlign w:val="center"/>
                </w:tcPr>
                <w:p>
                  <w:pPr>
                    <w:pStyle w:val="109"/>
                    <w:rPr>
                      <w:color w:val="auto"/>
                    </w:rPr>
                  </w:pPr>
                  <w:r>
                    <w:rPr>
                      <w:color w:val="auto"/>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9" w:type="dxa"/>
                  <w:vMerge w:val="continue"/>
                  <w:tcBorders>
                    <w:top w:val="single" w:color="auto" w:sz="4" w:space="0"/>
                    <w:left w:val="single" w:color="auto" w:sz="12" w:space="0"/>
                    <w:bottom w:val="single" w:color="auto" w:sz="4" w:space="0"/>
                    <w:right w:val="single" w:color="auto" w:sz="4" w:space="0"/>
                  </w:tcBorders>
                  <w:vAlign w:val="center"/>
                </w:tcPr>
                <w:p>
                  <w:pPr>
                    <w:pStyle w:val="109"/>
                    <w:rPr>
                      <w:color w:val="auto"/>
                    </w:rPr>
                  </w:pPr>
                </w:p>
              </w:tc>
              <w:tc>
                <w:tcPr>
                  <w:tcW w:w="804" w:type="dxa"/>
                  <w:vMerge w:val="continue"/>
                  <w:tcBorders>
                    <w:top w:val="single" w:color="auto" w:sz="4" w:space="0"/>
                    <w:left w:val="single" w:color="auto" w:sz="4" w:space="0"/>
                    <w:bottom w:val="single" w:color="auto" w:sz="4" w:space="0"/>
                    <w:right w:val="single" w:color="auto" w:sz="4" w:space="0"/>
                  </w:tcBorders>
                  <w:vAlign w:val="center"/>
                </w:tcPr>
                <w:p>
                  <w:pPr>
                    <w:pStyle w:val="109"/>
                    <w:rPr>
                      <w:color w:val="auto"/>
                    </w:rPr>
                  </w:pPr>
                </w:p>
              </w:tc>
              <w:tc>
                <w:tcPr>
                  <w:tcW w:w="1286" w:type="dxa"/>
                  <w:vMerge w:val="continue"/>
                  <w:tcBorders>
                    <w:top w:val="single" w:color="auto" w:sz="4" w:space="0"/>
                    <w:left w:val="single" w:color="auto" w:sz="4" w:space="0"/>
                    <w:bottom w:val="single" w:color="auto" w:sz="4" w:space="0"/>
                    <w:right w:val="single" w:color="auto" w:sz="4" w:space="0"/>
                  </w:tcBorders>
                  <w:vAlign w:val="center"/>
                </w:tcPr>
                <w:p>
                  <w:pPr>
                    <w:pStyle w:val="109"/>
                    <w:rPr>
                      <w:color w:val="auto"/>
                    </w:rPr>
                  </w:pPr>
                </w:p>
              </w:tc>
              <w:tc>
                <w:tcPr>
                  <w:tcW w:w="1288" w:type="dxa"/>
                  <w:tcBorders>
                    <w:top w:val="single" w:color="auto" w:sz="4" w:space="0"/>
                    <w:left w:val="single" w:color="auto" w:sz="4" w:space="0"/>
                    <w:bottom w:val="single" w:color="auto" w:sz="4" w:space="0"/>
                    <w:right w:val="single" w:color="auto" w:sz="4" w:space="0"/>
                  </w:tcBorders>
                  <w:vAlign w:val="center"/>
                </w:tcPr>
                <w:p>
                  <w:pPr>
                    <w:pStyle w:val="109"/>
                    <w:rPr>
                      <w:rFonts w:eastAsia="等线"/>
                      <w:color w:val="auto"/>
                    </w:rPr>
                  </w:pPr>
                  <w:r>
                    <w:rPr>
                      <w:color w:val="auto"/>
                    </w:rPr>
                    <w:t>H</w:t>
                  </w:r>
                  <w:r>
                    <w:rPr>
                      <w:color w:val="auto"/>
                      <w:vertAlign w:val="subscript"/>
                    </w:rPr>
                    <w:t>2</w:t>
                  </w:r>
                  <w:r>
                    <w:rPr>
                      <w:color w:val="auto"/>
                    </w:rPr>
                    <w:t>S</w:t>
                  </w:r>
                </w:p>
              </w:tc>
              <w:tc>
                <w:tcPr>
                  <w:tcW w:w="966" w:type="dxa"/>
                  <w:vMerge w:val="continue"/>
                  <w:tcBorders>
                    <w:top w:val="single" w:color="auto" w:sz="4" w:space="0"/>
                    <w:left w:val="single" w:color="auto" w:sz="4" w:space="0"/>
                    <w:bottom w:val="single" w:color="auto" w:sz="4" w:space="0"/>
                    <w:right w:val="single" w:color="auto" w:sz="4" w:space="0"/>
                  </w:tcBorders>
                  <w:vAlign w:val="center"/>
                </w:tcPr>
                <w:p>
                  <w:pPr>
                    <w:pStyle w:val="109"/>
                    <w:rPr>
                      <w:color w:val="auto"/>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pPr>
                    <w:pStyle w:val="109"/>
                    <w:rPr>
                      <w:color w:val="auto"/>
                    </w:rPr>
                  </w:pPr>
                </w:p>
              </w:tc>
              <w:tc>
                <w:tcPr>
                  <w:tcW w:w="1448"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0.06</w:t>
                  </w:r>
                </w:p>
              </w:tc>
              <w:tc>
                <w:tcPr>
                  <w:tcW w:w="1215"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6" w:type="dxa"/>
                  <w:gridSpan w:val="8"/>
                  <w:tcBorders>
                    <w:top w:val="single" w:color="auto" w:sz="4" w:space="0"/>
                    <w:left w:val="single" w:color="auto" w:sz="12" w:space="0"/>
                    <w:bottom w:val="single" w:color="auto" w:sz="4" w:space="0"/>
                    <w:right w:val="single" w:color="auto" w:sz="12" w:space="0"/>
                  </w:tcBorders>
                  <w:vAlign w:val="center"/>
                </w:tcPr>
                <w:p>
                  <w:pPr>
                    <w:pStyle w:val="109"/>
                    <w:rPr>
                      <w:color w:val="auto"/>
                    </w:rPr>
                  </w:pPr>
                  <w:r>
                    <w:rPr>
                      <w:rFonts w:hint="eastAsia"/>
                      <w:color w:val="auto"/>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17" w:type="dxa"/>
                  <w:gridSpan w:val="4"/>
                  <w:vMerge w:val="restart"/>
                  <w:tcBorders>
                    <w:top w:val="single" w:color="auto" w:sz="4" w:space="0"/>
                    <w:left w:val="single" w:color="auto" w:sz="12" w:space="0"/>
                    <w:bottom w:val="single" w:color="auto" w:sz="4" w:space="0"/>
                    <w:right w:val="single" w:color="auto" w:sz="4" w:space="0"/>
                  </w:tcBorders>
                  <w:vAlign w:val="center"/>
                </w:tcPr>
                <w:p>
                  <w:pPr>
                    <w:pStyle w:val="109"/>
                    <w:rPr>
                      <w:color w:val="auto"/>
                    </w:rPr>
                  </w:pPr>
                  <w:r>
                    <w:rPr>
                      <w:rFonts w:hint="eastAsia"/>
                      <w:color w:val="auto"/>
                    </w:rPr>
                    <w:t>无组织排放总计</w:t>
                  </w:r>
                </w:p>
              </w:tc>
              <w:tc>
                <w:tcPr>
                  <w:tcW w:w="2736" w:type="dxa"/>
                  <w:gridSpan w:val="2"/>
                  <w:tcBorders>
                    <w:top w:val="single" w:color="auto" w:sz="4" w:space="0"/>
                    <w:left w:val="single" w:color="auto" w:sz="4" w:space="0"/>
                    <w:bottom w:val="single" w:color="auto" w:sz="4" w:space="0"/>
                    <w:right w:val="single" w:color="auto" w:sz="4" w:space="0"/>
                  </w:tcBorders>
                  <w:vAlign w:val="center"/>
                </w:tcPr>
                <w:p>
                  <w:pPr>
                    <w:pStyle w:val="109"/>
                    <w:rPr>
                      <w:rFonts w:eastAsia="等线"/>
                      <w:color w:val="auto"/>
                    </w:rPr>
                  </w:pPr>
                  <w:r>
                    <w:rPr>
                      <w:rFonts w:eastAsia="等线"/>
                      <w:color w:val="auto"/>
                    </w:rPr>
                    <w:t>NH</w:t>
                  </w:r>
                  <w:r>
                    <w:rPr>
                      <w:rFonts w:eastAsia="等线"/>
                      <w:color w:val="auto"/>
                      <w:vertAlign w:val="subscript"/>
                    </w:rPr>
                    <w:t>3</w:t>
                  </w:r>
                </w:p>
              </w:tc>
              <w:tc>
                <w:tcPr>
                  <w:tcW w:w="2663" w:type="dxa"/>
                  <w:gridSpan w:val="2"/>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17" w:type="dxa"/>
                  <w:gridSpan w:val="4"/>
                  <w:vMerge w:val="continue"/>
                  <w:tcBorders>
                    <w:top w:val="single" w:color="auto" w:sz="4" w:space="0"/>
                    <w:left w:val="single" w:color="auto" w:sz="12" w:space="0"/>
                    <w:bottom w:val="single" w:color="auto" w:sz="12" w:space="0"/>
                    <w:right w:val="single" w:color="auto" w:sz="4" w:space="0"/>
                  </w:tcBorders>
                  <w:vAlign w:val="center"/>
                </w:tcPr>
                <w:p>
                  <w:pPr>
                    <w:pStyle w:val="109"/>
                    <w:rPr>
                      <w:color w:val="auto"/>
                    </w:rPr>
                  </w:pPr>
                </w:p>
              </w:tc>
              <w:tc>
                <w:tcPr>
                  <w:tcW w:w="2736" w:type="dxa"/>
                  <w:gridSpan w:val="2"/>
                  <w:tcBorders>
                    <w:top w:val="single" w:color="auto" w:sz="4" w:space="0"/>
                    <w:left w:val="single" w:color="auto" w:sz="4" w:space="0"/>
                    <w:bottom w:val="single" w:color="auto" w:sz="12" w:space="0"/>
                    <w:right w:val="single" w:color="auto" w:sz="4" w:space="0"/>
                  </w:tcBorders>
                  <w:vAlign w:val="center"/>
                </w:tcPr>
                <w:p>
                  <w:pPr>
                    <w:pStyle w:val="109"/>
                    <w:rPr>
                      <w:rFonts w:eastAsia="等线"/>
                      <w:color w:val="auto"/>
                    </w:rPr>
                  </w:pPr>
                  <w:r>
                    <w:rPr>
                      <w:color w:val="auto"/>
                    </w:rPr>
                    <w:t>H</w:t>
                  </w:r>
                  <w:r>
                    <w:rPr>
                      <w:color w:val="auto"/>
                      <w:vertAlign w:val="subscript"/>
                    </w:rPr>
                    <w:t>2</w:t>
                  </w:r>
                  <w:r>
                    <w:rPr>
                      <w:color w:val="auto"/>
                    </w:rPr>
                    <w:t>S</w:t>
                  </w:r>
                </w:p>
              </w:tc>
              <w:tc>
                <w:tcPr>
                  <w:tcW w:w="2663" w:type="dxa"/>
                  <w:gridSpan w:val="2"/>
                  <w:tcBorders>
                    <w:top w:val="single" w:color="auto" w:sz="4" w:space="0"/>
                    <w:left w:val="single" w:color="auto" w:sz="4" w:space="0"/>
                    <w:bottom w:val="single" w:color="auto" w:sz="12" w:space="0"/>
                    <w:right w:val="single" w:color="auto" w:sz="12" w:space="0"/>
                  </w:tcBorders>
                  <w:vAlign w:val="center"/>
                </w:tcPr>
                <w:p>
                  <w:pPr>
                    <w:pStyle w:val="109"/>
                    <w:rPr>
                      <w:color w:val="auto"/>
                    </w:rPr>
                  </w:pPr>
                  <w:r>
                    <w:rPr>
                      <w:color w:val="auto"/>
                    </w:rPr>
                    <w:t>0.003</w:t>
                  </w:r>
                </w:p>
              </w:tc>
            </w:tr>
          </w:tbl>
          <w:p>
            <w:pPr>
              <w:spacing w:line="360" w:lineRule="auto"/>
              <w:ind w:firstLine="480" w:firstLineChars="200"/>
              <w:rPr>
                <w:rFonts w:ascii="Times New Roman" w:hAnsi="Times New Roman"/>
                <w:sz w:val="24"/>
              </w:rPr>
            </w:pPr>
            <w:r>
              <w:rPr>
                <w:rFonts w:ascii="Times New Roman" w:hAnsi="Times New Roman"/>
                <w:sz w:val="24"/>
              </w:rPr>
              <w:t>3</w:t>
            </w:r>
            <w:r>
              <w:rPr>
                <w:rFonts w:hint="eastAsia" w:ascii="Times New Roman" w:hAnsi="Times New Roman"/>
                <w:sz w:val="24"/>
              </w:rPr>
              <w:t>、大气环境防护距离设置</w:t>
            </w:r>
          </w:p>
          <w:p>
            <w:pPr>
              <w:pStyle w:val="114"/>
            </w:pPr>
            <w:r>
              <w:rPr>
                <w:rFonts w:hint="eastAsia"/>
              </w:rPr>
              <w:t>本项目采用推荐模式中的大气环境防护距离模式计算无组织源的大气环境防护距离，根据环境保护部环境工程评估中心环境质量模拟重点实验室发布的大气环境防护距离计算模式软件计算，计算参数和结果见表</w:t>
            </w:r>
            <w:r>
              <w:t>6-8</w:t>
            </w:r>
            <w:r>
              <w:rPr>
                <w:rFonts w:hint="eastAsia"/>
              </w:rPr>
              <w:t>。</w:t>
            </w:r>
          </w:p>
          <w:p>
            <w:pPr>
              <w:suppressAutoHyphens/>
              <w:spacing w:line="240" w:lineRule="atLeast"/>
              <w:jc w:val="center"/>
              <w:rPr>
                <w:rFonts w:ascii="Times New Roman" w:hAnsi="Times New Roman"/>
                <w:sz w:val="24"/>
              </w:rPr>
            </w:pPr>
            <w:r>
              <w:rPr>
                <w:rFonts w:hint="eastAsia" w:ascii="Times New Roman" w:hAnsi="宋体"/>
                <w:b/>
                <w:bCs/>
                <w:sz w:val="24"/>
                <w:szCs w:val="20"/>
              </w:rPr>
              <w:t>表</w:t>
            </w:r>
            <w:r>
              <w:rPr>
                <w:rFonts w:ascii="Times New Roman" w:hAnsi="Times New Roman"/>
                <w:b/>
                <w:bCs/>
                <w:sz w:val="24"/>
                <w:szCs w:val="20"/>
              </w:rPr>
              <w:t xml:space="preserve">6-8 </w:t>
            </w:r>
            <w:r>
              <w:rPr>
                <w:rFonts w:hint="eastAsia" w:ascii="Times New Roman" w:hAnsi="宋体"/>
                <w:b/>
                <w:bCs/>
                <w:sz w:val="24"/>
                <w:szCs w:val="20"/>
              </w:rPr>
              <w:t>项目大气环境防护距离一览表</w:t>
            </w:r>
          </w:p>
          <w:tbl>
            <w:tblPr>
              <w:tblStyle w:val="37"/>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450"/>
              <w:gridCol w:w="1507"/>
              <w:gridCol w:w="1269"/>
              <w:gridCol w:w="1163"/>
              <w:gridCol w:w="1165"/>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9" w:hRule="atLeast"/>
                <w:jc w:val="center"/>
              </w:trPr>
              <w:tc>
                <w:tcPr>
                  <w:tcW w:w="1187" w:type="dxa"/>
                  <w:vMerge w:val="restart"/>
                  <w:tcBorders>
                    <w:top w:val="single" w:color="auto" w:sz="12" w:space="0"/>
                    <w:left w:val="single" w:color="auto" w:sz="12" w:space="0"/>
                    <w:bottom w:val="sing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r>
                    <w:rPr>
                      <w:rFonts w:hint="eastAsia" w:ascii="Times New Roman" w:hAnsi="Times New Roman"/>
                      <w:kern w:val="0"/>
                      <w:szCs w:val="21"/>
                    </w:rPr>
                    <w:t>名称</w:t>
                  </w:r>
                </w:p>
              </w:tc>
              <w:tc>
                <w:tcPr>
                  <w:tcW w:w="1450" w:type="dxa"/>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r>
                    <w:rPr>
                      <w:rFonts w:hint="eastAsia" w:ascii="Times New Roman" w:hAnsi="Times New Roman"/>
                      <w:kern w:val="0"/>
                      <w:szCs w:val="21"/>
                    </w:rPr>
                    <w:t>污染物</w:t>
                  </w:r>
                </w:p>
              </w:tc>
              <w:tc>
                <w:tcPr>
                  <w:tcW w:w="1507" w:type="dxa"/>
                  <w:vMerge w:val="restart"/>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r>
                    <w:rPr>
                      <w:rFonts w:hint="eastAsia" w:ascii="Times New Roman" w:hAnsi="Times New Roman"/>
                      <w:kern w:val="0"/>
                      <w:szCs w:val="21"/>
                    </w:rPr>
                    <w:t>无组织排</w:t>
                  </w:r>
                </w:p>
                <w:p>
                  <w:pPr>
                    <w:adjustRightInd w:val="0"/>
                    <w:snapToGrid w:val="0"/>
                    <w:spacing w:line="240" w:lineRule="atLeast"/>
                    <w:jc w:val="center"/>
                    <w:textAlignment w:val="baseline"/>
                    <w:rPr>
                      <w:rFonts w:ascii="Times New Roman" w:hAnsi="Times New Roman"/>
                      <w:kern w:val="0"/>
                      <w:szCs w:val="21"/>
                    </w:rPr>
                  </w:pPr>
                  <w:r>
                    <w:rPr>
                      <w:rFonts w:hint="eastAsia" w:ascii="Times New Roman" w:hAnsi="Times New Roman"/>
                      <w:kern w:val="0"/>
                      <w:szCs w:val="21"/>
                    </w:rPr>
                    <w:t>放速率（</w:t>
                  </w:r>
                  <w:r>
                    <w:rPr>
                      <w:rFonts w:ascii="Times New Roman" w:hAnsi="Times New Roman"/>
                      <w:kern w:val="0"/>
                      <w:szCs w:val="21"/>
                    </w:rPr>
                    <w:t>kg/h</w:t>
                  </w:r>
                  <w:r>
                    <w:rPr>
                      <w:rFonts w:hint="eastAsia" w:ascii="Times New Roman" w:hAnsi="Times New Roman"/>
                      <w:kern w:val="0"/>
                      <w:szCs w:val="21"/>
                    </w:rPr>
                    <w:t>）</w:t>
                  </w:r>
                </w:p>
              </w:tc>
              <w:tc>
                <w:tcPr>
                  <w:tcW w:w="3597" w:type="dxa"/>
                  <w:gridSpan w:val="3"/>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r>
                    <w:rPr>
                      <w:rFonts w:hint="eastAsia" w:ascii="Times New Roman" w:hAnsi="Times New Roman"/>
                      <w:kern w:val="0"/>
                      <w:szCs w:val="21"/>
                    </w:rPr>
                    <w:t>面源有关参数</w:t>
                  </w:r>
                </w:p>
              </w:tc>
              <w:tc>
                <w:tcPr>
                  <w:tcW w:w="1545" w:type="dxa"/>
                  <w:vMerge w:val="restart"/>
                  <w:tcBorders>
                    <w:top w:val="single" w:color="auto" w:sz="12" w:space="0"/>
                    <w:left w:val="single" w:color="auto" w:sz="4" w:space="0"/>
                    <w:bottom w:val="single" w:color="auto" w:sz="4" w:space="0"/>
                    <w:right w:val="single" w:color="auto" w:sz="12" w:space="0"/>
                  </w:tcBorders>
                  <w:vAlign w:val="center"/>
                </w:tcPr>
                <w:p>
                  <w:pPr>
                    <w:adjustRightInd w:val="0"/>
                    <w:snapToGrid w:val="0"/>
                    <w:spacing w:line="240" w:lineRule="atLeast"/>
                    <w:jc w:val="center"/>
                    <w:textAlignment w:val="baseline"/>
                    <w:rPr>
                      <w:rFonts w:ascii="Times New Roman" w:hAnsi="Times New Roman"/>
                      <w:kern w:val="0"/>
                      <w:szCs w:val="21"/>
                    </w:rPr>
                  </w:pPr>
                  <w:r>
                    <w:rPr>
                      <w:rFonts w:hint="eastAsia" w:ascii="Times New Roman" w:hAnsi="Times New Roman"/>
                      <w:kern w:val="0"/>
                      <w:szCs w:val="21"/>
                    </w:rPr>
                    <w:t>大气环境防护距离（</w:t>
                  </w:r>
                  <w:r>
                    <w:rPr>
                      <w:rFonts w:ascii="Times New Roman" w:hAnsi="Times New Roman"/>
                      <w:kern w:val="0"/>
                      <w:szCs w:val="21"/>
                    </w:rPr>
                    <w:t>m</w:t>
                  </w:r>
                  <w:r>
                    <w:rPr>
                      <w:rFonts w:hint="eastAsia" w:ascii="Times New Roman" w:hAnsi="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 w:hRule="atLeast"/>
                <w:jc w:val="center"/>
              </w:trPr>
              <w:tc>
                <w:tcPr>
                  <w:tcW w:w="1187" w:type="dxa"/>
                  <w:vMerge w:val="continue"/>
                  <w:tcBorders>
                    <w:top w:val="single" w:color="auto" w:sz="4" w:space="0"/>
                    <w:left w:val="single" w:color="auto" w:sz="12" w:space="0"/>
                    <w:bottom w:val="doub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p>
              </w:tc>
              <w:tc>
                <w:tcPr>
                  <w:tcW w:w="1450" w:type="dxa"/>
                  <w:vMerge w:val="continue"/>
                  <w:tcBorders>
                    <w:top w:val="single" w:color="auto" w:sz="4" w:space="0"/>
                    <w:left w:val="single" w:color="auto" w:sz="4" w:space="0"/>
                    <w:bottom w:val="doub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p>
              </w:tc>
              <w:tc>
                <w:tcPr>
                  <w:tcW w:w="1507" w:type="dxa"/>
                  <w:vMerge w:val="continue"/>
                  <w:tcBorders>
                    <w:top w:val="single" w:color="auto" w:sz="4" w:space="0"/>
                    <w:left w:val="single" w:color="auto" w:sz="4" w:space="0"/>
                    <w:bottom w:val="doub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p>
              </w:tc>
              <w:tc>
                <w:tcPr>
                  <w:tcW w:w="1269" w:type="dxa"/>
                  <w:tcBorders>
                    <w:top w:val="single" w:color="auto" w:sz="4" w:space="0"/>
                    <w:left w:val="single" w:color="auto" w:sz="4" w:space="0"/>
                    <w:bottom w:val="doub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r>
                    <w:rPr>
                      <w:rFonts w:hint="eastAsia" w:ascii="Times New Roman" w:hAnsi="Times New Roman"/>
                      <w:kern w:val="0"/>
                      <w:szCs w:val="21"/>
                    </w:rPr>
                    <w:t>有效高度（</w:t>
                  </w:r>
                  <w:r>
                    <w:rPr>
                      <w:rFonts w:ascii="Times New Roman" w:hAnsi="Times New Roman"/>
                      <w:kern w:val="0"/>
                      <w:szCs w:val="21"/>
                    </w:rPr>
                    <w:t>m</w:t>
                  </w:r>
                  <w:r>
                    <w:rPr>
                      <w:rFonts w:hint="eastAsia" w:ascii="Times New Roman" w:hAnsi="Times New Roman"/>
                      <w:kern w:val="0"/>
                      <w:szCs w:val="21"/>
                    </w:rPr>
                    <w:t>）</w:t>
                  </w:r>
                </w:p>
              </w:tc>
              <w:tc>
                <w:tcPr>
                  <w:tcW w:w="1163" w:type="dxa"/>
                  <w:tcBorders>
                    <w:top w:val="single" w:color="auto" w:sz="4" w:space="0"/>
                    <w:left w:val="single" w:color="auto" w:sz="4" w:space="0"/>
                    <w:bottom w:val="doub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r>
                    <w:rPr>
                      <w:rFonts w:hint="eastAsia" w:ascii="Times New Roman" w:hAnsi="Times New Roman"/>
                      <w:kern w:val="0"/>
                      <w:szCs w:val="21"/>
                    </w:rPr>
                    <w:t>宽度（</w:t>
                  </w:r>
                  <w:r>
                    <w:rPr>
                      <w:rFonts w:ascii="Times New Roman" w:hAnsi="Times New Roman"/>
                      <w:kern w:val="0"/>
                      <w:szCs w:val="21"/>
                    </w:rPr>
                    <w:t>m</w:t>
                  </w:r>
                  <w:r>
                    <w:rPr>
                      <w:rFonts w:hint="eastAsia" w:ascii="Times New Roman" w:hAnsi="Times New Roman"/>
                      <w:kern w:val="0"/>
                      <w:szCs w:val="21"/>
                    </w:rPr>
                    <w:t>）</w:t>
                  </w:r>
                </w:p>
              </w:tc>
              <w:tc>
                <w:tcPr>
                  <w:tcW w:w="1165" w:type="dxa"/>
                  <w:tcBorders>
                    <w:top w:val="single" w:color="auto" w:sz="4" w:space="0"/>
                    <w:left w:val="single" w:color="auto" w:sz="4" w:space="0"/>
                    <w:bottom w:val="doub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kern w:val="0"/>
                      <w:szCs w:val="21"/>
                    </w:rPr>
                  </w:pPr>
                  <w:r>
                    <w:rPr>
                      <w:rFonts w:hint="eastAsia" w:ascii="Times New Roman" w:hAnsi="Times New Roman"/>
                      <w:kern w:val="0"/>
                      <w:szCs w:val="21"/>
                    </w:rPr>
                    <w:t>长度（</w:t>
                  </w:r>
                  <w:r>
                    <w:rPr>
                      <w:rFonts w:ascii="Times New Roman" w:hAnsi="Times New Roman"/>
                      <w:kern w:val="0"/>
                      <w:szCs w:val="21"/>
                    </w:rPr>
                    <w:t>m</w:t>
                  </w:r>
                  <w:r>
                    <w:rPr>
                      <w:rFonts w:hint="eastAsia" w:ascii="Times New Roman" w:hAnsi="Times New Roman"/>
                      <w:kern w:val="0"/>
                      <w:szCs w:val="21"/>
                    </w:rPr>
                    <w:t>）</w:t>
                  </w:r>
                </w:p>
              </w:tc>
              <w:tc>
                <w:tcPr>
                  <w:tcW w:w="1545" w:type="dxa"/>
                  <w:vMerge w:val="continue"/>
                  <w:tcBorders>
                    <w:top w:val="single" w:color="auto" w:sz="4" w:space="0"/>
                    <w:left w:val="single" w:color="auto" w:sz="4" w:space="0"/>
                    <w:bottom w:val="double" w:color="auto" w:sz="4" w:space="0"/>
                    <w:right w:val="single" w:color="auto" w:sz="12" w:space="0"/>
                  </w:tcBorders>
                  <w:vAlign w:val="center"/>
                </w:tcPr>
                <w:p>
                  <w:pPr>
                    <w:adjustRightInd w:val="0"/>
                    <w:snapToGrid w:val="0"/>
                    <w:spacing w:line="240" w:lineRule="atLeast"/>
                    <w:jc w:val="center"/>
                    <w:textAlignment w:val="baseline"/>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4" w:hRule="atLeast"/>
                <w:jc w:val="center"/>
              </w:trPr>
              <w:tc>
                <w:tcPr>
                  <w:tcW w:w="1187" w:type="dxa"/>
                  <w:vMerge w:val="restart"/>
                  <w:tcBorders>
                    <w:top w:val="double" w:color="auto" w:sz="4" w:space="0"/>
                    <w:left w:val="single" w:color="auto" w:sz="12" w:space="0"/>
                    <w:bottom w:val="single" w:color="auto" w:sz="4" w:space="0"/>
                    <w:right w:val="single" w:color="auto" w:sz="4" w:space="0"/>
                  </w:tcBorders>
                  <w:vAlign w:val="center"/>
                </w:tcPr>
                <w:p>
                  <w:pPr>
                    <w:spacing w:line="240" w:lineRule="atLeast"/>
                    <w:jc w:val="center"/>
                    <w:rPr>
                      <w:rFonts w:ascii="Times New Roman" w:hAnsi="Times New Roman"/>
                      <w:szCs w:val="21"/>
                    </w:rPr>
                  </w:pPr>
                  <w:r>
                    <w:rPr>
                      <w:rFonts w:hint="eastAsia" w:ascii="Times New Roman" w:hAnsi="Times New Roman"/>
                      <w:szCs w:val="21"/>
                    </w:rPr>
                    <w:t>细格栅、沉砂池</w:t>
                  </w:r>
                </w:p>
              </w:tc>
              <w:tc>
                <w:tcPr>
                  <w:tcW w:w="1450" w:type="dxa"/>
                  <w:tcBorders>
                    <w:top w:val="doub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NH</w:t>
                  </w:r>
                  <w:r>
                    <w:rPr>
                      <w:rFonts w:ascii="Times New Roman" w:hAnsi="Times New Roman"/>
                      <w:szCs w:val="21"/>
                      <w:vertAlign w:val="subscript"/>
                    </w:rPr>
                    <w:t>3</w:t>
                  </w:r>
                </w:p>
              </w:tc>
              <w:tc>
                <w:tcPr>
                  <w:tcW w:w="1507" w:type="dxa"/>
                  <w:tcBorders>
                    <w:top w:val="doub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napToGrid w:val="0"/>
                      <w:kern w:val="0"/>
                      <w:szCs w:val="21"/>
                    </w:rPr>
                    <w:t>0.0054</w:t>
                  </w:r>
                </w:p>
              </w:tc>
              <w:tc>
                <w:tcPr>
                  <w:tcW w:w="1269" w:type="dxa"/>
                  <w:tcBorders>
                    <w:top w:val="doub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szCs w:val="21"/>
                    </w:rPr>
                  </w:pPr>
                  <w:r>
                    <w:rPr>
                      <w:rFonts w:ascii="Times New Roman" w:hAnsi="Times New Roman"/>
                      <w:szCs w:val="21"/>
                    </w:rPr>
                    <w:t>10</w:t>
                  </w:r>
                </w:p>
              </w:tc>
              <w:tc>
                <w:tcPr>
                  <w:tcW w:w="1163" w:type="dxa"/>
                  <w:vMerge w:val="restart"/>
                  <w:tcBorders>
                    <w:top w:val="doub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szCs w:val="21"/>
                    </w:rPr>
                  </w:pPr>
                  <w:r>
                    <w:rPr>
                      <w:rFonts w:ascii="Times New Roman" w:hAnsi="Times New Roman"/>
                      <w:szCs w:val="21"/>
                    </w:rPr>
                    <w:t>80</w:t>
                  </w:r>
                </w:p>
              </w:tc>
              <w:tc>
                <w:tcPr>
                  <w:tcW w:w="1165" w:type="dxa"/>
                  <w:vMerge w:val="restart"/>
                  <w:tcBorders>
                    <w:top w:val="doub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textAlignment w:val="baseline"/>
                    <w:rPr>
                      <w:rFonts w:ascii="Times New Roman" w:hAnsi="Times New Roman"/>
                      <w:szCs w:val="21"/>
                    </w:rPr>
                  </w:pPr>
                  <w:r>
                    <w:rPr>
                      <w:rFonts w:ascii="Times New Roman" w:hAnsi="Times New Roman"/>
                      <w:szCs w:val="21"/>
                    </w:rPr>
                    <w:t>105</w:t>
                  </w:r>
                </w:p>
              </w:tc>
              <w:tc>
                <w:tcPr>
                  <w:tcW w:w="1545" w:type="dxa"/>
                  <w:tcBorders>
                    <w:top w:val="double" w:color="auto" w:sz="4" w:space="0"/>
                    <w:left w:val="single" w:color="auto" w:sz="4" w:space="0"/>
                    <w:bottom w:val="single" w:color="auto" w:sz="4" w:space="0"/>
                    <w:right w:val="single" w:color="auto" w:sz="12" w:space="0"/>
                  </w:tcBorders>
                  <w:vAlign w:val="center"/>
                </w:tcPr>
                <w:p>
                  <w:pPr>
                    <w:adjustRightInd w:val="0"/>
                    <w:snapToGrid w:val="0"/>
                    <w:spacing w:line="240" w:lineRule="atLeast"/>
                    <w:jc w:val="center"/>
                    <w:textAlignment w:val="baseline"/>
                    <w:rPr>
                      <w:rFonts w:ascii="Times New Roman" w:hAnsi="Times New Roman"/>
                      <w:szCs w:val="21"/>
                    </w:rPr>
                  </w:pPr>
                  <w:r>
                    <w:rPr>
                      <w:rFonts w:hint="eastAsia" w:ascii="Times New Roman" w:hAnsi="Times New Roman"/>
                      <w:szCs w:val="21"/>
                    </w:rPr>
                    <w:t>无超标点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187" w:type="dxa"/>
                  <w:vMerge w:val="continue"/>
                  <w:tcBorders>
                    <w:top w:val="single" w:color="auto" w:sz="4" w:space="0"/>
                    <w:left w:val="single" w:color="auto" w:sz="12" w:space="0"/>
                    <w:bottom w:val="single" w:color="auto" w:sz="12" w:space="0"/>
                    <w:right w:val="single" w:color="auto" w:sz="4" w:space="0"/>
                  </w:tcBorders>
                  <w:vAlign w:val="center"/>
                </w:tcPr>
                <w:p>
                  <w:pPr>
                    <w:spacing w:line="240" w:lineRule="atLeast"/>
                    <w:jc w:val="center"/>
                    <w:rPr>
                      <w:rFonts w:ascii="Times New Roman" w:hAnsi="Times New Roman"/>
                      <w:szCs w:val="21"/>
                    </w:rPr>
                  </w:pPr>
                </w:p>
              </w:tc>
              <w:tc>
                <w:tcPr>
                  <w:tcW w:w="1450"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H</w:t>
                  </w:r>
                  <w:r>
                    <w:rPr>
                      <w:rFonts w:ascii="Times New Roman" w:hAnsi="Times New Roman"/>
                      <w:szCs w:val="21"/>
                      <w:vertAlign w:val="subscript"/>
                    </w:rPr>
                    <w:t>2</w:t>
                  </w:r>
                  <w:r>
                    <w:rPr>
                      <w:rFonts w:ascii="Times New Roman" w:hAnsi="Times New Roman"/>
                      <w:szCs w:val="21"/>
                    </w:rPr>
                    <w:t>S</w:t>
                  </w:r>
                </w:p>
              </w:tc>
              <w:tc>
                <w:tcPr>
                  <w:tcW w:w="1507"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tLeast"/>
                    <w:jc w:val="center"/>
                    <w:rPr>
                      <w:rFonts w:ascii="Times New Roman" w:hAnsi="Times New Roman"/>
                      <w:szCs w:val="21"/>
                    </w:rPr>
                  </w:pPr>
                  <w:r>
                    <w:rPr>
                      <w:rFonts w:ascii="Times New Roman" w:hAnsi="Times New Roman"/>
                      <w:bCs/>
                      <w:snapToGrid w:val="0"/>
                      <w:kern w:val="0"/>
                      <w:szCs w:val="21"/>
                    </w:rPr>
                    <w:t>0.00034</w:t>
                  </w:r>
                </w:p>
              </w:tc>
              <w:tc>
                <w:tcPr>
                  <w:tcW w:w="1269"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tLeast"/>
                    <w:jc w:val="center"/>
                    <w:textAlignment w:val="baseline"/>
                    <w:rPr>
                      <w:rFonts w:ascii="Times New Roman" w:hAnsi="Times New Roman"/>
                      <w:szCs w:val="21"/>
                    </w:rPr>
                  </w:pPr>
                  <w:r>
                    <w:rPr>
                      <w:rFonts w:ascii="Times New Roman" w:hAnsi="Times New Roman"/>
                      <w:szCs w:val="21"/>
                    </w:rPr>
                    <w:t>10</w:t>
                  </w:r>
                </w:p>
              </w:tc>
              <w:tc>
                <w:tcPr>
                  <w:tcW w:w="1163" w:type="dxa"/>
                  <w:vMerge w:val="continue"/>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tLeast"/>
                    <w:jc w:val="center"/>
                    <w:textAlignment w:val="baseline"/>
                    <w:rPr>
                      <w:rFonts w:ascii="Times New Roman" w:hAnsi="Times New Roman"/>
                      <w:szCs w:val="21"/>
                    </w:rPr>
                  </w:pPr>
                </w:p>
              </w:tc>
              <w:tc>
                <w:tcPr>
                  <w:tcW w:w="1165" w:type="dxa"/>
                  <w:vMerge w:val="continue"/>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tLeast"/>
                    <w:jc w:val="center"/>
                    <w:textAlignment w:val="baseline"/>
                    <w:rPr>
                      <w:rFonts w:ascii="Times New Roman" w:hAnsi="Times New Roman"/>
                      <w:szCs w:val="21"/>
                    </w:rPr>
                  </w:pPr>
                </w:p>
              </w:tc>
              <w:tc>
                <w:tcPr>
                  <w:tcW w:w="1545" w:type="dxa"/>
                  <w:tcBorders>
                    <w:top w:val="single" w:color="auto" w:sz="4" w:space="0"/>
                    <w:left w:val="single" w:color="auto" w:sz="4" w:space="0"/>
                    <w:bottom w:val="single" w:color="auto" w:sz="12" w:space="0"/>
                    <w:right w:val="single" w:color="auto" w:sz="12" w:space="0"/>
                  </w:tcBorders>
                  <w:vAlign w:val="center"/>
                </w:tcPr>
                <w:p>
                  <w:pPr>
                    <w:pStyle w:val="21"/>
                    <w:adjustRightInd w:val="0"/>
                    <w:snapToGrid w:val="0"/>
                    <w:spacing w:line="240" w:lineRule="atLeast"/>
                    <w:ind w:firstLine="0"/>
                    <w:jc w:val="center"/>
                    <w:rPr>
                      <w:rFonts w:ascii="Times New Roman" w:hAnsi="Times New Roman"/>
                      <w:sz w:val="21"/>
                      <w:szCs w:val="21"/>
                    </w:rPr>
                  </w:pPr>
                  <w:r>
                    <w:rPr>
                      <w:rFonts w:hint="eastAsia" w:ascii="Times New Roman" w:hAnsi="Times New Roman"/>
                      <w:sz w:val="21"/>
                      <w:szCs w:val="21"/>
                    </w:rPr>
                    <w:t>无超标点</w:t>
                  </w:r>
                </w:p>
              </w:tc>
            </w:tr>
          </w:tbl>
          <w:p>
            <w:pPr>
              <w:pStyle w:val="114"/>
            </w:pPr>
            <w:r>
              <w:rPr>
                <w:rFonts w:hint="eastAsia" w:hAnsi="宋体"/>
              </w:rPr>
              <w:t>根据软件预测结果，本项目厂界范围内无超标点，即在本项目厂界处，各污染物浓度不仅满</w:t>
            </w:r>
            <w:r>
              <w:rPr>
                <w:rFonts w:hint="eastAsia"/>
              </w:rPr>
              <w:t>足无组织排放厂界浓度要求，同时也达到其质量标准要求，故本项目无须设置大气环境防护距离。</w:t>
            </w:r>
          </w:p>
          <w:p>
            <w:pPr>
              <w:pStyle w:val="114"/>
            </w:pPr>
            <w:r>
              <w:t>4</w:t>
            </w:r>
            <w:r>
              <w:rPr>
                <w:rFonts w:hint="eastAsia"/>
              </w:rPr>
              <w:t>、卫生防护距离</w:t>
            </w:r>
          </w:p>
          <w:p>
            <w:pPr>
              <w:pStyle w:val="114"/>
              <w:rPr>
                <w:rStyle w:val="36"/>
                <w:sz w:val="24"/>
                <w:szCs w:val="24"/>
              </w:rPr>
            </w:pPr>
            <w:r>
              <w:rPr>
                <w:rStyle w:val="36"/>
                <w:rFonts w:hint="eastAsia"/>
                <w:sz w:val="24"/>
                <w:szCs w:val="24"/>
              </w:rPr>
              <w:t>根据《制定地方大气污染物排放标准的技术方法》（</w:t>
            </w:r>
            <w:r>
              <w:rPr>
                <w:rStyle w:val="36"/>
                <w:sz w:val="24"/>
                <w:szCs w:val="24"/>
              </w:rPr>
              <w:t>GB/T13201-91</w:t>
            </w:r>
            <w:r>
              <w:rPr>
                <w:rStyle w:val="36"/>
                <w:rFonts w:hint="eastAsia"/>
                <w:sz w:val="24"/>
                <w:szCs w:val="24"/>
              </w:rPr>
              <w:t>）的有关规定，本项目要确定无组织排放源的卫生防护距离，可由下式计算：</w:t>
            </w:r>
          </w:p>
          <w:p>
            <w:pPr>
              <w:pStyle w:val="2"/>
              <w:spacing w:line="360" w:lineRule="auto"/>
              <w:ind w:firstLine="480" w:firstLineChars="200"/>
              <w:jc w:val="center"/>
              <w:rPr>
                <w:rStyle w:val="36"/>
                <w:sz w:val="24"/>
                <w:szCs w:val="24"/>
                <w:vertAlign w:val="superscript"/>
              </w:rPr>
            </w:pPr>
            <w:r>
              <w:rPr>
                <w:rStyle w:val="36"/>
                <w:sz w:val="24"/>
                <w:szCs w:val="24"/>
              </w:rPr>
              <w:t>Q</w:t>
            </w:r>
            <w:r>
              <w:rPr>
                <w:rStyle w:val="36"/>
                <w:sz w:val="24"/>
                <w:szCs w:val="24"/>
                <w:vertAlign w:val="subscript"/>
              </w:rPr>
              <w:t>C</w:t>
            </w:r>
            <w:r>
              <w:rPr>
                <w:rStyle w:val="36"/>
                <w:sz w:val="24"/>
                <w:szCs w:val="24"/>
              </w:rPr>
              <w:t>/C</w:t>
            </w:r>
            <w:r>
              <w:rPr>
                <w:rStyle w:val="36"/>
                <w:sz w:val="24"/>
                <w:szCs w:val="24"/>
                <w:vertAlign w:val="subscript"/>
              </w:rPr>
              <w:t>M</w:t>
            </w:r>
            <w:r>
              <w:rPr>
                <w:rStyle w:val="36"/>
                <w:sz w:val="24"/>
                <w:szCs w:val="24"/>
              </w:rPr>
              <w:t>=1/A</w:t>
            </w:r>
            <w:r>
              <w:rPr>
                <w:rStyle w:val="36"/>
                <w:rFonts w:hint="eastAsia"/>
                <w:sz w:val="24"/>
                <w:szCs w:val="24"/>
              </w:rPr>
              <w:t>（</w:t>
            </w:r>
            <w:r>
              <w:rPr>
                <w:rStyle w:val="36"/>
                <w:sz w:val="24"/>
                <w:szCs w:val="24"/>
              </w:rPr>
              <w:t>BL</w:t>
            </w:r>
            <w:r>
              <w:rPr>
                <w:rStyle w:val="36"/>
                <w:sz w:val="24"/>
                <w:szCs w:val="24"/>
                <w:vertAlign w:val="superscript"/>
              </w:rPr>
              <w:t>C</w:t>
            </w:r>
            <w:r>
              <w:rPr>
                <w:rStyle w:val="36"/>
                <w:sz w:val="24"/>
                <w:szCs w:val="24"/>
              </w:rPr>
              <w:t>+0.25r</w:t>
            </w:r>
            <w:r>
              <w:rPr>
                <w:rStyle w:val="36"/>
                <w:sz w:val="24"/>
                <w:szCs w:val="24"/>
                <w:vertAlign w:val="superscript"/>
              </w:rPr>
              <w:t>2</w:t>
            </w:r>
            <w:r>
              <w:rPr>
                <w:rStyle w:val="36"/>
                <w:rFonts w:hint="eastAsia"/>
                <w:sz w:val="24"/>
                <w:szCs w:val="24"/>
              </w:rPr>
              <w:t>）</w:t>
            </w:r>
            <w:r>
              <w:rPr>
                <w:rStyle w:val="36"/>
                <w:sz w:val="24"/>
                <w:szCs w:val="24"/>
                <w:vertAlign w:val="superscript"/>
              </w:rPr>
              <w:t>0.50</w:t>
            </w:r>
            <w:r>
              <w:rPr>
                <w:rStyle w:val="36"/>
                <w:sz w:val="24"/>
                <w:szCs w:val="24"/>
              </w:rPr>
              <w:t>L</w:t>
            </w:r>
            <w:r>
              <w:rPr>
                <w:rStyle w:val="36"/>
                <w:sz w:val="24"/>
                <w:szCs w:val="24"/>
                <w:vertAlign w:val="superscript"/>
              </w:rPr>
              <w:t>D</w:t>
            </w:r>
          </w:p>
          <w:p>
            <w:pPr>
              <w:pStyle w:val="2"/>
              <w:spacing w:line="360" w:lineRule="auto"/>
              <w:ind w:left="1764" w:leftChars="773" w:hanging="141" w:hangingChars="59"/>
              <w:rPr>
                <w:rStyle w:val="36"/>
                <w:sz w:val="24"/>
                <w:szCs w:val="24"/>
              </w:rPr>
            </w:pPr>
            <w:r>
              <w:rPr>
                <w:rStyle w:val="36"/>
                <w:rFonts w:hint="eastAsia"/>
                <w:sz w:val="24"/>
                <w:szCs w:val="24"/>
              </w:rPr>
              <w:t>式中：</w:t>
            </w:r>
            <w:r>
              <w:rPr>
                <w:rStyle w:val="36"/>
                <w:sz w:val="24"/>
                <w:szCs w:val="24"/>
              </w:rPr>
              <w:t>Q</w:t>
            </w:r>
            <w:r>
              <w:rPr>
                <w:rStyle w:val="36"/>
                <w:sz w:val="24"/>
                <w:szCs w:val="24"/>
                <w:vertAlign w:val="subscript"/>
              </w:rPr>
              <w:t>C</w:t>
            </w:r>
            <w:r>
              <w:rPr>
                <w:rStyle w:val="36"/>
                <w:sz w:val="24"/>
                <w:szCs w:val="24"/>
              </w:rPr>
              <w:t>—</w:t>
            </w:r>
            <w:r>
              <w:rPr>
                <w:rStyle w:val="36"/>
                <w:rFonts w:hint="eastAsia"/>
                <w:sz w:val="24"/>
                <w:szCs w:val="24"/>
              </w:rPr>
              <w:t>污染物的无组织排放量，</w:t>
            </w:r>
            <w:r>
              <w:rPr>
                <w:rStyle w:val="36"/>
                <w:sz w:val="24"/>
                <w:szCs w:val="24"/>
              </w:rPr>
              <w:t>kg/h</w:t>
            </w:r>
            <w:r>
              <w:rPr>
                <w:rStyle w:val="36"/>
                <w:rFonts w:hint="eastAsia"/>
                <w:sz w:val="24"/>
                <w:szCs w:val="24"/>
              </w:rPr>
              <w:t>；</w:t>
            </w:r>
          </w:p>
          <w:p>
            <w:pPr>
              <w:pStyle w:val="2"/>
              <w:spacing w:line="360" w:lineRule="auto"/>
              <w:ind w:left="1764" w:leftChars="840" w:firstLine="568" w:firstLineChars="237"/>
              <w:rPr>
                <w:rStyle w:val="36"/>
                <w:sz w:val="24"/>
                <w:szCs w:val="24"/>
              </w:rPr>
            </w:pPr>
            <w:r>
              <w:rPr>
                <w:rStyle w:val="36"/>
                <w:sz w:val="24"/>
                <w:szCs w:val="24"/>
              </w:rPr>
              <w:t>C</w:t>
            </w:r>
            <w:r>
              <w:rPr>
                <w:rStyle w:val="36"/>
                <w:sz w:val="24"/>
                <w:szCs w:val="24"/>
                <w:vertAlign w:val="subscript"/>
              </w:rPr>
              <w:t>m</w:t>
            </w:r>
            <w:r>
              <w:rPr>
                <w:rStyle w:val="36"/>
                <w:sz w:val="24"/>
                <w:szCs w:val="24"/>
              </w:rPr>
              <w:t>—</w:t>
            </w:r>
            <w:r>
              <w:rPr>
                <w:rStyle w:val="36"/>
                <w:rFonts w:hint="eastAsia"/>
                <w:sz w:val="24"/>
                <w:szCs w:val="24"/>
              </w:rPr>
              <w:t>污染物的标准浓度限值，</w:t>
            </w:r>
            <w:r>
              <w:rPr>
                <w:rStyle w:val="36"/>
                <w:sz w:val="24"/>
                <w:szCs w:val="24"/>
              </w:rPr>
              <w:t>mg/m</w:t>
            </w:r>
            <w:r>
              <w:rPr>
                <w:rStyle w:val="36"/>
                <w:sz w:val="24"/>
                <w:szCs w:val="24"/>
                <w:vertAlign w:val="superscript"/>
              </w:rPr>
              <w:t>3</w:t>
            </w:r>
            <w:r>
              <w:rPr>
                <w:rStyle w:val="36"/>
                <w:rFonts w:hint="eastAsia"/>
                <w:sz w:val="24"/>
                <w:szCs w:val="24"/>
              </w:rPr>
              <w:t>；</w:t>
            </w:r>
          </w:p>
          <w:p>
            <w:pPr>
              <w:pStyle w:val="2"/>
              <w:spacing w:line="360" w:lineRule="auto"/>
              <w:ind w:left="1764" w:leftChars="840" w:firstLine="568" w:firstLineChars="237"/>
              <w:rPr>
                <w:rStyle w:val="36"/>
                <w:sz w:val="24"/>
                <w:szCs w:val="24"/>
              </w:rPr>
            </w:pPr>
            <w:r>
              <w:rPr>
                <w:rStyle w:val="36"/>
                <w:sz w:val="24"/>
                <w:szCs w:val="24"/>
              </w:rPr>
              <w:t>L—</w:t>
            </w:r>
            <w:r>
              <w:rPr>
                <w:rStyle w:val="36"/>
                <w:rFonts w:hint="eastAsia"/>
                <w:sz w:val="24"/>
                <w:szCs w:val="24"/>
              </w:rPr>
              <w:t>卫生防护距离，</w:t>
            </w:r>
            <w:r>
              <w:rPr>
                <w:rStyle w:val="36"/>
                <w:sz w:val="24"/>
                <w:szCs w:val="24"/>
              </w:rPr>
              <w:t>m</w:t>
            </w:r>
            <w:r>
              <w:rPr>
                <w:rStyle w:val="36"/>
                <w:rFonts w:hint="eastAsia"/>
                <w:sz w:val="24"/>
                <w:szCs w:val="24"/>
              </w:rPr>
              <w:t>；</w:t>
            </w:r>
          </w:p>
          <w:p>
            <w:pPr>
              <w:pStyle w:val="2"/>
              <w:spacing w:line="360" w:lineRule="auto"/>
              <w:ind w:left="1764" w:leftChars="840" w:firstLine="568" w:firstLineChars="237"/>
              <w:rPr>
                <w:rStyle w:val="36"/>
                <w:sz w:val="24"/>
                <w:szCs w:val="24"/>
              </w:rPr>
            </w:pPr>
            <w:r>
              <w:rPr>
                <w:rStyle w:val="36"/>
                <w:sz w:val="24"/>
                <w:szCs w:val="24"/>
              </w:rPr>
              <w:t>R—</w:t>
            </w:r>
            <w:r>
              <w:rPr>
                <w:rStyle w:val="36"/>
                <w:rFonts w:hint="eastAsia"/>
                <w:sz w:val="24"/>
                <w:szCs w:val="24"/>
              </w:rPr>
              <w:t>生产单元的等效半径，</w:t>
            </w:r>
            <w:r>
              <w:rPr>
                <w:rStyle w:val="36"/>
                <w:sz w:val="24"/>
                <w:szCs w:val="24"/>
              </w:rPr>
              <w:t>m</w:t>
            </w:r>
            <w:r>
              <w:rPr>
                <w:rStyle w:val="36"/>
                <w:rFonts w:hint="eastAsia"/>
                <w:sz w:val="24"/>
                <w:szCs w:val="24"/>
              </w:rPr>
              <w:t>；</w:t>
            </w:r>
          </w:p>
          <w:p>
            <w:pPr>
              <w:pStyle w:val="2"/>
              <w:numPr>
                <w:ilvl w:val="0"/>
                <w:numId w:val="5"/>
              </w:numPr>
              <w:spacing w:line="360" w:lineRule="auto"/>
              <w:ind w:firstLine="2332" w:firstLineChars="972"/>
              <w:rPr>
                <w:rStyle w:val="36"/>
                <w:sz w:val="24"/>
                <w:szCs w:val="24"/>
              </w:rPr>
            </w:pPr>
            <w:r>
              <w:rPr>
                <w:rStyle w:val="36"/>
                <w:sz w:val="24"/>
                <w:szCs w:val="24"/>
              </w:rPr>
              <w:t>B</w:t>
            </w:r>
            <w:r>
              <w:rPr>
                <w:rStyle w:val="36"/>
                <w:rFonts w:hint="eastAsia"/>
                <w:sz w:val="24"/>
                <w:szCs w:val="24"/>
              </w:rPr>
              <w:t>、</w:t>
            </w:r>
            <w:r>
              <w:rPr>
                <w:rStyle w:val="36"/>
                <w:sz w:val="24"/>
                <w:szCs w:val="24"/>
              </w:rPr>
              <w:t>C</w:t>
            </w:r>
            <w:r>
              <w:rPr>
                <w:rStyle w:val="36"/>
                <w:rFonts w:hint="eastAsia"/>
                <w:sz w:val="24"/>
                <w:szCs w:val="24"/>
              </w:rPr>
              <w:t>、</w:t>
            </w:r>
            <w:r>
              <w:rPr>
                <w:rStyle w:val="36"/>
                <w:sz w:val="24"/>
                <w:szCs w:val="24"/>
              </w:rPr>
              <w:t>D—</w:t>
            </w:r>
            <w:r>
              <w:rPr>
                <w:rStyle w:val="36"/>
                <w:rFonts w:hint="eastAsia"/>
                <w:sz w:val="24"/>
                <w:szCs w:val="24"/>
              </w:rPr>
              <w:t>计算系数，从</w:t>
            </w:r>
            <w:r>
              <w:rPr>
                <w:rStyle w:val="36"/>
                <w:sz w:val="24"/>
                <w:szCs w:val="24"/>
              </w:rPr>
              <w:t>GB/T13201-91</w:t>
            </w:r>
            <w:r>
              <w:rPr>
                <w:rStyle w:val="36"/>
                <w:rFonts w:hint="eastAsia"/>
                <w:sz w:val="24"/>
                <w:szCs w:val="24"/>
              </w:rPr>
              <w:t>中查取。</w:t>
            </w:r>
          </w:p>
          <w:p>
            <w:pPr>
              <w:pStyle w:val="114"/>
              <w:rPr>
                <w:rStyle w:val="36"/>
                <w:sz w:val="24"/>
                <w:szCs w:val="24"/>
              </w:rPr>
            </w:pPr>
            <w:r>
              <w:rPr>
                <w:rStyle w:val="36"/>
                <w:rFonts w:hint="eastAsia"/>
                <w:sz w:val="24"/>
                <w:szCs w:val="24"/>
              </w:rPr>
              <w:t>本项目卫生防护距离的计算结果见表</w:t>
            </w:r>
            <w:r>
              <w:rPr>
                <w:rStyle w:val="36"/>
                <w:sz w:val="24"/>
                <w:szCs w:val="24"/>
              </w:rPr>
              <w:t>6-9</w:t>
            </w:r>
            <w:r>
              <w:rPr>
                <w:rStyle w:val="36"/>
                <w:rFonts w:hint="eastAsia"/>
                <w:sz w:val="24"/>
                <w:szCs w:val="24"/>
              </w:rPr>
              <w:t>。</w:t>
            </w:r>
          </w:p>
          <w:p>
            <w:pPr>
              <w:pStyle w:val="111"/>
            </w:pPr>
            <w:r>
              <w:rPr>
                <w:rFonts w:hint="eastAsia"/>
              </w:rPr>
              <w:t>表</w:t>
            </w:r>
            <w:r>
              <w:t xml:space="preserve">6-9  </w:t>
            </w:r>
            <w:r>
              <w:rPr>
                <w:rFonts w:hint="eastAsia"/>
              </w:rPr>
              <w:t>卫生防护距离</w:t>
            </w:r>
          </w:p>
          <w:tbl>
            <w:tblPr>
              <w:tblStyle w:val="37"/>
              <w:tblW w:w="942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40"/>
              <w:gridCol w:w="3142"/>
              <w:gridCol w:w="31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40" w:type="dxa"/>
                  <w:tcBorders>
                    <w:top w:val="single" w:color="auto" w:sz="12" w:space="0"/>
                    <w:left w:val="single" w:color="auto" w:sz="12" w:space="0"/>
                    <w:bottom w:val="single" w:color="auto" w:sz="4" w:space="0"/>
                    <w:right w:val="double" w:color="auto" w:sz="4" w:space="0"/>
                  </w:tcBorders>
                  <w:vAlign w:val="center"/>
                </w:tcPr>
                <w:p>
                  <w:pPr>
                    <w:pStyle w:val="2"/>
                    <w:spacing w:line="240" w:lineRule="atLeast"/>
                    <w:jc w:val="center"/>
                    <w:rPr>
                      <w:rStyle w:val="36"/>
                    </w:rPr>
                  </w:pPr>
                  <w:r>
                    <w:rPr>
                      <w:rStyle w:val="36"/>
                      <w:rFonts w:hint="eastAsia"/>
                    </w:rPr>
                    <w:t>污染物</w:t>
                  </w:r>
                </w:p>
              </w:tc>
              <w:tc>
                <w:tcPr>
                  <w:tcW w:w="3142" w:type="dxa"/>
                  <w:tcBorders>
                    <w:top w:val="single" w:color="auto" w:sz="12" w:space="0"/>
                    <w:left w:val="double" w:color="auto" w:sz="4" w:space="0"/>
                    <w:bottom w:val="single" w:color="auto" w:sz="4" w:space="0"/>
                    <w:right w:val="single" w:color="auto" w:sz="4" w:space="0"/>
                  </w:tcBorders>
                  <w:vAlign w:val="center"/>
                </w:tcPr>
                <w:p>
                  <w:pPr>
                    <w:pStyle w:val="2"/>
                    <w:spacing w:line="240" w:lineRule="atLeast"/>
                    <w:jc w:val="center"/>
                    <w:rPr>
                      <w:rStyle w:val="36"/>
                    </w:rPr>
                  </w:pPr>
                  <w:r>
                    <w:rPr>
                      <w:rStyle w:val="36"/>
                    </w:rPr>
                    <w:t>NH</w:t>
                  </w:r>
                  <w:r>
                    <w:rPr>
                      <w:rStyle w:val="36"/>
                      <w:vertAlign w:val="subscript"/>
                    </w:rPr>
                    <w:t>3</w:t>
                  </w:r>
                </w:p>
              </w:tc>
              <w:tc>
                <w:tcPr>
                  <w:tcW w:w="3142" w:type="dxa"/>
                  <w:tcBorders>
                    <w:top w:val="single" w:color="auto" w:sz="12" w:space="0"/>
                    <w:left w:val="single" w:color="auto" w:sz="4" w:space="0"/>
                    <w:bottom w:val="single" w:color="auto" w:sz="4" w:space="0"/>
                    <w:right w:val="single" w:color="auto" w:sz="12" w:space="0"/>
                  </w:tcBorders>
                  <w:vAlign w:val="center"/>
                </w:tcPr>
                <w:p>
                  <w:pPr>
                    <w:pStyle w:val="2"/>
                    <w:spacing w:line="240" w:lineRule="atLeast"/>
                    <w:jc w:val="center"/>
                    <w:rPr>
                      <w:rStyle w:val="36"/>
                    </w:rPr>
                  </w:pPr>
                  <w:r>
                    <w:rPr>
                      <w:rStyle w:val="36"/>
                    </w:rPr>
                    <w:t>H</w:t>
                  </w:r>
                  <w:r>
                    <w:rPr>
                      <w:rStyle w:val="36"/>
                      <w:vertAlign w:val="subscript"/>
                    </w:rPr>
                    <w:t>2</w:t>
                  </w:r>
                  <w:r>
                    <w:rPr>
                      <w:rStyle w:val="36"/>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40" w:type="dxa"/>
                  <w:tcBorders>
                    <w:top w:val="single" w:color="auto" w:sz="4" w:space="0"/>
                    <w:left w:val="single" w:color="auto" w:sz="12" w:space="0"/>
                    <w:bottom w:val="single" w:color="auto" w:sz="4" w:space="0"/>
                    <w:right w:val="double" w:color="auto" w:sz="4" w:space="0"/>
                  </w:tcBorders>
                  <w:vAlign w:val="center"/>
                </w:tcPr>
                <w:p>
                  <w:pPr>
                    <w:pStyle w:val="2"/>
                    <w:spacing w:line="240" w:lineRule="atLeast"/>
                    <w:jc w:val="center"/>
                    <w:rPr>
                      <w:rStyle w:val="36"/>
                    </w:rPr>
                  </w:pPr>
                  <w:r>
                    <w:rPr>
                      <w:rStyle w:val="36"/>
                      <w:rFonts w:hint="eastAsia"/>
                    </w:rPr>
                    <w:t>污染源</w:t>
                  </w:r>
                </w:p>
              </w:tc>
              <w:tc>
                <w:tcPr>
                  <w:tcW w:w="6284" w:type="dxa"/>
                  <w:gridSpan w:val="2"/>
                  <w:tcBorders>
                    <w:top w:val="single" w:color="auto" w:sz="4" w:space="0"/>
                    <w:left w:val="double" w:color="auto" w:sz="4" w:space="0"/>
                    <w:bottom w:val="single" w:color="auto" w:sz="4" w:space="0"/>
                    <w:right w:val="single" w:color="auto" w:sz="12" w:space="0"/>
                  </w:tcBorders>
                  <w:vAlign w:val="center"/>
                </w:tcPr>
                <w:p>
                  <w:pPr>
                    <w:pStyle w:val="2"/>
                    <w:spacing w:line="240" w:lineRule="atLeast"/>
                    <w:jc w:val="center"/>
                    <w:rPr>
                      <w:rStyle w:val="36"/>
                    </w:rPr>
                  </w:pPr>
                  <w:r>
                    <w:rPr>
                      <w:rStyle w:val="36"/>
                      <w:rFonts w:hint="eastAsia"/>
                    </w:rPr>
                    <w:t>污水处理厂设施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40" w:type="dxa"/>
                  <w:tcBorders>
                    <w:top w:val="single" w:color="auto" w:sz="4" w:space="0"/>
                    <w:left w:val="single" w:color="auto" w:sz="12" w:space="0"/>
                    <w:bottom w:val="single" w:color="auto" w:sz="4" w:space="0"/>
                    <w:right w:val="double" w:color="auto" w:sz="4" w:space="0"/>
                  </w:tcBorders>
                  <w:vAlign w:val="center"/>
                </w:tcPr>
                <w:p>
                  <w:pPr>
                    <w:pStyle w:val="2"/>
                    <w:spacing w:line="240" w:lineRule="atLeast"/>
                    <w:jc w:val="center"/>
                    <w:rPr>
                      <w:rStyle w:val="36"/>
                      <w:vertAlign w:val="subscript"/>
                    </w:rPr>
                  </w:pPr>
                  <w:r>
                    <w:rPr>
                      <w:rStyle w:val="36"/>
                      <w:rFonts w:hint="eastAsia"/>
                    </w:rPr>
                    <w:t>无组织排放源面积</w:t>
                  </w:r>
                  <w:r>
                    <w:rPr>
                      <w:rStyle w:val="36"/>
                    </w:rPr>
                    <w:t>m</w:t>
                  </w:r>
                  <w:r>
                    <w:rPr>
                      <w:rStyle w:val="36"/>
                      <w:vertAlign w:val="superscript"/>
                    </w:rPr>
                    <w:t>2</w:t>
                  </w:r>
                </w:p>
              </w:tc>
              <w:tc>
                <w:tcPr>
                  <w:tcW w:w="6284" w:type="dxa"/>
                  <w:gridSpan w:val="2"/>
                  <w:tcBorders>
                    <w:top w:val="single" w:color="auto" w:sz="4" w:space="0"/>
                    <w:left w:val="double" w:color="auto" w:sz="4" w:space="0"/>
                    <w:bottom w:val="single" w:color="auto" w:sz="4" w:space="0"/>
                    <w:right w:val="single" w:color="auto" w:sz="12" w:space="0"/>
                  </w:tcBorders>
                  <w:vAlign w:val="center"/>
                </w:tcPr>
                <w:p>
                  <w:pPr>
                    <w:pStyle w:val="2"/>
                    <w:spacing w:line="240" w:lineRule="atLeast"/>
                    <w:jc w:val="center"/>
                    <w:rPr>
                      <w:rStyle w:val="36"/>
                    </w:rPr>
                  </w:pPr>
                  <w:r>
                    <w:rPr>
                      <w:rStyle w:val="36"/>
                    </w:rPr>
                    <w:t>8400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40" w:type="dxa"/>
                  <w:tcBorders>
                    <w:top w:val="single" w:color="auto" w:sz="4" w:space="0"/>
                    <w:left w:val="single" w:color="auto" w:sz="12" w:space="0"/>
                    <w:bottom w:val="single" w:color="auto" w:sz="4" w:space="0"/>
                    <w:right w:val="double" w:color="auto" w:sz="4" w:space="0"/>
                  </w:tcBorders>
                  <w:vAlign w:val="center"/>
                </w:tcPr>
                <w:p>
                  <w:pPr>
                    <w:pStyle w:val="2"/>
                    <w:spacing w:line="240" w:lineRule="atLeast"/>
                    <w:jc w:val="center"/>
                    <w:rPr>
                      <w:rStyle w:val="36"/>
                    </w:rPr>
                  </w:pPr>
                  <w:r>
                    <w:rPr>
                      <w:rStyle w:val="36"/>
                      <w:rFonts w:hint="eastAsia"/>
                    </w:rPr>
                    <w:t>近</w:t>
                  </w:r>
                  <w:r>
                    <w:rPr>
                      <w:rStyle w:val="36"/>
                    </w:rPr>
                    <w:t>5</w:t>
                  </w:r>
                  <w:r>
                    <w:rPr>
                      <w:rStyle w:val="36"/>
                      <w:rFonts w:hint="eastAsia"/>
                    </w:rPr>
                    <w:t>年平均风速</w:t>
                  </w:r>
                  <w:r>
                    <w:rPr>
                      <w:rStyle w:val="36"/>
                    </w:rPr>
                    <w:t>m/s</w:t>
                  </w:r>
                </w:p>
              </w:tc>
              <w:tc>
                <w:tcPr>
                  <w:tcW w:w="6284" w:type="dxa"/>
                  <w:gridSpan w:val="2"/>
                  <w:tcBorders>
                    <w:top w:val="single" w:color="auto" w:sz="4" w:space="0"/>
                    <w:left w:val="double" w:color="auto" w:sz="4" w:space="0"/>
                    <w:bottom w:val="single" w:color="auto" w:sz="4" w:space="0"/>
                    <w:right w:val="single" w:color="auto" w:sz="12" w:space="0"/>
                  </w:tcBorders>
                  <w:vAlign w:val="center"/>
                </w:tcPr>
                <w:p>
                  <w:pPr>
                    <w:pStyle w:val="2"/>
                    <w:spacing w:line="240" w:lineRule="atLeast"/>
                    <w:jc w:val="center"/>
                    <w:rPr>
                      <w:rStyle w:val="36"/>
                    </w:rPr>
                  </w:pPr>
                  <w:r>
                    <w:rPr>
                      <w:rStyle w:val="36"/>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40" w:type="dxa"/>
                  <w:tcBorders>
                    <w:top w:val="single" w:color="auto" w:sz="4" w:space="0"/>
                    <w:left w:val="single" w:color="auto" w:sz="12" w:space="0"/>
                    <w:bottom w:val="single" w:color="auto" w:sz="4" w:space="0"/>
                    <w:right w:val="double" w:color="auto" w:sz="4" w:space="0"/>
                  </w:tcBorders>
                  <w:vAlign w:val="center"/>
                </w:tcPr>
                <w:p>
                  <w:pPr>
                    <w:pStyle w:val="2"/>
                    <w:spacing w:line="240" w:lineRule="atLeast"/>
                    <w:jc w:val="center"/>
                    <w:rPr>
                      <w:rStyle w:val="36"/>
                    </w:rPr>
                  </w:pPr>
                  <w:r>
                    <w:rPr>
                      <w:rStyle w:val="36"/>
                      <w:rFonts w:hint="eastAsia"/>
                    </w:rPr>
                    <w:t>污染物排放率</w:t>
                  </w:r>
                  <w:r>
                    <w:rPr>
                      <w:rStyle w:val="36"/>
                    </w:rPr>
                    <w:t>kg/h</w:t>
                  </w:r>
                </w:p>
              </w:tc>
              <w:tc>
                <w:tcPr>
                  <w:tcW w:w="3142" w:type="dxa"/>
                  <w:tcBorders>
                    <w:top w:val="single" w:color="auto" w:sz="4" w:space="0"/>
                    <w:left w:val="double" w:color="auto" w:sz="4" w:space="0"/>
                    <w:bottom w:val="single" w:color="auto" w:sz="4" w:space="0"/>
                    <w:right w:val="single" w:color="auto" w:sz="4" w:space="0"/>
                  </w:tcBorders>
                  <w:vAlign w:val="center"/>
                </w:tcPr>
                <w:p>
                  <w:pPr>
                    <w:pStyle w:val="2"/>
                    <w:spacing w:line="240" w:lineRule="atLeast"/>
                    <w:jc w:val="center"/>
                    <w:rPr>
                      <w:rStyle w:val="36"/>
                    </w:rPr>
                  </w:pPr>
                  <w:r>
                    <w:rPr>
                      <w:rStyle w:val="36"/>
                    </w:rPr>
                    <w:t>0.0054</w:t>
                  </w:r>
                </w:p>
              </w:tc>
              <w:tc>
                <w:tcPr>
                  <w:tcW w:w="314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rStyle w:val="36"/>
                      <w:vertAlign w:val="superscript"/>
                    </w:rPr>
                  </w:pPr>
                  <w:r>
                    <w:rPr>
                      <w:rStyle w:val="36"/>
                    </w:rPr>
                    <w:t>0.00034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40" w:type="dxa"/>
                  <w:tcBorders>
                    <w:top w:val="single" w:color="auto" w:sz="4" w:space="0"/>
                    <w:left w:val="single" w:color="auto" w:sz="12" w:space="0"/>
                    <w:bottom w:val="single" w:color="auto" w:sz="4" w:space="0"/>
                    <w:right w:val="double" w:color="auto" w:sz="4" w:space="0"/>
                  </w:tcBorders>
                  <w:vAlign w:val="center"/>
                </w:tcPr>
                <w:p>
                  <w:pPr>
                    <w:pStyle w:val="2"/>
                    <w:spacing w:line="240" w:lineRule="atLeast"/>
                    <w:jc w:val="center"/>
                    <w:rPr>
                      <w:rStyle w:val="36"/>
                      <w:vertAlign w:val="superscript"/>
                    </w:rPr>
                  </w:pPr>
                  <w:r>
                    <w:rPr>
                      <w:rStyle w:val="36"/>
                      <w:rFonts w:hint="eastAsia"/>
                    </w:rPr>
                    <w:t>评价标准</w:t>
                  </w:r>
                  <w:r>
                    <w:rPr>
                      <w:rStyle w:val="36"/>
                    </w:rPr>
                    <w:t>mg/m</w:t>
                  </w:r>
                  <w:r>
                    <w:rPr>
                      <w:rStyle w:val="36"/>
                      <w:vertAlign w:val="superscript"/>
                    </w:rPr>
                    <w:t>3</w:t>
                  </w:r>
                </w:p>
              </w:tc>
              <w:tc>
                <w:tcPr>
                  <w:tcW w:w="3142" w:type="dxa"/>
                  <w:tcBorders>
                    <w:top w:val="single" w:color="auto" w:sz="4" w:space="0"/>
                    <w:left w:val="double" w:color="auto" w:sz="4" w:space="0"/>
                    <w:bottom w:val="single" w:color="auto" w:sz="4" w:space="0"/>
                    <w:right w:val="single" w:color="auto" w:sz="4" w:space="0"/>
                  </w:tcBorders>
                  <w:vAlign w:val="center"/>
                </w:tcPr>
                <w:p>
                  <w:pPr>
                    <w:pStyle w:val="2"/>
                    <w:spacing w:line="240" w:lineRule="atLeast"/>
                    <w:jc w:val="center"/>
                    <w:rPr>
                      <w:rStyle w:val="36"/>
                    </w:rPr>
                  </w:pPr>
                  <w:r>
                    <w:rPr>
                      <w:rStyle w:val="36"/>
                    </w:rPr>
                    <w:t>0.2</w:t>
                  </w:r>
                </w:p>
              </w:tc>
              <w:tc>
                <w:tcPr>
                  <w:tcW w:w="314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rStyle w:val="36"/>
                    </w:rPr>
                  </w:pPr>
                  <w:r>
                    <w:rPr>
                      <w:rStyle w:val="36"/>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40" w:type="dxa"/>
                  <w:tcBorders>
                    <w:top w:val="single" w:color="auto" w:sz="4" w:space="0"/>
                    <w:left w:val="single" w:color="auto" w:sz="12" w:space="0"/>
                    <w:bottom w:val="single" w:color="auto" w:sz="4" w:space="0"/>
                    <w:right w:val="double" w:color="auto" w:sz="4" w:space="0"/>
                  </w:tcBorders>
                  <w:vAlign w:val="center"/>
                </w:tcPr>
                <w:p>
                  <w:pPr>
                    <w:pStyle w:val="2"/>
                    <w:spacing w:line="240" w:lineRule="atLeast"/>
                    <w:jc w:val="center"/>
                    <w:rPr>
                      <w:rStyle w:val="36"/>
                    </w:rPr>
                  </w:pPr>
                  <w:r>
                    <w:rPr>
                      <w:rStyle w:val="36"/>
                      <w:rFonts w:hint="eastAsia"/>
                    </w:rPr>
                    <w:t>卫生防护距离</w:t>
                  </w:r>
                  <w:r>
                    <w:rPr>
                      <w:rStyle w:val="36"/>
                    </w:rPr>
                    <w:t>m</w:t>
                  </w:r>
                </w:p>
              </w:tc>
              <w:tc>
                <w:tcPr>
                  <w:tcW w:w="3142" w:type="dxa"/>
                  <w:tcBorders>
                    <w:top w:val="single" w:color="auto" w:sz="4" w:space="0"/>
                    <w:left w:val="double" w:color="auto" w:sz="4" w:space="0"/>
                    <w:bottom w:val="single" w:color="auto" w:sz="4" w:space="0"/>
                    <w:right w:val="single" w:color="auto" w:sz="4" w:space="0"/>
                  </w:tcBorders>
                  <w:vAlign w:val="center"/>
                </w:tcPr>
                <w:p>
                  <w:pPr>
                    <w:pStyle w:val="2"/>
                    <w:spacing w:line="240" w:lineRule="atLeast"/>
                    <w:jc w:val="center"/>
                    <w:rPr>
                      <w:rStyle w:val="36"/>
                    </w:rPr>
                  </w:pPr>
                  <w:r>
                    <w:rPr>
                      <w:rStyle w:val="36"/>
                    </w:rPr>
                    <w:t>0.429</w:t>
                  </w:r>
                </w:p>
              </w:tc>
              <w:tc>
                <w:tcPr>
                  <w:tcW w:w="3142" w:type="dxa"/>
                  <w:tcBorders>
                    <w:top w:val="single" w:color="auto" w:sz="4" w:space="0"/>
                    <w:left w:val="single" w:color="auto" w:sz="4" w:space="0"/>
                    <w:bottom w:val="single" w:color="auto" w:sz="4" w:space="0"/>
                    <w:right w:val="single" w:color="auto" w:sz="12" w:space="0"/>
                  </w:tcBorders>
                  <w:vAlign w:val="center"/>
                </w:tcPr>
                <w:p>
                  <w:pPr>
                    <w:pStyle w:val="2"/>
                    <w:spacing w:line="240" w:lineRule="atLeast"/>
                    <w:jc w:val="center"/>
                    <w:rPr>
                      <w:rStyle w:val="36"/>
                    </w:rPr>
                  </w:pPr>
                  <w:r>
                    <w:rPr>
                      <w:rStyle w:val="36"/>
                    </w:rPr>
                    <w:t>0.564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3140" w:type="dxa"/>
                  <w:tcBorders>
                    <w:top w:val="single" w:color="auto" w:sz="4" w:space="0"/>
                    <w:left w:val="single" w:color="auto" w:sz="12" w:space="0"/>
                    <w:bottom w:val="single" w:color="auto" w:sz="12" w:space="0"/>
                    <w:right w:val="double" w:color="auto" w:sz="4" w:space="0"/>
                  </w:tcBorders>
                  <w:vAlign w:val="center"/>
                </w:tcPr>
                <w:p>
                  <w:pPr>
                    <w:pStyle w:val="2"/>
                    <w:spacing w:line="240" w:lineRule="atLeast"/>
                    <w:jc w:val="center"/>
                    <w:rPr>
                      <w:rStyle w:val="36"/>
                    </w:rPr>
                  </w:pPr>
                  <w:r>
                    <w:rPr>
                      <w:rStyle w:val="36"/>
                      <w:rFonts w:hint="eastAsia"/>
                    </w:rPr>
                    <w:t>提级后卫生防护距离</w:t>
                  </w:r>
                  <w:r>
                    <w:rPr>
                      <w:rStyle w:val="36"/>
                    </w:rPr>
                    <w:t>m</w:t>
                  </w:r>
                </w:p>
              </w:tc>
              <w:tc>
                <w:tcPr>
                  <w:tcW w:w="3142" w:type="dxa"/>
                  <w:tcBorders>
                    <w:top w:val="single" w:color="auto" w:sz="4" w:space="0"/>
                    <w:left w:val="double" w:color="auto" w:sz="4" w:space="0"/>
                    <w:bottom w:val="single" w:color="auto" w:sz="12" w:space="0"/>
                    <w:right w:val="single" w:color="auto" w:sz="4" w:space="0"/>
                  </w:tcBorders>
                  <w:vAlign w:val="center"/>
                </w:tcPr>
                <w:p>
                  <w:pPr>
                    <w:pStyle w:val="2"/>
                    <w:spacing w:line="240" w:lineRule="atLeast"/>
                    <w:jc w:val="center"/>
                    <w:rPr>
                      <w:rStyle w:val="36"/>
                    </w:rPr>
                  </w:pPr>
                  <w:r>
                    <w:rPr>
                      <w:rStyle w:val="36"/>
                    </w:rPr>
                    <w:t>50</w:t>
                  </w:r>
                </w:p>
              </w:tc>
              <w:tc>
                <w:tcPr>
                  <w:tcW w:w="3142" w:type="dxa"/>
                  <w:tcBorders>
                    <w:top w:val="single" w:color="auto" w:sz="4" w:space="0"/>
                    <w:left w:val="single" w:color="auto" w:sz="4" w:space="0"/>
                    <w:bottom w:val="single" w:color="auto" w:sz="12" w:space="0"/>
                    <w:right w:val="single" w:color="auto" w:sz="12" w:space="0"/>
                  </w:tcBorders>
                  <w:vAlign w:val="center"/>
                </w:tcPr>
                <w:p>
                  <w:pPr>
                    <w:pStyle w:val="2"/>
                    <w:spacing w:line="240" w:lineRule="atLeast"/>
                    <w:jc w:val="center"/>
                    <w:rPr>
                      <w:rStyle w:val="36"/>
                    </w:rPr>
                  </w:pPr>
                  <w:r>
                    <w:rPr>
                      <w:rStyle w:val="36"/>
                    </w:rPr>
                    <w:t>50</w:t>
                  </w:r>
                </w:p>
              </w:tc>
            </w:tr>
          </w:tbl>
          <w:p>
            <w:pPr>
              <w:pStyle w:val="114"/>
              <w:rPr>
                <w:rStyle w:val="36"/>
                <w:sz w:val="24"/>
                <w:szCs w:val="24"/>
              </w:rPr>
            </w:pPr>
            <w:r>
              <w:rPr>
                <w:rStyle w:val="36"/>
                <w:rFonts w:hint="eastAsia"/>
                <w:sz w:val="24"/>
                <w:szCs w:val="24"/>
              </w:rPr>
              <w:t>根据技术方法中提级规定，无组织排放多种有害气体时，按</w:t>
            </w:r>
            <w:r>
              <w:rPr>
                <w:rStyle w:val="36"/>
                <w:sz w:val="24"/>
                <w:szCs w:val="24"/>
              </w:rPr>
              <w:t>Qc/Cm</w:t>
            </w:r>
            <w:r>
              <w:rPr>
                <w:rStyle w:val="36"/>
                <w:rFonts w:hint="eastAsia"/>
                <w:sz w:val="24"/>
                <w:szCs w:val="24"/>
              </w:rPr>
              <w:t>的最大值计算其所需的卫生防护距离。卫生防护距离在</w:t>
            </w:r>
            <w:r>
              <w:rPr>
                <w:rStyle w:val="36"/>
                <w:sz w:val="24"/>
                <w:szCs w:val="24"/>
              </w:rPr>
              <w:t>100m</w:t>
            </w:r>
            <w:r>
              <w:rPr>
                <w:rStyle w:val="36"/>
                <w:rFonts w:hint="eastAsia"/>
                <w:sz w:val="24"/>
                <w:szCs w:val="24"/>
              </w:rPr>
              <w:t>内时，级差为</w:t>
            </w:r>
            <w:r>
              <w:rPr>
                <w:rStyle w:val="36"/>
                <w:sz w:val="24"/>
                <w:szCs w:val="24"/>
              </w:rPr>
              <w:t>50m</w:t>
            </w:r>
            <w:r>
              <w:rPr>
                <w:rStyle w:val="36"/>
                <w:rFonts w:hint="eastAsia"/>
                <w:sz w:val="24"/>
                <w:szCs w:val="24"/>
              </w:rPr>
              <w:t>；超过</w:t>
            </w:r>
            <w:r>
              <w:rPr>
                <w:rStyle w:val="36"/>
                <w:sz w:val="24"/>
                <w:szCs w:val="24"/>
              </w:rPr>
              <w:t>100m</w:t>
            </w:r>
            <w:r>
              <w:rPr>
                <w:rStyle w:val="36"/>
                <w:rFonts w:hint="eastAsia"/>
                <w:sz w:val="24"/>
                <w:szCs w:val="24"/>
              </w:rPr>
              <w:t>，但小于</w:t>
            </w:r>
            <w:r>
              <w:rPr>
                <w:rStyle w:val="36"/>
                <w:sz w:val="24"/>
                <w:szCs w:val="24"/>
              </w:rPr>
              <w:t>1000m</w:t>
            </w:r>
            <w:r>
              <w:rPr>
                <w:rStyle w:val="36"/>
                <w:rFonts w:hint="eastAsia"/>
                <w:sz w:val="24"/>
                <w:szCs w:val="24"/>
              </w:rPr>
              <w:t>时，级差为</w:t>
            </w:r>
            <w:r>
              <w:rPr>
                <w:rStyle w:val="36"/>
                <w:sz w:val="24"/>
                <w:szCs w:val="24"/>
              </w:rPr>
              <w:t>100m</w:t>
            </w:r>
            <w:r>
              <w:rPr>
                <w:rStyle w:val="36"/>
                <w:rFonts w:hint="eastAsia"/>
                <w:sz w:val="24"/>
                <w:szCs w:val="24"/>
              </w:rPr>
              <w:t>。当按两种或两种以上的有害气体的</w:t>
            </w:r>
            <w:r>
              <w:rPr>
                <w:rStyle w:val="36"/>
                <w:sz w:val="24"/>
                <w:szCs w:val="24"/>
              </w:rPr>
              <w:t>Qc/Cm</w:t>
            </w:r>
            <w:r>
              <w:rPr>
                <w:rStyle w:val="36"/>
                <w:rFonts w:hint="eastAsia"/>
                <w:sz w:val="24"/>
                <w:szCs w:val="24"/>
              </w:rPr>
              <w:t>计算卫生防护距离在同一级别时，该类工业企业的卫生防护距离提高一级。因此，本项目无组织排放卫生防护距离为</w:t>
            </w:r>
            <w:r>
              <w:rPr>
                <w:rStyle w:val="36"/>
                <w:sz w:val="24"/>
                <w:szCs w:val="24"/>
              </w:rPr>
              <w:t>100m</w:t>
            </w:r>
            <w:r>
              <w:rPr>
                <w:rStyle w:val="36"/>
                <w:rFonts w:hint="eastAsia"/>
                <w:sz w:val="24"/>
                <w:szCs w:val="24"/>
              </w:rPr>
              <w:t>。</w:t>
            </w:r>
          </w:p>
          <w:p>
            <w:pPr>
              <w:pStyle w:val="114"/>
              <w:rPr>
                <w:rStyle w:val="36"/>
                <w:sz w:val="24"/>
                <w:szCs w:val="24"/>
              </w:rPr>
            </w:pPr>
            <w:r>
              <w:rPr>
                <w:rFonts w:hint="eastAsia"/>
              </w:rPr>
              <w:t>一期工程设置卫生防护距离为</w:t>
            </w:r>
            <w:r>
              <w:t>150m</w:t>
            </w:r>
            <w:r>
              <w:rPr>
                <w:rFonts w:hint="eastAsia"/>
              </w:rPr>
              <w:t>。由于本次扩建工程“以新带老”措施大幅消减了原有大气污染物无组织排放量，同时根据《城市排水工程规划规范》（</w:t>
            </w:r>
            <w:r>
              <w:t>GB50318-2017</w:t>
            </w:r>
            <w:r>
              <w:rPr>
                <w:rFonts w:hint="eastAsia"/>
              </w:rPr>
              <w:t>），污水处理厂规模小于等于</w:t>
            </w:r>
            <w:r>
              <w:t>5</w:t>
            </w:r>
            <w:r>
              <w:rPr>
                <w:rFonts w:hint="eastAsia"/>
              </w:rPr>
              <w:t>万</w:t>
            </w:r>
            <w:r>
              <w:t>m</w:t>
            </w:r>
            <w:r>
              <w:rPr>
                <w:vertAlign w:val="superscript"/>
              </w:rPr>
              <w:t>3</w:t>
            </w:r>
            <w:r>
              <w:t>/d</w:t>
            </w:r>
            <w:r>
              <w:rPr>
                <w:rFonts w:hint="eastAsia"/>
              </w:rPr>
              <w:t>时，城市污水处理厂卫生防护为</w:t>
            </w:r>
            <w:r>
              <w:t>150m</w:t>
            </w:r>
            <w:r>
              <w:rPr>
                <w:rFonts w:hint="eastAsia"/>
              </w:rPr>
              <w:t>，且卫生防护距离为污水厂厂界至防护区外缘的最小距离。本项目建设后厂区总处理规模为</w:t>
            </w:r>
            <w:r>
              <w:t>3</w:t>
            </w:r>
            <w:r>
              <w:rPr>
                <w:rFonts w:hint="eastAsia"/>
              </w:rPr>
              <w:t>万</w:t>
            </w:r>
            <w:r>
              <w:t>m</w:t>
            </w:r>
            <w:r>
              <w:rPr>
                <w:vertAlign w:val="superscript"/>
              </w:rPr>
              <w:t>3</w:t>
            </w:r>
            <w:r>
              <w:t>/d</w:t>
            </w:r>
            <w:r>
              <w:rPr>
                <w:rFonts w:hint="eastAsia"/>
              </w:rPr>
              <w:t>，厂区卫生防护为</w:t>
            </w:r>
            <w:r>
              <w:t>150m</w:t>
            </w:r>
            <w:r>
              <w:rPr>
                <w:rStyle w:val="36"/>
                <w:rFonts w:hint="eastAsia"/>
                <w:sz w:val="24"/>
                <w:szCs w:val="24"/>
              </w:rPr>
              <w:t>。根据现场查勘，距离项目污水处理构筑物</w:t>
            </w:r>
            <w:r>
              <w:rPr>
                <w:rStyle w:val="36"/>
                <w:sz w:val="24"/>
                <w:szCs w:val="24"/>
              </w:rPr>
              <w:t>150m</w:t>
            </w:r>
            <w:r>
              <w:rPr>
                <w:rStyle w:val="36"/>
                <w:rFonts w:hint="eastAsia"/>
                <w:sz w:val="24"/>
                <w:szCs w:val="24"/>
              </w:rPr>
              <w:t>范围内没有民宅、医院、学校等敏感建筑，因此项目周围敏感目标符合卫生防护距离要求。</w:t>
            </w:r>
          </w:p>
          <w:p>
            <w:pPr>
              <w:pStyle w:val="114"/>
              <w:rPr>
                <w:rStyle w:val="36"/>
                <w:sz w:val="24"/>
                <w:szCs w:val="24"/>
              </w:rPr>
            </w:pPr>
            <w:r>
              <w:rPr>
                <w:rStyle w:val="36"/>
                <w:rFonts w:hint="eastAsia"/>
                <w:sz w:val="24"/>
                <w:szCs w:val="24"/>
              </w:rPr>
              <w:t>本次环评建议在项目周围今后的规划建设中，在项目</w:t>
            </w:r>
            <w:r>
              <w:rPr>
                <w:rStyle w:val="36"/>
                <w:sz w:val="24"/>
                <w:szCs w:val="24"/>
              </w:rPr>
              <w:t>150m</w:t>
            </w:r>
            <w:r>
              <w:rPr>
                <w:rStyle w:val="36"/>
                <w:rFonts w:hint="eastAsia"/>
                <w:sz w:val="24"/>
                <w:szCs w:val="24"/>
              </w:rPr>
              <w:t>范围内，不能规划建设住宅、医院、学校及对大气环境有较高要求的项目。</w:t>
            </w:r>
          </w:p>
          <w:p>
            <w:pPr>
              <w:pStyle w:val="115"/>
            </w:pPr>
            <w:r>
              <w:drawing>
                <wp:inline distT="0" distB="0" distL="0" distR="0">
                  <wp:extent cx="5939790" cy="4199890"/>
                  <wp:effectExtent l="0" t="0" r="381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2"/>
                          <a:srcRect/>
                          <a:stretch>
                            <a:fillRect/>
                          </a:stretch>
                        </pic:blipFill>
                        <pic:spPr>
                          <a:xfrm>
                            <a:off x="0" y="0"/>
                            <a:ext cx="5939790" cy="4199890"/>
                          </a:xfrm>
                          <a:prstGeom prst="rect">
                            <a:avLst/>
                          </a:prstGeom>
                          <a:noFill/>
                          <a:ln>
                            <a:noFill/>
                          </a:ln>
                        </pic:spPr>
                      </pic:pic>
                    </a:graphicData>
                  </a:graphic>
                </wp:inline>
              </w:drawing>
            </w:r>
          </w:p>
          <w:p>
            <w:pPr>
              <w:pStyle w:val="115"/>
              <w:rPr>
                <w:szCs w:val="24"/>
              </w:rPr>
            </w:pPr>
            <w:r>
              <w:rPr>
                <w:rStyle w:val="36"/>
                <w:rFonts w:hint="eastAsia"/>
                <w:sz w:val="24"/>
                <w:szCs w:val="24"/>
              </w:rPr>
              <w:t>图</w:t>
            </w:r>
            <w:r>
              <w:rPr>
                <w:rStyle w:val="36"/>
                <w:sz w:val="24"/>
                <w:szCs w:val="24"/>
              </w:rPr>
              <w:t>6-1</w:t>
            </w:r>
            <w:r>
              <w:rPr>
                <w:rStyle w:val="36"/>
                <w:rFonts w:hint="eastAsia"/>
                <w:sz w:val="24"/>
                <w:szCs w:val="24"/>
              </w:rPr>
              <w:t>项目卫生防护距离包络线图</w:t>
            </w:r>
          </w:p>
          <w:p>
            <w:pPr>
              <w:pStyle w:val="114"/>
              <w:ind w:firstLine="482"/>
              <w:rPr>
                <w:b/>
              </w:rPr>
            </w:pPr>
            <w:r>
              <w:rPr>
                <w:rFonts w:hint="eastAsia"/>
                <w:b/>
              </w:rPr>
              <w:t>二、地表水环境质量影响分析</w:t>
            </w:r>
          </w:p>
          <w:p>
            <w:pPr>
              <w:spacing w:line="360" w:lineRule="auto"/>
              <w:ind w:firstLine="482" w:firstLineChars="200"/>
              <w:outlineLvl w:val="1"/>
              <w:rPr>
                <w:rFonts w:ascii="宋体"/>
                <w:b/>
                <w:bCs/>
                <w:sz w:val="24"/>
                <w:szCs w:val="24"/>
              </w:rPr>
            </w:pPr>
            <w:r>
              <w:rPr>
                <w:rFonts w:ascii="宋体" w:hAnsi="宋体"/>
                <w:b/>
                <w:bCs/>
                <w:sz w:val="24"/>
                <w:szCs w:val="24"/>
              </w:rPr>
              <w:t>1</w:t>
            </w:r>
            <w:r>
              <w:rPr>
                <w:rFonts w:hint="eastAsia" w:ascii="宋体" w:hAnsi="宋体"/>
                <w:b/>
                <w:bCs/>
                <w:sz w:val="24"/>
                <w:szCs w:val="24"/>
              </w:rPr>
              <w:t>、评价工作等级</w:t>
            </w:r>
          </w:p>
          <w:p>
            <w:pPr>
              <w:pStyle w:val="114"/>
            </w:pPr>
            <w:r>
              <w:rPr>
                <w:rFonts w:hint="eastAsia"/>
              </w:rPr>
              <w:t>本工程新增排水量</w:t>
            </w:r>
            <w:r>
              <w:t>1.5</w:t>
            </w:r>
            <w:r>
              <w:rPr>
                <w:rFonts w:hint="eastAsia"/>
              </w:rPr>
              <w:t>万</w:t>
            </w:r>
            <w:r>
              <w:t>m</w:t>
            </w:r>
            <w:r>
              <w:rPr>
                <w:vertAlign w:val="superscript"/>
              </w:rPr>
              <w:t>3</w:t>
            </w:r>
            <w:r>
              <w:t>/d</w:t>
            </w:r>
            <w:r>
              <w:rPr>
                <w:rFonts w:hint="eastAsia"/>
              </w:rPr>
              <w:t>，尾水直接排入潭榄溪。本项目主要排放污染物包括</w:t>
            </w:r>
            <w:r>
              <w:t>COD</w:t>
            </w:r>
            <w:r>
              <w:rPr>
                <w:rFonts w:hint="eastAsia"/>
              </w:rPr>
              <w:t>、</w:t>
            </w:r>
            <w:r>
              <w:t>BOD</w:t>
            </w:r>
            <w:r>
              <w:rPr>
                <w:rFonts w:hint="eastAsia"/>
              </w:rPr>
              <w:t>、</w:t>
            </w:r>
            <w:r>
              <w:t>SS</w:t>
            </w:r>
            <w:r>
              <w:rPr>
                <w:rFonts w:hint="eastAsia"/>
              </w:rPr>
              <w:t>、</w:t>
            </w:r>
            <w:r>
              <w:t>NH</w:t>
            </w:r>
            <w:r>
              <w:rPr>
                <w:vertAlign w:val="subscript"/>
              </w:rPr>
              <w:t>3</w:t>
            </w:r>
            <w:r>
              <w:t>-N</w:t>
            </w:r>
            <w:r>
              <w:rPr>
                <w:rFonts w:hint="eastAsia"/>
              </w:rPr>
              <w:t>、</w:t>
            </w:r>
            <w:r>
              <w:t>TP</w:t>
            </w:r>
            <w:r>
              <w:rPr>
                <w:rFonts w:hint="eastAsia"/>
              </w:rPr>
              <w:t>、</w:t>
            </w:r>
            <w:r>
              <w:t>TN</w:t>
            </w:r>
            <w:r>
              <w:rPr>
                <w:rFonts w:hint="eastAsia"/>
              </w:rPr>
              <w:t>等，不排放第一类水污染物，最大水污染物当量</w:t>
            </w:r>
            <w:r>
              <w:t>W</w:t>
            </w:r>
            <w:r>
              <w:rPr>
                <w:vertAlign w:val="subscript"/>
              </w:rPr>
              <w:t>COD</w:t>
            </w:r>
            <w:r>
              <w:t>=273750</w:t>
            </w:r>
            <w:r>
              <w:rPr>
                <w:rFonts w:hint="eastAsia"/>
              </w:rPr>
              <w:t>；根据《环境影响评价技术导则地表水环境》（</w:t>
            </w:r>
            <w:r>
              <w:t>HJ/T2.3-2018</w:t>
            </w:r>
            <w:r>
              <w:rPr>
                <w:rFonts w:hint="eastAsia"/>
              </w:rPr>
              <w:t>），本项目地表水环境影响评价等级判定见表</w:t>
            </w:r>
            <w:r>
              <w:t>6-10</w:t>
            </w:r>
            <w:r>
              <w:rPr>
                <w:rFonts w:hint="eastAsia"/>
              </w:rPr>
              <w:t>。</w:t>
            </w:r>
          </w:p>
          <w:p>
            <w:pPr>
              <w:pStyle w:val="106"/>
              <w:ind w:firstLine="708"/>
              <w:rPr>
                <w:sz w:val="24"/>
                <w:szCs w:val="24"/>
              </w:rPr>
            </w:pPr>
            <w:r>
              <w:rPr>
                <w:rFonts w:hint="eastAsia"/>
                <w:sz w:val="24"/>
                <w:szCs w:val="24"/>
              </w:rPr>
              <w:t>表</w:t>
            </w:r>
            <w:r>
              <w:rPr>
                <w:sz w:val="24"/>
                <w:szCs w:val="24"/>
              </w:rPr>
              <w:t xml:space="preserve">6-10   </w:t>
            </w:r>
            <w:r>
              <w:rPr>
                <w:rFonts w:hint="eastAsia"/>
                <w:sz w:val="24"/>
                <w:szCs w:val="24"/>
              </w:rPr>
              <w:t>地表水环境影响评价分级判断依据</w:t>
            </w:r>
          </w:p>
          <w:tbl>
            <w:tblPr>
              <w:tblStyle w:val="37"/>
              <w:tblW w:w="950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1"/>
              <w:gridCol w:w="2000"/>
              <w:gridCol w:w="55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921" w:type="dxa"/>
                  <w:vMerge w:val="restart"/>
                  <w:tcBorders>
                    <w:top w:val="single" w:color="auto" w:sz="12" w:space="0"/>
                    <w:left w:val="single" w:color="auto" w:sz="12" w:space="0"/>
                    <w:bottom w:val="single" w:color="auto" w:sz="6" w:space="0"/>
                    <w:right w:val="single" w:color="auto" w:sz="6" w:space="0"/>
                  </w:tcBorders>
                  <w:vAlign w:val="center"/>
                </w:tcPr>
                <w:p>
                  <w:pPr>
                    <w:pStyle w:val="109"/>
                    <w:rPr>
                      <w:color w:val="auto"/>
                    </w:rPr>
                  </w:pPr>
                  <w:r>
                    <w:rPr>
                      <w:rFonts w:hint="eastAsia"/>
                      <w:color w:val="auto"/>
                    </w:rPr>
                    <w:t>评价等级</w:t>
                  </w:r>
                </w:p>
              </w:tc>
              <w:tc>
                <w:tcPr>
                  <w:tcW w:w="7588" w:type="dxa"/>
                  <w:gridSpan w:val="2"/>
                  <w:tcBorders>
                    <w:top w:val="single" w:color="auto" w:sz="12" w:space="0"/>
                    <w:left w:val="single" w:color="auto" w:sz="6" w:space="0"/>
                    <w:bottom w:val="single" w:color="auto" w:sz="6" w:space="0"/>
                    <w:right w:val="single" w:color="auto" w:sz="12" w:space="0"/>
                  </w:tcBorders>
                  <w:vAlign w:val="center"/>
                </w:tcPr>
                <w:p>
                  <w:pPr>
                    <w:pStyle w:val="109"/>
                    <w:rPr>
                      <w:color w:val="auto"/>
                    </w:rPr>
                  </w:pPr>
                  <w:r>
                    <w:rPr>
                      <w:rFonts w:hint="eastAsia"/>
                      <w:color w:val="auto"/>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921" w:type="dxa"/>
                  <w:vMerge w:val="continue"/>
                  <w:tcBorders>
                    <w:top w:val="single" w:color="auto" w:sz="6" w:space="0"/>
                    <w:left w:val="single" w:color="auto" w:sz="12" w:space="0"/>
                    <w:bottom w:val="double" w:color="auto" w:sz="4" w:space="0"/>
                    <w:right w:val="single" w:color="auto" w:sz="6" w:space="0"/>
                  </w:tcBorders>
                  <w:vAlign w:val="center"/>
                </w:tcPr>
                <w:p>
                  <w:pPr>
                    <w:pStyle w:val="109"/>
                    <w:rPr>
                      <w:color w:val="auto"/>
                    </w:rPr>
                  </w:pPr>
                </w:p>
              </w:tc>
              <w:tc>
                <w:tcPr>
                  <w:tcW w:w="2000" w:type="dxa"/>
                  <w:tcBorders>
                    <w:top w:val="single" w:color="auto" w:sz="6" w:space="0"/>
                    <w:left w:val="single" w:color="auto" w:sz="6" w:space="0"/>
                    <w:bottom w:val="double" w:color="auto" w:sz="4" w:space="0"/>
                    <w:right w:val="single" w:color="auto" w:sz="6" w:space="0"/>
                  </w:tcBorders>
                  <w:vAlign w:val="center"/>
                </w:tcPr>
                <w:p>
                  <w:pPr>
                    <w:pStyle w:val="109"/>
                    <w:rPr>
                      <w:color w:val="auto"/>
                    </w:rPr>
                  </w:pPr>
                  <w:r>
                    <w:rPr>
                      <w:rFonts w:hint="eastAsia"/>
                      <w:color w:val="auto"/>
                    </w:rPr>
                    <w:t>排放方式</w:t>
                  </w:r>
                </w:p>
              </w:tc>
              <w:tc>
                <w:tcPr>
                  <w:tcW w:w="5588" w:type="dxa"/>
                  <w:tcBorders>
                    <w:top w:val="single" w:color="auto" w:sz="6" w:space="0"/>
                    <w:left w:val="single" w:color="auto" w:sz="6" w:space="0"/>
                    <w:bottom w:val="double" w:color="auto" w:sz="4" w:space="0"/>
                    <w:right w:val="single" w:color="auto" w:sz="12" w:space="0"/>
                  </w:tcBorders>
                  <w:vAlign w:val="center"/>
                </w:tcPr>
                <w:p>
                  <w:pPr>
                    <w:pStyle w:val="109"/>
                    <w:rPr>
                      <w:color w:val="auto"/>
                    </w:rPr>
                  </w:pPr>
                  <w:r>
                    <w:rPr>
                      <w:rFonts w:hint="eastAsia"/>
                      <w:color w:val="auto"/>
                    </w:rPr>
                    <w:t>废水排放量</w:t>
                  </w:r>
                  <w:r>
                    <w:rPr>
                      <w:color w:val="auto"/>
                    </w:rPr>
                    <w:t>Q/</w:t>
                  </w:r>
                  <w:r>
                    <w:rPr>
                      <w:rFonts w:hint="eastAsia"/>
                      <w:color w:val="auto"/>
                    </w:rPr>
                    <w:t>（</w:t>
                  </w:r>
                  <w:r>
                    <w:rPr>
                      <w:color w:val="auto"/>
                    </w:rPr>
                    <w:t>m</w:t>
                  </w:r>
                  <w:r>
                    <w:rPr>
                      <w:color w:val="auto"/>
                      <w:vertAlign w:val="superscript"/>
                    </w:rPr>
                    <w:t>3</w:t>
                  </w:r>
                  <w:r>
                    <w:rPr>
                      <w:color w:val="auto"/>
                    </w:rPr>
                    <w:t>/d</w:t>
                  </w:r>
                  <w:r>
                    <w:rPr>
                      <w:rFonts w:hint="eastAsia"/>
                      <w:color w:val="auto"/>
                    </w:rPr>
                    <w:t>）；水污染物当量数</w:t>
                  </w:r>
                  <w:r>
                    <w:rPr>
                      <w:color w:val="auto"/>
                    </w:rPr>
                    <w:t>W/</w:t>
                  </w:r>
                  <w:r>
                    <w:rPr>
                      <w:rFonts w:hint="eastAsia"/>
                      <w:color w:val="auto"/>
                    </w:rPr>
                    <w:t>（量纲一）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921" w:type="dxa"/>
                  <w:tcBorders>
                    <w:top w:val="double" w:color="auto" w:sz="4" w:space="0"/>
                    <w:left w:val="single" w:color="auto" w:sz="12" w:space="0"/>
                    <w:bottom w:val="single" w:color="auto" w:sz="6" w:space="0"/>
                    <w:right w:val="single" w:color="auto" w:sz="6" w:space="0"/>
                  </w:tcBorders>
                  <w:vAlign w:val="center"/>
                </w:tcPr>
                <w:p>
                  <w:pPr>
                    <w:pStyle w:val="109"/>
                    <w:rPr>
                      <w:color w:val="auto"/>
                    </w:rPr>
                  </w:pPr>
                  <w:r>
                    <w:rPr>
                      <w:rFonts w:hint="eastAsia"/>
                      <w:color w:val="auto"/>
                    </w:rPr>
                    <w:t>一级</w:t>
                  </w:r>
                </w:p>
              </w:tc>
              <w:tc>
                <w:tcPr>
                  <w:tcW w:w="2000"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rFonts w:hint="eastAsia"/>
                      <w:color w:val="auto"/>
                    </w:rPr>
                    <w:t>直接排放</w:t>
                  </w:r>
                </w:p>
              </w:tc>
              <w:tc>
                <w:tcPr>
                  <w:tcW w:w="5588" w:type="dxa"/>
                  <w:tcBorders>
                    <w:top w:val="double" w:color="auto" w:sz="4" w:space="0"/>
                    <w:left w:val="single" w:color="auto" w:sz="6" w:space="0"/>
                    <w:bottom w:val="single" w:color="auto" w:sz="6" w:space="0"/>
                    <w:right w:val="single" w:color="auto" w:sz="12" w:space="0"/>
                  </w:tcBorders>
                  <w:vAlign w:val="center"/>
                </w:tcPr>
                <w:p>
                  <w:pPr>
                    <w:pStyle w:val="109"/>
                    <w:rPr>
                      <w:color w:val="auto"/>
                    </w:rPr>
                  </w:pPr>
                  <w:r>
                    <w:rPr>
                      <w:color w:val="auto"/>
                    </w:rPr>
                    <w:t>Q</w:t>
                  </w:r>
                  <w:r>
                    <w:rPr>
                      <w:rFonts w:hint="eastAsia"/>
                      <w:color w:val="auto"/>
                    </w:rPr>
                    <w:t>≧</w:t>
                  </w:r>
                  <w:r>
                    <w:rPr>
                      <w:color w:val="auto"/>
                    </w:rPr>
                    <w:t xml:space="preserve">20000 </w:t>
                  </w:r>
                  <w:r>
                    <w:rPr>
                      <w:rFonts w:hint="eastAsia"/>
                      <w:color w:val="auto"/>
                    </w:rPr>
                    <w:t>或</w:t>
                  </w:r>
                  <w:r>
                    <w:rPr>
                      <w:color w:val="auto"/>
                    </w:rPr>
                    <w:t>W</w:t>
                  </w:r>
                  <w:r>
                    <w:rPr>
                      <w:rFonts w:hint="eastAsia"/>
                      <w:color w:val="auto"/>
                    </w:rPr>
                    <w:t>≧</w:t>
                  </w:r>
                  <w:r>
                    <w:rPr>
                      <w:color w:val="auto"/>
                    </w:rPr>
                    <w:t>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921"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rFonts w:hint="eastAsia"/>
                      <w:color w:val="auto"/>
                    </w:rPr>
                    <w:t>二级</w:t>
                  </w:r>
                </w:p>
              </w:tc>
              <w:tc>
                <w:tcPr>
                  <w:tcW w:w="2000"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rFonts w:hint="eastAsia"/>
                      <w:color w:val="auto"/>
                    </w:rPr>
                    <w:t>直接排放</w:t>
                  </w:r>
                </w:p>
              </w:tc>
              <w:tc>
                <w:tcPr>
                  <w:tcW w:w="5588" w:type="dxa"/>
                  <w:tcBorders>
                    <w:top w:val="single" w:color="auto" w:sz="6" w:space="0"/>
                    <w:left w:val="single" w:color="auto" w:sz="6" w:space="0"/>
                    <w:bottom w:val="single" w:color="auto" w:sz="6" w:space="0"/>
                    <w:right w:val="single" w:color="auto" w:sz="12" w:space="0"/>
                  </w:tcBorders>
                  <w:vAlign w:val="center"/>
                </w:tcPr>
                <w:p>
                  <w:pPr>
                    <w:pStyle w:val="109"/>
                    <w:rPr>
                      <w:b/>
                      <w:bCs/>
                      <w:color w:val="auto"/>
                    </w:rPr>
                  </w:pPr>
                  <w:r>
                    <w:rPr>
                      <w:color w:val="auto"/>
                    </w:rPr>
                    <w:tab/>
                  </w:r>
                  <w:r>
                    <w:rPr>
                      <w:rFonts w:hint="eastAsia"/>
                      <w:b/>
                      <w:bCs/>
                      <w:color w:val="auto"/>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921"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rFonts w:hint="eastAsia"/>
                      <w:color w:val="auto"/>
                    </w:rPr>
                    <w:t>三级</w:t>
                  </w:r>
                  <w:r>
                    <w:rPr>
                      <w:color w:val="auto"/>
                    </w:rPr>
                    <w:t>A</w:t>
                  </w:r>
                </w:p>
              </w:tc>
              <w:tc>
                <w:tcPr>
                  <w:tcW w:w="2000"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rFonts w:hint="eastAsia"/>
                      <w:color w:val="auto"/>
                    </w:rPr>
                    <w:t>直接排放</w:t>
                  </w:r>
                </w:p>
              </w:tc>
              <w:tc>
                <w:tcPr>
                  <w:tcW w:w="5588"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Q&lt;200 </w:t>
                  </w:r>
                  <w:r>
                    <w:rPr>
                      <w:rFonts w:hint="eastAsia"/>
                      <w:color w:val="auto"/>
                    </w:rPr>
                    <w:t>且</w:t>
                  </w:r>
                  <w:r>
                    <w:rPr>
                      <w:color w:val="auto"/>
                    </w:rPr>
                    <w:t>W&lt;6000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921" w:type="dxa"/>
                  <w:tcBorders>
                    <w:top w:val="single" w:color="auto" w:sz="6" w:space="0"/>
                    <w:left w:val="single" w:color="auto" w:sz="12" w:space="0"/>
                    <w:bottom w:val="single" w:color="auto" w:sz="12" w:space="0"/>
                    <w:right w:val="single" w:color="auto" w:sz="6" w:space="0"/>
                  </w:tcBorders>
                  <w:vAlign w:val="center"/>
                </w:tcPr>
                <w:p>
                  <w:pPr>
                    <w:pStyle w:val="109"/>
                    <w:rPr>
                      <w:color w:val="auto"/>
                    </w:rPr>
                  </w:pPr>
                  <w:r>
                    <w:rPr>
                      <w:rFonts w:hint="eastAsia"/>
                      <w:color w:val="auto"/>
                    </w:rPr>
                    <w:t>三级</w:t>
                  </w:r>
                  <w:r>
                    <w:rPr>
                      <w:color w:val="auto"/>
                    </w:rPr>
                    <w:t>B</w:t>
                  </w:r>
                </w:p>
              </w:tc>
              <w:tc>
                <w:tcPr>
                  <w:tcW w:w="2000"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rFonts w:hint="eastAsia"/>
                      <w:color w:val="auto"/>
                    </w:rPr>
                    <w:t>间接排放</w:t>
                  </w:r>
                </w:p>
              </w:tc>
              <w:tc>
                <w:tcPr>
                  <w:tcW w:w="5588" w:type="dxa"/>
                  <w:tcBorders>
                    <w:top w:val="single" w:color="auto" w:sz="6" w:space="0"/>
                    <w:left w:val="single" w:color="auto" w:sz="6" w:space="0"/>
                    <w:bottom w:val="single" w:color="auto" w:sz="12" w:space="0"/>
                    <w:right w:val="single" w:color="auto" w:sz="12" w:space="0"/>
                  </w:tcBorders>
                  <w:vAlign w:val="center"/>
                </w:tcPr>
                <w:p>
                  <w:pPr>
                    <w:pStyle w:val="109"/>
                    <w:rPr>
                      <w:color w:val="auto"/>
                    </w:rPr>
                  </w:pPr>
                  <w:r>
                    <w:rPr>
                      <w:color w:val="auto"/>
                    </w:rPr>
                    <w:t>—</w:t>
                  </w:r>
                </w:p>
              </w:tc>
            </w:tr>
          </w:tbl>
          <w:p>
            <w:pPr>
              <w:pStyle w:val="114"/>
            </w:pPr>
            <w:r>
              <w:rPr>
                <w:rFonts w:hint="eastAsia"/>
              </w:rPr>
              <w:t>根据《环境影响评价技术导则地表水环境》（</w:t>
            </w:r>
            <w:r>
              <w:t>HJ/T2.3-2018</w:t>
            </w:r>
            <w:r>
              <w:rPr>
                <w:rFonts w:hint="eastAsia"/>
              </w:rPr>
              <w:t>）的有关规定，确定本项目地表水环境评价等级为二级评价。</w:t>
            </w:r>
          </w:p>
          <w:p>
            <w:pPr>
              <w:pStyle w:val="114"/>
              <w:ind w:firstLine="482"/>
              <w:rPr>
                <w:b/>
              </w:rPr>
            </w:pPr>
            <w:r>
              <w:rPr>
                <w:b/>
              </w:rPr>
              <w:t>2</w:t>
            </w:r>
            <w:r>
              <w:rPr>
                <w:rFonts w:hint="eastAsia"/>
                <w:b/>
              </w:rPr>
              <w:t>、评价标准</w:t>
            </w:r>
          </w:p>
          <w:p>
            <w:pPr>
              <w:pStyle w:val="114"/>
            </w:pPr>
            <w:r>
              <w:rPr>
                <w:rFonts w:hint="eastAsia"/>
              </w:rPr>
              <w:t>评价河段执行《地表水环境质量标准》（</w:t>
            </w:r>
            <w:r>
              <w:t>GB3838-2002</w:t>
            </w:r>
            <w:r>
              <w:rPr>
                <w:rFonts w:hint="eastAsia"/>
              </w:rPr>
              <w:t>）Ⅳ类标准，标准限值</w:t>
            </w:r>
            <w:r>
              <w:t>COD 30mg/L</w:t>
            </w:r>
            <w:r>
              <w:rPr>
                <w:rFonts w:hint="eastAsia"/>
              </w:rPr>
              <w:t>、</w:t>
            </w:r>
            <w:r>
              <w:t>NH</w:t>
            </w:r>
            <w:r>
              <w:rPr>
                <w:vertAlign w:val="subscript"/>
              </w:rPr>
              <w:t>3</w:t>
            </w:r>
            <w:r>
              <w:t>-N1.5mg/L</w:t>
            </w:r>
            <w:r>
              <w:rPr>
                <w:rFonts w:hint="eastAsia"/>
              </w:rPr>
              <w:t>。</w:t>
            </w:r>
          </w:p>
          <w:p>
            <w:pPr>
              <w:pStyle w:val="114"/>
              <w:ind w:firstLine="482"/>
              <w:rPr>
                <w:b/>
              </w:rPr>
            </w:pPr>
            <w:r>
              <w:rPr>
                <w:b/>
              </w:rPr>
              <w:t>3</w:t>
            </w:r>
            <w:r>
              <w:rPr>
                <w:rFonts w:hint="eastAsia"/>
                <w:b/>
              </w:rPr>
              <w:t>、水污染物削减情况</w:t>
            </w:r>
          </w:p>
          <w:p>
            <w:pPr>
              <w:pStyle w:val="114"/>
            </w:pPr>
            <w:r>
              <w:rPr>
                <w:rFonts w:hint="eastAsia"/>
              </w:rPr>
              <w:t>本项目完工后，定城污水处理厂污水处理规模将达到</w:t>
            </w:r>
            <w:r>
              <w:t>3</w:t>
            </w:r>
            <w:r>
              <w:rPr>
                <w:rFonts w:hint="eastAsia"/>
              </w:rPr>
              <w:t>万吨</w:t>
            </w:r>
            <w:r>
              <w:t>/</w:t>
            </w:r>
            <w:r>
              <w:rPr>
                <w:rFonts w:hint="eastAsia"/>
              </w:rPr>
              <w:t>日。污水处理厂本身是一个环境保护项目，其环境效益主要体现在地表水中污染物的削减，它的建成对改善定安县城区地表水环境和区域地表水潭榄溪、南渡江水质必将产生积极作用。</w:t>
            </w:r>
          </w:p>
          <w:p>
            <w:pPr>
              <w:pStyle w:val="114"/>
            </w:pPr>
            <w:r>
              <w:rPr>
                <w:rFonts w:hint="eastAsia"/>
              </w:rPr>
              <w:t>本工程投入运行后，污水经处理后达到《城镇污水处理厂污染物排放标准》（</w:t>
            </w:r>
            <w:r>
              <w:t>GB18918-2002</w:t>
            </w:r>
            <w:r>
              <w:rPr>
                <w:rFonts w:hint="eastAsia"/>
              </w:rPr>
              <w:t>）一级</w:t>
            </w:r>
            <w:r>
              <w:t>A</w:t>
            </w:r>
            <w:r>
              <w:rPr>
                <w:rFonts w:hint="eastAsia"/>
              </w:rPr>
              <w:t>标准要求后排入潭榄溪，二期工程新增排水量</w:t>
            </w:r>
            <w:r>
              <w:t>1.5</w:t>
            </w:r>
            <w:r>
              <w:rPr>
                <w:rFonts w:hint="eastAsia"/>
              </w:rPr>
              <w:t>万</w:t>
            </w:r>
            <w:r>
              <w:t>m</w:t>
            </w:r>
            <w:r>
              <w:rPr>
                <w:vertAlign w:val="superscript"/>
              </w:rPr>
              <w:t>3</w:t>
            </w:r>
            <w:r>
              <w:t>/d</w:t>
            </w:r>
            <w:r>
              <w:rPr>
                <w:rFonts w:hint="eastAsia"/>
              </w:rPr>
              <w:t>。尾水中预计主要污染物排放情况和削减量见表</w:t>
            </w:r>
            <w:r>
              <w:t>6-11</w:t>
            </w:r>
            <w:r>
              <w:rPr>
                <w:rFonts w:hint="eastAsia"/>
              </w:rPr>
              <w:t>：</w:t>
            </w:r>
          </w:p>
          <w:p>
            <w:pPr>
              <w:pStyle w:val="111"/>
            </w:pPr>
            <w:r>
              <w:rPr>
                <w:rFonts w:hint="eastAsia"/>
              </w:rPr>
              <w:t>表</w:t>
            </w:r>
            <w:r>
              <w:t>6-11</w:t>
            </w:r>
            <w:r>
              <w:rPr>
                <w:rFonts w:hint="eastAsia"/>
              </w:rPr>
              <w:t>尾水排放情况及污染物削减量</w:t>
            </w:r>
          </w:p>
          <w:tbl>
            <w:tblPr>
              <w:tblStyle w:val="37"/>
              <w:tblW w:w="94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233"/>
              <w:gridCol w:w="1619"/>
              <w:gridCol w:w="1233"/>
              <w:gridCol w:w="1619"/>
              <w:gridCol w:w="1744"/>
              <w:gridCol w:w="11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2" w:type="dxa"/>
                  <w:vMerge w:val="restart"/>
                  <w:tcBorders>
                    <w:top w:val="single" w:color="auto" w:sz="12" w:space="0"/>
                    <w:left w:val="single" w:color="auto" w:sz="12" w:space="0"/>
                    <w:bottom w:val="single" w:color="auto" w:sz="6" w:space="0"/>
                    <w:right w:val="single" w:color="auto" w:sz="6" w:space="0"/>
                  </w:tcBorders>
                  <w:vAlign w:val="center"/>
                </w:tcPr>
                <w:p>
                  <w:pPr>
                    <w:pStyle w:val="77"/>
                  </w:pPr>
                  <w:r>
                    <w:rPr>
                      <w:rFonts w:hint="eastAsia"/>
                    </w:rPr>
                    <w:t>项目</w:t>
                  </w:r>
                </w:p>
              </w:tc>
              <w:tc>
                <w:tcPr>
                  <w:tcW w:w="2852" w:type="dxa"/>
                  <w:gridSpan w:val="2"/>
                  <w:tcBorders>
                    <w:top w:val="single" w:color="auto" w:sz="12" w:space="0"/>
                    <w:left w:val="single" w:color="auto" w:sz="6" w:space="0"/>
                    <w:bottom w:val="single" w:color="auto" w:sz="6" w:space="0"/>
                    <w:right w:val="single" w:color="auto" w:sz="6" w:space="0"/>
                  </w:tcBorders>
                  <w:vAlign w:val="center"/>
                </w:tcPr>
                <w:p>
                  <w:pPr>
                    <w:pStyle w:val="77"/>
                  </w:pPr>
                  <w:r>
                    <w:rPr>
                      <w:rFonts w:hint="eastAsia"/>
                    </w:rPr>
                    <w:t>进水</w:t>
                  </w:r>
                </w:p>
              </w:tc>
              <w:tc>
                <w:tcPr>
                  <w:tcW w:w="2852" w:type="dxa"/>
                  <w:gridSpan w:val="2"/>
                  <w:tcBorders>
                    <w:top w:val="single" w:color="auto" w:sz="12" w:space="0"/>
                    <w:left w:val="single" w:color="auto" w:sz="6" w:space="0"/>
                    <w:bottom w:val="single" w:color="auto" w:sz="6" w:space="0"/>
                    <w:right w:val="single" w:color="auto" w:sz="6" w:space="0"/>
                  </w:tcBorders>
                  <w:vAlign w:val="center"/>
                </w:tcPr>
                <w:p>
                  <w:pPr>
                    <w:pStyle w:val="77"/>
                  </w:pPr>
                  <w:r>
                    <w:rPr>
                      <w:rFonts w:hint="eastAsia"/>
                    </w:rPr>
                    <w:t>出水</w:t>
                  </w:r>
                </w:p>
              </w:tc>
              <w:tc>
                <w:tcPr>
                  <w:tcW w:w="1744" w:type="dxa"/>
                  <w:vMerge w:val="restart"/>
                  <w:tcBorders>
                    <w:top w:val="single" w:color="auto" w:sz="12" w:space="0"/>
                    <w:left w:val="single" w:color="auto" w:sz="6" w:space="0"/>
                    <w:bottom w:val="single" w:color="auto" w:sz="6" w:space="0"/>
                    <w:right w:val="single" w:color="auto" w:sz="6" w:space="0"/>
                  </w:tcBorders>
                  <w:vAlign w:val="center"/>
                </w:tcPr>
                <w:p>
                  <w:pPr>
                    <w:pStyle w:val="77"/>
                  </w:pPr>
                  <w:r>
                    <w:rPr>
                      <w:rFonts w:hint="eastAsia"/>
                    </w:rPr>
                    <w:t>污染物削减总量</w:t>
                  </w:r>
                  <w:r>
                    <w:t>(t/a)</w:t>
                  </w:r>
                </w:p>
              </w:tc>
              <w:tc>
                <w:tcPr>
                  <w:tcW w:w="1144" w:type="dxa"/>
                  <w:vMerge w:val="restart"/>
                  <w:tcBorders>
                    <w:top w:val="single" w:color="auto" w:sz="12" w:space="0"/>
                    <w:left w:val="single" w:color="auto" w:sz="6" w:space="0"/>
                    <w:bottom w:val="single" w:color="auto" w:sz="6" w:space="0"/>
                    <w:right w:val="single" w:color="auto" w:sz="12" w:space="0"/>
                  </w:tcBorders>
                  <w:vAlign w:val="center"/>
                </w:tcPr>
                <w:p>
                  <w:pPr>
                    <w:pStyle w:val="77"/>
                  </w:pPr>
                  <w:r>
                    <w:rPr>
                      <w:rFonts w:hint="eastAsia"/>
                    </w:rPr>
                    <w:t>削减率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2" w:type="dxa"/>
                  <w:vMerge w:val="continue"/>
                  <w:tcBorders>
                    <w:top w:val="single" w:color="auto" w:sz="6" w:space="0"/>
                    <w:left w:val="single" w:color="auto" w:sz="12" w:space="0"/>
                    <w:bottom w:val="double" w:color="auto" w:sz="4" w:space="0"/>
                    <w:right w:val="single" w:color="auto" w:sz="6" w:space="0"/>
                  </w:tcBorders>
                  <w:vAlign w:val="center"/>
                </w:tcPr>
                <w:p>
                  <w:pPr>
                    <w:pStyle w:val="77"/>
                  </w:pPr>
                </w:p>
              </w:tc>
              <w:tc>
                <w:tcPr>
                  <w:tcW w:w="1233" w:type="dxa"/>
                  <w:tcBorders>
                    <w:top w:val="single" w:color="auto" w:sz="6" w:space="0"/>
                    <w:left w:val="single" w:color="auto" w:sz="6" w:space="0"/>
                    <w:bottom w:val="double" w:color="auto" w:sz="4" w:space="0"/>
                    <w:right w:val="single" w:color="auto" w:sz="6" w:space="0"/>
                  </w:tcBorders>
                  <w:vAlign w:val="center"/>
                </w:tcPr>
                <w:p>
                  <w:pPr>
                    <w:pStyle w:val="77"/>
                  </w:pPr>
                  <w:r>
                    <w:rPr>
                      <w:rFonts w:hint="eastAsia"/>
                    </w:rPr>
                    <w:t>浓度</w:t>
                  </w:r>
                  <w:r>
                    <w:t>(mg/L)</w:t>
                  </w:r>
                </w:p>
              </w:tc>
              <w:tc>
                <w:tcPr>
                  <w:tcW w:w="1619" w:type="dxa"/>
                  <w:tcBorders>
                    <w:top w:val="single" w:color="auto" w:sz="6" w:space="0"/>
                    <w:left w:val="single" w:color="auto" w:sz="6" w:space="0"/>
                    <w:bottom w:val="double" w:color="auto" w:sz="4" w:space="0"/>
                    <w:right w:val="single" w:color="auto" w:sz="6" w:space="0"/>
                  </w:tcBorders>
                  <w:vAlign w:val="center"/>
                </w:tcPr>
                <w:p>
                  <w:pPr>
                    <w:pStyle w:val="77"/>
                  </w:pPr>
                  <w:r>
                    <w:rPr>
                      <w:rFonts w:hint="eastAsia"/>
                    </w:rPr>
                    <w:t>污染物总量</w:t>
                  </w:r>
                  <w:r>
                    <w:t>(t/a)</w:t>
                  </w:r>
                </w:p>
              </w:tc>
              <w:tc>
                <w:tcPr>
                  <w:tcW w:w="1233" w:type="dxa"/>
                  <w:tcBorders>
                    <w:top w:val="single" w:color="auto" w:sz="6" w:space="0"/>
                    <w:left w:val="single" w:color="auto" w:sz="6" w:space="0"/>
                    <w:bottom w:val="double" w:color="auto" w:sz="4" w:space="0"/>
                    <w:right w:val="single" w:color="auto" w:sz="6" w:space="0"/>
                  </w:tcBorders>
                  <w:vAlign w:val="center"/>
                </w:tcPr>
                <w:p>
                  <w:pPr>
                    <w:pStyle w:val="77"/>
                  </w:pPr>
                  <w:r>
                    <w:rPr>
                      <w:rFonts w:hint="eastAsia"/>
                    </w:rPr>
                    <w:t>浓度</w:t>
                  </w:r>
                  <w:r>
                    <w:t>(mg/L)</w:t>
                  </w:r>
                </w:p>
              </w:tc>
              <w:tc>
                <w:tcPr>
                  <w:tcW w:w="1619" w:type="dxa"/>
                  <w:tcBorders>
                    <w:top w:val="single" w:color="auto" w:sz="6" w:space="0"/>
                    <w:left w:val="single" w:color="auto" w:sz="6" w:space="0"/>
                    <w:bottom w:val="double" w:color="auto" w:sz="4" w:space="0"/>
                    <w:right w:val="single" w:color="auto" w:sz="6" w:space="0"/>
                  </w:tcBorders>
                  <w:vAlign w:val="center"/>
                </w:tcPr>
                <w:p>
                  <w:pPr>
                    <w:pStyle w:val="77"/>
                  </w:pPr>
                  <w:r>
                    <w:rPr>
                      <w:rFonts w:hint="eastAsia"/>
                    </w:rPr>
                    <w:t>污染物总量</w:t>
                  </w:r>
                  <w:r>
                    <w:t>(t/a)</w:t>
                  </w:r>
                </w:p>
              </w:tc>
              <w:tc>
                <w:tcPr>
                  <w:tcW w:w="1744" w:type="dxa"/>
                  <w:vMerge w:val="continue"/>
                  <w:tcBorders>
                    <w:top w:val="single" w:color="auto" w:sz="6" w:space="0"/>
                    <w:left w:val="single" w:color="auto" w:sz="6" w:space="0"/>
                    <w:bottom w:val="double" w:color="auto" w:sz="4" w:space="0"/>
                    <w:right w:val="single" w:color="auto" w:sz="6" w:space="0"/>
                  </w:tcBorders>
                  <w:vAlign w:val="center"/>
                </w:tcPr>
                <w:p>
                  <w:pPr>
                    <w:pStyle w:val="77"/>
                  </w:pPr>
                </w:p>
              </w:tc>
              <w:tc>
                <w:tcPr>
                  <w:tcW w:w="1144" w:type="dxa"/>
                  <w:vMerge w:val="continue"/>
                  <w:tcBorders>
                    <w:top w:val="single" w:color="auto" w:sz="6" w:space="0"/>
                    <w:left w:val="single" w:color="auto" w:sz="6" w:space="0"/>
                    <w:bottom w:val="double" w:color="auto" w:sz="4" w:space="0"/>
                    <w:right w:val="single" w:color="auto" w:sz="12" w:space="0"/>
                  </w:tcBorders>
                  <w:vAlign w:val="center"/>
                </w:tcPr>
                <w:p>
                  <w:pPr>
                    <w:pStyle w:val="7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2" w:type="dxa"/>
                  <w:tcBorders>
                    <w:top w:val="double" w:color="auto" w:sz="4" w:space="0"/>
                    <w:left w:val="single" w:color="auto" w:sz="12" w:space="0"/>
                    <w:bottom w:val="single" w:color="auto" w:sz="6" w:space="0"/>
                    <w:right w:val="single" w:color="auto" w:sz="6" w:space="0"/>
                  </w:tcBorders>
                  <w:vAlign w:val="center"/>
                </w:tcPr>
                <w:p>
                  <w:pPr>
                    <w:pStyle w:val="77"/>
                  </w:pPr>
                  <w:r>
                    <w:t>COD</w:t>
                  </w:r>
                </w:p>
              </w:tc>
              <w:tc>
                <w:tcPr>
                  <w:tcW w:w="1233" w:type="dxa"/>
                  <w:tcBorders>
                    <w:top w:val="double" w:color="auto" w:sz="4" w:space="0"/>
                    <w:left w:val="single" w:color="auto" w:sz="6" w:space="0"/>
                    <w:bottom w:val="single" w:color="auto" w:sz="6" w:space="0"/>
                    <w:right w:val="single" w:color="auto" w:sz="6" w:space="0"/>
                  </w:tcBorders>
                  <w:vAlign w:val="center"/>
                </w:tcPr>
                <w:p>
                  <w:pPr>
                    <w:pStyle w:val="77"/>
                  </w:pPr>
                  <w:r>
                    <w:t>300</w:t>
                  </w:r>
                </w:p>
              </w:tc>
              <w:tc>
                <w:tcPr>
                  <w:tcW w:w="1619" w:type="dxa"/>
                  <w:tcBorders>
                    <w:top w:val="double" w:color="auto" w:sz="4" w:space="0"/>
                    <w:left w:val="single" w:color="auto" w:sz="6" w:space="0"/>
                    <w:bottom w:val="single" w:color="auto" w:sz="6" w:space="0"/>
                    <w:right w:val="single" w:color="auto" w:sz="6" w:space="0"/>
                  </w:tcBorders>
                  <w:vAlign w:val="center"/>
                </w:tcPr>
                <w:p>
                  <w:pPr>
                    <w:pStyle w:val="77"/>
                  </w:pPr>
                  <w:r>
                    <w:t>1642.5</w:t>
                  </w:r>
                </w:p>
              </w:tc>
              <w:tc>
                <w:tcPr>
                  <w:tcW w:w="1233" w:type="dxa"/>
                  <w:tcBorders>
                    <w:top w:val="double" w:color="auto" w:sz="4" w:space="0"/>
                    <w:left w:val="single" w:color="auto" w:sz="6" w:space="0"/>
                    <w:bottom w:val="single" w:color="auto" w:sz="6" w:space="0"/>
                    <w:right w:val="single" w:color="auto" w:sz="6" w:space="0"/>
                  </w:tcBorders>
                  <w:vAlign w:val="center"/>
                </w:tcPr>
                <w:p>
                  <w:pPr>
                    <w:pStyle w:val="77"/>
                  </w:pPr>
                  <w:r>
                    <w:t>50</w:t>
                  </w:r>
                </w:p>
              </w:tc>
              <w:tc>
                <w:tcPr>
                  <w:tcW w:w="1619" w:type="dxa"/>
                  <w:tcBorders>
                    <w:top w:val="double" w:color="auto" w:sz="4" w:space="0"/>
                    <w:left w:val="single" w:color="auto" w:sz="6" w:space="0"/>
                    <w:bottom w:val="single" w:color="auto" w:sz="6" w:space="0"/>
                    <w:right w:val="single" w:color="auto" w:sz="6" w:space="0"/>
                  </w:tcBorders>
                  <w:vAlign w:val="center"/>
                </w:tcPr>
                <w:p>
                  <w:pPr>
                    <w:pStyle w:val="77"/>
                  </w:pPr>
                  <w:r>
                    <w:t>273.75</w:t>
                  </w:r>
                </w:p>
              </w:tc>
              <w:tc>
                <w:tcPr>
                  <w:tcW w:w="1744" w:type="dxa"/>
                  <w:tcBorders>
                    <w:top w:val="double" w:color="auto" w:sz="4" w:space="0"/>
                    <w:left w:val="single" w:color="auto" w:sz="6" w:space="0"/>
                    <w:bottom w:val="single" w:color="auto" w:sz="6" w:space="0"/>
                    <w:right w:val="single" w:color="auto" w:sz="6" w:space="0"/>
                  </w:tcBorders>
                  <w:vAlign w:val="center"/>
                </w:tcPr>
                <w:p>
                  <w:pPr>
                    <w:pStyle w:val="77"/>
                  </w:pPr>
                  <w:r>
                    <w:t>1368.75</w:t>
                  </w:r>
                </w:p>
              </w:tc>
              <w:tc>
                <w:tcPr>
                  <w:tcW w:w="1144" w:type="dxa"/>
                  <w:tcBorders>
                    <w:top w:val="double" w:color="auto" w:sz="4" w:space="0"/>
                    <w:left w:val="single" w:color="auto" w:sz="6" w:space="0"/>
                    <w:bottom w:val="single" w:color="auto" w:sz="6" w:space="0"/>
                    <w:right w:val="single" w:color="auto" w:sz="12" w:space="0"/>
                  </w:tcBorders>
                  <w:vAlign w:val="center"/>
                </w:tcPr>
                <w:p>
                  <w:pPr>
                    <w:pStyle w:val="77"/>
                  </w:pPr>
                  <w:r>
                    <w:t>83.3%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2" w:type="dxa"/>
                  <w:tcBorders>
                    <w:top w:val="single" w:color="auto" w:sz="6" w:space="0"/>
                    <w:left w:val="single" w:color="auto" w:sz="12" w:space="0"/>
                    <w:bottom w:val="single" w:color="auto" w:sz="6" w:space="0"/>
                    <w:right w:val="single" w:color="auto" w:sz="6" w:space="0"/>
                  </w:tcBorders>
                  <w:vAlign w:val="center"/>
                </w:tcPr>
                <w:p>
                  <w:pPr>
                    <w:pStyle w:val="77"/>
                  </w:pPr>
                  <w:r>
                    <w:t>BOD</w:t>
                  </w:r>
                  <w:r>
                    <w:rPr>
                      <w:vertAlign w:val="subscript"/>
                    </w:rPr>
                    <w:t>5</w:t>
                  </w:r>
                </w:p>
              </w:tc>
              <w:tc>
                <w:tcPr>
                  <w:tcW w:w="1233" w:type="dxa"/>
                  <w:tcBorders>
                    <w:top w:val="single" w:color="auto" w:sz="6" w:space="0"/>
                    <w:left w:val="single" w:color="auto" w:sz="6" w:space="0"/>
                    <w:bottom w:val="single" w:color="auto" w:sz="6" w:space="0"/>
                    <w:right w:val="single" w:color="auto" w:sz="6" w:space="0"/>
                  </w:tcBorders>
                  <w:vAlign w:val="center"/>
                </w:tcPr>
                <w:p>
                  <w:pPr>
                    <w:pStyle w:val="77"/>
                  </w:pPr>
                  <w:r>
                    <w:t>150</w:t>
                  </w:r>
                </w:p>
              </w:tc>
              <w:tc>
                <w:tcPr>
                  <w:tcW w:w="1619" w:type="dxa"/>
                  <w:tcBorders>
                    <w:top w:val="single" w:color="auto" w:sz="6" w:space="0"/>
                    <w:left w:val="single" w:color="auto" w:sz="6" w:space="0"/>
                    <w:bottom w:val="single" w:color="auto" w:sz="6" w:space="0"/>
                    <w:right w:val="single" w:color="auto" w:sz="6" w:space="0"/>
                  </w:tcBorders>
                  <w:vAlign w:val="center"/>
                </w:tcPr>
                <w:p>
                  <w:pPr>
                    <w:pStyle w:val="77"/>
                  </w:pPr>
                  <w:r>
                    <w:t>821.25</w:t>
                  </w:r>
                </w:p>
              </w:tc>
              <w:tc>
                <w:tcPr>
                  <w:tcW w:w="1233" w:type="dxa"/>
                  <w:tcBorders>
                    <w:top w:val="single" w:color="auto" w:sz="6" w:space="0"/>
                    <w:left w:val="single" w:color="auto" w:sz="6" w:space="0"/>
                    <w:bottom w:val="single" w:color="auto" w:sz="6" w:space="0"/>
                    <w:right w:val="single" w:color="auto" w:sz="6" w:space="0"/>
                  </w:tcBorders>
                  <w:vAlign w:val="center"/>
                </w:tcPr>
                <w:p>
                  <w:pPr>
                    <w:pStyle w:val="77"/>
                  </w:pPr>
                  <w:r>
                    <w:t>10</w:t>
                  </w:r>
                </w:p>
              </w:tc>
              <w:tc>
                <w:tcPr>
                  <w:tcW w:w="1619" w:type="dxa"/>
                  <w:tcBorders>
                    <w:top w:val="single" w:color="auto" w:sz="6" w:space="0"/>
                    <w:left w:val="single" w:color="auto" w:sz="6" w:space="0"/>
                    <w:bottom w:val="single" w:color="auto" w:sz="6" w:space="0"/>
                    <w:right w:val="single" w:color="auto" w:sz="6" w:space="0"/>
                  </w:tcBorders>
                  <w:vAlign w:val="center"/>
                </w:tcPr>
                <w:p>
                  <w:pPr>
                    <w:pStyle w:val="77"/>
                  </w:pPr>
                  <w:r>
                    <w:t>54.75</w:t>
                  </w:r>
                </w:p>
              </w:tc>
              <w:tc>
                <w:tcPr>
                  <w:tcW w:w="1744" w:type="dxa"/>
                  <w:tcBorders>
                    <w:top w:val="single" w:color="auto" w:sz="6" w:space="0"/>
                    <w:left w:val="single" w:color="auto" w:sz="6" w:space="0"/>
                    <w:bottom w:val="single" w:color="auto" w:sz="6" w:space="0"/>
                    <w:right w:val="single" w:color="auto" w:sz="6" w:space="0"/>
                  </w:tcBorders>
                  <w:vAlign w:val="center"/>
                </w:tcPr>
                <w:p>
                  <w:pPr>
                    <w:pStyle w:val="77"/>
                  </w:pPr>
                  <w:r>
                    <w:t>766.5</w:t>
                  </w:r>
                </w:p>
              </w:tc>
              <w:tc>
                <w:tcPr>
                  <w:tcW w:w="1144" w:type="dxa"/>
                  <w:tcBorders>
                    <w:top w:val="single" w:color="auto" w:sz="6" w:space="0"/>
                    <w:left w:val="single" w:color="auto" w:sz="6" w:space="0"/>
                    <w:bottom w:val="single" w:color="auto" w:sz="6" w:space="0"/>
                    <w:right w:val="single" w:color="auto" w:sz="12" w:space="0"/>
                  </w:tcBorders>
                  <w:vAlign w:val="center"/>
                </w:tcPr>
                <w:p>
                  <w:pPr>
                    <w:pStyle w:val="77"/>
                  </w:pPr>
                  <w:r>
                    <w:t>93.3%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2" w:type="dxa"/>
                  <w:tcBorders>
                    <w:top w:val="single" w:color="auto" w:sz="6" w:space="0"/>
                    <w:left w:val="single" w:color="auto" w:sz="12" w:space="0"/>
                    <w:bottom w:val="single" w:color="auto" w:sz="6" w:space="0"/>
                    <w:right w:val="single" w:color="auto" w:sz="6" w:space="0"/>
                  </w:tcBorders>
                  <w:vAlign w:val="center"/>
                </w:tcPr>
                <w:p>
                  <w:pPr>
                    <w:pStyle w:val="77"/>
                  </w:pPr>
                  <w:r>
                    <w:t>SS</w:t>
                  </w:r>
                </w:p>
              </w:tc>
              <w:tc>
                <w:tcPr>
                  <w:tcW w:w="1233" w:type="dxa"/>
                  <w:tcBorders>
                    <w:top w:val="single" w:color="auto" w:sz="6" w:space="0"/>
                    <w:left w:val="single" w:color="auto" w:sz="6" w:space="0"/>
                    <w:bottom w:val="single" w:color="auto" w:sz="6" w:space="0"/>
                    <w:right w:val="single" w:color="auto" w:sz="6" w:space="0"/>
                  </w:tcBorders>
                  <w:vAlign w:val="center"/>
                </w:tcPr>
                <w:p>
                  <w:pPr>
                    <w:pStyle w:val="77"/>
                  </w:pPr>
                  <w:r>
                    <w:t>200</w:t>
                  </w:r>
                </w:p>
              </w:tc>
              <w:tc>
                <w:tcPr>
                  <w:tcW w:w="1619" w:type="dxa"/>
                  <w:tcBorders>
                    <w:top w:val="single" w:color="auto" w:sz="6" w:space="0"/>
                    <w:left w:val="single" w:color="auto" w:sz="6" w:space="0"/>
                    <w:bottom w:val="single" w:color="auto" w:sz="6" w:space="0"/>
                    <w:right w:val="single" w:color="auto" w:sz="6" w:space="0"/>
                  </w:tcBorders>
                  <w:vAlign w:val="center"/>
                </w:tcPr>
                <w:p>
                  <w:pPr>
                    <w:pStyle w:val="77"/>
                  </w:pPr>
                  <w:r>
                    <w:t>1095</w:t>
                  </w:r>
                </w:p>
              </w:tc>
              <w:tc>
                <w:tcPr>
                  <w:tcW w:w="1233" w:type="dxa"/>
                  <w:tcBorders>
                    <w:top w:val="single" w:color="auto" w:sz="6" w:space="0"/>
                    <w:left w:val="single" w:color="auto" w:sz="6" w:space="0"/>
                    <w:bottom w:val="single" w:color="auto" w:sz="6" w:space="0"/>
                    <w:right w:val="single" w:color="auto" w:sz="6" w:space="0"/>
                  </w:tcBorders>
                  <w:vAlign w:val="center"/>
                </w:tcPr>
                <w:p>
                  <w:pPr>
                    <w:pStyle w:val="77"/>
                  </w:pPr>
                  <w:r>
                    <w:t>1</w:t>
                  </w:r>
                </w:p>
              </w:tc>
              <w:tc>
                <w:tcPr>
                  <w:tcW w:w="1619" w:type="dxa"/>
                  <w:tcBorders>
                    <w:top w:val="single" w:color="auto" w:sz="6" w:space="0"/>
                    <w:left w:val="single" w:color="auto" w:sz="6" w:space="0"/>
                    <w:bottom w:val="single" w:color="auto" w:sz="6" w:space="0"/>
                    <w:right w:val="single" w:color="auto" w:sz="6" w:space="0"/>
                  </w:tcBorders>
                  <w:vAlign w:val="center"/>
                </w:tcPr>
                <w:p>
                  <w:pPr>
                    <w:pStyle w:val="77"/>
                  </w:pPr>
                  <w:r>
                    <w:t>54.75</w:t>
                  </w:r>
                </w:p>
              </w:tc>
              <w:tc>
                <w:tcPr>
                  <w:tcW w:w="1744" w:type="dxa"/>
                  <w:tcBorders>
                    <w:top w:val="single" w:color="auto" w:sz="6" w:space="0"/>
                    <w:left w:val="single" w:color="auto" w:sz="6" w:space="0"/>
                    <w:bottom w:val="single" w:color="auto" w:sz="6" w:space="0"/>
                    <w:right w:val="single" w:color="auto" w:sz="6" w:space="0"/>
                  </w:tcBorders>
                  <w:vAlign w:val="center"/>
                </w:tcPr>
                <w:p>
                  <w:pPr>
                    <w:pStyle w:val="77"/>
                  </w:pPr>
                  <w:r>
                    <w:t>1040.25</w:t>
                  </w:r>
                </w:p>
              </w:tc>
              <w:tc>
                <w:tcPr>
                  <w:tcW w:w="1144" w:type="dxa"/>
                  <w:tcBorders>
                    <w:top w:val="single" w:color="auto" w:sz="6" w:space="0"/>
                    <w:left w:val="single" w:color="auto" w:sz="6" w:space="0"/>
                    <w:bottom w:val="single" w:color="auto" w:sz="6" w:space="0"/>
                    <w:right w:val="single" w:color="auto" w:sz="12" w:space="0"/>
                  </w:tcBorders>
                  <w:vAlign w:val="center"/>
                </w:tcPr>
                <w:p>
                  <w:pPr>
                    <w:pStyle w:val="77"/>
                  </w:pPr>
                  <w: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2" w:type="dxa"/>
                  <w:tcBorders>
                    <w:top w:val="single" w:color="auto" w:sz="6" w:space="0"/>
                    <w:left w:val="single" w:color="auto" w:sz="12" w:space="0"/>
                    <w:bottom w:val="single" w:color="auto" w:sz="6" w:space="0"/>
                    <w:right w:val="single" w:color="auto" w:sz="6" w:space="0"/>
                  </w:tcBorders>
                  <w:vAlign w:val="center"/>
                </w:tcPr>
                <w:p>
                  <w:pPr>
                    <w:pStyle w:val="77"/>
                  </w:pPr>
                  <w:r>
                    <w:t>NH</w:t>
                  </w:r>
                  <w:r>
                    <w:rPr>
                      <w:vertAlign w:val="subscript"/>
                    </w:rPr>
                    <w:t>3</w:t>
                  </w:r>
                  <w:r>
                    <w:t>-N</w:t>
                  </w:r>
                </w:p>
              </w:tc>
              <w:tc>
                <w:tcPr>
                  <w:tcW w:w="1233" w:type="dxa"/>
                  <w:tcBorders>
                    <w:top w:val="single" w:color="auto" w:sz="6" w:space="0"/>
                    <w:left w:val="single" w:color="auto" w:sz="6" w:space="0"/>
                    <w:bottom w:val="single" w:color="auto" w:sz="6" w:space="0"/>
                    <w:right w:val="single" w:color="auto" w:sz="6" w:space="0"/>
                  </w:tcBorders>
                  <w:vAlign w:val="center"/>
                </w:tcPr>
                <w:p>
                  <w:pPr>
                    <w:pStyle w:val="77"/>
                  </w:pPr>
                  <w:r>
                    <w:t>25</w:t>
                  </w:r>
                </w:p>
              </w:tc>
              <w:tc>
                <w:tcPr>
                  <w:tcW w:w="1619" w:type="dxa"/>
                  <w:tcBorders>
                    <w:top w:val="single" w:color="auto" w:sz="6" w:space="0"/>
                    <w:left w:val="single" w:color="auto" w:sz="6" w:space="0"/>
                    <w:bottom w:val="single" w:color="auto" w:sz="6" w:space="0"/>
                    <w:right w:val="single" w:color="auto" w:sz="6" w:space="0"/>
                  </w:tcBorders>
                  <w:vAlign w:val="center"/>
                </w:tcPr>
                <w:p>
                  <w:pPr>
                    <w:pStyle w:val="77"/>
                  </w:pPr>
                  <w:r>
                    <w:t>136.88</w:t>
                  </w:r>
                </w:p>
              </w:tc>
              <w:tc>
                <w:tcPr>
                  <w:tcW w:w="1233" w:type="dxa"/>
                  <w:tcBorders>
                    <w:top w:val="single" w:color="auto" w:sz="6" w:space="0"/>
                    <w:left w:val="single" w:color="auto" w:sz="6" w:space="0"/>
                    <w:bottom w:val="single" w:color="auto" w:sz="6" w:space="0"/>
                    <w:right w:val="single" w:color="auto" w:sz="6" w:space="0"/>
                  </w:tcBorders>
                  <w:vAlign w:val="center"/>
                </w:tcPr>
                <w:p>
                  <w:pPr>
                    <w:pStyle w:val="77"/>
                  </w:pPr>
                  <w:r>
                    <w:t>5</w:t>
                  </w:r>
                </w:p>
              </w:tc>
              <w:tc>
                <w:tcPr>
                  <w:tcW w:w="1619" w:type="dxa"/>
                  <w:tcBorders>
                    <w:top w:val="single" w:color="auto" w:sz="6" w:space="0"/>
                    <w:left w:val="single" w:color="auto" w:sz="6" w:space="0"/>
                    <w:bottom w:val="single" w:color="auto" w:sz="6" w:space="0"/>
                    <w:right w:val="single" w:color="auto" w:sz="6" w:space="0"/>
                  </w:tcBorders>
                  <w:vAlign w:val="center"/>
                </w:tcPr>
                <w:p>
                  <w:pPr>
                    <w:pStyle w:val="77"/>
                  </w:pPr>
                  <w:r>
                    <w:t>27.38</w:t>
                  </w:r>
                </w:p>
              </w:tc>
              <w:tc>
                <w:tcPr>
                  <w:tcW w:w="1744" w:type="dxa"/>
                  <w:tcBorders>
                    <w:top w:val="single" w:color="auto" w:sz="6" w:space="0"/>
                    <w:left w:val="single" w:color="auto" w:sz="6" w:space="0"/>
                    <w:bottom w:val="single" w:color="auto" w:sz="6" w:space="0"/>
                    <w:right w:val="single" w:color="auto" w:sz="6" w:space="0"/>
                  </w:tcBorders>
                  <w:vAlign w:val="center"/>
                </w:tcPr>
                <w:p>
                  <w:pPr>
                    <w:pStyle w:val="77"/>
                  </w:pPr>
                  <w:r>
                    <w:t>109.5</w:t>
                  </w:r>
                </w:p>
              </w:tc>
              <w:tc>
                <w:tcPr>
                  <w:tcW w:w="1144" w:type="dxa"/>
                  <w:tcBorders>
                    <w:top w:val="single" w:color="auto" w:sz="6" w:space="0"/>
                    <w:left w:val="single" w:color="auto" w:sz="6" w:space="0"/>
                    <w:bottom w:val="single" w:color="auto" w:sz="6" w:space="0"/>
                    <w:right w:val="single" w:color="auto" w:sz="12" w:space="0"/>
                  </w:tcBorders>
                  <w:vAlign w:val="center"/>
                </w:tcPr>
                <w:p>
                  <w:pPr>
                    <w:pStyle w:val="77"/>
                  </w:pPr>
                  <w: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2" w:type="dxa"/>
                  <w:tcBorders>
                    <w:top w:val="single" w:color="auto" w:sz="6" w:space="0"/>
                    <w:left w:val="single" w:color="auto" w:sz="12" w:space="0"/>
                    <w:bottom w:val="single" w:color="auto" w:sz="6" w:space="0"/>
                    <w:right w:val="single" w:color="auto" w:sz="6" w:space="0"/>
                  </w:tcBorders>
                  <w:vAlign w:val="center"/>
                </w:tcPr>
                <w:p>
                  <w:pPr>
                    <w:pStyle w:val="77"/>
                  </w:pPr>
                  <w:r>
                    <w:t>TN</w:t>
                  </w:r>
                </w:p>
              </w:tc>
              <w:tc>
                <w:tcPr>
                  <w:tcW w:w="1233" w:type="dxa"/>
                  <w:tcBorders>
                    <w:top w:val="single" w:color="auto" w:sz="6" w:space="0"/>
                    <w:left w:val="single" w:color="auto" w:sz="6" w:space="0"/>
                    <w:bottom w:val="single" w:color="auto" w:sz="6" w:space="0"/>
                    <w:right w:val="single" w:color="auto" w:sz="6" w:space="0"/>
                  </w:tcBorders>
                  <w:vAlign w:val="center"/>
                </w:tcPr>
                <w:p>
                  <w:pPr>
                    <w:pStyle w:val="77"/>
                  </w:pPr>
                  <w:r>
                    <w:t>40</w:t>
                  </w:r>
                </w:p>
              </w:tc>
              <w:tc>
                <w:tcPr>
                  <w:tcW w:w="1619" w:type="dxa"/>
                  <w:tcBorders>
                    <w:top w:val="single" w:color="auto" w:sz="6" w:space="0"/>
                    <w:left w:val="single" w:color="auto" w:sz="6" w:space="0"/>
                    <w:bottom w:val="single" w:color="auto" w:sz="6" w:space="0"/>
                    <w:right w:val="single" w:color="auto" w:sz="6" w:space="0"/>
                  </w:tcBorders>
                  <w:vAlign w:val="center"/>
                </w:tcPr>
                <w:p>
                  <w:pPr>
                    <w:pStyle w:val="77"/>
                  </w:pPr>
                  <w:r>
                    <w:t>219</w:t>
                  </w:r>
                </w:p>
              </w:tc>
              <w:tc>
                <w:tcPr>
                  <w:tcW w:w="1233" w:type="dxa"/>
                  <w:tcBorders>
                    <w:top w:val="single" w:color="auto" w:sz="6" w:space="0"/>
                    <w:left w:val="single" w:color="auto" w:sz="6" w:space="0"/>
                    <w:bottom w:val="single" w:color="auto" w:sz="6" w:space="0"/>
                    <w:right w:val="single" w:color="auto" w:sz="6" w:space="0"/>
                  </w:tcBorders>
                  <w:vAlign w:val="center"/>
                </w:tcPr>
                <w:p>
                  <w:pPr>
                    <w:pStyle w:val="77"/>
                  </w:pPr>
                  <w:r>
                    <w:t>15</w:t>
                  </w:r>
                </w:p>
              </w:tc>
              <w:tc>
                <w:tcPr>
                  <w:tcW w:w="1619" w:type="dxa"/>
                  <w:tcBorders>
                    <w:top w:val="single" w:color="auto" w:sz="6" w:space="0"/>
                    <w:left w:val="single" w:color="auto" w:sz="6" w:space="0"/>
                    <w:bottom w:val="single" w:color="auto" w:sz="6" w:space="0"/>
                    <w:right w:val="single" w:color="auto" w:sz="6" w:space="0"/>
                  </w:tcBorders>
                  <w:vAlign w:val="center"/>
                </w:tcPr>
                <w:p>
                  <w:pPr>
                    <w:pStyle w:val="77"/>
                  </w:pPr>
                  <w:r>
                    <w:t>82.13</w:t>
                  </w:r>
                </w:p>
              </w:tc>
              <w:tc>
                <w:tcPr>
                  <w:tcW w:w="1744" w:type="dxa"/>
                  <w:tcBorders>
                    <w:top w:val="single" w:color="auto" w:sz="6" w:space="0"/>
                    <w:left w:val="single" w:color="auto" w:sz="6" w:space="0"/>
                    <w:bottom w:val="single" w:color="auto" w:sz="6" w:space="0"/>
                    <w:right w:val="single" w:color="auto" w:sz="6" w:space="0"/>
                  </w:tcBorders>
                  <w:vAlign w:val="center"/>
                </w:tcPr>
                <w:p>
                  <w:pPr>
                    <w:pStyle w:val="77"/>
                  </w:pPr>
                  <w:r>
                    <w:t>136.88</w:t>
                  </w:r>
                </w:p>
              </w:tc>
              <w:tc>
                <w:tcPr>
                  <w:tcW w:w="1144" w:type="dxa"/>
                  <w:tcBorders>
                    <w:top w:val="single" w:color="auto" w:sz="6" w:space="0"/>
                    <w:left w:val="single" w:color="auto" w:sz="6" w:space="0"/>
                    <w:bottom w:val="single" w:color="auto" w:sz="6" w:space="0"/>
                    <w:right w:val="single" w:color="auto" w:sz="12" w:space="0"/>
                  </w:tcBorders>
                  <w:vAlign w:val="center"/>
                </w:tcPr>
                <w:p>
                  <w:pPr>
                    <w:pStyle w:val="77"/>
                  </w:pPr>
                  <w:r>
                    <w:t>62.5%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12" w:type="dxa"/>
                  <w:tcBorders>
                    <w:top w:val="single" w:color="auto" w:sz="6" w:space="0"/>
                    <w:left w:val="single" w:color="auto" w:sz="12" w:space="0"/>
                    <w:bottom w:val="single" w:color="auto" w:sz="12" w:space="0"/>
                    <w:right w:val="single" w:color="auto" w:sz="6" w:space="0"/>
                  </w:tcBorders>
                  <w:vAlign w:val="center"/>
                </w:tcPr>
                <w:p>
                  <w:pPr>
                    <w:pStyle w:val="77"/>
                  </w:pPr>
                  <w:r>
                    <w:t>TP</w:t>
                  </w:r>
                </w:p>
              </w:tc>
              <w:tc>
                <w:tcPr>
                  <w:tcW w:w="1233" w:type="dxa"/>
                  <w:tcBorders>
                    <w:top w:val="single" w:color="auto" w:sz="6" w:space="0"/>
                    <w:left w:val="single" w:color="auto" w:sz="6" w:space="0"/>
                    <w:bottom w:val="single" w:color="auto" w:sz="12" w:space="0"/>
                    <w:right w:val="single" w:color="auto" w:sz="6" w:space="0"/>
                  </w:tcBorders>
                  <w:vAlign w:val="center"/>
                </w:tcPr>
                <w:p>
                  <w:pPr>
                    <w:pStyle w:val="77"/>
                  </w:pPr>
                  <w:r>
                    <w:t>4.0</w:t>
                  </w:r>
                </w:p>
              </w:tc>
              <w:tc>
                <w:tcPr>
                  <w:tcW w:w="1619" w:type="dxa"/>
                  <w:tcBorders>
                    <w:top w:val="single" w:color="auto" w:sz="6" w:space="0"/>
                    <w:left w:val="single" w:color="auto" w:sz="6" w:space="0"/>
                    <w:bottom w:val="single" w:color="auto" w:sz="12" w:space="0"/>
                    <w:right w:val="single" w:color="auto" w:sz="6" w:space="0"/>
                  </w:tcBorders>
                  <w:vAlign w:val="center"/>
                </w:tcPr>
                <w:p>
                  <w:pPr>
                    <w:pStyle w:val="77"/>
                  </w:pPr>
                  <w:r>
                    <w:t>21.9</w:t>
                  </w:r>
                </w:p>
              </w:tc>
              <w:tc>
                <w:tcPr>
                  <w:tcW w:w="1233" w:type="dxa"/>
                  <w:tcBorders>
                    <w:top w:val="single" w:color="auto" w:sz="6" w:space="0"/>
                    <w:left w:val="single" w:color="auto" w:sz="6" w:space="0"/>
                    <w:bottom w:val="single" w:color="auto" w:sz="12" w:space="0"/>
                    <w:right w:val="single" w:color="auto" w:sz="6" w:space="0"/>
                  </w:tcBorders>
                  <w:vAlign w:val="center"/>
                </w:tcPr>
                <w:p>
                  <w:pPr>
                    <w:pStyle w:val="77"/>
                  </w:pPr>
                  <w:r>
                    <w:t>0.5</w:t>
                  </w:r>
                </w:p>
              </w:tc>
              <w:tc>
                <w:tcPr>
                  <w:tcW w:w="1619" w:type="dxa"/>
                  <w:tcBorders>
                    <w:top w:val="single" w:color="auto" w:sz="6" w:space="0"/>
                    <w:left w:val="single" w:color="auto" w:sz="6" w:space="0"/>
                    <w:bottom w:val="single" w:color="auto" w:sz="12" w:space="0"/>
                    <w:right w:val="single" w:color="auto" w:sz="6" w:space="0"/>
                  </w:tcBorders>
                  <w:vAlign w:val="center"/>
                </w:tcPr>
                <w:p>
                  <w:pPr>
                    <w:pStyle w:val="77"/>
                  </w:pPr>
                  <w:r>
                    <w:t xml:space="preserve">2.74 </w:t>
                  </w:r>
                </w:p>
              </w:tc>
              <w:tc>
                <w:tcPr>
                  <w:tcW w:w="1744" w:type="dxa"/>
                  <w:tcBorders>
                    <w:top w:val="single" w:color="auto" w:sz="6" w:space="0"/>
                    <w:left w:val="single" w:color="auto" w:sz="6" w:space="0"/>
                    <w:bottom w:val="single" w:color="auto" w:sz="12" w:space="0"/>
                    <w:right w:val="single" w:color="auto" w:sz="6" w:space="0"/>
                  </w:tcBorders>
                  <w:vAlign w:val="center"/>
                </w:tcPr>
                <w:p>
                  <w:pPr>
                    <w:pStyle w:val="77"/>
                  </w:pPr>
                  <w:r>
                    <w:t>19.16</w:t>
                  </w:r>
                </w:p>
              </w:tc>
              <w:tc>
                <w:tcPr>
                  <w:tcW w:w="1144" w:type="dxa"/>
                  <w:tcBorders>
                    <w:top w:val="single" w:color="auto" w:sz="6" w:space="0"/>
                    <w:left w:val="single" w:color="auto" w:sz="6" w:space="0"/>
                    <w:bottom w:val="single" w:color="auto" w:sz="12" w:space="0"/>
                    <w:right w:val="single" w:color="auto" w:sz="12" w:space="0"/>
                  </w:tcBorders>
                  <w:vAlign w:val="center"/>
                </w:tcPr>
                <w:p>
                  <w:pPr>
                    <w:pStyle w:val="77"/>
                  </w:pPr>
                  <w:r>
                    <w:t>87.5%</w:t>
                  </w:r>
                </w:p>
              </w:tc>
            </w:tr>
          </w:tbl>
          <w:p>
            <w:pPr>
              <w:pStyle w:val="114"/>
            </w:pPr>
            <w:r>
              <w:rPr>
                <w:rFonts w:hint="eastAsia"/>
              </w:rPr>
              <w:t>由表</w:t>
            </w:r>
            <w:r>
              <w:t>6-11</w:t>
            </w:r>
            <w:r>
              <w:rPr>
                <w:rFonts w:hint="eastAsia"/>
              </w:rPr>
              <w:t>可知，二期工程建成后，区域城市污水排入潭榄溪的主要污染物</w:t>
            </w:r>
            <w:r>
              <w:t>COD</w:t>
            </w:r>
            <w:r>
              <w:rPr>
                <w:rFonts w:hint="eastAsia"/>
              </w:rPr>
              <w:t>、</w:t>
            </w:r>
            <w:r>
              <w:t>BOD</w:t>
            </w:r>
            <w:r>
              <w:rPr>
                <w:vertAlign w:val="subscript"/>
              </w:rPr>
              <w:t>5</w:t>
            </w:r>
            <w:r>
              <w:rPr>
                <w:rFonts w:hint="eastAsia"/>
              </w:rPr>
              <w:t>、</w:t>
            </w:r>
            <w:r>
              <w:t>SS</w:t>
            </w:r>
            <w:r>
              <w:rPr>
                <w:rFonts w:hint="eastAsia"/>
              </w:rPr>
              <w:t>、</w:t>
            </w:r>
            <w:r>
              <w:t>NH</w:t>
            </w:r>
            <w:r>
              <w:rPr>
                <w:vertAlign w:val="subscript"/>
              </w:rPr>
              <w:t>3</w:t>
            </w:r>
            <w:r>
              <w:t>-N</w:t>
            </w:r>
            <w:r>
              <w:rPr>
                <w:rFonts w:hint="eastAsia"/>
              </w:rPr>
              <w:t>、</w:t>
            </w:r>
            <w:r>
              <w:t>TN</w:t>
            </w:r>
            <w:r>
              <w:rPr>
                <w:rFonts w:hint="eastAsia"/>
              </w:rPr>
              <w:t>、</w:t>
            </w:r>
            <w:r>
              <w:t>TP</w:t>
            </w:r>
            <w:r>
              <w:rPr>
                <w:rFonts w:hint="eastAsia"/>
              </w:rPr>
              <w:t>的削减量分别为</w:t>
            </w:r>
            <w:r>
              <w:t>1368.75t/a</w:t>
            </w:r>
            <w:r>
              <w:rPr>
                <w:rFonts w:hint="eastAsia"/>
              </w:rPr>
              <w:t>、</w:t>
            </w:r>
            <w:r>
              <w:t>766.5t/a</w:t>
            </w:r>
            <w:r>
              <w:rPr>
                <w:rFonts w:hint="eastAsia"/>
              </w:rPr>
              <w:t>、</w:t>
            </w:r>
            <w:r>
              <w:t>1040.25t/a</w:t>
            </w:r>
            <w:r>
              <w:rPr>
                <w:rFonts w:hint="eastAsia"/>
              </w:rPr>
              <w:t>、</w:t>
            </w:r>
            <w:r>
              <w:t>109.5t/a</w:t>
            </w:r>
            <w:r>
              <w:rPr>
                <w:rFonts w:hint="eastAsia"/>
              </w:rPr>
              <w:t>、</w:t>
            </w:r>
            <w:r>
              <w:t>136.88t/a</w:t>
            </w:r>
            <w:r>
              <w:rPr>
                <w:rFonts w:hint="eastAsia"/>
              </w:rPr>
              <w:t>、</w:t>
            </w:r>
            <w:r>
              <w:t>19.16t/a</w:t>
            </w:r>
            <w:r>
              <w:rPr>
                <w:rFonts w:hint="eastAsia"/>
              </w:rPr>
              <w:t>。由此可见，定城污水处理厂处理厂二期扩建工程的环境正效益十分明显。</w:t>
            </w:r>
          </w:p>
          <w:p>
            <w:pPr>
              <w:pStyle w:val="114"/>
              <w:ind w:firstLine="482"/>
              <w:rPr>
                <w:b/>
              </w:rPr>
            </w:pPr>
            <w:r>
              <w:rPr>
                <w:b/>
              </w:rPr>
              <w:t>4</w:t>
            </w:r>
            <w:r>
              <w:rPr>
                <w:rFonts w:hint="eastAsia"/>
                <w:b/>
              </w:rPr>
              <w:t>、水环境影响分析</w:t>
            </w:r>
          </w:p>
          <w:p>
            <w:pPr>
              <w:pStyle w:val="114"/>
            </w:pPr>
            <w:r>
              <w:rPr>
                <w:rFonts w:hint="eastAsia"/>
              </w:rPr>
              <w:t>（</w:t>
            </w:r>
            <w:r>
              <w:t>1</w:t>
            </w:r>
            <w:r>
              <w:rPr>
                <w:rFonts w:hint="eastAsia"/>
              </w:rPr>
              <w:t>）潭榄溪水质现状及功能：</w:t>
            </w:r>
          </w:p>
          <w:p>
            <w:pPr>
              <w:pStyle w:val="114"/>
            </w:pPr>
            <w:r>
              <w:rPr>
                <w:rFonts w:hint="eastAsia"/>
              </w:rPr>
              <w:t>潭榄溪为温村水下游河段别称，依据《海南省水功能区划》，温村水流域无划分一级水功能区和二级水功能区。潭榄溪河段目前最主要的功能是作为周边居民的生活污水排放和道路雨水排水渠，近三年，潭榄溪潭榄桥段水质不满足《地表水环境质量标准》</w:t>
            </w:r>
            <w:r>
              <w:t>GB3838-2002</w:t>
            </w:r>
            <w:r>
              <w:rPr>
                <w:rFonts w:hint="eastAsia"/>
              </w:rPr>
              <w:t>Ⅲ类标准要求；超标因子包括</w:t>
            </w:r>
            <w:r>
              <w:t xml:space="preserve"> DO</w:t>
            </w:r>
            <w:r>
              <w:rPr>
                <w:rFonts w:hint="eastAsia"/>
              </w:rPr>
              <w:t>、</w:t>
            </w:r>
            <w:r>
              <w:t>COD</w:t>
            </w:r>
            <w:r>
              <w:rPr>
                <w:rFonts w:hint="eastAsia"/>
              </w:rPr>
              <w:t>、氨氮、总磷、石油类。</w:t>
            </w:r>
          </w:p>
          <w:p>
            <w:pPr>
              <w:pStyle w:val="114"/>
            </w:pPr>
            <w:r>
              <w:rPr>
                <w:rFonts w:hint="eastAsia"/>
              </w:rPr>
              <w:t>（</w:t>
            </w:r>
            <w:r>
              <w:t>2</w:t>
            </w:r>
            <w:r>
              <w:rPr>
                <w:rFonts w:hint="eastAsia"/>
              </w:rPr>
              <w:t>）预测分析</w:t>
            </w:r>
          </w:p>
          <w:p>
            <w:pPr>
              <w:pStyle w:val="114"/>
            </w:pPr>
            <w:r>
              <w:rPr>
                <w:rFonts w:hint="eastAsia"/>
              </w:rPr>
              <w:t>①混合过程段长度的确定</w:t>
            </w:r>
          </w:p>
          <w:p>
            <w:pPr>
              <w:pStyle w:val="114"/>
            </w:pPr>
            <w:r>
              <w:rPr>
                <w:rFonts w:hint="eastAsia"/>
              </w:rPr>
              <w:t>根据珠江水利委员会珠江水利科学研究院《定安县温村水“一河一策”方案》中相关调查资料，潭榄溪河宽</w:t>
            </w:r>
            <w:r>
              <w:t>8-16m</w:t>
            </w:r>
            <w:r>
              <w:rPr>
                <w:rFonts w:hint="eastAsia"/>
              </w:rPr>
              <w:t>，多年平均径流深</w:t>
            </w:r>
            <w:r>
              <w:t>950mm</w:t>
            </w:r>
            <w:r>
              <w:rPr>
                <w:rFonts w:hint="eastAsia"/>
              </w:rPr>
              <w:t>，年平均流量约为</w:t>
            </w:r>
            <w:r>
              <w:t>3.01m</w:t>
            </w:r>
            <w:r>
              <w:rPr>
                <w:vertAlign w:val="superscript"/>
              </w:rPr>
              <w:t>3</w:t>
            </w:r>
            <w:r>
              <w:t>/s</w:t>
            </w:r>
            <w:r>
              <w:rPr>
                <w:rFonts w:hint="eastAsia"/>
              </w:rPr>
              <w:t>。</w:t>
            </w:r>
          </w:p>
          <w:p>
            <w:pPr>
              <w:pStyle w:val="114"/>
            </w:pPr>
            <w:r>
              <w:rPr>
                <w:rFonts w:hint="eastAsia"/>
              </w:rPr>
              <w:t>本次预测河段主要分为混合过程段和充分混合段，项目污水厂尾水排放采用岸边排放方式，根据《环境影响评价技术导则地表水环境》（</w:t>
            </w:r>
            <w:r>
              <w:t>HJ2.3-2018</w:t>
            </w:r>
            <w:r>
              <w:rPr>
                <w:rFonts w:hint="eastAsia"/>
              </w:rPr>
              <w:t>），混合过程段的长度计算公式如下：</w:t>
            </w:r>
          </w:p>
          <w:p>
            <w:pPr>
              <w:snapToGrid w:val="0"/>
              <w:jc w:val="center"/>
              <w:rPr>
                <w:rFonts w:ascii="Times New Roman" w:hAnsi="Times New Roman"/>
                <w:sz w:val="24"/>
                <w:szCs w:val="20"/>
              </w:rPr>
            </w:pPr>
            <w:r>
              <w:pict>
                <v:shape id="_x0000_i1057" o:spt="75" alt="" type="#_x0000_t75" style="height:52.5pt;width:281.25pt;" filled="f" o:preferrelative="t" stroked="f" coordsize="21600,21600" equationxml="&lt;?xml version=&quot;1.0&quot; encoding=&quot;UTF-8&quot; standalone=&quot;yes&quot;?&gt;&#10;&#10;&#10;&#10;&#10;&#10;&#10;&#10;&#10;&#10;&#10;&#10;&lt;?mso-application progid=&quot;Word.Document&quot;?&gt;&#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noLineBreaksAfter w:lang=&quot;ZH-CN&quot; w:val=&quot;$([{拢楼路_____________________锕__锛__锛_蓟锝_俊锟?&quot;/&gt;&lt;w:noLineBreaksBefore w:lang=&quot;ZH-CN&quot; w:valontalSpaciontalSpaciontalSpaciontalSpaci=&quot;!%),.:;&amp;gt;?:val=&quot;105&quot;/&gt;al=&quot;105&quot;/&gt;&lt;w:drawi/&gt;&lt;w:drawingGridVewingGridVe:val=&quot;105&quot;/&gt;&lt;w:drawingGridVe]}垄篓掳&quot;105&quot;/&gt;&lt;w:drawingGridVerticalSp路_05&quot;/&gt;&lt;w:drawingGridVerticalSpacin__________︹_扳_测_斥_衡__躲______________________ontalSpaci付锔猴妇锕w:valontalSpaci_锕__锕__?&quot; w:valontalSpaci糭_锛__锛_-CN&quot; w:valontalSpaci_锛__锛__锛斤_锝__锝__&quot;/&gt;&lt;=&quot;!%),.:;&amp;gt;?:val=&quot;105&quot;/&gt;w:validre w:lang=&quot;;&amp;gt;?:val=&quot;105&quot;/&gt;&lt;w:drawiZH-CN&quot; w:val=&quot;!%),al=&quot;105&quot;/&gt;&lt;w:drawingGridVe.:;&amp;gt;?:val=&quot;105&quot;/&gt;&lt;w:drawingGri______ontalSpacidVeateAgainstSchema/&gt;&lt;w:slontalSpaciaveInvre w:lang=&quot;ZH-CN&quot; w:vntalSpacial=&quot;!%),.:;&amp;gt;?:val=&quot;105&quot;/&gt;&lt;wlSpaci:drawingGridVealidXML w:val=&quot;off&quot;/&gt;&lt;w:ignoreMixedContZH-CN&quot; w:val=&quot;!%),.:;&amp;gt;?]}垄篓掳&quot;105&quot;/&gt;&lt;wawi:drawingGridVerticalSpent w:val=&quot;off&quot;/&gt;&lt;w:aldVewaciaysShowPlaceho w:val=&quot;!%),.:;&amp;gt;?]daciVe}垄篓掳路_05&quot;/&gt;&lt;w:drawingGridVertialSpacicalSpacinlderText w:val=&quot;off&quot;/&gt;&lt;w:cowlSpacimpat&gt;&lt;w:spaceForUL/&gt;&lt;wngGridVe:balanceSingleByteDoubixedConleByteWidth/&gt;&lt;w:doNotLeaveBackslashAlone/&gt;&lt;w:ulwawiTrailSpace/&gt;&lt;w:doNotwaciExpandShiftRetucalSprn/&gt;&lt;w:ldVeadjustLidacineHeightInTable/&gt;&lt;w:breakWrapp?]dVeedTables/&gt;&lt;w:snapToGridInCell/&gt;&lt;w:wrapTextWithPunct/&gt;&lt;w:useAsianBreakRules/&gt;&lt;w:dontGrowAutofit/&gt;&lt;w:useFELayout/&gt;&lt;/w:compat&gt;&lt;wsp:rsids&gt;&lt;wsp:rsidRoot wsp:val=&quot;00D94249&quot;/&gt;&lt;wsp:rsid wsp:val=&quot;00000767&quot;/&gt;&lt;wsp:rsid wsp:val=&quot;000029DD&quot;/&gt;&lt;wsp:rsid wsp:val=&quot;00002C87&quo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300C&quot;/&gt;&lt;wsp:rsid wsp:val=&quot;0002331E&quot;/&gt;&lt;wsp:rsid wsp:val=&quot;00023594&quot;/&gt;&lt;wsp:rsid wsp:val=&quot;000235E2&quot;/&gt;&lt;wsp:rsid wsp:val=&quot;00023A15&quot;/&gt;&lt;wsp:rsid wsp:val=&quot;000242A4&quot;/&gt;&lt;wsp:rsid wsp:val=&quot;000308A2&quot;/&gt;&lt;wsp:rsid wsp:val=&quot;00032BB3&quot;/&gt;&lt;wsp:rsid wsp:val=&quot;00033A02&quot;/&gt;&lt;wsp:rsid wsp:val=&quot;0003755B&quot;/&gt;&lt;wsp:rsid wsp:val=&quot;00037F88&quot;/&gt;&lt;wsp:rsid wsp:val=&quot;00041C07&quot;/&gt;&lt;wsp:rsid wsp:val=&quot;00041E31&quot;/&gt;&lt;wsp:rsid wsp:val=&quot;000438E5&quot;/&gt;&lt;wsp:rsid wsp:val=&quot;00043D91&quot;/&gt;&lt;wsp:rsid wsp:val=&quot;00045292&quot;/&gt;&lt;wsp:rsid wsp:val=&quot;00046A6A&quot;/&gt;&lt;wsp:rsid wsp:val=&quot;00046ADA&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1A1E&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50B1&quot;/&gt;&lt;wsp:rsid wsp:val=&quot;000D5CDD&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D58&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48CF&quot;/&gt;&lt;wsp:rsid wsp:val=&quot;00135FDA&quot;/&gt;&lt;wsp:rsid wsp:val=&quot;00136C9E&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4057C&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C5&quot;/&gt;&lt;wsp:rsid wsp:val=&quot;0027277B&quot;/&gt;&lt;wsp:rsid wsp:val=&quot;00280336&quot;/&gt;&lt;wsp:rsid wsp:val=&quot;002823D7&quot;/&gt;&lt;wsp:rsid wsp:val=&quot;00283E9F&quot;/&gt;&lt;wsp:rsid wsp:val=&quot;00284093&quot;/&gt;&lt;wsp:rsid wsp:val=&quot;00284F11&quot;/&gt;&lt;wsp:rsid wsp:val=&quot;00285342&quot;/&gt;&lt;wsp:rsid wsp:val=&quot;00290E0D&quot;/&gt;&lt;wsp:rsid wsp:val=&quot;00291307&quot;/&gt;&lt;wsp:rsid wsp:val=&quot;00291979&quot;/&gt;&lt;wsp:rsid wsp:val=&quot;00291A7E&quot;/&gt;&lt;wsp:rsid wsp:val=&quot;002935E0&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DD0&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6E2B&quot;/&gt;&lt;wsp:rsid wsp:val=&quot;00361620&quot;/&gt;&lt;wsp:rsid wsp:val=&quot;00361BA9&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6A32&quot;/&gt;&lt;wsp:rsid wsp:val=&quot;00486FAE&quot;/&gt;&lt;wsp:rsid wsp:val=&quot;004925BC&quot;/&gt;&lt;wsp:rsid wsp:val=&quot;00493C9B&quot;/&gt;&lt;wsp:rsid wsp:val=&quot;00493D70&quot;/&gt;&lt;wsp:rsid wsp:val=&quot;004953BD&quot;/&gt;&lt;wsp:rsid wsp:val=&quot;00495501&quot;/&gt;&lt;wsp:rsid wsp:val=&quot;00495D6A&quot;/&gt;&lt;wsp:rsid wsp:val=&quot;004964B2&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5467&quot;/&gt;&lt;wsp:rsid wsp:val=&quot;004E331D&quot;/&gt;&lt;wsp:rsid wsp:val=&quot;004E346A&quot;/&gt;&lt;wsp:rsid wsp:val=&quot;004E4924&quot;/&gt;&lt;wsp:rsid wsp:val=&quot;004E64E5&quot;/&gt;&lt;wsp:rsid wsp:val=&quot;004E7D10&quot;/&gt;&lt;wsp:rsid wsp:val=&quot;004F1CC1&quot;/&gt;&lt;wsp:rsid wsp:val=&quot;004F2E90&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40E34&quot;/&gt;&lt;wsp:rsid wsp:val=&quot;005417BF&quot;/&gt;&lt;wsp:rsid wsp:val=&quot;005423D1&quot;/&gt;&lt;wsp:rsid wsp:val=&quot;00543798&quot;/&gt;&lt;wsp:rsid wsp:val=&quot;00543E3D&quot;/&gt;&lt;wsp:rsid wsp:val=&quot;00544CB4&quot;/&gt;&lt;wsp:rsid wsp:val=&quot;00545471&quot;/&gt;&lt;wsp:rsid wsp:val=&quot;00551A7F&quot;/&gt;&lt;wsp:rsid wsp:val=&quot;00551C54&quot;/&gt;&lt;wsp:rsid wsp:val=&quot;0055519F&quot;/&gt;&lt;wsp:rsid wsp:val=&quot;00556F5F&quot;/&gt;&lt;wsp:rsid wsp:val=&quot;00557E2E&quot;/&gt;&lt;wsp:rsid wsp:val=&quot;00557E9F&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B13A1&quot;/&gt;&lt;wsp:rsid wsp:val=&quot;005B1ECF&quot;/&gt;&lt;wsp:rsid wsp:val=&quot;005B79DD&quot;/&gt;&lt;wsp:rsid wsp:val=&quot;005C0E3F&quot;/&gt;&lt;wsp:rsid wsp:val=&quot;005C1801&quot;/&gt;&lt;wsp:rsid wsp:val=&quot;005C221F&quot;/&gt;&lt;wsp:rsid wsp:val=&quot;005C404C&quot;/&gt;&lt;wsp:rsid wsp:val=&quot;005C4156&quot;/&gt;&lt;wsp:rsid wsp:val=&quot;005C51BA&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BA4&quot;/&gt;&lt;wsp:rsid wsp:val=&quot;005F3D40&quot;/&gt;&lt;wsp:rsid wsp:val=&quot;005F40D9&quot;/&gt;&lt;wsp:rsid wsp:val=&quot;005F434E&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A80&quot;/&gt;&lt;wsp:rsid wsp:val=&quot;006218C1&quot;/&gt;&lt;wsp:rsid wsp:val=&quot;0062190B&quot;/&gt;&lt;wsp:rsid wsp:val=&quot;00626272&quot;/&gt;&lt;wsp:rsid wsp:val=&quot;006275F3&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7AEE&quot;/&gt;&lt;wsp:rsid wsp:val=&quot;00677C1F&quot;/&gt;&lt;wsp:rsid wsp:val=&quot;00677F2D&quot;/&gt;&lt;wsp:rsid wsp:val=&quot;00681788&quot;/&gt;&lt;wsp:rsid wsp:val=&quot;0068225F&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4370&quot;/&gt;&lt;wsp:rsid wsp:val=&quot;007347E9&quot;/&gt;&lt;wsp:rsid wsp:val=&quot;007348D3&quot;/&gt;&lt;wsp:rsid wsp:val=&quot;0073547A&quot;/&gt;&lt;wsp:rsid wsp:val=&quot;007363B0&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316F&quot;/&gt;&lt;wsp:rsid wsp:val=&quot;0081484F&quot;/&gt;&lt;wsp:rsid wsp:val=&quot;00814CDA&quot;/&gt;&lt;wsp:rsid wsp:val=&quot;0081545F&quot;/&gt;&lt;wsp:rsid wsp:val=&quot;00817791&quot;/&gt;&lt;wsp:rsid wsp:val=&quot;008211BB&quot;/&gt;&lt;wsp:rsid wsp:val=&quot;00823EBB&quot;/&gt;&lt;wsp:rsid wsp:val=&quot;00823F04&quot;/&gt;&lt;wsp:rsid wsp:val=&quot;00824E6D&quot;/&gt;&lt;wsp:rsid wsp:val=&quot;00825250&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93A&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1EB0&quot;/&gt;&lt;wsp:rsid wsp:val=&quot;008D21FC&quot;/&gt;&lt;wsp:rsid wsp:val=&quot;008D484D&quot;/&gt;&lt;wsp:rsid wsp:val=&quot;008D4C84&quot;/&gt;&lt;wsp:rsid wsp:val=&quot;008D7C4E&quot;/&gt;&lt;wsp:rsid wsp:val=&quot;008D7DBB&quot;/&gt;&lt;wsp:rsid wsp:val=&quot;008E0E53&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2CBE&quot;/&gt;&lt;wsp:rsid wsp:val=&quot;009360B9&quot;/&gt;&lt;wsp:rsid wsp:val=&quot;00941412&quot;/&gt;&lt;wsp:rsid wsp:val=&quot;00941875&quot;/&gt;&lt;wsp:rsid wsp:val=&quot;009455E2&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D39&quot;/&gt;&lt;wsp:rsid wsp:val=&quot;009858DC&quot;/&gt;&lt;wsp:rsid wsp:val=&quot;00985BEE&quot;/&gt;&lt;wsp:rsid wsp:val=&quot;00987210&quot;/&gt;&lt;wsp:rsid wsp:val=&quot;00987598&quot;/&gt;&lt;wsp:rsid wsp:val=&quot;00987E63&quot;/&gt;&lt;wsp:rsid wsp:val=&quot;009935A3&quot;/&gt;&lt;wsp:rsid wsp:val=&quot;009935EC&quot;/&gt;&lt;wsp:rsid wsp:val=&quot;00997263&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D0DE7&quot;/&gt;&lt;wsp:rsid wsp:val=&quot;009D0F8A&quot;/&gt;&lt;wsp:rsid wsp:val=&quot;009D19A5&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F070F&quot;/&gt;&lt;wsp:rsid wsp:val=&quot;009F19D8&quot;/&gt;&lt;wsp:rsid wsp:val=&quot;009F1F8C&quot;/&gt;&lt;wsp:rsid wsp:val=&quot;009F2F3F&quot;/&gt;&lt;wsp:rsid wsp:val=&quot;009F3DAE&quot;/&gt;&lt;wsp:rsid wsp:val=&quot;009F41C7&quot;/&gt;&lt;wsp:rsid wsp:val=&quot;00A00611&quot;/&gt;&lt;wsp:rsid wsp:val=&quot;00A00DDD&quot;/&gt;&lt;wsp:rsid wsp:val=&quot;00A037A9&quot;/&gt;&lt;wsp:rsid wsp:val=&quot;00A03CB5&quot;/&gt;&lt;wsp:rsid wsp:val=&quot;00A03DC8&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2BEF&quot;/&gt;&lt;wsp:rsid wsp:val=&quot;00AE35B7&quot;/&gt;&lt;wsp:rsid wsp:val=&quot;00AE5051&quot;/&gt;&lt;wsp:rsid wsp:val=&quot;00AF02FF&quot;/&gt;&lt;wsp:rsid wsp:val=&quot;00AF0D72&quot;/&gt;&lt;wsp:rsid wsp:val=&quot;00AF234A&quot;/&gt;&lt;wsp:rsid wsp:val=&quot;00AF4677&quot;/&gt;&lt;wsp:rsid wsp:val=&quot;00AF5720&quot;/&gt;&lt;wsp:rsid wsp:val=&quot;00AF739F&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81C&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22AB&quot;/&gt;&lt;wsp:rsid wsp:val=&quot;00C427F0&quot;/&gt;&lt;wsp:rsid wsp:val=&quot;00C434D6&quot;/&gt;&lt;wsp:rsid wsp:val=&quot;00C43CFE&quot;/&gt;&lt;wsp:rsid wsp:val=&quot;00C45003&quot;/&gt;&lt;wsp:rsid wsp:val=&quot;00C46AC4&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BB&quot;/&gt;&lt;wsp:rsid wsp:val=&quot;00C97ACC&quot;/&gt;&lt;wsp:rsid wsp:val=&quot;00CA23D0&quot;/&gt;&lt;wsp:rsid wsp:val=&quot;00CA31F0&quot;/&gt;&lt;wsp:rsid wsp:val=&quot;00CA327B&quot;/&gt;&lt;wsp:rsid wsp:val=&quot;00CA4962&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681&quot;/&gt;&lt;wsp:rsid wsp:val=&quot;00D044B4&quot;/&gt;&lt;wsp:rsid wsp:val=&quot;00D048E6&quot;/&gt;&lt;wsp:rsid wsp:val=&quot;00D0581F&quot;/&gt;&lt;wsp:rsid wsp:val=&quot;00D059AF&quot;/&gt;&lt;wsp:rsid wsp:val=&quot;00D07A9F&quot;/&gt;&lt;wsp:rsid wsp:val=&quot;00D135AB&quot;/&gt;&lt;wsp:rsid wsp:val=&quot;00D14238&quot;/&gt;&lt;wsp:rsid wsp:val=&quot;00D16724&quot;/&gt;&lt;wsp:rsid wsp:val=&quot;00D17B46&quot;/&gt;&lt;wsp:rsid wsp:val=&quot;00D17FBA&quot;/&gt;&lt;wsp:rsid wsp:val=&quot;00D20141&quot;/&gt;&lt;wsp:rsid wsp:val=&quot;00D20949&quot;/&gt;&lt;wsp:rsid wsp:val=&quot;00D20EF1&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E0E&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3320&quot;/&gt;&lt;wsp:rsid wsp:val=&quot;00F24AD1&quot;/&gt;&lt;wsp:rsid wsp:val=&quot;00F2543D&quot;/&gt;&lt;wsp:rsid wsp:val=&quot;00F316F3&quot;/&gt;&lt;wsp:rsid wsp:val=&quot;00F32A4D&quot;/&gt;&lt;wsp:rsid wsp:val=&quot;00F3340E&quot;/&gt;&lt;wsp:rsid wsp:val=&quot;00F34244&quot;/&gt;&lt;wsp:rsid wsp:val=&quot;00F34686&quot;/&gt;&lt;wsp:rsid wsp:val=&quot;00F35AA2&quot;/&gt;&lt;wsp:rsid wsp:val=&quot;00F36EA6&quot;/&gt;&lt;wsp:rsid wsp:val=&quot;00F43B2A&quot;/&gt;&lt;wsp:rsid wsp:val=&quot;00F43F28&quot;/&gt;&lt;wsp:rsid wsp:val=&quot;00F44A46&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7631&quot;/&gt;&lt;wsp:rsid wsp:val=&quot;00F97829&quot;/&gt;&lt;wsp:rsid wsp:val=&quot;00FA0FF6&quot;/&gt;&lt;wsp:rsid wsp:val=&quot;00FA1C18&quot;/&gt;&lt;wsp:rsid wsp:val=&quot;00FA26E4&quot;/&gt;&lt;wsp:rsid wsp:val=&quot;00FA5DED&quot;/&gt;&lt;wsp:rsid wsp:val=&quot;00FA6CFE&quot;/&gt;&lt;wsp:rsid wsp:val=&quot;00FB39A1&quot;/&gt;&lt;wsp:rsid wsp:val=&quot;00FB3BD4&quot;/&gt;&lt;wsp:rsid wsp:val=&quot;00FB6086&quot;/&gt;&lt;wsp:rsid wsp:val=&quot;00FB6A83&quot;/&gt;&lt;wsp:rsid wsp:val=&quot;00FC0F1D&quot;/&gt;&lt;wsp:rsid wsp:val=&quot;00FC101E&quot;/&gt;&lt;wsp:rsid wsp:val=&quot;00FC1396&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p wsp:rsidR=&quot;00000000&quot; wsp:rsidRDefault=&quot;00081A1E&quot;&gt;&lt;m:oMathPara&gt;&lt;m:oMath&gt;&lt;m:sSub&gt;&lt;m:sSubPr&gt;&lt;m:ctrlPr&gt;&lt;w:rPr&gt;&lt;w:rFonts w:ascii=&quot;Cambria Math&quot; w:h-ansi=&quot;Cambria Math&quot;/&gt;&lt;wx:font wx:val=&quot;Cambria Math&quot;/&gt;&lt;w:sz w:val=&quot;24&quot;/&gt;&lt;/w:rPr&gt;&lt;/m:ctrlPr&gt;&lt;/m:sSubPr&gt;&lt;m:e&gt;&lt;m:r&gt;&lt;m:rPr&gt;&lt;m:sty m:val=&quot;p&quot;/&gt;&lt;/m:rPr&gt;&lt;w:rPr&gt;&lt;w:rFonts w:ascii=&quot;Cambria Math&quot;/&gt;&lt;wx:font wx:val=&quot;Cambria Math&quot;/&gt;&lt;w:sz w:val=&quot;24&quot;/&gt;&lt;/w:rPr&gt;&lt;m:t&gt;L&lt;/m:t&gt;&lt;/m:r&gt;&lt;/m:e&gt;&lt;m:sub&gt;&lt;m:r&gt;&lt;m:rPr&gt;&lt;m:sty m:val=&quot;p&quot;/&gt;&lt;/m:rPr&gt;&lt;w:rPr&gt;&lt;w:rFonts w:ascii=&quot;Cambria Math&quot;/&gt;&lt;wx:font wx:val=&quot;Cambria Math&quot;/&gt;&lt;w:sz w:val=&quot;24&quot;/&gt;&lt;/w:rPr&gt;&lt;m:t&gt;m&lt;/m:t&gt;&lt;/m:r&gt;&lt;/m:sub&gt;&lt;/m:sSub&gt;&lt;m:r&gt;&lt;m:rPr&gt;&lt;m:sty m:val=&quot;p&quot;/&gt;&lt;/m:rPr&gt;&lt;w:rPr&gt;&lt;w:rFonts w:ascii=&quot;Cambria Math&quot;/&gt;&lt;wx:font wx:val=&quot;Cambria Math&quot;/&gt;&lt;w:sz w:val=&quot;24&quot;/&gt;&lt;/w:rPr&gt;&lt;m:t&gt;={0.11+0.7&lt;/m:t&gt;&lt;/m:r&gt;&lt;m:sSup&gt;&lt;m:sSupPr&gt;&lt;m:ctrlPr&gt;&lt;w:rPr&gt;&lt;w:rFonts w:ascii=&quot;Cambria Math&quot; w:h-ansi=&quot;Cambria Math&quot;/&gt;&lt;wx:font wx:val=&quot;Cambria Math&quot;/&gt;&lt;w:sz w:val=&quot;24&quot;/&gt;&lt;/w:rPr&gt;&lt;/m:ctrlPr&gt;&lt;/m:sSupPr&gt;&lt;m:e&gt;&lt;m:d&gt;&lt;m:dPr&gt;&lt;m:begChr m:val=&quot;[&quot;/&gt;&lt;m:endChr m:val=&quot;]&quot;/&gt;&lt;m:ctrlPr&gt;&lt;w:rPr&gt;&lt;w:rFonts w:ascii=&quot;Cambria Math&quot; w:h-ansi=&quot;Cambria Math&quot;/&gt;&lt;wx:font wx:val=&quot;Cambria Math&quot;/&gt;&lt;w:sz w:val=&quot;24&quot;/&gt;&lt;/w:rPr&gt;&lt;/m:ctrlPr&gt;&lt;/m:dPr&gt;&lt;m:e&gt;&lt;m:r&gt;&lt;m:rPr&gt;&lt;m:sty m:val=&quot;p&quot;/&gt;&lt;/m:rPr&gt;&lt;w:rPr&gt;&lt;w:rFonts w:ascii=&quot;Cambria Math&quot;/&gt;&lt;wx:font wx:val=&quot;Cambria Math&quot;/&gt;&lt;w:sz w:val=&quot;24&quot;/&gt;&lt;/w:rPr&gt;&lt;m:t&gt;0.5&lt;/m:t&gt;&lt;/m:r&gt;&lt;m:r&gt;&lt;m:rPr&gt;&lt;m:sty m:val=&quot;p&quot;/&gt;&lt;/m:rPr&gt;&lt;w:rPr&gt;&lt;w:rFonts w:ascii=&quot;Cambria Math&quot;/&gt;&lt;w:sz w:val=&quot;24&quot;/&gt;&lt;/w:rPr&gt;&lt;m:t&gt;-&lt;/m:t&gt;&lt;/m:r&gt;&lt;m:f&gt;&lt;m:fPr&gt;&lt;m:ctrlPr&gt;&lt;w:rPr&gt;&lt;w:rFonts w:ascii=&quot;Cambria Math&quot; w:h-ansi=&quot;Cambria Math&quot;/&gt;&lt;wx:font wx:val=&quot;Cambria Math&quot;/&gt;&lt;w:sz w:val=&quot;24&quot;/&gt;&lt;/w:rPr&gt;&lt;/m:ctrlPr&gt;&lt;/m:fPr&gt;&lt;m:num&gt;&lt;m:r&gt;&lt;m:rPr&gt;&lt;m:sty m:val=&quot;p&quot;/&gt;&lt;/m:rPr&gt;&lt;w:rPr&gt;&lt;w:rFonts w:ascii=&quot;Cambria Math&quot;/&gt;&lt;wx:font wx:val=&quot;Cambria Math&quot;/&gt;&lt;w:sz w:val=&quot;24&quot;/&gt;&lt;/w:rPr&gt;&lt;m:t&gt;a&lt;/m:t&gt;&lt;/m:r&gt;&lt;/m:num&gt;&lt;m:den&gt;&lt;m:r&gt;&lt;m:rPr&gt;&lt;m:sty m:val=&quot;p&quot;/&gt;&lt;/m:rPr&gt;&lt;w:rPr&gt;&lt;w:rFonts w:ascii=&quot;Cambria Math&quot;/&gt;&lt;wx:font wx:val=&quot;Cambria Math&quot;/&gt;&lt;w:sz w:val=&quot;24&quot;/&gt;&lt;/w:rPr&gt;&lt;m:t&gt;B&lt;/m:t&gt;&lt;/m:r&gt;&lt;/m:den&gt;&lt;/m:f&gt;&lt;m:r&gt;&lt;m:rPr&gt;&lt;m:sty m:val=&quot;p&quot;/&gt;&lt;/m:rPr&gt;&lt;w:rPr&gt;&lt;w:rFonts w:ascii=&quot;Cambria Math&quot; w:h-ansi=&quot;Cambria Math&quot;/&gt;&lt;wx:font wx:val=&quot;Cambria Math&quot;/&gt;&lt;w:sz w:val=&quot;24&quot;/&gt;&lt;/w:rPr&gt;&lt;m:t&gt;-&lt;/m:t&gt;&lt;/m:r&gt;&lt;m:r&gt;&lt;m:rPr&gt;&lt;m:sty m:val=&quot;p&quot;/&gt;&lt;/m:rPr&gt;&lt;w:rPr&gt;&lt;w:rFonts w:ascii=&quot;Cambria Math&quot;/&gt;&lt;wx:font wx:val=&quot;Cambria Math&quot;/&gt;&lt;w:sz w:val=&quot;24&quot;/&gt;&lt;/w:rPr&gt;&lt;m:t&gt;1.1&lt;/m:t&gt;&lt;/m:r&gt;&lt;m:sSup&gt;&lt;m:sSupPr&gt;&lt;m:ctrlPr&gt;&lt;w:rPr&gt;&lt;w:rFonts w:ascii=&quot;Cambria Math&quot; w:h-ansi=&quot;Cambria Math&quot;/&gt;&lt;wx:font wx:val=&quot;Cambria Math&quot;/&gt;&lt;w:sz w:val=&quot;24&quot;/&gt;&lt;/w:rPr&gt;&lt;/m:ctrlPr&gt;&lt;/m:sSupPr&gt;&lt;m:e&gt;&lt;m:d&gt;&lt;m:dPr&gt;&lt;m:ctrlPr&gt;&lt;w:rPr&gt;&lt;w:rFonts w:ascii=&quot;Cambria Math&quot; w:h-ansi=&quot;Cambria Math&quot;/&gt;&lt;wx:font wx:val=&quot;Cambria Math&quot;/&gt;&lt;w:sz w:val=&quot;24&quot;/&gt;&lt;/w:rPr&gt;&lt;/m:ctrlPr&gt;&lt;/m:dPr&gt;&lt;m:e&gt;&lt;m:r&gt;&lt;m:rPr&gt;&lt;m:sty m:val=&quot;p&quot;/&gt;&lt;/m:rPr&gt;&lt;w:rPr&gt;&lt;w:rFonts w:ascii=&quot;Cambria Math&quot;/&gt;&lt;wx:font wx:val=&quot;Cambria Math&quot;/&gt;&lt;w:sz w:val=&quot;24&quot;/&gt;&lt;/w:rPr&gt;&lt;m:t&gt;0.5&lt;/m:t&gt;&lt;/m:r&gt;&lt;m:r&gt;&lt;m:rPr&gt;&lt;m:sty m:val=&quot;p&quot;/&gt;&lt;/m:rPr&gt;&lt;w:rPr&gt;&lt;w:rFonts w:ascii=&quot;Cambria Math&quot;/&gt;&lt;w:sz w:val=&quot;24&quot;/&gt;&lt;/w:rPr&gt;&lt;m:t&gt;-&lt;/m:t&gt;&lt;/m:r&gt;&lt;m:f&gt;&lt;m:fPr&gt;&lt;m:ctrlPr&gt;&lt;w:rPr&gt;&lt;w:rFonts w:ascii=&quot;Cambria Math&quot; w:h-ansi=&quot;Cambria Math&quot;/&gt;&lt;wx:font wx:val=&quot;Cambria Math&quot;/&gt;&lt;w:sz w:val=&quot;24&quot;/&gt;&lt;/w:rPr&gt;&lt;/m:ctrlPr&gt;&lt;/m:fPr&gt;&lt;m:num&gt;&lt;m:r&gt;&lt;m:rPr&gt;&lt;m:sty m:val=&quot;p&quot;/&gt;&lt;/m:rPr&gt;&lt;w:rPr&gt;&lt;w:rFonts w:ascii=&quot;Cambria Math&quot;/&gt;&lt;wx:font wx:val=&quot;Cambria Math&quot;/&gt;&lt;w:sz w:val=&quot;24&quot;/&gt;&lt;/w:rPr&gt;&lt;m:t&gt;a&lt;/m:t&gt;&lt;/m:r&gt;&lt;/m:num&gt;&lt;m:den&gt;&lt;m:r&gt;&lt;m:rPr&gt;&lt;m:sty m:val=&quot;p&quot;/&gt;&lt;/m:rPr&gt;&lt;w:rPr&gt;&lt;w:rFonts w:ascii=&quot;Cambria Math&quot;/&gt;&lt;wx:font wx:val=&quot;Cambria Math&quot;/&gt;&lt;w:sz w:val=&quot;24&quot;/&gt;&lt;/w:rPr&gt;&lt;m:t&gt;B&lt;/m:t&gt;&lt;/m:r&gt;&lt;/m:den&gt;&lt;/m:f&gt;&lt;/m:e&gt;&lt;/m:d&gt;&lt;/m:e&gt;&lt;m:sup&gt;&lt;m:r&gt;&lt;m:rPr&gt;&lt;m:sty m:val=&quot;p&quot;/&gt;&lt;/m:rPr&gt;&lt;w:rPr&gt;&lt;w:rFonts w:ascii=&quot;Cambria Math&quot;/&gt;&lt;wx:font wx:val=&quot;Cambria Math&quot;/&gt;&lt;w:sz w:val=&quot;24&quot;/&gt;&lt;/w:rPr&gt;&lt;m:t&gt;2&lt;/m:t&gt;&lt;/m:r&gt;&lt;/m:sup&gt;&lt;/m:sSup&gt;&lt;/m:e&gt;&lt;/m:d&gt;&lt;/m:e&gt;&lt;m:sup&gt;&lt;m:f&gt;&lt;m:fPr&gt;&lt;m:ctrlPr&gt;&lt;w:rPr&gt;&lt;w:rFonts w:ascii=&quot;Cambria Math&quot; w:h-ansi=&quot;Cambria Math&quot;/&gt;&lt;wx:font wx:val=&quot;Cambria Math&quot;/&gt;&lt;w:sz w:val=&quot;24&quot;/&gt;&lt;/w:rPr&gt;&lt;/m:ctrlPr&gt;&lt;/m:fPr&gt;&lt;m:num&gt;&lt;m:r&gt;&lt;m:rPr&gt;&lt;m:sty m:val=&quot;p&quot;/&gt;&lt;/m:rPr&gt;&lt;w:rPr&gt;&lt;w:rFonts w:ascii=&quot;Cambria Math&quot;/&gt;&lt;wx:font wx:val=&quot;Cambria Math&quot;/&gt;&lt;w:sz w:val=&quot;24&quot;/&gt;&lt;/w:rPr&gt;&lt;m:t&gt;1&lt;/m:t&gt;&lt;/m:r&gt;&lt;/m:num&gt;&lt;m:den&gt;&lt;m:r&gt;&lt;m:rPr&gt;&lt;m:sty m:val=&quot;p&quot;/&gt;&lt;/m:rPr&gt;&lt;w:rPr&gt;&lt;w:rFonts w:ascii=&quot;Cambria Math&quot;/&gt;&lt;wx:font wx:val=&quot;Cambria Math&quot;/&gt;&lt;w:sz w:val=&quot;24&quot;/&gt;&lt;/w:rPr&gt;&lt;m:t&gt;2&lt;/m:t&gt;&lt;/m:r&gt;&lt;/m:den&gt;&lt;/m:f&gt;&lt;/m:sup&gt;&lt;/m:sSup&gt;&lt;m:r&gt;&lt;w:rPr&gt;&lt;w:rFonts w:ascii=&quot;Cambria Math&quot; w:h-ansi=&quot;Cambria Math&quot;/&gt;&lt;wx:font wx:val=&quot;Cambria Math&quot;/&gt;&lt;w:i/&gt;&lt;w:sz w:val=&quot;24&quot;/&gt;&lt;/w:rPr&gt;&lt;m:t&gt;}&lt;/m:t&gt;&lt;/m:r&gt;&lt;m:f&gt;&lt;m:fPr&gt;&lt;m:ctrlPr&gt;&lt;w:rPr&gt;&lt;w:rFonts w:ascii=&quot;Cambria Math&quot; w:h-ansi=&quot;Cambria Math&quot;/&gt;&lt;wx:font wx:val=&quot;Cambria Math&quot;/&gt;&lt;w:sz w:val=&quot;24&quot;/&gt;&lt;/w:rPr&gt;&lt;/m:ctrlPr&gt;&lt;/m:fPr&gt;&lt;m:num&gt;&lt;m:r&gt;&lt;m:rPr&gt;&lt;m:sty m:val=&quot;p&quot;/&gt;&lt;/m:rPr&gt;&lt;w:rPr&gt;&lt;w:rFonts w:ascii=&quot;Cambria Math&quot;/&gt;&lt;wx:font wx:val=&quot;Cambria Math&quot;/&gt;&lt;w:sz w:val=&quot;24&quot;/&gt;&lt;/w:rPr&gt;&lt;m:t&gt;u&lt;/m:t&gt;&lt;/m:r&gt;&lt;m:sSup&gt;&lt;m:sSupPr&gt;&lt;m:ctrlPr&gt;&lt;w:rPr&gt;&lt;w:rFonts w:ascii=&quot;Cambria Math&quot; w:h-ansi=&quot;Cambria Math&quot;/&gt;&lt;wx:font wx:val=&quot;Cambria Math&quot;/&gt;&lt;w:sz w:val=&quot;24&quot;/&gt;&lt;/w:rPr&gt;&lt;/m:ctrlPr&gt;&lt;/m:sSupPr&gt;&lt;m:e&gt;&lt;m:r&gt;&lt;m:rPr&gt;&lt;m:sty m:val=&quot;p&quot;/&gt;&lt;/m:rPr&gt;&lt;w:rPr&gt;&lt;w:rFonts w:ascii=&quot;Cambria Math&quot;/&gt;&lt;wx:font wx:val=&quot;Cambria Math&quot;/&gt;&lt;w:sz w:val=&quot;24&quot;/&gt;&lt;/w:rPr&gt;&lt;m:t&gt;B&lt;/m:t&gt;&lt;/m:r&gt;&lt;/m:e&gt;&lt;m:sup&gt;&lt;m:r&gt;&lt;m:rPr&gt;&lt;m:sty m:val=&quot;p&quot;/&gt;&lt;/m:rPr&gt;&lt;w:rPr&gt;&lt;w:rFonts w:ascii=&quot;Cambria Math&quot;/&gt;&lt;wx:font wx:val=&quot;Cambria Math&quot;/&gt;&lt;w:sz w:val=&quot;24&quot;/&gt;&lt;/w:rPr&gt;&lt;m:t&gt;2&lt;/m:t&gt;&lt;/m:r&gt;&lt;/m:sup&gt;&lt;/m:sSup&gt;&lt;/m:num&gt;&lt;m:den&gt;&lt;m:sSub&gt;&lt;m:sSubPr&gt;&lt;m:ctrlPr&gt;&lt;w:rPr&gt;&lt;w:rFonts w:ascii=&quot;Cambria Math&quot; w:h-ansi=&quot;Cambria Math&quot;/&gt;&lt;wx:font wx:val=&quot;Cambria Math&quot;/&gt;&lt;w:sz w:val=&quot;24&quot;/&gt;&lt;/w:rPr&gt;&lt;/m:ctrlPr&gt;&lt;/m:sSubPr&gt;&lt;m:e&gt;&lt;m:r&gt;&lt;m:rPr&gt;&lt;m:sty m:val=&quot;p&quot;/&gt;&lt;/m:rPr&gt;&lt;w:rPr&gt;&lt;w:rFonts w:ascii=&quot;Cambria Math&quot;/&gt;&lt;wx:font wx:val=&quot;Cambria Math&quot;/&gt;&lt;w:sz w:val=&quot;24&quot;/&gt;&lt;/w:rPr&gt;&lt;m:t&gt;E&lt;/m:t&gt;&lt;/m:r&gt;&lt;/m:e&gt;&lt;m:sub&gt;&lt;m:r&gt;&lt;m:rPr&gt;&lt;m:sty m:val=&quot;p&quot;/&gt;&lt;/m:rPr&gt;&lt;w:rPr&gt;&lt;w:rFonts w:ascii=&quot;Cambria Math&quot;/&gt;&lt;wx:font wx:val=&quot;Cambria Math&quot;/&gt;&lt;w:sz w:val=&quot;24&quot;/&gt;&lt;/w:rPr&gt;&lt;m:t&gt;y&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53" chromakey="#FFFFFF" o:title=""/>
                  <o:lock v:ext="edit" aspectratio="t"/>
                  <w10:wrap type="none"/>
                  <w10:anchorlock/>
                </v:shape>
              </w:pict>
            </w:r>
          </w:p>
          <w:p>
            <w:pPr>
              <w:spacing w:line="360" w:lineRule="auto"/>
              <w:ind w:firstLine="480"/>
              <w:rPr>
                <w:rFonts w:ascii="Times New Roman" w:hAnsi="Times New Roman" w:cs="宋体"/>
                <w:szCs w:val="20"/>
              </w:rPr>
            </w:pPr>
            <w:r>
              <w:rPr>
                <w:rFonts w:hint="eastAsia" w:ascii="Times New Roman" w:hAnsi="Times New Roman" w:cs="宋体"/>
                <w:szCs w:val="20"/>
              </w:rPr>
              <w:t>式中：</w:t>
            </w:r>
            <w:r>
              <w:rPr>
                <w:rFonts w:ascii="Times New Roman" w:hAnsi="Times New Roman" w:cs="宋体"/>
                <w:szCs w:val="20"/>
              </w:rPr>
              <w:t>L</w:t>
            </w:r>
            <w:r>
              <w:rPr>
                <w:rFonts w:ascii="Times New Roman" w:hAnsi="Times New Roman" w:cs="宋体"/>
                <w:szCs w:val="20"/>
                <w:vertAlign w:val="subscript"/>
              </w:rPr>
              <w:t>m</w:t>
            </w:r>
            <w:r>
              <w:rPr>
                <w:rFonts w:ascii="Times New Roman" w:hAnsi="Times New Roman" w:cs="宋体"/>
                <w:szCs w:val="20"/>
              </w:rPr>
              <w:t>——</w:t>
            </w:r>
            <w:r>
              <w:rPr>
                <w:rFonts w:hint="eastAsia" w:ascii="Times New Roman" w:hAnsi="Times New Roman" w:cs="宋体"/>
                <w:szCs w:val="20"/>
              </w:rPr>
              <w:t>混合段长度，</w:t>
            </w:r>
            <w:r>
              <w:rPr>
                <w:rFonts w:ascii="Times New Roman" w:hAnsi="Times New Roman" w:cs="宋体"/>
                <w:szCs w:val="20"/>
              </w:rPr>
              <w:t>m</w:t>
            </w:r>
            <w:r>
              <w:rPr>
                <w:rFonts w:hint="eastAsia" w:ascii="Times New Roman" w:hAnsi="Times New Roman" w:cs="宋体"/>
                <w:szCs w:val="20"/>
              </w:rPr>
              <w:t>；</w:t>
            </w:r>
          </w:p>
          <w:p>
            <w:pPr>
              <w:spacing w:line="360" w:lineRule="auto"/>
              <w:ind w:firstLine="1014" w:firstLineChars="483"/>
              <w:rPr>
                <w:rFonts w:ascii="Times New Roman" w:hAnsi="Times New Roman" w:cs="宋体"/>
                <w:szCs w:val="20"/>
                <w:highlight w:val="yellow"/>
              </w:rPr>
            </w:pPr>
            <w:r>
              <w:rPr>
                <w:rFonts w:ascii="Times New Roman" w:hAnsi="Times New Roman" w:cs="宋体"/>
                <w:szCs w:val="20"/>
              </w:rPr>
              <w:t>B——</w:t>
            </w:r>
            <w:r>
              <w:rPr>
                <w:rFonts w:hint="eastAsia" w:ascii="Times New Roman" w:hAnsi="Times New Roman" w:cs="宋体"/>
                <w:szCs w:val="20"/>
              </w:rPr>
              <w:t>水面宽度，</w:t>
            </w:r>
            <w:r>
              <w:rPr>
                <w:rFonts w:ascii="Times New Roman" w:hAnsi="Times New Roman" w:cs="宋体"/>
                <w:szCs w:val="20"/>
              </w:rPr>
              <w:t>m</w:t>
            </w:r>
            <w:r>
              <w:rPr>
                <w:rFonts w:hint="eastAsia" w:ascii="Times New Roman" w:hAnsi="Times New Roman" w:cs="宋体"/>
                <w:szCs w:val="20"/>
              </w:rPr>
              <w:t>；</w:t>
            </w:r>
          </w:p>
          <w:p>
            <w:pPr>
              <w:spacing w:line="360" w:lineRule="auto"/>
              <w:ind w:firstLine="1014" w:firstLineChars="483"/>
              <w:rPr>
                <w:rFonts w:ascii="Times New Roman" w:hAnsi="Times New Roman" w:cs="宋体"/>
                <w:szCs w:val="20"/>
              </w:rPr>
            </w:pPr>
            <w:r>
              <w:rPr>
                <w:rFonts w:ascii="Times New Roman" w:hAnsi="Times New Roman" w:cs="宋体"/>
                <w:szCs w:val="20"/>
              </w:rPr>
              <w:t>a——</w:t>
            </w:r>
            <w:r>
              <w:rPr>
                <w:rFonts w:hint="eastAsia" w:ascii="Times New Roman" w:hAnsi="Times New Roman" w:cs="宋体"/>
                <w:szCs w:val="20"/>
              </w:rPr>
              <w:t>排放口到岸边的距离，</w:t>
            </w:r>
            <w:r>
              <w:rPr>
                <w:rFonts w:ascii="Times New Roman" w:hAnsi="Times New Roman" w:cs="宋体"/>
                <w:szCs w:val="20"/>
              </w:rPr>
              <w:t>m</w:t>
            </w:r>
            <w:r>
              <w:rPr>
                <w:rFonts w:hint="eastAsia" w:ascii="Times New Roman" w:hAnsi="Times New Roman" w:cs="宋体"/>
                <w:szCs w:val="20"/>
              </w:rPr>
              <w:t>，本项目为</w:t>
            </w:r>
            <w:r>
              <w:rPr>
                <w:rFonts w:ascii="Times New Roman" w:hAnsi="Times New Roman" w:cs="宋体"/>
                <w:szCs w:val="20"/>
              </w:rPr>
              <w:t>0</w:t>
            </w:r>
            <w:r>
              <w:rPr>
                <w:rFonts w:hint="eastAsia" w:ascii="Times New Roman" w:hAnsi="Times New Roman" w:cs="宋体"/>
                <w:szCs w:val="20"/>
              </w:rPr>
              <w:t>；</w:t>
            </w:r>
          </w:p>
          <w:p>
            <w:pPr>
              <w:spacing w:line="360" w:lineRule="auto"/>
              <w:ind w:firstLine="1014" w:firstLineChars="483"/>
              <w:rPr>
                <w:rFonts w:ascii="Times New Roman" w:hAnsi="Times New Roman" w:cs="宋体"/>
                <w:szCs w:val="20"/>
              </w:rPr>
            </w:pPr>
            <w:r>
              <w:rPr>
                <w:rFonts w:ascii="Times New Roman" w:hAnsi="Times New Roman" w:cs="宋体"/>
                <w:szCs w:val="20"/>
              </w:rPr>
              <w:t>u——</w:t>
            </w:r>
            <w:r>
              <w:rPr>
                <w:rFonts w:hint="eastAsia" w:ascii="Times New Roman" w:hAnsi="Times New Roman" w:cs="宋体"/>
                <w:szCs w:val="20"/>
              </w:rPr>
              <w:t>断面流速，</w:t>
            </w:r>
            <w:r>
              <w:rPr>
                <w:rFonts w:ascii="Times New Roman" w:hAnsi="Times New Roman" w:cs="宋体"/>
                <w:szCs w:val="20"/>
              </w:rPr>
              <w:t>m/s</w:t>
            </w:r>
            <w:r>
              <w:rPr>
                <w:rFonts w:hint="eastAsia" w:ascii="Times New Roman" w:hAnsi="Times New Roman" w:cs="宋体"/>
                <w:szCs w:val="20"/>
              </w:rPr>
              <w:t>；</w:t>
            </w:r>
          </w:p>
          <w:p>
            <w:pPr>
              <w:spacing w:line="360" w:lineRule="auto"/>
              <w:ind w:firstLine="1014" w:firstLineChars="483"/>
              <w:rPr>
                <w:rFonts w:ascii="Times New Roman" w:hAnsi="Times New Roman" w:cs="宋体"/>
                <w:szCs w:val="20"/>
              </w:rPr>
            </w:pPr>
            <w:r>
              <w:rPr>
                <w:rFonts w:ascii="Times New Roman" w:hAnsi="Times New Roman" w:cs="宋体"/>
                <w:szCs w:val="20"/>
              </w:rPr>
              <w:t>H——</w:t>
            </w:r>
            <w:r>
              <w:rPr>
                <w:rFonts w:hint="eastAsia" w:ascii="Times New Roman" w:hAnsi="Times New Roman" w:cs="宋体"/>
                <w:szCs w:val="20"/>
              </w:rPr>
              <w:t>河流水深，</w:t>
            </w:r>
            <w:r>
              <w:rPr>
                <w:rFonts w:ascii="Times New Roman" w:hAnsi="Times New Roman" w:cs="宋体"/>
                <w:szCs w:val="20"/>
              </w:rPr>
              <w:t>m</w:t>
            </w:r>
            <w:r>
              <w:rPr>
                <w:rFonts w:hint="eastAsia" w:ascii="Times New Roman" w:hAnsi="Times New Roman" w:cs="宋体"/>
                <w:szCs w:val="20"/>
              </w:rPr>
              <w:t>；</w:t>
            </w:r>
          </w:p>
          <w:p>
            <w:pPr>
              <w:spacing w:line="360" w:lineRule="auto"/>
              <w:ind w:firstLine="1014" w:firstLineChars="483"/>
              <w:rPr>
                <w:rFonts w:ascii="Times New Roman" w:hAnsi="Times New Roman" w:cs="宋体"/>
                <w:szCs w:val="20"/>
              </w:rPr>
            </w:pPr>
            <w:r>
              <w:rPr>
                <w:rFonts w:ascii="Times New Roman" w:hAnsi="Times New Roman" w:cs="宋体"/>
                <w:szCs w:val="20"/>
              </w:rPr>
              <w:t>E</w:t>
            </w:r>
            <w:r>
              <w:rPr>
                <w:rFonts w:ascii="Times New Roman" w:hAnsi="Times New Roman" w:cs="宋体"/>
                <w:szCs w:val="20"/>
                <w:vertAlign w:val="subscript"/>
              </w:rPr>
              <w:t>y</w:t>
            </w:r>
            <w:r>
              <w:rPr>
                <w:rFonts w:ascii="Times New Roman" w:hAnsi="Times New Roman" w:cs="宋体"/>
                <w:szCs w:val="20"/>
              </w:rPr>
              <w:t>——</w:t>
            </w:r>
            <w:r>
              <w:rPr>
                <w:rFonts w:hint="eastAsia" w:ascii="Times New Roman" w:hAnsi="Times New Roman" w:cs="宋体"/>
                <w:szCs w:val="20"/>
              </w:rPr>
              <w:t>污染物横向扩散系数，</w:t>
            </w:r>
            <w:r>
              <w:rPr>
                <w:rFonts w:ascii="Times New Roman" w:hAnsi="Times New Roman" w:cs="宋体"/>
                <w:szCs w:val="20"/>
              </w:rPr>
              <w:t>m</w:t>
            </w:r>
            <w:r>
              <w:rPr>
                <w:rFonts w:ascii="Times New Roman" w:hAnsi="Times New Roman" w:cs="宋体"/>
                <w:szCs w:val="20"/>
                <w:vertAlign w:val="superscript"/>
              </w:rPr>
              <w:t>2</w:t>
            </w:r>
            <w:r>
              <w:rPr>
                <w:rFonts w:ascii="Times New Roman" w:hAnsi="Times New Roman" w:cs="宋体"/>
                <w:szCs w:val="20"/>
              </w:rPr>
              <w:t>/s</w:t>
            </w:r>
            <w:r>
              <w:rPr>
                <w:rFonts w:hint="eastAsia" w:ascii="Times New Roman" w:hAnsi="Times New Roman" w:cs="宋体"/>
                <w:szCs w:val="20"/>
              </w:rPr>
              <w:t>；</w:t>
            </w:r>
          </w:p>
          <w:p>
            <w:pPr>
              <w:pStyle w:val="114"/>
              <w:rPr>
                <w:b/>
                <w:szCs w:val="24"/>
              </w:rPr>
            </w:pPr>
            <w:r>
              <w:rPr>
                <w:rFonts w:hint="eastAsia"/>
              </w:rPr>
              <w:t>经计算，得混合过程段长度：</w:t>
            </w:r>
            <w:r>
              <w:t>L=1850m</w:t>
            </w:r>
            <w:r>
              <w:rPr>
                <w:rFonts w:hint="eastAsia"/>
              </w:rPr>
              <w:t>。</w:t>
            </w:r>
          </w:p>
          <w:p>
            <w:pPr>
              <w:snapToGrid w:val="0"/>
              <w:spacing w:line="480" w:lineRule="exact"/>
              <w:ind w:firstLine="480" w:firstLineChars="200"/>
              <w:rPr>
                <w:rFonts w:ascii="Times New Roman" w:hAnsi="Times New Roman"/>
                <w:sz w:val="24"/>
                <w:szCs w:val="24"/>
              </w:rPr>
            </w:pPr>
            <w:r>
              <w:rPr>
                <w:rFonts w:hint="eastAsia" w:ascii="Times New Roman" w:hAnsi="Times New Roman"/>
                <w:sz w:val="24"/>
                <w:szCs w:val="24"/>
              </w:rPr>
              <w:t>②预测模式</w:t>
            </w:r>
          </w:p>
          <w:p>
            <w:pPr>
              <w:pStyle w:val="114"/>
              <w:rPr>
                <w:szCs w:val="20"/>
              </w:rPr>
            </w:pPr>
            <w:r>
              <w:rPr>
                <w:rFonts w:hint="eastAsia"/>
              </w:rPr>
              <w:t>本项目污水厂尾水排放采用岸边排放方式，受纳水体为潭榄溪，年平均流量约为</w:t>
            </w:r>
            <w:r>
              <w:t>3.01m</w:t>
            </w:r>
            <w:r>
              <w:rPr>
                <w:vertAlign w:val="superscript"/>
              </w:rPr>
              <w:t>3</w:t>
            </w:r>
            <w:r>
              <w:t>/s</w:t>
            </w:r>
            <w:r>
              <w:rPr>
                <w:rFonts w:hint="eastAsia"/>
              </w:rPr>
              <w:t>，属于小型河流，</w:t>
            </w:r>
            <w:r>
              <w:rPr>
                <w:rFonts w:hint="eastAsia"/>
                <w:szCs w:val="20"/>
              </w:rPr>
              <w:t>排放的尾水中</w:t>
            </w:r>
            <w:r>
              <w:rPr>
                <w:szCs w:val="20"/>
              </w:rPr>
              <w:t>COD</w:t>
            </w:r>
            <w:r>
              <w:rPr>
                <w:rFonts w:hint="eastAsia"/>
                <w:szCs w:val="20"/>
              </w:rPr>
              <w:t>、</w:t>
            </w:r>
            <w:r>
              <w:rPr>
                <w:szCs w:val="20"/>
              </w:rPr>
              <w:t>NH</w:t>
            </w:r>
            <w:r>
              <w:rPr>
                <w:szCs w:val="20"/>
                <w:vertAlign w:val="subscript"/>
              </w:rPr>
              <w:t>3</w:t>
            </w:r>
            <w:r>
              <w:rPr>
                <w:szCs w:val="20"/>
              </w:rPr>
              <w:t>-N</w:t>
            </w:r>
            <w:r>
              <w:rPr>
                <w:rFonts w:hint="eastAsia"/>
                <w:szCs w:val="20"/>
              </w:rPr>
              <w:t>等为非持久性污染物。</w:t>
            </w:r>
          </w:p>
          <w:p>
            <w:pPr>
              <w:pStyle w:val="114"/>
            </w:pPr>
            <w:r>
              <w:rPr>
                <w:rFonts w:hint="eastAsia"/>
              </w:rPr>
              <w:t>根据《环境影响评价技术导则地表水环境》（</w:t>
            </w:r>
            <w:r>
              <w:t>HJ2.3-2018</w:t>
            </w:r>
            <w:r>
              <w:rPr>
                <w:rFonts w:hint="eastAsia"/>
              </w:rPr>
              <w:t>），采用连续稳定排放的河流平面二维水质模型方程解析解公式。</w:t>
            </w:r>
          </w:p>
          <w:p>
            <w:pPr>
              <w:pStyle w:val="114"/>
            </w:pPr>
            <w:r>
              <w:rPr>
                <w:rFonts w:hint="eastAsia"/>
              </w:rPr>
              <w:t>不考虑岸边反射影响的宽浅型平直恒定均匀河流，岸边点源稳定排放，浓度分布公式为：</w:t>
            </w:r>
          </w:p>
          <w:p>
            <w:pPr>
              <w:pStyle w:val="2"/>
              <w:spacing w:line="360" w:lineRule="auto"/>
              <w:jc w:val="center"/>
            </w:pPr>
            <w:r>
              <w:drawing>
                <wp:inline distT="0" distB="0" distL="0" distR="0">
                  <wp:extent cx="4401820" cy="775970"/>
                  <wp:effectExtent l="0" t="0" r="0" b="0"/>
                  <wp:docPr id="6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0"/>
                          <pic:cNvPicPr>
                            <a:picLocks noChangeAspect="1" noChangeArrowheads="1"/>
                          </pic:cNvPicPr>
                        </pic:nvPicPr>
                        <pic:blipFill>
                          <a:blip r:embed="rId54"/>
                          <a:srcRect/>
                          <a:stretch>
                            <a:fillRect/>
                          </a:stretch>
                        </pic:blipFill>
                        <pic:spPr>
                          <a:xfrm>
                            <a:off x="0" y="0"/>
                            <a:ext cx="4401820" cy="775970"/>
                          </a:xfrm>
                          <a:prstGeom prst="rect">
                            <a:avLst/>
                          </a:prstGeom>
                          <a:noFill/>
                          <a:ln>
                            <a:noFill/>
                          </a:ln>
                        </pic:spPr>
                      </pic:pic>
                    </a:graphicData>
                  </a:graphic>
                </wp:inline>
              </w:drawing>
            </w:r>
          </w:p>
          <w:p>
            <w:pPr>
              <w:spacing w:line="360" w:lineRule="auto"/>
              <w:ind w:firstLine="480"/>
              <w:rPr>
                <w:rFonts w:ascii="Times New Roman" w:hAnsi="Times New Roman" w:cs="宋体"/>
                <w:szCs w:val="20"/>
              </w:rPr>
            </w:pPr>
            <w:r>
              <w:rPr>
                <w:rFonts w:hint="eastAsia" w:ascii="Times New Roman" w:hAnsi="Times New Roman" w:cs="宋体"/>
                <w:szCs w:val="20"/>
              </w:rPr>
              <w:t>式中：</w:t>
            </w:r>
            <w:r>
              <w:rPr>
                <w:rFonts w:ascii="Times New Roman" w:hAnsi="Times New Roman" w:cs="宋体"/>
                <w:szCs w:val="20"/>
              </w:rPr>
              <w:t>C</w:t>
            </w:r>
            <w:r>
              <w:rPr>
                <w:rFonts w:hint="eastAsia" w:ascii="Times New Roman" w:hAnsi="Times New Roman" w:cs="宋体"/>
                <w:sz w:val="28"/>
                <w:szCs w:val="28"/>
                <w:vertAlign w:val="subscript"/>
              </w:rPr>
              <w:t>（</w:t>
            </w:r>
            <w:r>
              <w:rPr>
                <w:rFonts w:ascii="Times New Roman" w:hAnsi="Times New Roman" w:cs="宋体"/>
                <w:sz w:val="28"/>
                <w:szCs w:val="28"/>
                <w:vertAlign w:val="subscript"/>
              </w:rPr>
              <w:t>x,y</w:t>
            </w:r>
            <w:r>
              <w:rPr>
                <w:rFonts w:hint="eastAsia" w:ascii="Times New Roman" w:hAnsi="Times New Roman" w:cs="宋体"/>
                <w:sz w:val="28"/>
                <w:szCs w:val="28"/>
                <w:vertAlign w:val="subscript"/>
              </w:rPr>
              <w:t>）</w:t>
            </w:r>
            <w:r>
              <w:rPr>
                <w:rFonts w:ascii="Times New Roman" w:hAnsi="Times New Roman" w:cs="宋体"/>
                <w:szCs w:val="20"/>
              </w:rPr>
              <w:t>——</w:t>
            </w:r>
            <w:r>
              <w:rPr>
                <w:rFonts w:hint="eastAsia" w:ascii="Times New Roman" w:hAnsi="Times New Roman" w:cs="宋体"/>
                <w:szCs w:val="20"/>
              </w:rPr>
              <w:t>纵向距离</w:t>
            </w:r>
            <w:r>
              <w:rPr>
                <w:rFonts w:ascii="Times New Roman" w:hAnsi="Times New Roman" w:cs="宋体"/>
                <w:szCs w:val="20"/>
              </w:rPr>
              <w:t>x</w:t>
            </w:r>
            <w:r>
              <w:rPr>
                <w:rFonts w:hint="eastAsia" w:ascii="Times New Roman" w:hAnsi="Times New Roman" w:cs="宋体"/>
                <w:szCs w:val="20"/>
              </w:rPr>
              <w:t>、横向距离</w:t>
            </w:r>
            <w:r>
              <w:rPr>
                <w:rFonts w:ascii="Times New Roman" w:hAnsi="Times New Roman" w:cs="宋体"/>
                <w:szCs w:val="20"/>
              </w:rPr>
              <w:t>y</w:t>
            </w:r>
            <w:r>
              <w:rPr>
                <w:rFonts w:hint="eastAsia" w:ascii="Times New Roman" w:hAnsi="Times New Roman" w:cs="宋体"/>
                <w:szCs w:val="20"/>
              </w:rPr>
              <w:t>点的污染物浓度，</w:t>
            </w:r>
            <w:r>
              <w:rPr>
                <w:rFonts w:ascii="Times New Roman" w:hAnsi="Times New Roman" w:cs="宋体"/>
                <w:szCs w:val="20"/>
              </w:rPr>
              <w:t>mg/L</w:t>
            </w:r>
            <w:r>
              <w:rPr>
                <w:rFonts w:hint="eastAsia" w:ascii="Times New Roman" w:hAnsi="Times New Roman" w:cs="宋体"/>
                <w:szCs w:val="20"/>
              </w:rPr>
              <w:t>；</w:t>
            </w:r>
          </w:p>
          <w:p>
            <w:pPr>
              <w:spacing w:line="360" w:lineRule="auto"/>
              <w:ind w:firstLine="1014" w:firstLineChars="483"/>
              <w:rPr>
                <w:rFonts w:ascii="Times New Roman" w:hAnsi="Times New Roman" w:cs="宋体"/>
                <w:szCs w:val="20"/>
                <w:highlight w:val="yellow"/>
              </w:rPr>
            </w:pPr>
            <w:r>
              <w:rPr>
                <w:rFonts w:ascii="Times New Roman" w:hAnsi="Times New Roman" w:cs="宋体"/>
                <w:szCs w:val="20"/>
              </w:rPr>
              <w:t>C</w:t>
            </w:r>
            <w:r>
              <w:rPr>
                <w:rFonts w:ascii="Times New Roman" w:hAnsi="Times New Roman" w:cs="宋体"/>
                <w:sz w:val="28"/>
                <w:szCs w:val="28"/>
                <w:vertAlign w:val="subscript"/>
              </w:rPr>
              <w:t>h</w:t>
            </w:r>
            <w:r>
              <w:rPr>
                <w:rFonts w:ascii="Times New Roman" w:hAnsi="Times New Roman" w:cs="宋体"/>
                <w:szCs w:val="20"/>
              </w:rPr>
              <w:t>——</w:t>
            </w:r>
            <w:r>
              <w:rPr>
                <w:rFonts w:hint="eastAsia" w:ascii="Times New Roman" w:hAnsi="Times New Roman" w:cs="宋体"/>
                <w:szCs w:val="20"/>
              </w:rPr>
              <w:t>河流上游污染物浓度，</w:t>
            </w:r>
            <w:r>
              <w:rPr>
                <w:rFonts w:ascii="Times New Roman" w:hAnsi="Times New Roman" w:cs="宋体"/>
                <w:szCs w:val="20"/>
              </w:rPr>
              <w:t>mg/L</w:t>
            </w:r>
            <w:r>
              <w:rPr>
                <w:rFonts w:hint="eastAsia" w:ascii="Times New Roman" w:hAnsi="Times New Roman" w:cs="宋体"/>
                <w:szCs w:val="20"/>
              </w:rPr>
              <w:t>，本次预测取对照断面补充监测均值</w:t>
            </w:r>
            <w:r>
              <w:rPr>
                <w:rFonts w:ascii="Times New Roman" w:hAnsi="Times New Roman" w:cs="宋体"/>
                <w:szCs w:val="20"/>
              </w:rPr>
              <w:t>COD</w:t>
            </w:r>
            <w:r>
              <w:rPr>
                <w:rFonts w:hint="eastAsia" w:ascii="Times New Roman" w:hAnsi="Times New Roman" w:cs="宋体"/>
                <w:szCs w:val="20"/>
              </w:rPr>
              <w:t>：</w:t>
            </w:r>
            <w:r>
              <w:rPr>
                <w:rFonts w:ascii="Times New Roman" w:hAnsi="Times New Roman" w:cs="宋体"/>
                <w:szCs w:val="20"/>
              </w:rPr>
              <w:t>20.67mg/L</w:t>
            </w:r>
            <w:r>
              <w:rPr>
                <w:rFonts w:hint="eastAsia" w:ascii="Times New Roman" w:hAnsi="Times New Roman" w:cs="宋体"/>
                <w:szCs w:val="20"/>
              </w:rPr>
              <w:t>、</w:t>
            </w:r>
            <w:r>
              <w:rPr>
                <w:rFonts w:ascii="Times New Roman" w:hAnsi="Times New Roman"/>
                <w:sz w:val="24"/>
                <w:szCs w:val="20"/>
              </w:rPr>
              <w:t>NH</w:t>
            </w:r>
            <w:r>
              <w:rPr>
                <w:rFonts w:ascii="Times New Roman" w:hAnsi="Times New Roman"/>
                <w:sz w:val="24"/>
                <w:szCs w:val="20"/>
                <w:vertAlign w:val="subscript"/>
              </w:rPr>
              <w:t>3</w:t>
            </w:r>
            <w:r>
              <w:rPr>
                <w:rFonts w:ascii="Times New Roman" w:hAnsi="Times New Roman"/>
                <w:sz w:val="24"/>
                <w:szCs w:val="20"/>
              </w:rPr>
              <w:t>-N</w:t>
            </w:r>
            <w:r>
              <w:rPr>
                <w:rFonts w:hint="eastAsia" w:ascii="Times New Roman" w:hAnsi="Times New Roman"/>
                <w:sz w:val="24"/>
                <w:szCs w:val="20"/>
              </w:rPr>
              <w:t>：</w:t>
            </w:r>
            <w:r>
              <w:rPr>
                <w:rFonts w:ascii="Times New Roman" w:hAnsi="Times New Roman"/>
                <w:sz w:val="24"/>
                <w:szCs w:val="20"/>
              </w:rPr>
              <w:t>0.618</w:t>
            </w:r>
            <w:r>
              <w:rPr>
                <w:rFonts w:ascii="Times New Roman" w:hAnsi="Times New Roman" w:cs="宋体"/>
                <w:szCs w:val="20"/>
              </w:rPr>
              <w:t xml:space="preserve"> mg/L</w:t>
            </w:r>
            <w:r>
              <w:rPr>
                <w:rFonts w:hint="eastAsia" w:ascii="Times New Roman" w:hAnsi="Times New Roman" w:cs="宋体"/>
                <w:szCs w:val="20"/>
              </w:rPr>
              <w:t>；</w:t>
            </w:r>
          </w:p>
          <w:p>
            <w:pPr>
              <w:spacing w:line="360" w:lineRule="auto"/>
              <w:ind w:firstLine="1014" w:firstLineChars="483"/>
              <w:rPr>
                <w:rFonts w:ascii="Times New Roman" w:hAnsi="Times New Roman" w:cs="宋体"/>
                <w:szCs w:val="20"/>
              </w:rPr>
            </w:pPr>
            <w:r>
              <w:rPr>
                <w:rFonts w:ascii="Times New Roman" w:hAnsi="Times New Roman" w:cs="宋体"/>
                <w:szCs w:val="20"/>
              </w:rPr>
              <w:t>h——</w:t>
            </w:r>
            <w:r>
              <w:rPr>
                <w:rFonts w:hint="eastAsia" w:ascii="Times New Roman" w:hAnsi="Times New Roman" w:cs="宋体"/>
                <w:szCs w:val="20"/>
              </w:rPr>
              <w:t>断面水深，</w:t>
            </w:r>
            <w:r>
              <w:rPr>
                <w:rFonts w:ascii="Times New Roman" w:hAnsi="Times New Roman" w:cs="宋体"/>
                <w:szCs w:val="20"/>
              </w:rPr>
              <w:t>m</w:t>
            </w:r>
            <w:r>
              <w:rPr>
                <w:rFonts w:hint="eastAsia" w:ascii="Times New Roman" w:hAnsi="Times New Roman" w:cs="宋体"/>
                <w:szCs w:val="20"/>
              </w:rPr>
              <w:t>；</w:t>
            </w:r>
          </w:p>
          <w:p>
            <w:pPr>
              <w:spacing w:line="360" w:lineRule="auto"/>
              <w:ind w:firstLine="1014" w:firstLineChars="483"/>
              <w:rPr>
                <w:rFonts w:ascii="Times New Roman" w:hAnsi="Times New Roman" w:cs="宋体"/>
                <w:szCs w:val="20"/>
              </w:rPr>
            </w:pPr>
            <w:r>
              <w:rPr>
                <w:rFonts w:ascii="Times New Roman" w:hAnsi="Times New Roman" w:cs="宋体"/>
                <w:szCs w:val="20"/>
              </w:rPr>
              <w:t>k——</w:t>
            </w:r>
            <w:r>
              <w:rPr>
                <w:rFonts w:hint="eastAsia" w:ascii="Times New Roman" w:hAnsi="Times New Roman" w:cs="宋体"/>
                <w:szCs w:val="20"/>
              </w:rPr>
              <w:t>污染物综合衰减系数，</w:t>
            </w:r>
            <w:r>
              <w:rPr>
                <w:rFonts w:ascii="Times New Roman" w:hAnsi="Times New Roman" w:cs="宋体"/>
                <w:szCs w:val="20"/>
              </w:rPr>
              <w:t>s</w:t>
            </w:r>
            <w:r>
              <w:rPr>
                <w:rFonts w:ascii="Times New Roman" w:hAnsi="Times New Roman" w:cs="宋体"/>
                <w:szCs w:val="20"/>
                <w:vertAlign w:val="superscript"/>
              </w:rPr>
              <w:t>-1</w:t>
            </w:r>
            <w:r>
              <w:rPr>
                <w:rFonts w:hint="eastAsia" w:ascii="Times New Roman" w:hAnsi="Times New Roman" w:cs="宋体"/>
                <w:szCs w:val="20"/>
              </w:rPr>
              <w:t>；</w:t>
            </w:r>
          </w:p>
          <w:p>
            <w:pPr>
              <w:spacing w:line="360" w:lineRule="auto"/>
              <w:ind w:firstLine="1014" w:firstLineChars="483"/>
              <w:rPr>
                <w:rFonts w:ascii="Times New Roman" w:hAnsi="Times New Roman" w:cs="宋体"/>
                <w:szCs w:val="20"/>
              </w:rPr>
            </w:pPr>
            <w:r>
              <w:rPr>
                <w:rFonts w:ascii="Times New Roman" w:hAnsi="Times New Roman" w:cs="宋体"/>
                <w:szCs w:val="20"/>
              </w:rPr>
              <w:t>m——</w:t>
            </w:r>
            <w:r>
              <w:rPr>
                <w:rFonts w:hint="eastAsia" w:ascii="Times New Roman" w:hAnsi="Times New Roman" w:cs="宋体"/>
                <w:szCs w:val="20"/>
              </w:rPr>
              <w:t>污染物排放速率，</w:t>
            </w:r>
            <w:r>
              <w:rPr>
                <w:rFonts w:ascii="Times New Roman" w:hAnsi="Times New Roman" w:cs="宋体"/>
                <w:szCs w:val="20"/>
              </w:rPr>
              <w:t>g/s</w:t>
            </w:r>
            <w:r>
              <w:rPr>
                <w:rFonts w:hint="eastAsia" w:ascii="Times New Roman" w:hAnsi="Times New Roman" w:cs="宋体"/>
                <w:szCs w:val="20"/>
              </w:rPr>
              <w:t>；</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③评价河段水文条件</w:t>
            </w:r>
          </w:p>
          <w:p>
            <w:pPr>
              <w:pStyle w:val="114"/>
            </w:pPr>
            <w:r>
              <w:rPr>
                <w:rFonts w:hint="eastAsia"/>
              </w:rPr>
              <w:t>根据现场踏勘、现状监测报告及当地水文站多年的水文测量资料，评价河段水文参数见下表</w:t>
            </w:r>
            <w:r>
              <w:t>6-12</w:t>
            </w:r>
            <w:r>
              <w:rPr>
                <w:rFonts w:hint="eastAsia"/>
              </w:rPr>
              <w:t>。</w:t>
            </w:r>
          </w:p>
          <w:p>
            <w:pPr>
              <w:pStyle w:val="111"/>
            </w:pPr>
            <w:r>
              <w:rPr>
                <w:rFonts w:hint="eastAsia"/>
              </w:rPr>
              <w:t>表</w:t>
            </w:r>
            <w:r>
              <w:t>6-12</w:t>
            </w:r>
            <w:r>
              <w:rPr>
                <w:rFonts w:hint="eastAsia"/>
              </w:rPr>
              <w:t>潭榄溪预测河段水文参数</w:t>
            </w:r>
          </w:p>
          <w:tbl>
            <w:tblPr>
              <w:tblStyle w:val="37"/>
              <w:tblW w:w="941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9"/>
              <w:gridCol w:w="1439"/>
              <w:gridCol w:w="1294"/>
              <w:gridCol w:w="2729"/>
              <w:gridCol w:w="1441"/>
              <w:gridCol w:w="12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5" w:hRule="atLeast"/>
                <w:jc w:val="center"/>
              </w:trPr>
              <w:tc>
                <w:tcPr>
                  <w:tcW w:w="1259" w:type="dxa"/>
                  <w:tcBorders>
                    <w:top w:val="single" w:color="auto" w:sz="12" w:space="0"/>
                    <w:left w:val="single" w:color="auto" w:sz="12" w:space="0"/>
                    <w:bottom w:val="double" w:color="auto" w:sz="4" w:space="0"/>
                    <w:right w:val="single" w:color="auto" w:sz="6" w:space="0"/>
                  </w:tcBorders>
                  <w:vAlign w:val="center"/>
                </w:tcPr>
                <w:p>
                  <w:pPr>
                    <w:pStyle w:val="77"/>
                    <w:rPr>
                      <w:b/>
                      <w:bCs/>
                    </w:rPr>
                  </w:pPr>
                  <w:r>
                    <w:rPr>
                      <w:rFonts w:hint="eastAsia"/>
                      <w:b/>
                      <w:bCs/>
                    </w:rPr>
                    <w:t>水体名称</w:t>
                  </w:r>
                </w:p>
              </w:tc>
              <w:tc>
                <w:tcPr>
                  <w:tcW w:w="1439" w:type="dxa"/>
                  <w:tcBorders>
                    <w:top w:val="single" w:color="auto" w:sz="12" w:space="0"/>
                    <w:left w:val="single" w:color="auto" w:sz="6" w:space="0"/>
                    <w:bottom w:val="double" w:color="auto" w:sz="4" w:space="0"/>
                    <w:right w:val="single" w:color="auto" w:sz="6" w:space="0"/>
                  </w:tcBorders>
                  <w:vAlign w:val="center"/>
                </w:tcPr>
                <w:p>
                  <w:pPr>
                    <w:pStyle w:val="77"/>
                    <w:rPr>
                      <w:b/>
                      <w:bCs/>
                    </w:rPr>
                  </w:pPr>
                  <w:r>
                    <w:rPr>
                      <w:rFonts w:hint="eastAsia"/>
                      <w:b/>
                      <w:bCs/>
                    </w:rPr>
                    <w:t>平均河宽</w:t>
                  </w:r>
                  <w:r>
                    <w:rPr>
                      <w:b/>
                      <w:bCs/>
                    </w:rPr>
                    <w:t>B</w:t>
                  </w:r>
                </w:p>
                <w:p>
                  <w:pPr>
                    <w:pStyle w:val="77"/>
                    <w:rPr>
                      <w:b/>
                      <w:bCs/>
                    </w:rPr>
                  </w:pPr>
                  <w:r>
                    <w:rPr>
                      <w:rFonts w:hint="eastAsia"/>
                      <w:b/>
                      <w:bCs/>
                    </w:rPr>
                    <w:t>（</w:t>
                  </w:r>
                  <w:r>
                    <w:rPr>
                      <w:b/>
                      <w:bCs/>
                    </w:rPr>
                    <w:t>m</w:t>
                  </w:r>
                  <w:r>
                    <w:rPr>
                      <w:rFonts w:hint="eastAsia"/>
                      <w:b/>
                      <w:bCs/>
                    </w:rPr>
                    <w:t>）</w:t>
                  </w:r>
                </w:p>
              </w:tc>
              <w:tc>
                <w:tcPr>
                  <w:tcW w:w="1294" w:type="dxa"/>
                  <w:tcBorders>
                    <w:top w:val="single" w:color="auto" w:sz="12" w:space="0"/>
                    <w:left w:val="single" w:color="auto" w:sz="6" w:space="0"/>
                    <w:bottom w:val="double" w:color="auto" w:sz="4" w:space="0"/>
                    <w:right w:val="single" w:color="auto" w:sz="6" w:space="0"/>
                  </w:tcBorders>
                  <w:vAlign w:val="center"/>
                </w:tcPr>
                <w:p>
                  <w:pPr>
                    <w:pStyle w:val="77"/>
                    <w:rPr>
                      <w:b/>
                      <w:bCs/>
                    </w:rPr>
                  </w:pPr>
                  <w:r>
                    <w:rPr>
                      <w:rFonts w:hint="eastAsia"/>
                      <w:b/>
                      <w:bCs/>
                    </w:rPr>
                    <w:t>平均水深</w:t>
                  </w:r>
                  <w:r>
                    <w:rPr>
                      <w:b/>
                      <w:bCs/>
                    </w:rPr>
                    <w:t>H</w:t>
                  </w:r>
                </w:p>
                <w:p>
                  <w:pPr>
                    <w:pStyle w:val="77"/>
                    <w:rPr>
                      <w:b/>
                      <w:bCs/>
                    </w:rPr>
                  </w:pPr>
                  <w:r>
                    <w:rPr>
                      <w:rFonts w:hint="eastAsia"/>
                      <w:b/>
                      <w:bCs/>
                    </w:rPr>
                    <w:t>（</w:t>
                  </w:r>
                  <w:r>
                    <w:rPr>
                      <w:b/>
                      <w:bCs/>
                    </w:rPr>
                    <w:t>m</w:t>
                  </w:r>
                  <w:r>
                    <w:rPr>
                      <w:rFonts w:hint="eastAsia"/>
                      <w:b/>
                      <w:bCs/>
                    </w:rPr>
                    <w:t>）</w:t>
                  </w:r>
                </w:p>
              </w:tc>
              <w:tc>
                <w:tcPr>
                  <w:tcW w:w="2729" w:type="dxa"/>
                  <w:tcBorders>
                    <w:top w:val="single" w:color="auto" w:sz="12" w:space="0"/>
                    <w:left w:val="single" w:color="auto" w:sz="6" w:space="0"/>
                    <w:bottom w:val="double" w:color="auto" w:sz="4" w:space="0"/>
                    <w:right w:val="single" w:color="auto" w:sz="6" w:space="0"/>
                  </w:tcBorders>
                  <w:vAlign w:val="center"/>
                </w:tcPr>
                <w:p>
                  <w:pPr>
                    <w:pStyle w:val="77"/>
                    <w:rPr>
                      <w:rFonts w:hAnsi="Arial Unicode MS" w:eastAsia="Times New Roman"/>
                      <w:b/>
                      <w:bCs/>
                    </w:rPr>
                  </w:pPr>
                  <w:r>
                    <w:rPr>
                      <w:rFonts w:hint="eastAsia" w:hAnsi="宋体"/>
                      <w:b/>
                      <w:bCs/>
                    </w:rPr>
                    <w:t>流量</w:t>
                  </w:r>
                  <w:r>
                    <w:rPr>
                      <w:rFonts w:hAnsi="Arial Unicode MS" w:eastAsia="Times New Roman"/>
                      <w:b/>
                      <w:bCs/>
                    </w:rPr>
                    <w:t>Q</w:t>
                  </w:r>
                </w:p>
                <w:p>
                  <w:pPr>
                    <w:pStyle w:val="77"/>
                    <w:rPr>
                      <w:b/>
                      <w:bCs/>
                    </w:rPr>
                  </w:pPr>
                  <w:r>
                    <w:rPr>
                      <w:rFonts w:hint="eastAsia"/>
                      <w:b/>
                      <w:bCs/>
                    </w:rPr>
                    <w:t>（</w:t>
                  </w:r>
                  <w:r>
                    <w:rPr>
                      <w:b/>
                      <w:bCs/>
                    </w:rPr>
                    <w:t>m</w:t>
                  </w:r>
                  <w:r>
                    <w:rPr>
                      <w:b/>
                      <w:bCs/>
                      <w:vertAlign w:val="superscript"/>
                    </w:rPr>
                    <w:t>3</w:t>
                  </w:r>
                  <w:r>
                    <w:rPr>
                      <w:b/>
                      <w:bCs/>
                    </w:rPr>
                    <w:t>/s</w:t>
                  </w:r>
                  <w:r>
                    <w:rPr>
                      <w:rFonts w:hint="eastAsia"/>
                      <w:b/>
                      <w:bCs/>
                    </w:rPr>
                    <w:t>）</w:t>
                  </w:r>
                </w:p>
              </w:tc>
              <w:tc>
                <w:tcPr>
                  <w:tcW w:w="1441" w:type="dxa"/>
                  <w:tcBorders>
                    <w:top w:val="single" w:color="auto" w:sz="12" w:space="0"/>
                    <w:left w:val="single" w:color="auto" w:sz="6" w:space="0"/>
                    <w:bottom w:val="double" w:color="auto" w:sz="4" w:space="0"/>
                    <w:right w:val="single" w:color="auto" w:sz="6" w:space="0"/>
                  </w:tcBorders>
                  <w:vAlign w:val="center"/>
                </w:tcPr>
                <w:p>
                  <w:pPr>
                    <w:pStyle w:val="77"/>
                    <w:rPr>
                      <w:b/>
                      <w:bCs/>
                    </w:rPr>
                  </w:pPr>
                  <w:r>
                    <w:rPr>
                      <w:rFonts w:hint="eastAsia"/>
                      <w:b/>
                      <w:bCs/>
                    </w:rPr>
                    <w:t>平均流速</w:t>
                  </w:r>
                  <w:r>
                    <w:rPr>
                      <w:b/>
                      <w:bCs/>
                    </w:rPr>
                    <w:t>U</w:t>
                  </w:r>
                </w:p>
                <w:p>
                  <w:pPr>
                    <w:pStyle w:val="77"/>
                    <w:rPr>
                      <w:b/>
                      <w:bCs/>
                    </w:rPr>
                  </w:pPr>
                  <w:r>
                    <w:rPr>
                      <w:rFonts w:hint="eastAsia"/>
                      <w:b/>
                      <w:bCs/>
                    </w:rPr>
                    <w:t>（</w:t>
                  </w:r>
                  <w:r>
                    <w:rPr>
                      <w:b/>
                      <w:bCs/>
                    </w:rPr>
                    <w:t>m/s</w:t>
                  </w:r>
                  <w:r>
                    <w:rPr>
                      <w:rFonts w:hint="eastAsia"/>
                      <w:b/>
                      <w:bCs/>
                    </w:rPr>
                    <w:t>）</w:t>
                  </w:r>
                </w:p>
              </w:tc>
              <w:tc>
                <w:tcPr>
                  <w:tcW w:w="1254" w:type="dxa"/>
                  <w:tcBorders>
                    <w:top w:val="single" w:color="auto" w:sz="12" w:space="0"/>
                    <w:left w:val="single" w:color="auto" w:sz="6" w:space="0"/>
                    <w:bottom w:val="double" w:color="auto" w:sz="4" w:space="0"/>
                    <w:right w:val="single" w:color="auto" w:sz="12" w:space="0"/>
                  </w:tcBorders>
                  <w:vAlign w:val="center"/>
                </w:tcPr>
                <w:p>
                  <w:pPr>
                    <w:pStyle w:val="77"/>
                    <w:rPr>
                      <w:b/>
                      <w:bCs/>
                    </w:rPr>
                  </w:pPr>
                  <w:r>
                    <w:rPr>
                      <w:rFonts w:hint="eastAsia"/>
                      <w:b/>
                      <w:bCs/>
                    </w:rPr>
                    <w:t>河道比降（</w:t>
                  </w:r>
                  <w:r>
                    <w:rPr>
                      <w:b/>
                      <w:bCs/>
                    </w:rPr>
                    <w:t>‰</w:t>
                  </w:r>
                  <w:r>
                    <w:rPr>
                      <w:rFonts w:hint="eastAsia"/>
                      <w:b/>
                      <w:bC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5" w:hRule="atLeast"/>
                <w:jc w:val="center"/>
              </w:trPr>
              <w:tc>
                <w:tcPr>
                  <w:tcW w:w="1259" w:type="dxa"/>
                  <w:tcBorders>
                    <w:top w:val="double" w:color="auto" w:sz="4" w:space="0"/>
                    <w:left w:val="single" w:color="auto" w:sz="12" w:space="0"/>
                    <w:bottom w:val="single" w:color="auto" w:sz="12" w:space="0"/>
                    <w:right w:val="single" w:color="auto" w:sz="6" w:space="0"/>
                  </w:tcBorders>
                  <w:vAlign w:val="center"/>
                </w:tcPr>
                <w:p>
                  <w:pPr>
                    <w:pStyle w:val="77"/>
                    <w:rPr>
                      <w:szCs w:val="20"/>
                    </w:rPr>
                  </w:pPr>
                  <w:r>
                    <w:rPr>
                      <w:rFonts w:hint="eastAsia"/>
                      <w:szCs w:val="20"/>
                    </w:rPr>
                    <w:t>潭榄溪</w:t>
                  </w:r>
                </w:p>
              </w:tc>
              <w:tc>
                <w:tcPr>
                  <w:tcW w:w="1439" w:type="dxa"/>
                  <w:tcBorders>
                    <w:top w:val="double" w:color="auto" w:sz="4" w:space="0"/>
                    <w:left w:val="single" w:color="auto" w:sz="6" w:space="0"/>
                    <w:bottom w:val="single" w:color="auto" w:sz="12" w:space="0"/>
                    <w:right w:val="single" w:color="auto" w:sz="6" w:space="0"/>
                  </w:tcBorders>
                  <w:vAlign w:val="center"/>
                </w:tcPr>
                <w:p>
                  <w:pPr>
                    <w:pStyle w:val="77"/>
                    <w:rPr>
                      <w:szCs w:val="20"/>
                    </w:rPr>
                  </w:pPr>
                  <w:r>
                    <w:rPr>
                      <w:szCs w:val="20"/>
                    </w:rPr>
                    <w:t>12</w:t>
                  </w:r>
                </w:p>
              </w:tc>
              <w:tc>
                <w:tcPr>
                  <w:tcW w:w="1294" w:type="dxa"/>
                  <w:tcBorders>
                    <w:top w:val="double" w:color="auto" w:sz="4" w:space="0"/>
                    <w:left w:val="single" w:color="auto" w:sz="6" w:space="0"/>
                    <w:bottom w:val="single" w:color="auto" w:sz="12" w:space="0"/>
                    <w:right w:val="single" w:color="auto" w:sz="6" w:space="0"/>
                  </w:tcBorders>
                  <w:vAlign w:val="center"/>
                </w:tcPr>
                <w:p>
                  <w:pPr>
                    <w:pStyle w:val="77"/>
                    <w:rPr>
                      <w:szCs w:val="20"/>
                    </w:rPr>
                  </w:pPr>
                  <w:r>
                    <w:rPr>
                      <w:szCs w:val="20"/>
                    </w:rPr>
                    <w:t>0.95</w:t>
                  </w:r>
                </w:p>
              </w:tc>
              <w:tc>
                <w:tcPr>
                  <w:tcW w:w="2729" w:type="dxa"/>
                  <w:tcBorders>
                    <w:top w:val="double" w:color="auto" w:sz="4" w:space="0"/>
                    <w:left w:val="single" w:color="auto" w:sz="6" w:space="0"/>
                    <w:bottom w:val="single" w:color="auto" w:sz="12" w:space="0"/>
                    <w:right w:val="single" w:color="auto" w:sz="6" w:space="0"/>
                  </w:tcBorders>
                  <w:vAlign w:val="center"/>
                </w:tcPr>
                <w:p>
                  <w:pPr>
                    <w:pStyle w:val="77"/>
                    <w:rPr>
                      <w:szCs w:val="20"/>
                    </w:rPr>
                  </w:pPr>
                  <w:r>
                    <w:t>3.01</w:t>
                  </w:r>
                </w:p>
              </w:tc>
              <w:tc>
                <w:tcPr>
                  <w:tcW w:w="1441" w:type="dxa"/>
                  <w:tcBorders>
                    <w:top w:val="double" w:color="auto" w:sz="4" w:space="0"/>
                    <w:left w:val="single" w:color="auto" w:sz="6" w:space="0"/>
                    <w:bottom w:val="single" w:color="auto" w:sz="12" w:space="0"/>
                    <w:right w:val="single" w:color="auto" w:sz="6" w:space="0"/>
                  </w:tcBorders>
                  <w:vAlign w:val="center"/>
                </w:tcPr>
                <w:p>
                  <w:pPr>
                    <w:pStyle w:val="77"/>
                    <w:rPr>
                      <w:szCs w:val="20"/>
                    </w:rPr>
                  </w:pPr>
                  <w:r>
                    <w:rPr>
                      <w:szCs w:val="20"/>
                    </w:rPr>
                    <w:t>0.264</w:t>
                  </w:r>
                </w:p>
              </w:tc>
              <w:tc>
                <w:tcPr>
                  <w:tcW w:w="1254" w:type="dxa"/>
                  <w:tcBorders>
                    <w:top w:val="double" w:color="auto" w:sz="4" w:space="0"/>
                    <w:left w:val="single" w:color="auto" w:sz="6" w:space="0"/>
                    <w:bottom w:val="single" w:color="auto" w:sz="12" w:space="0"/>
                    <w:right w:val="single" w:color="auto" w:sz="12" w:space="0"/>
                  </w:tcBorders>
                  <w:vAlign w:val="center"/>
                </w:tcPr>
                <w:p>
                  <w:pPr>
                    <w:pStyle w:val="77"/>
                    <w:rPr>
                      <w:szCs w:val="20"/>
                    </w:rPr>
                  </w:pPr>
                  <w:r>
                    <w:rPr>
                      <w:szCs w:val="20"/>
                    </w:rPr>
                    <w:t>0.5</w:t>
                  </w:r>
                </w:p>
              </w:tc>
            </w:tr>
          </w:tbl>
          <w:p>
            <w:pPr>
              <w:jc w:val="center"/>
              <w:rPr>
                <w:rFonts w:ascii="Times New Roman" w:hAnsi="Times New Roman" w:cs="宋体"/>
                <w:b/>
                <w:sz w:val="24"/>
                <w:szCs w:val="20"/>
              </w:rPr>
            </w:pPr>
          </w:p>
          <w:p>
            <w:pPr>
              <w:adjustRightInd w:val="0"/>
              <w:snapToGrid w:val="0"/>
              <w:spacing w:before="156" w:beforeLines="50" w:line="360" w:lineRule="auto"/>
              <w:ind w:firstLine="480" w:firstLineChars="200"/>
              <w:rPr>
                <w:rFonts w:ascii="Times New Roman" w:hAnsi="Times New Roman"/>
                <w:bCs/>
                <w:sz w:val="24"/>
                <w:szCs w:val="20"/>
              </w:rPr>
            </w:pPr>
            <w:r>
              <w:rPr>
                <w:rFonts w:hint="eastAsia" w:ascii="Times New Roman" w:hAnsi="Times New Roman"/>
                <w:bCs/>
                <w:sz w:val="24"/>
                <w:szCs w:val="20"/>
              </w:rPr>
              <w:t>④源强</w:t>
            </w:r>
          </w:p>
          <w:p>
            <w:pPr>
              <w:pStyle w:val="114"/>
            </w:pPr>
            <w:r>
              <w:rPr>
                <w:rFonts w:hint="eastAsia"/>
              </w:rPr>
              <w:t>根据分析，原污水处理项目</w:t>
            </w:r>
            <w:r>
              <w:t>COD</w:t>
            </w:r>
            <w:r>
              <w:rPr>
                <w:rFonts w:hint="eastAsia"/>
              </w:rPr>
              <w:t>与</w:t>
            </w:r>
            <w:r>
              <w:t>NH</w:t>
            </w:r>
            <w:r>
              <w:rPr>
                <w:vertAlign w:val="subscript"/>
              </w:rPr>
              <w:t>3</w:t>
            </w:r>
            <w:r>
              <w:t>-N</w:t>
            </w:r>
            <w:r>
              <w:rPr>
                <w:rFonts w:hint="eastAsia"/>
              </w:rPr>
              <w:t>设计排放量分别为</w:t>
            </w:r>
            <w:r>
              <w:t>273.75t/a</w:t>
            </w:r>
            <w:r>
              <w:rPr>
                <w:rFonts w:hint="eastAsia"/>
              </w:rPr>
              <w:t>，</w:t>
            </w:r>
            <w:r>
              <w:t>43.8t/a</w:t>
            </w:r>
            <w:r>
              <w:rPr>
                <w:rFonts w:hint="eastAsia"/>
              </w:rPr>
              <w:t>；本次扩建后，污水处理规模由原来的</w:t>
            </w:r>
            <w:r>
              <w:t>1.5</w:t>
            </w:r>
            <w:r>
              <w:rPr>
                <w:rFonts w:hint="eastAsia"/>
              </w:rPr>
              <w:t>万</w:t>
            </w:r>
            <w:r>
              <w:t>m</w:t>
            </w:r>
            <w:r>
              <w:rPr>
                <w:vertAlign w:val="superscript"/>
              </w:rPr>
              <w:t>3</w:t>
            </w:r>
            <w:r>
              <w:t>/d</w:t>
            </w:r>
            <w:r>
              <w:rPr>
                <w:rFonts w:hint="eastAsia"/>
              </w:rPr>
              <w:t>提升至</w:t>
            </w:r>
            <w:r>
              <w:t>3.0</w:t>
            </w:r>
            <w:r>
              <w:rPr>
                <w:rFonts w:hint="eastAsia"/>
              </w:rPr>
              <w:t>万</w:t>
            </w:r>
            <w:r>
              <w:t>m</w:t>
            </w:r>
            <w:r>
              <w:rPr>
                <w:vertAlign w:val="superscript"/>
              </w:rPr>
              <w:t>3</w:t>
            </w:r>
            <w:r>
              <w:t>/d</w:t>
            </w:r>
            <w:r>
              <w:rPr>
                <w:rFonts w:hint="eastAsia"/>
              </w:rPr>
              <w:t>，</w:t>
            </w:r>
            <w:r>
              <w:rPr>
                <w:rFonts w:hint="eastAsia"/>
                <w:szCs w:val="24"/>
              </w:rPr>
              <w:t>出水水质标准不变。扩建后项目的</w:t>
            </w:r>
            <w:r>
              <w:t>COD</w:t>
            </w:r>
            <w:r>
              <w:rPr>
                <w:rFonts w:hint="eastAsia"/>
              </w:rPr>
              <w:t>与</w:t>
            </w:r>
            <w:r>
              <w:t>NH</w:t>
            </w:r>
            <w:r>
              <w:rPr>
                <w:vertAlign w:val="subscript"/>
              </w:rPr>
              <w:t>3</w:t>
            </w:r>
            <w:r>
              <w:t>-N</w:t>
            </w:r>
            <w:r>
              <w:rPr>
                <w:rFonts w:hint="eastAsia"/>
              </w:rPr>
              <w:t>排放量分别为</w:t>
            </w:r>
            <w:r>
              <w:t>547.5t/a</w:t>
            </w:r>
            <w:r>
              <w:rPr>
                <w:rFonts w:hint="eastAsia"/>
              </w:rPr>
              <w:t>，</w:t>
            </w:r>
            <w:r>
              <w:t>87.6t/a</w:t>
            </w:r>
            <w:r>
              <w:rPr>
                <w:rFonts w:hint="eastAsia"/>
              </w:rPr>
              <w:t>；提标改造前后，污染物排放量增加量为</w:t>
            </w:r>
            <w:r>
              <w:t>COD273.75t/a</w:t>
            </w:r>
            <w:r>
              <w:rPr>
                <w:rFonts w:hint="eastAsia"/>
              </w:rPr>
              <w:t>，</w:t>
            </w:r>
            <w:r>
              <w:t>NH</w:t>
            </w:r>
            <w:r>
              <w:rPr>
                <w:vertAlign w:val="subscript"/>
              </w:rPr>
              <w:t>3</w:t>
            </w:r>
            <w:r>
              <w:t>-N 43.8t/a</w:t>
            </w:r>
            <w:r>
              <w:rPr>
                <w:rFonts w:hint="eastAsia"/>
              </w:rPr>
              <w:t>。</w:t>
            </w:r>
          </w:p>
          <w:p>
            <w:pPr>
              <w:pStyle w:val="114"/>
            </w:pPr>
            <w:r>
              <w:rPr>
                <w:rFonts w:hint="eastAsia"/>
              </w:rPr>
              <w:t>根据污染源分析，正常排放和事故排放情况下，全厂</w:t>
            </w:r>
            <w:r>
              <w:t>COD</w:t>
            </w:r>
            <w:r>
              <w:rPr>
                <w:rFonts w:hint="eastAsia"/>
              </w:rPr>
              <w:t>和</w:t>
            </w:r>
            <w:r>
              <w:t>NH</w:t>
            </w:r>
            <w:r>
              <w:rPr>
                <w:vertAlign w:val="subscript"/>
              </w:rPr>
              <w:t>3</w:t>
            </w:r>
            <w:r>
              <w:t>-N</w:t>
            </w:r>
            <w:r>
              <w:rPr>
                <w:rFonts w:hint="eastAsia"/>
              </w:rPr>
              <w:t>的排放情况如表</w:t>
            </w:r>
            <w:r>
              <w:t>6-13</w:t>
            </w:r>
            <w:r>
              <w:rPr>
                <w:rFonts w:hint="eastAsia"/>
              </w:rPr>
              <w:t>所示。</w:t>
            </w:r>
          </w:p>
          <w:p>
            <w:pPr>
              <w:pStyle w:val="111"/>
            </w:pPr>
            <w:r>
              <w:rPr>
                <w:rFonts w:hint="eastAsia"/>
              </w:rPr>
              <w:t>表</w:t>
            </w:r>
            <w:r>
              <w:t>6-13</w:t>
            </w:r>
            <w:r>
              <w:rPr>
                <w:rFonts w:hint="eastAsia"/>
              </w:rPr>
              <w:t>项目尾水正常排放和事故排放情况表</w:t>
            </w:r>
          </w:p>
          <w:tbl>
            <w:tblPr>
              <w:tblStyle w:val="37"/>
              <w:tblW w:w="941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7"/>
              <w:gridCol w:w="1279"/>
              <w:gridCol w:w="1277"/>
              <w:gridCol w:w="1453"/>
              <w:gridCol w:w="1392"/>
              <w:gridCol w:w="1452"/>
              <w:gridCol w:w="13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67" w:type="dxa"/>
                  <w:vMerge w:val="restart"/>
                  <w:tcBorders>
                    <w:top w:val="single" w:color="auto" w:sz="12" w:space="0"/>
                    <w:left w:val="single" w:color="auto" w:sz="12" w:space="0"/>
                    <w:bottom w:val="single" w:color="auto" w:sz="6" w:space="0"/>
                    <w:right w:val="single" w:color="auto" w:sz="6" w:space="0"/>
                  </w:tcBorders>
                  <w:vAlign w:val="center"/>
                </w:tcPr>
                <w:p>
                  <w:pPr>
                    <w:pStyle w:val="77"/>
                    <w:rPr>
                      <w:b/>
                      <w:bCs/>
                    </w:rPr>
                  </w:pPr>
                  <w:r>
                    <w:rPr>
                      <w:rFonts w:hint="eastAsia"/>
                      <w:b/>
                      <w:bCs/>
                    </w:rPr>
                    <w:t>预测方案</w:t>
                  </w:r>
                </w:p>
              </w:tc>
              <w:tc>
                <w:tcPr>
                  <w:tcW w:w="1279"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废水量</w:t>
                  </w:r>
                </w:p>
                <w:p>
                  <w:pPr>
                    <w:pStyle w:val="77"/>
                    <w:rPr>
                      <w:b/>
                      <w:bCs/>
                    </w:rPr>
                  </w:pPr>
                  <w:r>
                    <w:rPr>
                      <w:rFonts w:hint="eastAsia"/>
                      <w:b/>
                      <w:bCs/>
                    </w:rPr>
                    <w:t>（</w:t>
                  </w:r>
                  <w:r>
                    <w:rPr>
                      <w:b/>
                      <w:bCs/>
                    </w:rPr>
                    <w:t>m</w:t>
                  </w:r>
                  <w:r>
                    <w:rPr>
                      <w:b/>
                      <w:bCs/>
                      <w:vertAlign w:val="superscript"/>
                    </w:rPr>
                    <w:t>3</w:t>
                  </w:r>
                  <w:r>
                    <w:rPr>
                      <w:b/>
                      <w:bCs/>
                    </w:rPr>
                    <w:t>/d</w:t>
                  </w:r>
                  <w:r>
                    <w:rPr>
                      <w:rFonts w:hint="eastAsia"/>
                      <w:b/>
                      <w:bCs/>
                    </w:rPr>
                    <w:t>）</w:t>
                  </w:r>
                </w:p>
              </w:tc>
              <w:tc>
                <w:tcPr>
                  <w:tcW w:w="1277" w:type="dxa"/>
                  <w:vMerge w:val="restart"/>
                  <w:tcBorders>
                    <w:top w:val="single" w:color="auto" w:sz="12" w:space="0"/>
                    <w:left w:val="single" w:color="auto" w:sz="6" w:space="0"/>
                    <w:bottom w:val="single" w:color="auto" w:sz="6" w:space="0"/>
                    <w:right w:val="single" w:color="auto" w:sz="6" w:space="0"/>
                  </w:tcBorders>
                  <w:vAlign w:val="center"/>
                </w:tcPr>
                <w:p>
                  <w:pPr>
                    <w:pStyle w:val="77"/>
                    <w:rPr>
                      <w:b/>
                      <w:bCs/>
                    </w:rPr>
                  </w:pPr>
                  <w:r>
                    <w:rPr>
                      <w:rFonts w:hint="eastAsia"/>
                      <w:b/>
                      <w:bCs/>
                    </w:rPr>
                    <w:t>废水流量（</w:t>
                  </w:r>
                  <w:r>
                    <w:rPr>
                      <w:b/>
                      <w:bCs/>
                    </w:rPr>
                    <w:t>m</w:t>
                  </w:r>
                  <w:r>
                    <w:rPr>
                      <w:b/>
                      <w:bCs/>
                      <w:vertAlign w:val="superscript"/>
                    </w:rPr>
                    <w:t>3</w:t>
                  </w:r>
                  <w:r>
                    <w:rPr>
                      <w:b/>
                      <w:bCs/>
                    </w:rPr>
                    <w:t>/s</w:t>
                  </w:r>
                  <w:r>
                    <w:rPr>
                      <w:rFonts w:hint="eastAsia"/>
                      <w:b/>
                      <w:bCs/>
                    </w:rPr>
                    <w:t>）</w:t>
                  </w:r>
                </w:p>
              </w:tc>
              <w:tc>
                <w:tcPr>
                  <w:tcW w:w="2845" w:type="dxa"/>
                  <w:gridSpan w:val="2"/>
                  <w:tcBorders>
                    <w:top w:val="single" w:color="auto" w:sz="12" w:space="0"/>
                    <w:left w:val="single" w:color="auto" w:sz="6" w:space="0"/>
                    <w:bottom w:val="single" w:color="auto" w:sz="6" w:space="0"/>
                    <w:right w:val="single" w:color="auto" w:sz="6" w:space="0"/>
                  </w:tcBorders>
                  <w:vAlign w:val="center"/>
                </w:tcPr>
                <w:p>
                  <w:pPr>
                    <w:pStyle w:val="77"/>
                    <w:rPr>
                      <w:b/>
                      <w:bCs/>
                    </w:rPr>
                  </w:pPr>
                  <w:r>
                    <w:rPr>
                      <w:b/>
                      <w:bCs/>
                    </w:rPr>
                    <w:t>COD</w:t>
                  </w:r>
                </w:p>
              </w:tc>
              <w:tc>
                <w:tcPr>
                  <w:tcW w:w="2848" w:type="dxa"/>
                  <w:gridSpan w:val="2"/>
                  <w:tcBorders>
                    <w:top w:val="single" w:color="auto" w:sz="12" w:space="0"/>
                    <w:left w:val="single" w:color="auto" w:sz="6" w:space="0"/>
                    <w:bottom w:val="single" w:color="auto" w:sz="6" w:space="0"/>
                    <w:right w:val="single" w:color="auto" w:sz="12" w:space="0"/>
                  </w:tcBorders>
                  <w:vAlign w:val="center"/>
                </w:tcPr>
                <w:p>
                  <w:pPr>
                    <w:pStyle w:val="77"/>
                    <w:rPr>
                      <w:b/>
                      <w:bCs/>
                    </w:rPr>
                  </w:pPr>
                  <w:r>
                    <w:rPr>
                      <w:b/>
                      <w:bCs/>
                    </w:rPr>
                    <w:t>NH</w:t>
                  </w:r>
                  <w:r>
                    <w:rPr>
                      <w:b/>
                      <w:bCs/>
                      <w:vertAlign w:val="subscript"/>
                    </w:rPr>
                    <w:t>3</w:t>
                  </w:r>
                  <w:r>
                    <w:rPr>
                      <w:b/>
                      <w:bCs/>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67" w:type="dxa"/>
                  <w:vMerge w:val="continue"/>
                  <w:tcBorders>
                    <w:top w:val="single" w:color="auto" w:sz="6" w:space="0"/>
                    <w:left w:val="single" w:color="auto" w:sz="12" w:space="0"/>
                    <w:bottom w:val="double" w:color="auto" w:sz="4" w:space="0"/>
                    <w:right w:val="single" w:color="auto" w:sz="6" w:space="0"/>
                  </w:tcBorders>
                  <w:vAlign w:val="center"/>
                </w:tcPr>
                <w:p>
                  <w:pPr>
                    <w:pStyle w:val="77"/>
                    <w:rPr>
                      <w:b/>
                      <w:bCs/>
                    </w:rPr>
                  </w:pPr>
                </w:p>
              </w:tc>
              <w:tc>
                <w:tcPr>
                  <w:tcW w:w="1279"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1277" w:type="dxa"/>
                  <w:vMerge w:val="continue"/>
                  <w:tcBorders>
                    <w:top w:val="single" w:color="auto" w:sz="6" w:space="0"/>
                    <w:left w:val="single" w:color="auto" w:sz="6" w:space="0"/>
                    <w:bottom w:val="double" w:color="auto" w:sz="4" w:space="0"/>
                    <w:right w:val="single" w:color="auto" w:sz="6" w:space="0"/>
                  </w:tcBorders>
                  <w:vAlign w:val="center"/>
                </w:tcPr>
                <w:p>
                  <w:pPr>
                    <w:pStyle w:val="77"/>
                    <w:rPr>
                      <w:b/>
                      <w:bCs/>
                    </w:rPr>
                  </w:pPr>
                </w:p>
              </w:tc>
              <w:tc>
                <w:tcPr>
                  <w:tcW w:w="1453"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浓度</w:t>
                  </w:r>
                  <w:r>
                    <w:rPr>
                      <w:b/>
                      <w:bCs/>
                    </w:rPr>
                    <w:t>mg/L</w:t>
                  </w:r>
                  <w:r>
                    <w:rPr>
                      <w:rFonts w:hint="eastAsia"/>
                      <w:b/>
                      <w:bCs/>
                    </w:rPr>
                    <w:t>）</w:t>
                  </w:r>
                </w:p>
              </w:tc>
              <w:tc>
                <w:tcPr>
                  <w:tcW w:w="1392"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排放量</w:t>
                  </w:r>
                  <w:r>
                    <w:rPr>
                      <w:b/>
                      <w:bCs/>
                    </w:rPr>
                    <w:t>t/d</w:t>
                  </w:r>
                  <w:r>
                    <w:rPr>
                      <w:rFonts w:hint="eastAsia"/>
                      <w:b/>
                      <w:bCs/>
                    </w:rPr>
                    <w:t>）</w:t>
                  </w:r>
                </w:p>
              </w:tc>
              <w:tc>
                <w:tcPr>
                  <w:tcW w:w="1452" w:type="dxa"/>
                  <w:tcBorders>
                    <w:top w:val="single" w:color="auto" w:sz="6" w:space="0"/>
                    <w:left w:val="single" w:color="auto" w:sz="6" w:space="0"/>
                    <w:bottom w:val="double" w:color="auto" w:sz="4" w:space="0"/>
                    <w:right w:val="single" w:color="auto" w:sz="6" w:space="0"/>
                  </w:tcBorders>
                  <w:vAlign w:val="center"/>
                </w:tcPr>
                <w:p>
                  <w:pPr>
                    <w:pStyle w:val="77"/>
                    <w:rPr>
                      <w:b/>
                      <w:bCs/>
                    </w:rPr>
                  </w:pPr>
                  <w:r>
                    <w:rPr>
                      <w:rFonts w:hint="eastAsia"/>
                      <w:b/>
                      <w:bCs/>
                    </w:rPr>
                    <w:t>浓度</w:t>
                  </w:r>
                  <w:r>
                    <w:rPr>
                      <w:b/>
                      <w:bCs/>
                    </w:rPr>
                    <w:t>mg/L</w:t>
                  </w:r>
                  <w:r>
                    <w:rPr>
                      <w:rFonts w:hint="eastAsia"/>
                      <w:b/>
                      <w:bCs/>
                    </w:rPr>
                    <w:t>）</w:t>
                  </w:r>
                </w:p>
              </w:tc>
              <w:tc>
                <w:tcPr>
                  <w:tcW w:w="1396" w:type="dxa"/>
                  <w:tcBorders>
                    <w:top w:val="single" w:color="auto" w:sz="6" w:space="0"/>
                    <w:left w:val="single" w:color="auto" w:sz="6" w:space="0"/>
                    <w:bottom w:val="double" w:color="auto" w:sz="4" w:space="0"/>
                    <w:right w:val="single" w:color="auto" w:sz="12" w:space="0"/>
                  </w:tcBorders>
                  <w:vAlign w:val="center"/>
                </w:tcPr>
                <w:p>
                  <w:pPr>
                    <w:pStyle w:val="77"/>
                    <w:rPr>
                      <w:b/>
                      <w:bCs/>
                    </w:rPr>
                  </w:pPr>
                  <w:r>
                    <w:rPr>
                      <w:rFonts w:hint="eastAsia"/>
                      <w:b/>
                      <w:bCs/>
                    </w:rPr>
                    <w:t>排放量</w:t>
                  </w:r>
                  <w:r>
                    <w:rPr>
                      <w:b/>
                      <w:bCs/>
                    </w:rPr>
                    <w:t>t/d</w:t>
                  </w:r>
                  <w:r>
                    <w:rPr>
                      <w:rFonts w:hint="eastAsia"/>
                      <w:b/>
                      <w:bC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67" w:type="dxa"/>
                  <w:tcBorders>
                    <w:top w:val="double" w:color="auto" w:sz="4" w:space="0"/>
                    <w:left w:val="single" w:color="auto" w:sz="12" w:space="0"/>
                    <w:bottom w:val="single" w:color="auto" w:sz="6" w:space="0"/>
                    <w:right w:val="single" w:color="auto" w:sz="6" w:space="0"/>
                  </w:tcBorders>
                  <w:vAlign w:val="center"/>
                </w:tcPr>
                <w:p>
                  <w:pPr>
                    <w:pStyle w:val="77"/>
                  </w:pPr>
                  <w:r>
                    <w:rPr>
                      <w:rFonts w:hint="eastAsia"/>
                    </w:rPr>
                    <w:t>项目尾水正常排放</w:t>
                  </w:r>
                </w:p>
              </w:tc>
              <w:tc>
                <w:tcPr>
                  <w:tcW w:w="1279" w:type="dxa"/>
                  <w:tcBorders>
                    <w:top w:val="double" w:color="auto" w:sz="4" w:space="0"/>
                    <w:left w:val="single" w:color="auto" w:sz="6" w:space="0"/>
                    <w:bottom w:val="single" w:color="auto" w:sz="6" w:space="0"/>
                    <w:right w:val="single" w:color="auto" w:sz="6" w:space="0"/>
                  </w:tcBorders>
                  <w:vAlign w:val="center"/>
                </w:tcPr>
                <w:p>
                  <w:pPr>
                    <w:pStyle w:val="77"/>
                  </w:pPr>
                  <w:r>
                    <w:t>30000</w:t>
                  </w:r>
                </w:p>
              </w:tc>
              <w:tc>
                <w:tcPr>
                  <w:tcW w:w="1277" w:type="dxa"/>
                  <w:tcBorders>
                    <w:top w:val="double" w:color="auto" w:sz="4" w:space="0"/>
                    <w:left w:val="single" w:color="auto" w:sz="6" w:space="0"/>
                    <w:bottom w:val="single" w:color="auto" w:sz="6" w:space="0"/>
                    <w:right w:val="single" w:color="auto" w:sz="6" w:space="0"/>
                  </w:tcBorders>
                  <w:vAlign w:val="center"/>
                </w:tcPr>
                <w:p>
                  <w:pPr>
                    <w:pStyle w:val="77"/>
                  </w:pPr>
                  <w:r>
                    <w:t>0.347</w:t>
                  </w:r>
                </w:p>
              </w:tc>
              <w:tc>
                <w:tcPr>
                  <w:tcW w:w="1453" w:type="dxa"/>
                  <w:tcBorders>
                    <w:top w:val="double" w:color="auto" w:sz="4" w:space="0"/>
                    <w:left w:val="single" w:color="auto" w:sz="6" w:space="0"/>
                    <w:bottom w:val="single" w:color="auto" w:sz="6" w:space="0"/>
                    <w:right w:val="single" w:color="auto" w:sz="6" w:space="0"/>
                  </w:tcBorders>
                  <w:vAlign w:val="center"/>
                </w:tcPr>
                <w:p>
                  <w:pPr>
                    <w:pStyle w:val="77"/>
                  </w:pPr>
                  <w:r>
                    <w:t>50</w:t>
                  </w:r>
                </w:p>
              </w:tc>
              <w:tc>
                <w:tcPr>
                  <w:tcW w:w="1392" w:type="dxa"/>
                  <w:tcBorders>
                    <w:top w:val="double" w:color="auto" w:sz="4" w:space="0"/>
                    <w:left w:val="single" w:color="auto" w:sz="6" w:space="0"/>
                    <w:bottom w:val="single" w:color="auto" w:sz="6" w:space="0"/>
                    <w:right w:val="single" w:color="auto" w:sz="6" w:space="0"/>
                  </w:tcBorders>
                  <w:vAlign w:val="center"/>
                </w:tcPr>
                <w:p>
                  <w:pPr>
                    <w:pStyle w:val="77"/>
                  </w:pPr>
                  <w:r>
                    <w:t>1.5</w:t>
                  </w:r>
                </w:p>
              </w:tc>
              <w:tc>
                <w:tcPr>
                  <w:tcW w:w="1452" w:type="dxa"/>
                  <w:tcBorders>
                    <w:top w:val="double" w:color="auto" w:sz="4" w:space="0"/>
                    <w:left w:val="single" w:color="auto" w:sz="6" w:space="0"/>
                    <w:bottom w:val="single" w:color="auto" w:sz="6" w:space="0"/>
                    <w:right w:val="single" w:color="auto" w:sz="6" w:space="0"/>
                  </w:tcBorders>
                  <w:vAlign w:val="center"/>
                </w:tcPr>
                <w:p>
                  <w:pPr>
                    <w:pStyle w:val="77"/>
                  </w:pPr>
                  <w:r>
                    <w:t>5</w:t>
                  </w:r>
                </w:p>
              </w:tc>
              <w:tc>
                <w:tcPr>
                  <w:tcW w:w="1396" w:type="dxa"/>
                  <w:tcBorders>
                    <w:top w:val="double" w:color="auto" w:sz="4" w:space="0"/>
                    <w:left w:val="single" w:color="auto" w:sz="6" w:space="0"/>
                    <w:bottom w:val="single" w:color="auto" w:sz="6" w:space="0"/>
                    <w:right w:val="single" w:color="auto" w:sz="12" w:space="0"/>
                  </w:tcBorders>
                  <w:vAlign w:val="center"/>
                </w:tcPr>
                <w:p>
                  <w:pPr>
                    <w:pStyle w:val="77"/>
                  </w:pPr>
                  <w: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167" w:type="dxa"/>
                  <w:tcBorders>
                    <w:top w:val="single" w:color="auto" w:sz="6" w:space="0"/>
                    <w:left w:val="single" w:color="auto" w:sz="12" w:space="0"/>
                    <w:bottom w:val="single" w:color="auto" w:sz="12" w:space="0"/>
                    <w:right w:val="single" w:color="auto" w:sz="6" w:space="0"/>
                  </w:tcBorders>
                  <w:vAlign w:val="center"/>
                </w:tcPr>
                <w:p>
                  <w:pPr>
                    <w:pStyle w:val="77"/>
                  </w:pPr>
                  <w:r>
                    <w:rPr>
                      <w:rFonts w:hint="eastAsia"/>
                    </w:rPr>
                    <w:t>项目尾水事故排放</w:t>
                  </w:r>
                </w:p>
              </w:tc>
              <w:tc>
                <w:tcPr>
                  <w:tcW w:w="1279" w:type="dxa"/>
                  <w:tcBorders>
                    <w:top w:val="single" w:color="auto" w:sz="6" w:space="0"/>
                    <w:left w:val="single" w:color="auto" w:sz="6" w:space="0"/>
                    <w:bottom w:val="single" w:color="auto" w:sz="12" w:space="0"/>
                    <w:right w:val="single" w:color="auto" w:sz="6" w:space="0"/>
                  </w:tcBorders>
                  <w:vAlign w:val="center"/>
                </w:tcPr>
                <w:p>
                  <w:pPr>
                    <w:pStyle w:val="77"/>
                  </w:pPr>
                  <w:r>
                    <w:t>30000</w:t>
                  </w:r>
                </w:p>
              </w:tc>
              <w:tc>
                <w:tcPr>
                  <w:tcW w:w="1277" w:type="dxa"/>
                  <w:tcBorders>
                    <w:top w:val="single" w:color="auto" w:sz="6" w:space="0"/>
                    <w:left w:val="single" w:color="auto" w:sz="6" w:space="0"/>
                    <w:bottom w:val="single" w:color="auto" w:sz="12" w:space="0"/>
                    <w:right w:val="single" w:color="auto" w:sz="6" w:space="0"/>
                  </w:tcBorders>
                  <w:vAlign w:val="center"/>
                </w:tcPr>
                <w:p>
                  <w:pPr>
                    <w:pStyle w:val="77"/>
                  </w:pPr>
                  <w:r>
                    <w:t>0.347</w:t>
                  </w:r>
                </w:p>
              </w:tc>
              <w:tc>
                <w:tcPr>
                  <w:tcW w:w="1453" w:type="dxa"/>
                  <w:tcBorders>
                    <w:top w:val="single" w:color="auto" w:sz="6" w:space="0"/>
                    <w:left w:val="single" w:color="auto" w:sz="6" w:space="0"/>
                    <w:bottom w:val="single" w:color="auto" w:sz="12" w:space="0"/>
                    <w:right w:val="single" w:color="auto" w:sz="6" w:space="0"/>
                  </w:tcBorders>
                  <w:vAlign w:val="center"/>
                </w:tcPr>
                <w:p>
                  <w:pPr>
                    <w:pStyle w:val="77"/>
                  </w:pPr>
                  <w:r>
                    <w:t>300</w:t>
                  </w:r>
                </w:p>
              </w:tc>
              <w:tc>
                <w:tcPr>
                  <w:tcW w:w="1392" w:type="dxa"/>
                  <w:tcBorders>
                    <w:top w:val="single" w:color="auto" w:sz="6" w:space="0"/>
                    <w:left w:val="single" w:color="auto" w:sz="6" w:space="0"/>
                    <w:bottom w:val="single" w:color="auto" w:sz="12" w:space="0"/>
                    <w:right w:val="single" w:color="auto" w:sz="6" w:space="0"/>
                  </w:tcBorders>
                  <w:vAlign w:val="center"/>
                </w:tcPr>
                <w:p>
                  <w:pPr>
                    <w:pStyle w:val="77"/>
                  </w:pPr>
                  <w:r>
                    <w:t>9</w:t>
                  </w:r>
                </w:p>
              </w:tc>
              <w:tc>
                <w:tcPr>
                  <w:tcW w:w="1452" w:type="dxa"/>
                  <w:tcBorders>
                    <w:top w:val="single" w:color="auto" w:sz="6" w:space="0"/>
                    <w:left w:val="single" w:color="auto" w:sz="6" w:space="0"/>
                    <w:bottom w:val="single" w:color="auto" w:sz="12" w:space="0"/>
                    <w:right w:val="single" w:color="auto" w:sz="6" w:space="0"/>
                  </w:tcBorders>
                  <w:vAlign w:val="center"/>
                </w:tcPr>
                <w:p>
                  <w:pPr>
                    <w:pStyle w:val="77"/>
                  </w:pPr>
                  <w:r>
                    <w:t>25</w:t>
                  </w:r>
                </w:p>
              </w:tc>
              <w:tc>
                <w:tcPr>
                  <w:tcW w:w="1396" w:type="dxa"/>
                  <w:tcBorders>
                    <w:top w:val="single" w:color="auto" w:sz="6" w:space="0"/>
                    <w:left w:val="single" w:color="auto" w:sz="6" w:space="0"/>
                    <w:bottom w:val="single" w:color="auto" w:sz="12" w:space="0"/>
                    <w:right w:val="single" w:color="auto" w:sz="12" w:space="0"/>
                  </w:tcBorders>
                  <w:vAlign w:val="center"/>
                </w:tcPr>
                <w:p>
                  <w:pPr>
                    <w:pStyle w:val="77"/>
                  </w:pPr>
                  <w:r>
                    <w:t>0.75</w:t>
                  </w:r>
                </w:p>
              </w:tc>
            </w:tr>
          </w:tbl>
          <w:p>
            <w:pPr>
              <w:adjustRightInd w:val="0"/>
              <w:snapToGrid w:val="0"/>
              <w:spacing w:before="156" w:beforeLines="50" w:line="360" w:lineRule="auto"/>
              <w:ind w:firstLine="480" w:firstLineChars="200"/>
              <w:rPr>
                <w:rFonts w:ascii="Times New Roman" w:hAnsi="Times New Roman"/>
                <w:bCs/>
                <w:sz w:val="24"/>
                <w:szCs w:val="20"/>
              </w:rPr>
            </w:pPr>
            <w:r>
              <w:rPr>
                <w:rFonts w:hint="eastAsia" w:ascii="Times New Roman" w:hAnsi="Times New Roman"/>
                <w:bCs/>
                <w:sz w:val="24"/>
                <w:szCs w:val="20"/>
              </w:rPr>
              <w:t>⑤预测结果</w:t>
            </w:r>
          </w:p>
          <w:p>
            <w:pPr>
              <w:adjustRightInd w:val="0"/>
              <w:snapToGrid w:val="0"/>
              <w:spacing w:line="360" w:lineRule="auto"/>
              <w:ind w:firstLine="480" w:firstLineChars="200"/>
              <w:rPr>
                <w:rFonts w:ascii="Times New Roman" w:hAnsi="Times New Roman"/>
                <w:sz w:val="24"/>
                <w:szCs w:val="20"/>
              </w:rPr>
            </w:pPr>
            <w:r>
              <w:rPr>
                <w:rStyle w:val="116"/>
                <w:rFonts w:hint="eastAsia"/>
                <w:sz w:val="24"/>
              </w:rPr>
              <w:t>本项目扩建完成，满负荷运转情况下，全厂排放污染物后预测结果如表</w:t>
            </w:r>
            <w:r>
              <w:rPr>
                <w:rStyle w:val="116"/>
                <w:sz w:val="24"/>
              </w:rPr>
              <w:t>6-14~6-17</w:t>
            </w:r>
            <w:r>
              <w:rPr>
                <w:rStyle w:val="116"/>
                <w:rFonts w:hint="eastAsia"/>
                <w:sz w:val="24"/>
              </w:rPr>
              <w:t>所示</w:t>
            </w:r>
            <w:r>
              <w:rPr>
                <w:rFonts w:hint="eastAsia" w:ascii="Times New Roman" w:hAnsi="Times New Roman"/>
                <w:sz w:val="24"/>
                <w:szCs w:val="20"/>
              </w:rPr>
              <w:t>：</w:t>
            </w:r>
          </w:p>
          <w:p>
            <w:pPr>
              <w:pStyle w:val="111"/>
            </w:pPr>
            <w:r>
              <w:rPr>
                <w:rFonts w:hint="eastAsia"/>
              </w:rPr>
              <w:t>表</w:t>
            </w:r>
            <w:r>
              <w:t>6-14</w:t>
            </w:r>
            <w:r>
              <w:rPr>
                <w:rFonts w:hint="eastAsia"/>
              </w:rPr>
              <w:t>项目正常排放时</w:t>
            </w:r>
            <w:r>
              <w:t>COD</w:t>
            </w:r>
            <w:r>
              <w:rPr>
                <w:rFonts w:hint="eastAsia"/>
              </w:rPr>
              <w:t>浓度分布预测结果</w:t>
            </w:r>
          </w:p>
          <w:tbl>
            <w:tblPr>
              <w:tblStyle w:val="37"/>
              <w:tblW w:w="92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1"/>
              <w:gridCol w:w="1187"/>
              <w:gridCol w:w="1187"/>
              <w:gridCol w:w="1187"/>
              <w:gridCol w:w="1187"/>
              <w:gridCol w:w="1187"/>
              <w:gridCol w:w="1187"/>
              <w:gridCol w:w="11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12" w:space="0"/>
                    <w:left w:val="single" w:color="auto" w:sz="12" w:space="0"/>
                    <w:bottom w:val="double" w:color="auto" w:sz="4" w:space="0"/>
                    <w:right w:val="single" w:color="auto" w:sz="6" w:space="0"/>
                    <w:tl2br w:val="single" w:color="auto" w:sz="12" w:space="0"/>
                  </w:tcBorders>
                  <w:vAlign w:val="center"/>
                </w:tcPr>
                <w:p>
                  <w:pPr>
                    <w:pStyle w:val="77"/>
                    <w:jc w:val="right"/>
                    <w:rPr>
                      <w:b/>
                      <w:bCs/>
                    </w:rPr>
                  </w:pPr>
                  <w:r>
                    <w:rPr>
                      <w:b/>
                      <w:bCs/>
                    </w:rPr>
                    <w:t>y</w:t>
                  </w:r>
                </w:p>
                <w:p>
                  <w:pPr>
                    <w:pStyle w:val="77"/>
                    <w:jc w:val="left"/>
                    <w:rPr>
                      <w:b/>
                      <w:bCs/>
                    </w:rPr>
                  </w:pPr>
                  <w:r>
                    <w:rPr>
                      <w:b/>
                      <w:bCs/>
                    </w:rPr>
                    <w:t>x</w:t>
                  </w:r>
                </w:p>
              </w:tc>
              <w:tc>
                <w:tcPr>
                  <w:tcW w:w="1187" w:type="dxa"/>
                  <w:tcBorders>
                    <w:top w:val="single" w:color="auto" w:sz="12" w:space="0"/>
                    <w:left w:val="single" w:color="auto" w:sz="6" w:space="0"/>
                    <w:bottom w:val="double" w:color="auto" w:sz="4" w:space="0"/>
                    <w:right w:val="single" w:color="auto" w:sz="6" w:space="0"/>
                  </w:tcBorders>
                  <w:vAlign w:val="center"/>
                </w:tcPr>
                <w:p>
                  <w:pPr>
                    <w:pStyle w:val="77"/>
                    <w:rPr>
                      <w:b/>
                      <w:bCs/>
                    </w:rPr>
                  </w:pPr>
                  <w:r>
                    <w:rPr>
                      <w:b/>
                      <w:bCs/>
                    </w:rPr>
                    <w:t>1</w:t>
                  </w:r>
                </w:p>
              </w:tc>
              <w:tc>
                <w:tcPr>
                  <w:tcW w:w="1187" w:type="dxa"/>
                  <w:tcBorders>
                    <w:top w:val="single" w:color="auto" w:sz="12" w:space="0"/>
                    <w:left w:val="single" w:color="auto" w:sz="6" w:space="0"/>
                    <w:bottom w:val="double" w:color="auto" w:sz="4" w:space="0"/>
                    <w:right w:val="single" w:color="auto" w:sz="6" w:space="0"/>
                  </w:tcBorders>
                  <w:vAlign w:val="center"/>
                </w:tcPr>
                <w:p>
                  <w:pPr>
                    <w:pStyle w:val="77"/>
                    <w:rPr>
                      <w:b/>
                      <w:bCs/>
                    </w:rPr>
                  </w:pPr>
                  <w:r>
                    <w:rPr>
                      <w:b/>
                      <w:bCs/>
                    </w:rPr>
                    <w:t>2</w:t>
                  </w:r>
                </w:p>
              </w:tc>
              <w:tc>
                <w:tcPr>
                  <w:tcW w:w="1187" w:type="dxa"/>
                  <w:tcBorders>
                    <w:top w:val="single" w:color="auto" w:sz="12" w:space="0"/>
                    <w:left w:val="single" w:color="auto" w:sz="6" w:space="0"/>
                    <w:bottom w:val="double" w:color="auto" w:sz="4" w:space="0"/>
                    <w:right w:val="single" w:color="auto" w:sz="6" w:space="0"/>
                  </w:tcBorders>
                  <w:vAlign w:val="center"/>
                </w:tcPr>
                <w:p>
                  <w:pPr>
                    <w:pStyle w:val="77"/>
                    <w:rPr>
                      <w:b/>
                      <w:bCs/>
                    </w:rPr>
                  </w:pPr>
                  <w:r>
                    <w:rPr>
                      <w:b/>
                      <w:bCs/>
                    </w:rPr>
                    <w:t>4</w:t>
                  </w:r>
                </w:p>
              </w:tc>
              <w:tc>
                <w:tcPr>
                  <w:tcW w:w="1187" w:type="dxa"/>
                  <w:tcBorders>
                    <w:top w:val="single" w:color="auto" w:sz="12" w:space="0"/>
                    <w:left w:val="single" w:color="auto" w:sz="6" w:space="0"/>
                    <w:bottom w:val="double" w:color="auto" w:sz="4" w:space="0"/>
                    <w:right w:val="single" w:color="auto" w:sz="6" w:space="0"/>
                  </w:tcBorders>
                  <w:vAlign w:val="center"/>
                </w:tcPr>
                <w:p>
                  <w:pPr>
                    <w:pStyle w:val="77"/>
                    <w:rPr>
                      <w:b/>
                      <w:bCs/>
                    </w:rPr>
                  </w:pPr>
                  <w:r>
                    <w:rPr>
                      <w:b/>
                      <w:bCs/>
                    </w:rPr>
                    <w:t>6</w:t>
                  </w:r>
                </w:p>
              </w:tc>
              <w:tc>
                <w:tcPr>
                  <w:tcW w:w="1187" w:type="dxa"/>
                  <w:tcBorders>
                    <w:top w:val="single" w:color="auto" w:sz="12" w:space="0"/>
                    <w:left w:val="single" w:color="auto" w:sz="6" w:space="0"/>
                    <w:bottom w:val="double" w:color="auto" w:sz="4" w:space="0"/>
                    <w:right w:val="single" w:color="auto" w:sz="6" w:space="0"/>
                  </w:tcBorders>
                  <w:vAlign w:val="center"/>
                </w:tcPr>
                <w:p>
                  <w:pPr>
                    <w:pStyle w:val="77"/>
                    <w:rPr>
                      <w:b/>
                      <w:bCs/>
                    </w:rPr>
                  </w:pPr>
                  <w:r>
                    <w:rPr>
                      <w:b/>
                      <w:bCs/>
                    </w:rPr>
                    <w:t>8</w:t>
                  </w:r>
                </w:p>
              </w:tc>
              <w:tc>
                <w:tcPr>
                  <w:tcW w:w="1187" w:type="dxa"/>
                  <w:tcBorders>
                    <w:top w:val="single" w:color="auto" w:sz="12" w:space="0"/>
                    <w:left w:val="single" w:color="auto" w:sz="6" w:space="0"/>
                    <w:bottom w:val="double" w:color="auto" w:sz="4" w:space="0"/>
                    <w:right w:val="single" w:color="auto" w:sz="6" w:space="0"/>
                  </w:tcBorders>
                  <w:vAlign w:val="center"/>
                </w:tcPr>
                <w:p>
                  <w:pPr>
                    <w:pStyle w:val="77"/>
                    <w:rPr>
                      <w:b/>
                      <w:bCs/>
                    </w:rPr>
                  </w:pPr>
                  <w:r>
                    <w:rPr>
                      <w:b/>
                      <w:bCs/>
                    </w:rPr>
                    <w:t>10</w:t>
                  </w:r>
                </w:p>
              </w:tc>
              <w:tc>
                <w:tcPr>
                  <w:tcW w:w="1187" w:type="dxa"/>
                  <w:tcBorders>
                    <w:top w:val="single" w:color="auto" w:sz="12" w:space="0"/>
                    <w:left w:val="single" w:color="auto" w:sz="6" w:space="0"/>
                    <w:bottom w:val="double" w:color="auto" w:sz="4" w:space="0"/>
                    <w:right w:val="single" w:color="auto" w:sz="12" w:space="0"/>
                  </w:tcBorders>
                  <w:vAlign w:val="center"/>
                </w:tcPr>
                <w:p>
                  <w:pPr>
                    <w:pStyle w:val="77"/>
                    <w:rPr>
                      <w:b/>
                      <w:bCs/>
                    </w:rPr>
                  </w:pPr>
                  <w:r>
                    <w:rPr>
                      <w:b/>
                      <w:bCs/>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double" w:color="auto" w:sz="4" w:space="0"/>
                    <w:left w:val="single" w:color="auto" w:sz="12" w:space="0"/>
                    <w:bottom w:val="single" w:color="auto" w:sz="6" w:space="0"/>
                    <w:right w:val="single" w:color="auto" w:sz="6" w:space="0"/>
                  </w:tcBorders>
                  <w:vAlign w:val="center"/>
                </w:tcPr>
                <w:p>
                  <w:pPr>
                    <w:pStyle w:val="77"/>
                  </w:pPr>
                  <w:r>
                    <w:t>1</w:t>
                  </w:r>
                </w:p>
              </w:tc>
              <w:tc>
                <w:tcPr>
                  <w:tcW w:w="1187" w:type="dxa"/>
                  <w:tcBorders>
                    <w:top w:val="double" w:color="auto" w:sz="4" w:space="0"/>
                    <w:left w:val="single" w:color="auto" w:sz="6" w:space="0"/>
                    <w:bottom w:val="single" w:color="auto" w:sz="6" w:space="0"/>
                    <w:right w:val="single" w:color="auto" w:sz="6" w:space="0"/>
                  </w:tcBorders>
                  <w:vAlign w:val="center"/>
                </w:tcPr>
                <w:p>
                  <w:pPr>
                    <w:pStyle w:val="77"/>
                  </w:pPr>
                  <w:r>
                    <w:t xml:space="preserve">20.808 </w:t>
                  </w:r>
                </w:p>
              </w:tc>
              <w:tc>
                <w:tcPr>
                  <w:tcW w:w="1187" w:type="dxa"/>
                  <w:tcBorders>
                    <w:top w:val="double" w:color="auto" w:sz="4"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double" w:color="auto" w:sz="4"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double" w:color="auto" w:sz="4"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double" w:color="auto" w:sz="4"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double" w:color="auto" w:sz="4"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double" w:color="auto" w:sz="4" w:space="0"/>
                    <w:left w:val="single" w:color="auto" w:sz="6" w:space="0"/>
                    <w:bottom w:val="single" w:color="auto" w:sz="6" w:space="0"/>
                    <w:right w:val="single" w:color="auto" w:sz="12" w:space="0"/>
                  </w:tcBorders>
                  <w:vAlign w:val="center"/>
                </w:tcPr>
                <w:p>
                  <w:pPr>
                    <w:pStyle w:val="77"/>
                  </w:pPr>
                  <w:r>
                    <w:t xml:space="preserve">20.670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5</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42.478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20.938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 xml:space="preserve">20.670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10</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52.774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24.227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20.671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 xml:space="preserve">20.670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50</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46.475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37.289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23.529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20.822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20.673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20.670 </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 xml:space="preserve">20.670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100</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40.297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36.421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27.203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22.177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20.863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20.684 </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 xml:space="preserve">20.671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460</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29.989</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29.554</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28.007</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26.004</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24.083</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22.593</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21.623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500</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29.945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29.546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28.114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26.221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24.352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22.841 </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 xml:space="preserve">21.809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1000</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27.248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27.105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26.563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25.759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24.814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23.853 </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 xml:space="preserve">22.975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2000</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25.298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25.247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25.050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24.741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24.344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23.889 </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 xml:space="preserve">23.410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3000</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24.421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24.393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24.286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24.113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23.885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23.614 </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 xml:space="preserve">23.314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6" w:space="0"/>
                    <w:right w:val="single" w:color="auto" w:sz="6" w:space="0"/>
                  </w:tcBorders>
                  <w:vAlign w:val="center"/>
                </w:tcPr>
                <w:p>
                  <w:pPr>
                    <w:pStyle w:val="77"/>
                  </w:pPr>
                  <w:r>
                    <w:t>4000</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23.892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23.874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23.805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23.692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23.540 </w:t>
                  </w:r>
                </w:p>
              </w:tc>
              <w:tc>
                <w:tcPr>
                  <w:tcW w:w="1187" w:type="dxa"/>
                  <w:tcBorders>
                    <w:top w:val="single" w:color="auto" w:sz="6" w:space="0"/>
                    <w:left w:val="single" w:color="auto" w:sz="6" w:space="0"/>
                    <w:bottom w:val="single" w:color="auto" w:sz="6" w:space="0"/>
                    <w:right w:val="single" w:color="auto" w:sz="6" w:space="0"/>
                  </w:tcBorders>
                  <w:vAlign w:val="center"/>
                </w:tcPr>
                <w:p>
                  <w:pPr>
                    <w:pStyle w:val="77"/>
                  </w:pPr>
                  <w:r>
                    <w:t xml:space="preserve">23.357 </w:t>
                  </w:r>
                </w:p>
              </w:tc>
              <w:tc>
                <w:tcPr>
                  <w:tcW w:w="1187" w:type="dxa"/>
                  <w:tcBorders>
                    <w:top w:val="single" w:color="auto" w:sz="6" w:space="0"/>
                    <w:left w:val="single" w:color="auto" w:sz="6" w:space="0"/>
                    <w:bottom w:val="single" w:color="auto" w:sz="6" w:space="0"/>
                    <w:right w:val="single" w:color="auto" w:sz="12" w:space="0"/>
                  </w:tcBorders>
                  <w:vAlign w:val="center"/>
                </w:tcPr>
                <w:p>
                  <w:pPr>
                    <w:pStyle w:val="77"/>
                  </w:pPr>
                  <w:r>
                    <w:t xml:space="preserve">23.149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51" w:type="dxa"/>
                  <w:tcBorders>
                    <w:top w:val="single" w:color="auto" w:sz="6" w:space="0"/>
                    <w:left w:val="single" w:color="auto" w:sz="12" w:space="0"/>
                    <w:bottom w:val="single" w:color="auto" w:sz="12" w:space="0"/>
                    <w:right w:val="single" w:color="auto" w:sz="6" w:space="0"/>
                  </w:tcBorders>
                  <w:vAlign w:val="center"/>
                </w:tcPr>
                <w:p>
                  <w:pPr>
                    <w:pStyle w:val="77"/>
                  </w:pPr>
                  <w:r>
                    <w:t>5000</w:t>
                  </w:r>
                </w:p>
              </w:tc>
              <w:tc>
                <w:tcPr>
                  <w:tcW w:w="1187" w:type="dxa"/>
                  <w:tcBorders>
                    <w:top w:val="single" w:color="auto" w:sz="6" w:space="0"/>
                    <w:left w:val="single" w:color="auto" w:sz="6" w:space="0"/>
                    <w:bottom w:val="single" w:color="auto" w:sz="12" w:space="0"/>
                    <w:right w:val="single" w:color="auto" w:sz="6" w:space="0"/>
                  </w:tcBorders>
                  <w:vAlign w:val="center"/>
                </w:tcPr>
                <w:p>
                  <w:pPr>
                    <w:pStyle w:val="77"/>
                  </w:pPr>
                  <w:r>
                    <w:t xml:space="preserve">23.528 </w:t>
                  </w:r>
                </w:p>
              </w:tc>
              <w:tc>
                <w:tcPr>
                  <w:tcW w:w="1187" w:type="dxa"/>
                  <w:tcBorders>
                    <w:top w:val="single" w:color="auto" w:sz="6" w:space="0"/>
                    <w:left w:val="single" w:color="auto" w:sz="6" w:space="0"/>
                    <w:bottom w:val="single" w:color="auto" w:sz="12" w:space="0"/>
                    <w:right w:val="single" w:color="auto" w:sz="6" w:space="0"/>
                  </w:tcBorders>
                  <w:vAlign w:val="center"/>
                </w:tcPr>
                <w:p>
                  <w:pPr>
                    <w:pStyle w:val="77"/>
                  </w:pPr>
                  <w:r>
                    <w:t xml:space="preserve">23.515 </w:t>
                  </w:r>
                </w:p>
              </w:tc>
              <w:tc>
                <w:tcPr>
                  <w:tcW w:w="1187" w:type="dxa"/>
                  <w:tcBorders>
                    <w:top w:val="single" w:color="auto" w:sz="6" w:space="0"/>
                    <w:left w:val="single" w:color="auto" w:sz="6" w:space="0"/>
                    <w:bottom w:val="single" w:color="auto" w:sz="12" w:space="0"/>
                    <w:right w:val="single" w:color="auto" w:sz="6" w:space="0"/>
                  </w:tcBorders>
                  <w:vAlign w:val="center"/>
                </w:tcPr>
                <w:p>
                  <w:pPr>
                    <w:pStyle w:val="77"/>
                  </w:pPr>
                  <w:r>
                    <w:t xml:space="preserve">23.466 </w:t>
                  </w:r>
                </w:p>
              </w:tc>
              <w:tc>
                <w:tcPr>
                  <w:tcW w:w="1187" w:type="dxa"/>
                  <w:tcBorders>
                    <w:top w:val="single" w:color="auto" w:sz="6" w:space="0"/>
                    <w:left w:val="single" w:color="auto" w:sz="6" w:space="0"/>
                    <w:bottom w:val="single" w:color="auto" w:sz="12" w:space="0"/>
                    <w:right w:val="single" w:color="auto" w:sz="6" w:space="0"/>
                  </w:tcBorders>
                  <w:vAlign w:val="center"/>
                </w:tcPr>
                <w:p>
                  <w:pPr>
                    <w:pStyle w:val="77"/>
                  </w:pPr>
                  <w:r>
                    <w:t xml:space="preserve">23.385 </w:t>
                  </w:r>
                </w:p>
              </w:tc>
              <w:tc>
                <w:tcPr>
                  <w:tcW w:w="1187" w:type="dxa"/>
                  <w:tcBorders>
                    <w:top w:val="single" w:color="auto" w:sz="6" w:space="0"/>
                    <w:left w:val="single" w:color="auto" w:sz="6" w:space="0"/>
                    <w:bottom w:val="single" w:color="auto" w:sz="12" w:space="0"/>
                    <w:right w:val="single" w:color="auto" w:sz="6" w:space="0"/>
                  </w:tcBorders>
                  <w:vAlign w:val="center"/>
                </w:tcPr>
                <w:p>
                  <w:pPr>
                    <w:pStyle w:val="77"/>
                  </w:pPr>
                  <w:r>
                    <w:t xml:space="preserve">23.276 </w:t>
                  </w:r>
                </w:p>
              </w:tc>
              <w:tc>
                <w:tcPr>
                  <w:tcW w:w="1187" w:type="dxa"/>
                  <w:tcBorders>
                    <w:top w:val="single" w:color="auto" w:sz="6" w:space="0"/>
                    <w:left w:val="single" w:color="auto" w:sz="6" w:space="0"/>
                    <w:bottom w:val="single" w:color="auto" w:sz="12" w:space="0"/>
                    <w:right w:val="single" w:color="auto" w:sz="6" w:space="0"/>
                  </w:tcBorders>
                  <w:vAlign w:val="center"/>
                </w:tcPr>
                <w:p>
                  <w:pPr>
                    <w:pStyle w:val="77"/>
                  </w:pPr>
                  <w:r>
                    <w:t xml:space="preserve">23.142 </w:t>
                  </w:r>
                </w:p>
              </w:tc>
              <w:tc>
                <w:tcPr>
                  <w:tcW w:w="1187" w:type="dxa"/>
                  <w:tcBorders>
                    <w:top w:val="single" w:color="auto" w:sz="6" w:space="0"/>
                    <w:left w:val="single" w:color="auto" w:sz="6" w:space="0"/>
                    <w:bottom w:val="single" w:color="auto" w:sz="12" w:space="0"/>
                    <w:right w:val="single" w:color="auto" w:sz="12" w:space="0"/>
                  </w:tcBorders>
                  <w:vAlign w:val="center"/>
                </w:tcPr>
                <w:p>
                  <w:pPr>
                    <w:pStyle w:val="77"/>
                  </w:pPr>
                  <w:r>
                    <w:t xml:space="preserve">22.987 </w:t>
                  </w:r>
                </w:p>
              </w:tc>
            </w:tr>
          </w:tbl>
          <w:p>
            <w:pPr>
              <w:pStyle w:val="111"/>
            </w:pPr>
            <w:r>
              <w:rPr>
                <w:rFonts w:hint="eastAsia"/>
              </w:rPr>
              <w:t>表</w:t>
            </w:r>
            <w:r>
              <w:t>6-15</w:t>
            </w:r>
            <w:r>
              <w:rPr>
                <w:rFonts w:hint="eastAsia"/>
              </w:rPr>
              <w:t>项目非正常排放时</w:t>
            </w:r>
            <w:r>
              <w:t>COD</w:t>
            </w:r>
            <w:r>
              <w:rPr>
                <w:rFonts w:hint="eastAsia"/>
              </w:rPr>
              <w:t>浓度分布预测结果</w:t>
            </w:r>
          </w:p>
          <w:tbl>
            <w:tblPr>
              <w:tblStyle w:val="37"/>
              <w:tblW w:w="930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6"/>
              <w:gridCol w:w="1308"/>
              <w:gridCol w:w="1296"/>
              <w:gridCol w:w="1155"/>
              <w:gridCol w:w="1155"/>
              <w:gridCol w:w="1155"/>
              <w:gridCol w:w="1155"/>
              <w:gridCol w:w="11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12" w:space="0"/>
                    <w:left w:val="single" w:color="auto" w:sz="12" w:space="0"/>
                    <w:bottom w:val="double" w:color="auto" w:sz="4" w:space="0"/>
                    <w:right w:val="single" w:color="auto" w:sz="6" w:space="0"/>
                    <w:tl2br w:val="single" w:color="auto" w:sz="4" w:space="0"/>
                  </w:tcBorders>
                  <w:vAlign w:val="center"/>
                </w:tcPr>
                <w:p>
                  <w:pPr>
                    <w:pStyle w:val="109"/>
                    <w:wordWrap w:val="0"/>
                    <w:jc w:val="right"/>
                    <w:rPr>
                      <w:b/>
                      <w:bCs/>
                      <w:color w:val="auto"/>
                    </w:rPr>
                  </w:pPr>
                  <w:r>
                    <w:rPr>
                      <w:b/>
                      <w:bCs/>
                      <w:color w:val="auto"/>
                    </w:rPr>
                    <w:t>y</w:t>
                  </w:r>
                </w:p>
                <w:p>
                  <w:pPr>
                    <w:pStyle w:val="109"/>
                    <w:ind w:firstLine="211" w:firstLineChars="100"/>
                    <w:jc w:val="left"/>
                    <w:rPr>
                      <w:b/>
                      <w:bCs/>
                      <w:color w:val="auto"/>
                    </w:rPr>
                  </w:pPr>
                  <w:r>
                    <w:rPr>
                      <w:b/>
                      <w:bCs/>
                      <w:color w:val="auto"/>
                    </w:rPr>
                    <w:t>x</w:t>
                  </w:r>
                </w:p>
              </w:tc>
              <w:tc>
                <w:tcPr>
                  <w:tcW w:w="1308"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b/>
                      <w:bCs/>
                      <w:color w:val="auto"/>
                    </w:rPr>
                    <w:t>1</w:t>
                  </w:r>
                </w:p>
              </w:tc>
              <w:tc>
                <w:tcPr>
                  <w:tcW w:w="1296"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b/>
                      <w:bCs/>
                      <w:color w:val="auto"/>
                    </w:rPr>
                    <w:t>2</w:t>
                  </w:r>
                </w:p>
              </w:tc>
              <w:tc>
                <w:tcPr>
                  <w:tcW w:w="1155"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b/>
                      <w:bCs/>
                      <w:color w:val="auto"/>
                    </w:rPr>
                    <w:t>4</w:t>
                  </w:r>
                </w:p>
              </w:tc>
              <w:tc>
                <w:tcPr>
                  <w:tcW w:w="1155"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b/>
                      <w:bCs/>
                      <w:color w:val="auto"/>
                    </w:rPr>
                    <w:t>6</w:t>
                  </w:r>
                </w:p>
              </w:tc>
              <w:tc>
                <w:tcPr>
                  <w:tcW w:w="1155"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b/>
                      <w:bCs/>
                      <w:color w:val="auto"/>
                    </w:rPr>
                    <w:t>8</w:t>
                  </w:r>
                </w:p>
              </w:tc>
              <w:tc>
                <w:tcPr>
                  <w:tcW w:w="1155" w:type="dxa"/>
                  <w:tcBorders>
                    <w:top w:val="single" w:color="auto" w:sz="12" w:space="0"/>
                    <w:left w:val="single" w:color="auto" w:sz="6" w:space="0"/>
                    <w:bottom w:val="double" w:color="auto" w:sz="4" w:space="0"/>
                    <w:right w:val="single" w:color="auto" w:sz="6" w:space="0"/>
                  </w:tcBorders>
                  <w:vAlign w:val="center"/>
                </w:tcPr>
                <w:p>
                  <w:pPr>
                    <w:pStyle w:val="109"/>
                    <w:rPr>
                      <w:b/>
                      <w:bCs/>
                      <w:color w:val="auto"/>
                    </w:rPr>
                  </w:pPr>
                  <w:r>
                    <w:rPr>
                      <w:b/>
                      <w:bCs/>
                      <w:color w:val="auto"/>
                    </w:rPr>
                    <w:t>10</w:t>
                  </w:r>
                </w:p>
              </w:tc>
              <w:tc>
                <w:tcPr>
                  <w:tcW w:w="1155" w:type="dxa"/>
                  <w:tcBorders>
                    <w:top w:val="single" w:color="auto" w:sz="12" w:space="0"/>
                    <w:left w:val="single" w:color="auto" w:sz="6" w:space="0"/>
                    <w:bottom w:val="double" w:color="auto" w:sz="4" w:space="0"/>
                    <w:right w:val="single" w:color="auto" w:sz="12" w:space="0"/>
                  </w:tcBorders>
                  <w:vAlign w:val="center"/>
                </w:tcPr>
                <w:p>
                  <w:pPr>
                    <w:pStyle w:val="109"/>
                    <w:rPr>
                      <w:b/>
                      <w:bCs/>
                      <w:color w:val="auto"/>
                    </w:rPr>
                  </w:pPr>
                  <w:r>
                    <w:rPr>
                      <w:b/>
                      <w:bCs/>
                      <w:color w:val="auto"/>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double" w:color="auto" w:sz="4" w:space="0"/>
                    <w:left w:val="single" w:color="auto" w:sz="12" w:space="0"/>
                    <w:bottom w:val="single" w:color="auto" w:sz="6" w:space="0"/>
                    <w:right w:val="single" w:color="auto" w:sz="6" w:space="0"/>
                  </w:tcBorders>
                  <w:vAlign w:val="center"/>
                </w:tcPr>
                <w:p>
                  <w:pPr>
                    <w:pStyle w:val="109"/>
                    <w:rPr>
                      <w:color w:val="auto"/>
                    </w:rPr>
                  </w:pPr>
                  <w:r>
                    <w:rPr>
                      <w:color w:val="auto"/>
                    </w:rPr>
                    <w:t>1</w:t>
                  </w:r>
                </w:p>
              </w:tc>
              <w:tc>
                <w:tcPr>
                  <w:tcW w:w="1308"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21.499 </w:t>
                  </w:r>
                </w:p>
              </w:tc>
              <w:tc>
                <w:tcPr>
                  <w:tcW w:w="1296"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double" w:color="auto" w:sz="4" w:space="0"/>
                    <w:left w:val="single" w:color="auto" w:sz="6" w:space="0"/>
                    <w:bottom w:val="single" w:color="auto" w:sz="6" w:space="0"/>
                    <w:right w:val="single" w:color="auto" w:sz="12" w:space="0"/>
                  </w:tcBorders>
                  <w:vAlign w:val="center"/>
                </w:tcPr>
                <w:p>
                  <w:pPr>
                    <w:pStyle w:val="109"/>
                    <w:rPr>
                      <w:color w:val="auto"/>
                    </w:rPr>
                  </w:pPr>
                  <w:r>
                    <w:rPr>
                      <w:color w:val="auto"/>
                    </w:rPr>
                    <w:t xml:space="preserve">20.670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5</w:t>
                  </w:r>
                </w:p>
              </w:tc>
              <w:tc>
                <w:tcPr>
                  <w:tcW w:w="130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151.464 </w:t>
                  </w:r>
                </w:p>
              </w:tc>
              <w:tc>
                <w:tcPr>
                  <w:tcW w:w="1296"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22.276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20.670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10</w:t>
                  </w:r>
                </w:p>
              </w:tc>
              <w:tc>
                <w:tcPr>
                  <w:tcW w:w="130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213.142 </w:t>
                  </w:r>
                </w:p>
              </w:tc>
              <w:tc>
                <w:tcPr>
                  <w:tcW w:w="1296"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41.997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20.673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20.670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50</w:t>
                  </w:r>
                </w:p>
              </w:tc>
              <w:tc>
                <w:tcPr>
                  <w:tcW w:w="130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174.895 </w:t>
                  </w:r>
                </w:p>
              </w:tc>
              <w:tc>
                <w:tcPr>
                  <w:tcW w:w="1296"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119.997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37.759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21.579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20.685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20.670 </w:t>
                  </w:r>
                </w:p>
              </w:tc>
              <w:tc>
                <w:tcPr>
                  <w:tcW w:w="1155"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20.670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100</w:t>
                  </w:r>
                </w:p>
              </w:tc>
              <w:tc>
                <w:tcPr>
                  <w:tcW w:w="130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137.511 </w:t>
                  </w:r>
                </w:p>
              </w:tc>
              <w:tc>
                <w:tcPr>
                  <w:tcW w:w="1296"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114.437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59.563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29.642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21.821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20.752 </w:t>
                  </w:r>
                </w:p>
              </w:tc>
              <w:tc>
                <w:tcPr>
                  <w:tcW w:w="1155"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20.673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500</w:t>
                  </w:r>
                </w:p>
              </w:tc>
              <w:tc>
                <w:tcPr>
                  <w:tcW w:w="130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74.183 </w:t>
                  </w:r>
                </w:p>
              </w:tc>
              <w:tc>
                <w:tcPr>
                  <w:tcW w:w="1296"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71.879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63.615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52.697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41.911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33.197 </w:t>
                  </w:r>
                </w:p>
              </w:tc>
              <w:tc>
                <w:tcPr>
                  <w:tcW w:w="1155"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27.240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1000</w:t>
                  </w:r>
                </w:p>
              </w:tc>
              <w:tc>
                <w:tcPr>
                  <w:tcW w:w="130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57.163 </w:t>
                  </w:r>
                </w:p>
              </w:tc>
              <w:tc>
                <w:tcPr>
                  <w:tcW w:w="1296"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56.369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53.362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48.902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43.661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38.327 </w:t>
                  </w:r>
                </w:p>
              </w:tc>
              <w:tc>
                <w:tcPr>
                  <w:tcW w:w="1155"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33.457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2000</w:t>
                  </w:r>
                </w:p>
              </w:tc>
              <w:tc>
                <w:tcPr>
                  <w:tcW w:w="130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44.408 </w:t>
                  </w:r>
                </w:p>
              </w:tc>
              <w:tc>
                <w:tcPr>
                  <w:tcW w:w="1296"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44.149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43.138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41.549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39.512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37.182 </w:t>
                  </w:r>
                </w:p>
              </w:tc>
              <w:tc>
                <w:tcPr>
                  <w:tcW w:w="1155"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34.722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3000</w:t>
                  </w:r>
                </w:p>
              </w:tc>
              <w:tc>
                <w:tcPr>
                  <w:tcW w:w="130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38.457 </w:t>
                  </w:r>
                </w:p>
              </w:tc>
              <w:tc>
                <w:tcPr>
                  <w:tcW w:w="1296"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38.327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37.816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36.998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35.918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34.634 </w:t>
                  </w:r>
                </w:p>
              </w:tc>
              <w:tc>
                <w:tcPr>
                  <w:tcW w:w="1155"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33.210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4000</w:t>
                  </w:r>
                </w:p>
              </w:tc>
              <w:tc>
                <w:tcPr>
                  <w:tcW w:w="1308"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34.797 </w:t>
                  </w:r>
                </w:p>
              </w:tc>
              <w:tc>
                <w:tcPr>
                  <w:tcW w:w="1296"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34.720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34.414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33.919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33.256 </w:t>
                  </w:r>
                </w:p>
              </w:tc>
              <w:tc>
                <w:tcPr>
                  <w:tcW w:w="115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32.452 </w:t>
                  </w:r>
                </w:p>
              </w:tc>
              <w:tc>
                <w:tcPr>
                  <w:tcW w:w="1155"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31.539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26" w:type="dxa"/>
                  <w:tcBorders>
                    <w:top w:val="single" w:color="auto" w:sz="6" w:space="0"/>
                    <w:left w:val="single" w:color="auto" w:sz="12" w:space="0"/>
                    <w:bottom w:val="single" w:color="auto" w:sz="12" w:space="0"/>
                    <w:right w:val="single" w:color="auto" w:sz="6" w:space="0"/>
                  </w:tcBorders>
                  <w:vAlign w:val="center"/>
                </w:tcPr>
                <w:p>
                  <w:pPr>
                    <w:pStyle w:val="109"/>
                    <w:rPr>
                      <w:color w:val="auto"/>
                    </w:rPr>
                  </w:pPr>
                  <w:r>
                    <w:rPr>
                      <w:color w:val="auto"/>
                    </w:rPr>
                    <w:t>5000</w:t>
                  </w:r>
                </w:p>
              </w:tc>
              <w:tc>
                <w:tcPr>
                  <w:tcW w:w="1308"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32.256 </w:t>
                  </w:r>
                </w:p>
              </w:tc>
              <w:tc>
                <w:tcPr>
                  <w:tcW w:w="1296"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32.205 </w:t>
                  </w:r>
                </w:p>
              </w:tc>
              <w:tc>
                <w:tcPr>
                  <w:tcW w:w="1155"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32.004 </w:t>
                  </w:r>
                </w:p>
              </w:tc>
              <w:tc>
                <w:tcPr>
                  <w:tcW w:w="1155"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31.676 </w:t>
                  </w:r>
                </w:p>
              </w:tc>
              <w:tc>
                <w:tcPr>
                  <w:tcW w:w="1155"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31.233 </w:t>
                  </w:r>
                </w:p>
              </w:tc>
              <w:tc>
                <w:tcPr>
                  <w:tcW w:w="1155"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30.690 </w:t>
                  </w:r>
                </w:p>
              </w:tc>
              <w:tc>
                <w:tcPr>
                  <w:tcW w:w="1155" w:type="dxa"/>
                  <w:tcBorders>
                    <w:top w:val="single" w:color="auto" w:sz="6" w:space="0"/>
                    <w:left w:val="single" w:color="auto" w:sz="6" w:space="0"/>
                    <w:bottom w:val="single" w:color="auto" w:sz="12" w:space="0"/>
                    <w:right w:val="single" w:color="auto" w:sz="12" w:space="0"/>
                  </w:tcBorders>
                  <w:vAlign w:val="center"/>
                </w:tcPr>
                <w:p>
                  <w:pPr>
                    <w:pStyle w:val="109"/>
                    <w:rPr>
                      <w:color w:val="auto"/>
                    </w:rPr>
                  </w:pPr>
                  <w:r>
                    <w:rPr>
                      <w:color w:val="auto"/>
                    </w:rPr>
                    <w:t xml:space="preserve">30.064 </w:t>
                  </w:r>
                </w:p>
              </w:tc>
            </w:tr>
          </w:tbl>
          <w:p>
            <w:pPr>
              <w:pStyle w:val="2"/>
            </w:pPr>
          </w:p>
          <w:p>
            <w:pPr>
              <w:pStyle w:val="111"/>
            </w:pPr>
          </w:p>
          <w:p>
            <w:pPr>
              <w:pStyle w:val="111"/>
            </w:pPr>
            <w:r>
              <w:rPr>
                <w:rFonts w:hint="eastAsia"/>
              </w:rPr>
              <w:t>表</w:t>
            </w:r>
            <w:r>
              <w:t>6-16</w:t>
            </w:r>
            <w:r>
              <w:rPr>
                <w:rFonts w:hint="eastAsia"/>
              </w:rPr>
              <w:t>项目正常排放时</w:t>
            </w:r>
            <w:r>
              <w:t>NH</w:t>
            </w:r>
            <w:r>
              <w:rPr>
                <w:vertAlign w:val="subscript"/>
              </w:rPr>
              <w:t>3</w:t>
            </w:r>
            <w:r>
              <w:t>-N</w:t>
            </w:r>
            <w:r>
              <w:rPr>
                <w:rFonts w:hint="eastAsia"/>
              </w:rPr>
              <w:t>浓度分布预测结果</w:t>
            </w:r>
          </w:p>
          <w:tbl>
            <w:tblPr>
              <w:tblStyle w:val="37"/>
              <w:tblW w:w="938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1185"/>
              <w:gridCol w:w="1185"/>
              <w:gridCol w:w="1184"/>
              <w:gridCol w:w="1184"/>
              <w:gridCol w:w="1184"/>
              <w:gridCol w:w="1184"/>
              <w:gridCol w:w="11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12" w:space="0"/>
                    <w:left w:val="single" w:color="auto" w:sz="12" w:space="0"/>
                    <w:bottom w:val="double" w:color="auto" w:sz="4" w:space="0"/>
                    <w:right w:val="single" w:color="auto" w:sz="6" w:space="0"/>
                    <w:tl2br w:val="single" w:color="auto" w:sz="4" w:space="0"/>
                  </w:tcBorders>
                  <w:vAlign w:val="center"/>
                </w:tcPr>
                <w:p>
                  <w:pPr>
                    <w:pStyle w:val="109"/>
                    <w:jc w:val="right"/>
                    <w:rPr>
                      <w:color w:val="auto"/>
                    </w:rPr>
                  </w:pPr>
                  <w:r>
                    <w:rPr>
                      <w:color w:val="auto"/>
                    </w:rPr>
                    <w:t>y</w:t>
                  </w:r>
                </w:p>
                <w:p>
                  <w:pPr>
                    <w:pStyle w:val="109"/>
                    <w:jc w:val="left"/>
                    <w:rPr>
                      <w:color w:val="auto"/>
                    </w:rPr>
                  </w:pPr>
                  <w:r>
                    <w:rPr>
                      <w:color w:val="auto"/>
                    </w:rPr>
                    <w:t>x</w:t>
                  </w:r>
                </w:p>
              </w:tc>
              <w:tc>
                <w:tcPr>
                  <w:tcW w:w="1185" w:type="dxa"/>
                  <w:tcBorders>
                    <w:top w:val="single" w:color="auto" w:sz="12" w:space="0"/>
                    <w:left w:val="single" w:color="auto" w:sz="6" w:space="0"/>
                    <w:bottom w:val="double" w:color="auto" w:sz="4" w:space="0"/>
                    <w:right w:val="single" w:color="auto" w:sz="6" w:space="0"/>
                  </w:tcBorders>
                  <w:vAlign w:val="center"/>
                </w:tcPr>
                <w:p>
                  <w:pPr>
                    <w:pStyle w:val="109"/>
                    <w:rPr>
                      <w:color w:val="auto"/>
                    </w:rPr>
                  </w:pPr>
                  <w:r>
                    <w:rPr>
                      <w:color w:val="auto"/>
                    </w:rPr>
                    <w:t>1</w:t>
                  </w:r>
                </w:p>
              </w:tc>
              <w:tc>
                <w:tcPr>
                  <w:tcW w:w="1185" w:type="dxa"/>
                  <w:tcBorders>
                    <w:top w:val="single" w:color="auto" w:sz="12" w:space="0"/>
                    <w:left w:val="single" w:color="auto" w:sz="6" w:space="0"/>
                    <w:bottom w:val="double" w:color="auto" w:sz="4" w:space="0"/>
                    <w:right w:val="single" w:color="auto" w:sz="6" w:space="0"/>
                  </w:tcBorders>
                  <w:vAlign w:val="center"/>
                </w:tcPr>
                <w:p>
                  <w:pPr>
                    <w:pStyle w:val="109"/>
                    <w:rPr>
                      <w:color w:val="auto"/>
                    </w:rPr>
                  </w:pPr>
                  <w:r>
                    <w:rPr>
                      <w:color w:val="auto"/>
                    </w:rPr>
                    <w:t>2</w:t>
                  </w:r>
                </w:p>
              </w:tc>
              <w:tc>
                <w:tcPr>
                  <w:tcW w:w="1184" w:type="dxa"/>
                  <w:tcBorders>
                    <w:top w:val="single" w:color="auto" w:sz="12" w:space="0"/>
                    <w:left w:val="single" w:color="auto" w:sz="6" w:space="0"/>
                    <w:bottom w:val="double" w:color="auto" w:sz="4" w:space="0"/>
                    <w:right w:val="single" w:color="auto" w:sz="6" w:space="0"/>
                  </w:tcBorders>
                  <w:vAlign w:val="center"/>
                </w:tcPr>
                <w:p>
                  <w:pPr>
                    <w:pStyle w:val="109"/>
                    <w:rPr>
                      <w:color w:val="auto"/>
                    </w:rPr>
                  </w:pPr>
                  <w:r>
                    <w:rPr>
                      <w:color w:val="auto"/>
                    </w:rPr>
                    <w:t>4</w:t>
                  </w:r>
                </w:p>
              </w:tc>
              <w:tc>
                <w:tcPr>
                  <w:tcW w:w="1184" w:type="dxa"/>
                  <w:tcBorders>
                    <w:top w:val="single" w:color="auto" w:sz="12" w:space="0"/>
                    <w:left w:val="single" w:color="auto" w:sz="6" w:space="0"/>
                    <w:bottom w:val="double" w:color="auto" w:sz="4" w:space="0"/>
                    <w:right w:val="single" w:color="auto" w:sz="6" w:space="0"/>
                  </w:tcBorders>
                  <w:vAlign w:val="center"/>
                </w:tcPr>
                <w:p>
                  <w:pPr>
                    <w:pStyle w:val="109"/>
                    <w:rPr>
                      <w:color w:val="auto"/>
                    </w:rPr>
                  </w:pPr>
                  <w:r>
                    <w:rPr>
                      <w:color w:val="auto"/>
                    </w:rPr>
                    <w:t>6</w:t>
                  </w:r>
                </w:p>
              </w:tc>
              <w:tc>
                <w:tcPr>
                  <w:tcW w:w="1184" w:type="dxa"/>
                  <w:tcBorders>
                    <w:top w:val="single" w:color="auto" w:sz="12" w:space="0"/>
                    <w:left w:val="single" w:color="auto" w:sz="6" w:space="0"/>
                    <w:bottom w:val="double" w:color="auto" w:sz="4" w:space="0"/>
                    <w:right w:val="single" w:color="auto" w:sz="6" w:space="0"/>
                  </w:tcBorders>
                  <w:vAlign w:val="center"/>
                </w:tcPr>
                <w:p>
                  <w:pPr>
                    <w:pStyle w:val="109"/>
                    <w:rPr>
                      <w:color w:val="auto"/>
                    </w:rPr>
                  </w:pPr>
                  <w:r>
                    <w:rPr>
                      <w:color w:val="auto"/>
                    </w:rPr>
                    <w:t>8</w:t>
                  </w:r>
                </w:p>
              </w:tc>
              <w:tc>
                <w:tcPr>
                  <w:tcW w:w="1184" w:type="dxa"/>
                  <w:tcBorders>
                    <w:top w:val="single" w:color="auto" w:sz="12" w:space="0"/>
                    <w:left w:val="single" w:color="auto" w:sz="6" w:space="0"/>
                    <w:bottom w:val="double" w:color="auto" w:sz="4" w:space="0"/>
                    <w:right w:val="single" w:color="auto" w:sz="6" w:space="0"/>
                  </w:tcBorders>
                  <w:vAlign w:val="center"/>
                </w:tcPr>
                <w:p>
                  <w:pPr>
                    <w:pStyle w:val="109"/>
                    <w:rPr>
                      <w:color w:val="auto"/>
                    </w:rPr>
                  </w:pPr>
                  <w:r>
                    <w:rPr>
                      <w:color w:val="auto"/>
                    </w:rPr>
                    <w:t>10</w:t>
                  </w:r>
                </w:p>
              </w:tc>
              <w:tc>
                <w:tcPr>
                  <w:tcW w:w="1184" w:type="dxa"/>
                  <w:tcBorders>
                    <w:top w:val="single" w:color="auto" w:sz="12" w:space="0"/>
                    <w:left w:val="single" w:color="auto" w:sz="6" w:space="0"/>
                    <w:bottom w:val="double" w:color="auto" w:sz="4" w:space="0"/>
                    <w:right w:val="single" w:color="auto" w:sz="12" w:space="0"/>
                  </w:tcBorders>
                  <w:vAlign w:val="center"/>
                </w:tcPr>
                <w:p>
                  <w:pPr>
                    <w:pStyle w:val="109"/>
                    <w:rPr>
                      <w:color w:val="auto"/>
                    </w:rPr>
                  </w:pPr>
                  <w:r>
                    <w:rPr>
                      <w:color w:val="auto"/>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double" w:color="auto" w:sz="4" w:space="0"/>
                    <w:left w:val="single" w:color="auto" w:sz="12" w:space="0"/>
                    <w:bottom w:val="single" w:color="auto" w:sz="6" w:space="0"/>
                    <w:right w:val="single" w:color="auto" w:sz="6" w:space="0"/>
                  </w:tcBorders>
                  <w:vAlign w:val="center"/>
                </w:tcPr>
                <w:p>
                  <w:pPr>
                    <w:pStyle w:val="109"/>
                    <w:rPr>
                      <w:color w:val="auto"/>
                    </w:rPr>
                  </w:pPr>
                  <w:r>
                    <w:rPr>
                      <w:color w:val="auto"/>
                    </w:rPr>
                    <w:t>1</w:t>
                  </w:r>
                </w:p>
              </w:tc>
              <w:tc>
                <w:tcPr>
                  <w:tcW w:w="1185"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0.632 </w:t>
                  </w:r>
                </w:p>
              </w:tc>
              <w:tc>
                <w:tcPr>
                  <w:tcW w:w="1185"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double" w:color="auto" w:sz="4"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double" w:color="auto" w:sz="4" w:space="0"/>
                    <w:left w:val="single" w:color="auto" w:sz="6" w:space="0"/>
                    <w:bottom w:val="single" w:color="auto" w:sz="6" w:space="0"/>
                    <w:right w:val="single" w:color="auto" w:sz="12" w:space="0"/>
                  </w:tcBorders>
                  <w:vAlign w:val="center"/>
                </w:tcPr>
                <w:p>
                  <w:pPr>
                    <w:pStyle w:val="109"/>
                    <w:rPr>
                      <w:color w:val="auto"/>
                    </w:rPr>
                  </w:pPr>
                  <w:r>
                    <w:rPr>
                      <w:color w:val="auto"/>
                    </w:rPr>
                    <w:t xml:space="preserve">0.618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5</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2.798 </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0.645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0.618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10</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3.826 </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0.973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0.618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50</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3.188 </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2.273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0.903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0.633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0.618 </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0.618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100</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2.565 </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2.181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1.266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0.768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0.637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0.619 </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0.618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500</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1.510 </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1.471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1.334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1.152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0.972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0.827 </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0.728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512</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1.499</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1.462</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1.328</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1.152</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0.975</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0.831</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0.732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1000</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1.226 </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1.213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1.163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1.089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1.001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0.912 </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0.831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2000</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1.014 </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1.009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0.992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0.966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0.932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0.893 </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0.852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3000</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0.914 </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0.912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0.904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0.890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0.872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0.851 </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0.827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6" w:space="0"/>
                    <w:right w:val="single" w:color="auto" w:sz="6" w:space="0"/>
                  </w:tcBorders>
                  <w:vAlign w:val="center"/>
                </w:tcPr>
                <w:p>
                  <w:pPr>
                    <w:pStyle w:val="109"/>
                    <w:rPr>
                      <w:color w:val="auto"/>
                    </w:rPr>
                  </w:pPr>
                  <w:r>
                    <w:rPr>
                      <w:color w:val="auto"/>
                    </w:rPr>
                    <w:t>4000</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0.853 </w:t>
                  </w:r>
                </w:p>
              </w:tc>
              <w:tc>
                <w:tcPr>
                  <w:tcW w:w="1185"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0.852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0.847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0.839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0.828 </w:t>
                  </w:r>
                </w:p>
              </w:tc>
              <w:tc>
                <w:tcPr>
                  <w:tcW w:w="1184" w:type="dxa"/>
                  <w:tcBorders>
                    <w:top w:val="single" w:color="auto" w:sz="6" w:space="0"/>
                    <w:left w:val="single" w:color="auto" w:sz="6" w:space="0"/>
                    <w:bottom w:val="single" w:color="auto" w:sz="6" w:space="0"/>
                    <w:right w:val="single" w:color="auto" w:sz="6" w:space="0"/>
                  </w:tcBorders>
                  <w:vAlign w:val="center"/>
                </w:tcPr>
                <w:p>
                  <w:pPr>
                    <w:pStyle w:val="109"/>
                    <w:rPr>
                      <w:color w:val="auto"/>
                    </w:rPr>
                  </w:pPr>
                  <w:r>
                    <w:rPr>
                      <w:color w:val="auto"/>
                    </w:rPr>
                    <w:t xml:space="preserve">0.814 </w:t>
                  </w:r>
                </w:p>
              </w:tc>
              <w:tc>
                <w:tcPr>
                  <w:tcW w:w="1184" w:type="dxa"/>
                  <w:tcBorders>
                    <w:top w:val="single" w:color="auto" w:sz="6" w:space="0"/>
                    <w:left w:val="single" w:color="auto" w:sz="6" w:space="0"/>
                    <w:bottom w:val="single" w:color="auto" w:sz="6" w:space="0"/>
                    <w:right w:val="single" w:color="auto" w:sz="12" w:space="0"/>
                  </w:tcBorders>
                  <w:vAlign w:val="center"/>
                </w:tcPr>
                <w:p>
                  <w:pPr>
                    <w:pStyle w:val="109"/>
                    <w:rPr>
                      <w:color w:val="auto"/>
                    </w:rPr>
                  </w:pPr>
                  <w:r>
                    <w:rPr>
                      <w:color w:val="auto"/>
                    </w:rPr>
                    <w:t xml:space="preserve">0.799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094" w:type="dxa"/>
                  <w:tcBorders>
                    <w:top w:val="single" w:color="auto" w:sz="6" w:space="0"/>
                    <w:left w:val="single" w:color="auto" w:sz="12" w:space="0"/>
                    <w:bottom w:val="single" w:color="auto" w:sz="12" w:space="0"/>
                    <w:right w:val="single" w:color="auto" w:sz="6" w:space="0"/>
                  </w:tcBorders>
                  <w:vAlign w:val="center"/>
                </w:tcPr>
                <w:p>
                  <w:pPr>
                    <w:pStyle w:val="109"/>
                    <w:rPr>
                      <w:color w:val="auto"/>
                    </w:rPr>
                  </w:pPr>
                  <w:r>
                    <w:rPr>
                      <w:color w:val="auto"/>
                    </w:rPr>
                    <w:t>5000</w:t>
                  </w:r>
                </w:p>
              </w:tc>
              <w:tc>
                <w:tcPr>
                  <w:tcW w:w="1185"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0.811 </w:t>
                  </w:r>
                </w:p>
              </w:tc>
              <w:tc>
                <w:tcPr>
                  <w:tcW w:w="1185"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0.810 </w:t>
                  </w:r>
                </w:p>
              </w:tc>
              <w:tc>
                <w:tcPr>
                  <w:tcW w:w="1184"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0.807 </w:t>
                  </w:r>
                </w:p>
              </w:tc>
              <w:tc>
                <w:tcPr>
                  <w:tcW w:w="1184"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0.801 </w:t>
                  </w:r>
                </w:p>
              </w:tc>
              <w:tc>
                <w:tcPr>
                  <w:tcW w:w="1184"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0.794 </w:t>
                  </w:r>
                </w:p>
              </w:tc>
              <w:tc>
                <w:tcPr>
                  <w:tcW w:w="1184" w:type="dxa"/>
                  <w:tcBorders>
                    <w:top w:val="single" w:color="auto" w:sz="6" w:space="0"/>
                    <w:left w:val="single" w:color="auto" w:sz="6" w:space="0"/>
                    <w:bottom w:val="single" w:color="auto" w:sz="12" w:space="0"/>
                    <w:right w:val="single" w:color="auto" w:sz="6" w:space="0"/>
                  </w:tcBorders>
                  <w:vAlign w:val="center"/>
                </w:tcPr>
                <w:p>
                  <w:pPr>
                    <w:pStyle w:val="109"/>
                    <w:rPr>
                      <w:color w:val="auto"/>
                    </w:rPr>
                  </w:pPr>
                  <w:r>
                    <w:rPr>
                      <w:color w:val="auto"/>
                    </w:rPr>
                    <w:t xml:space="preserve">0.785 </w:t>
                  </w:r>
                </w:p>
              </w:tc>
              <w:tc>
                <w:tcPr>
                  <w:tcW w:w="1184" w:type="dxa"/>
                  <w:tcBorders>
                    <w:top w:val="single" w:color="auto" w:sz="6" w:space="0"/>
                    <w:left w:val="single" w:color="auto" w:sz="6" w:space="0"/>
                    <w:bottom w:val="single" w:color="auto" w:sz="12" w:space="0"/>
                    <w:right w:val="single" w:color="auto" w:sz="12" w:space="0"/>
                  </w:tcBorders>
                  <w:vAlign w:val="center"/>
                </w:tcPr>
                <w:p>
                  <w:pPr>
                    <w:pStyle w:val="109"/>
                    <w:rPr>
                      <w:color w:val="auto"/>
                    </w:rPr>
                  </w:pPr>
                  <w:r>
                    <w:rPr>
                      <w:color w:val="auto"/>
                    </w:rPr>
                    <w:t xml:space="preserve">0.775 </w:t>
                  </w:r>
                </w:p>
              </w:tc>
            </w:tr>
          </w:tbl>
          <w:p>
            <w:pPr>
              <w:pStyle w:val="106"/>
              <w:rPr>
                <w:szCs w:val="21"/>
              </w:rPr>
            </w:pPr>
          </w:p>
          <w:p>
            <w:pPr>
              <w:pStyle w:val="111"/>
            </w:pPr>
            <w:r>
              <w:rPr>
                <w:rFonts w:hint="eastAsia"/>
              </w:rPr>
              <w:t>表</w:t>
            </w:r>
            <w:r>
              <w:t xml:space="preserve">6-17 </w:t>
            </w:r>
            <w:r>
              <w:rPr>
                <w:rFonts w:hint="eastAsia"/>
              </w:rPr>
              <w:t>项目非正常排放时</w:t>
            </w:r>
            <w:r>
              <w:t>NH</w:t>
            </w:r>
            <w:r>
              <w:rPr>
                <w:vertAlign w:val="subscript"/>
              </w:rPr>
              <w:t>3</w:t>
            </w:r>
            <w:r>
              <w:t>-N</w:t>
            </w:r>
            <w:r>
              <w:rPr>
                <w:rFonts w:hint="eastAsia"/>
              </w:rPr>
              <w:t>浓度分布预测结果</w:t>
            </w:r>
          </w:p>
          <w:tbl>
            <w:tblPr>
              <w:tblStyle w:val="37"/>
              <w:tblW w:w="93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340"/>
              <w:gridCol w:w="1164"/>
              <w:gridCol w:w="1164"/>
              <w:gridCol w:w="1164"/>
              <w:gridCol w:w="1164"/>
              <w:gridCol w:w="1164"/>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12" w:space="0"/>
                    <w:left w:val="single" w:color="auto" w:sz="12" w:space="0"/>
                    <w:bottom w:val="double" w:color="auto" w:sz="4" w:space="0"/>
                    <w:right w:val="single" w:color="auto" w:sz="4" w:space="0"/>
                    <w:tl2br w:val="single" w:color="auto" w:sz="4" w:space="0"/>
                  </w:tcBorders>
                  <w:vAlign w:val="center"/>
                </w:tcPr>
                <w:p>
                  <w:pPr>
                    <w:pStyle w:val="109"/>
                    <w:rPr>
                      <w:color w:val="auto"/>
                    </w:rPr>
                  </w:pPr>
                  <w:r>
                    <w:rPr>
                      <w:color w:val="auto"/>
                    </w:rPr>
                    <w:t>y</w:t>
                  </w:r>
                </w:p>
                <w:p>
                  <w:pPr>
                    <w:pStyle w:val="109"/>
                    <w:rPr>
                      <w:color w:val="auto"/>
                    </w:rPr>
                  </w:pPr>
                  <w:r>
                    <w:rPr>
                      <w:color w:val="auto"/>
                    </w:rPr>
                    <w:t>x</w:t>
                  </w:r>
                </w:p>
              </w:tc>
              <w:tc>
                <w:tcPr>
                  <w:tcW w:w="1340" w:type="dxa"/>
                  <w:tcBorders>
                    <w:top w:val="single" w:color="auto" w:sz="12" w:space="0"/>
                    <w:left w:val="single" w:color="auto" w:sz="4" w:space="0"/>
                    <w:bottom w:val="double" w:color="auto" w:sz="4" w:space="0"/>
                    <w:right w:val="single" w:color="auto" w:sz="4" w:space="0"/>
                  </w:tcBorders>
                  <w:vAlign w:val="center"/>
                </w:tcPr>
                <w:p>
                  <w:pPr>
                    <w:pStyle w:val="109"/>
                    <w:rPr>
                      <w:color w:val="auto"/>
                    </w:rPr>
                  </w:pPr>
                  <w:r>
                    <w:rPr>
                      <w:color w:val="auto"/>
                    </w:rPr>
                    <w:t>1</w:t>
                  </w:r>
                </w:p>
              </w:tc>
              <w:tc>
                <w:tcPr>
                  <w:tcW w:w="1164" w:type="dxa"/>
                  <w:tcBorders>
                    <w:top w:val="single" w:color="auto" w:sz="12" w:space="0"/>
                    <w:left w:val="single" w:color="auto" w:sz="4" w:space="0"/>
                    <w:bottom w:val="double" w:color="auto" w:sz="4" w:space="0"/>
                    <w:right w:val="single" w:color="auto" w:sz="4" w:space="0"/>
                  </w:tcBorders>
                  <w:vAlign w:val="center"/>
                </w:tcPr>
                <w:p>
                  <w:pPr>
                    <w:pStyle w:val="109"/>
                    <w:rPr>
                      <w:color w:val="auto"/>
                    </w:rPr>
                  </w:pPr>
                  <w:r>
                    <w:rPr>
                      <w:color w:val="auto"/>
                    </w:rPr>
                    <w:t>2</w:t>
                  </w:r>
                </w:p>
              </w:tc>
              <w:tc>
                <w:tcPr>
                  <w:tcW w:w="1164" w:type="dxa"/>
                  <w:tcBorders>
                    <w:top w:val="single" w:color="auto" w:sz="12" w:space="0"/>
                    <w:left w:val="single" w:color="auto" w:sz="4" w:space="0"/>
                    <w:bottom w:val="double" w:color="auto" w:sz="4" w:space="0"/>
                    <w:right w:val="single" w:color="auto" w:sz="4" w:space="0"/>
                  </w:tcBorders>
                  <w:vAlign w:val="center"/>
                </w:tcPr>
                <w:p>
                  <w:pPr>
                    <w:pStyle w:val="109"/>
                    <w:rPr>
                      <w:color w:val="auto"/>
                    </w:rPr>
                  </w:pPr>
                  <w:r>
                    <w:rPr>
                      <w:color w:val="auto"/>
                    </w:rPr>
                    <w:t>4</w:t>
                  </w:r>
                </w:p>
              </w:tc>
              <w:tc>
                <w:tcPr>
                  <w:tcW w:w="1164" w:type="dxa"/>
                  <w:tcBorders>
                    <w:top w:val="single" w:color="auto" w:sz="12" w:space="0"/>
                    <w:left w:val="single" w:color="auto" w:sz="4" w:space="0"/>
                    <w:bottom w:val="double" w:color="auto" w:sz="4" w:space="0"/>
                    <w:right w:val="single" w:color="auto" w:sz="4" w:space="0"/>
                  </w:tcBorders>
                  <w:vAlign w:val="center"/>
                </w:tcPr>
                <w:p>
                  <w:pPr>
                    <w:pStyle w:val="109"/>
                    <w:rPr>
                      <w:color w:val="auto"/>
                    </w:rPr>
                  </w:pPr>
                  <w:r>
                    <w:rPr>
                      <w:color w:val="auto"/>
                    </w:rPr>
                    <w:t>6</w:t>
                  </w:r>
                </w:p>
              </w:tc>
              <w:tc>
                <w:tcPr>
                  <w:tcW w:w="1164" w:type="dxa"/>
                  <w:tcBorders>
                    <w:top w:val="single" w:color="auto" w:sz="12" w:space="0"/>
                    <w:left w:val="single" w:color="auto" w:sz="4" w:space="0"/>
                    <w:bottom w:val="double" w:color="auto" w:sz="4" w:space="0"/>
                    <w:right w:val="single" w:color="auto" w:sz="4" w:space="0"/>
                  </w:tcBorders>
                  <w:vAlign w:val="center"/>
                </w:tcPr>
                <w:p>
                  <w:pPr>
                    <w:pStyle w:val="109"/>
                    <w:rPr>
                      <w:color w:val="auto"/>
                    </w:rPr>
                  </w:pPr>
                  <w:r>
                    <w:rPr>
                      <w:color w:val="auto"/>
                    </w:rPr>
                    <w:t>8</w:t>
                  </w:r>
                </w:p>
              </w:tc>
              <w:tc>
                <w:tcPr>
                  <w:tcW w:w="1164" w:type="dxa"/>
                  <w:tcBorders>
                    <w:top w:val="single" w:color="auto" w:sz="12" w:space="0"/>
                    <w:left w:val="single" w:color="auto" w:sz="4" w:space="0"/>
                    <w:bottom w:val="double" w:color="auto" w:sz="4" w:space="0"/>
                    <w:right w:val="single" w:color="auto" w:sz="4" w:space="0"/>
                  </w:tcBorders>
                  <w:vAlign w:val="center"/>
                </w:tcPr>
                <w:p>
                  <w:pPr>
                    <w:pStyle w:val="109"/>
                    <w:rPr>
                      <w:color w:val="auto"/>
                    </w:rPr>
                  </w:pPr>
                  <w:r>
                    <w:rPr>
                      <w:color w:val="auto"/>
                    </w:rPr>
                    <w:t>10</w:t>
                  </w:r>
                </w:p>
              </w:tc>
              <w:tc>
                <w:tcPr>
                  <w:tcW w:w="1164" w:type="dxa"/>
                  <w:tcBorders>
                    <w:top w:val="single" w:color="auto" w:sz="12" w:space="0"/>
                    <w:left w:val="single" w:color="auto" w:sz="4" w:space="0"/>
                    <w:bottom w:val="double" w:color="auto" w:sz="4" w:space="0"/>
                    <w:right w:val="single" w:color="auto" w:sz="12" w:space="0"/>
                  </w:tcBorders>
                  <w:vAlign w:val="center"/>
                </w:tcPr>
                <w:p>
                  <w:pPr>
                    <w:pStyle w:val="109"/>
                    <w:rPr>
                      <w:color w:val="auto"/>
                    </w:rPr>
                  </w:pPr>
                  <w:r>
                    <w:rPr>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double" w:color="auto" w:sz="4" w:space="0"/>
                    <w:left w:val="single" w:color="auto" w:sz="12" w:space="0"/>
                    <w:bottom w:val="single" w:color="auto" w:sz="4" w:space="0"/>
                    <w:right w:val="single" w:color="auto" w:sz="4" w:space="0"/>
                  </w:tcBorders>
                  <w:vAlign w:val="center"/>
                </w:tcPr>
                <w:p>
                  <w:pPr>
                    <w:pStyle w:val="109"/>
                    <w:rPr>
                      <w:color w:val="auto"/>
                    </w:rPr>
                  </w:pPr>
                  <w:r>
                    <w:rPr>
                      <w:color w:val="auto"/>
                    </w:rPr>
                    <w:t>1</w:t>
                  </w:r>
                </w:p>
              </w:tc>
              <w:tc>
                <w:tcPr>
                  <w:tcW w:w="1340" w:type="dxa"/>
                  <w:tcBorders>
                    <w:top w:val="doub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0.687 </w:t>
                  </w:r>
                </w:p>
              </w:tc>
              <w:tc>
                <w:tcPr>
                  <w:tcW w:w="1164" w:type="dxa"/>
                  <w:tcBorders>
                    <w:top w:val="doub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doub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doub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doub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doub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doub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0.618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4" w:space="0"/>
                    <w:right w:val="single" w:color="auto" w:sz="4" w:space="0"/>
                  </w:tcBorders>
                  <w:vAlign w:val="center"/>
                </w:tcPr>
                <w:p>
                  <w:pPr>
                    <w:pStyle w:val="109"/>
                    <w:rPr>
                      <w:color w:val="auto"/>
                    </w:rPr>
                  </w:pPr>
                  <w:r>
                    <w:rPr>
                      <w:color w:val="auto"/>
                    </w:rPr>
                    <w:t>5</w:t>
                  </w:r>
                </w:p>
              </w:tc>
              <w:tc>
                <w:tcPr>
                  <w:tcW w:w="1340"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11.518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0.752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0.618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4" w:space="0"/>
                    <w:right w:val="single" w:color="auto" w:sz="4" w:space="0"/>
                  </w:tcBorders>
                  <w:vAlign w:val="center"/>
                </w:tcPr>
                <w:p>
                  <w:pPr>
                    <w:pStyle w:val="109"/>
                    <w:rPr>
                      <w:color w:val="auto"/>
                    </w:rPr>
                  </w:pPr>
                  <w:r>
                    <w:rPr>
                      <w:color w:val="auto"/>
                    </w:rPr>
                    <w:t>10</w:t>
                  </w:r>
                </w:p>
              </w:tc>
              <w:tc>
                <w:tcPr>
                  <w:tcW w:w="1340"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16.657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2.395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0.618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4" w:space="0"/>
                    <w:right w:val="single" w:color="auto" w:sz="4" w:space="0"/>
                  </w:tcBorders>
                  <w:vAlign w:val="center"/>
                </w:tcPr>
                <w:p>
                  <w:pPr>
                    <w:pStyle w:val="109"/>
                    <w:rPr>
                      <w:color w:val="auto"/>
                    </w:rPr>
                  </w:pPr>
                  <w:r>
                    <w:rPr>
                      <w:color w:val="auto"/>
                    </w:rPr>
                    <w:t>50</w:t>
                  </w:r>
                </w:p>
              </w:tc>
              <w:tc>
                <w:tcPr>
                  <w:tcW w:w="1340"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13.470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8.895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2.042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0.694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0.619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0.618 </w:t>
                  </w:r>
                </w:p>
              </w:tc>
              <w:tc>
                <w:tcPr>
                  <w:tcW w:w="1164"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0.618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4" w:space="0"/>
                    <w:right w:val="single" w:color="auto" w:sz="4" w:space="0"/>
                  </w:tcBorders>
                  <w:vAlign w:val="center"/>
                </w:tcPr>
                <w:p>
                  <w:pPr>
                    <w:pStyle w:val="109"/>
                    <w:rPr>
                      <w:color w:val="auto"/>
                    </w:rPr>
                  </w:pPr>
                  <w:r>
                    <w:rPr>
                      <w:color w:val="auto"/>
                    </w:rPr>
                    <w:t>100</w:t>
                  </w:r>
                </w:p>
              </w:tc>
              <w:tc>
                <w:tcPr>
                  <w:tcW w:w="1340"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10.355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8.432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3.859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1.366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0.714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0.625 </w:t>
                  </w:r>
                </w:p>
              </w:tc>
              <w:tc>
                <w:tcPr>
                  <w:tcW w:w="1164"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0.618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4" w:space="0"/>
                    <w:right w:val="single" w:color="auto" w:sz="4" w:space="0"/>
                  </w:tcBorders>
                  <w:vAlign w:val="center"/>
                </w:tcPr>
                <w:p>
                  <w:pPr>
                    <w:pStyle w:val="109"/>
                    <w:rPr>
                      <w:color w:val="auto"/>
                    </w:rPr>
                  </w:pPr>
                  <w:r>
                    <w:rPr>
                      <w:color w:val="auto"/>
                    </w:rPr>
                    <w:t>500</w:t>
                  </w:r>
                </w:p>
              </w:tc>
              <w:tc>
                <w:tcPr>
                  <w:tcW w:w="1340"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5.077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4.885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4.197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3.287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2.388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1.662 </w:t>
                  </w:r>
                </w:p>
              </w:tc>
              <w:tc>
                <w:tcPr>
                  <w:tcW w:w="1164"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1.166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4" w:space="0"/>
                    <w:right w:val="single" w:color="auto" w:sz="4" w:space="0"/>
                  </w:tcBorders>
                  <w:vAlign w:val="center"/>
                </w:tcPr>
                <w:p>
                  <w:pPr>
                    <w:pStyle w:val="109"/>
                    <w:rPr>
                      <w:color w:val="auto"/>
                    </w:rPr>
                  </w:pPr>
                  <w:r>
                    <w:rPr>
                      <w:color w:val="auto"/>
                    </w:rPr>
                    <w:t>1000</w:t>
                  </w:r>
                </w:p>
              </w:tc>
              <w:tc>
                <w:tcPr>
                  <w:tcW w:w="1340"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3.659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3.593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3.342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2.971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2.534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2.089 </w:t>
                  </w:r>
                </w:p>
              </w:tc>
              <w:tc>
                <w:tcPr>
                  <w:tcW w:w="1164"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1.684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4" w:space="0"/>
                    <w:right w:val="single" w:color="auto" w:sz="4" w:space="0"/>
                  </w:tcBorders>
                  <w:vAlign w:val="center"/>
                </w:tcPr>
                <w:p>
                  <w:pPr>
                    <w:pStyle w:val="109"/>
                    <w:rPr>
                      <w:color w:val="auto"/>
                    </w:rPr>
                  </w:pPr>
                  <w:r>
                    <w:rPr>
                      <w:color w:val="auto"/>
                    </w:rPr>
                    <w:t>2000</w:t>
                  </w:r>
                </w:p>
              </w:tc>
              <w:tc>
                <w:tcPr>
                  <w:tcW w:w="1340"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2.596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2.575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2.490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2.358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2.188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1.994 </w:t>
                  </w:r>
                </w:p>
              </w:tc>
              <w:tc>
                <w:tcPr>
                  <w:tcW w:w="1164"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1.789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4" w:space="0"/>
                    <w:right w:val="single" w:color="auto" w:sz="4" w:space="0"/>
                  </w:tcBorders>
                  <w:vAlign w:val="center"/>
                </w:tcPr>
                <w:p>
                  <w:pPr>
                    <w:pStyle w:val="109"/>
                    <w:rPr>
                      <w:color w:val="auto"/>
                    </w:rPr>
                  </w:pPr>
                  <w:r>
                    <w:rPr>
                      <w:color w:val="auto"/>
                    </w:rPr>
                    <w:t>3000</w:t>
                  </w:r>
                </w:p>
              </w:tc>
              <w:tc>
                <w:tcPr>
                  <w:tcW w:w="1340"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2.100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2.089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2.047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1.979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1.889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1.782 </w:t>
                  </w:r>
                </w:p>
              </w:tc>
              <w:tc>
                <w:tcPr>
                  <w:tcW w:w="1164"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1.663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4" w:space="0"/>
                    <w:right w:val="single" w:color="auto" w:sz="4" w:space="0"/>
                  </w:tcBorders>
                  <w:vAlign w:val="center"/>
                </w:tcPr>
                <w:p>
                  <w:pPr>
                    <w:pStyle w:val="109"/>
                    <w:rPr>
                      <w:color w:val="auto"/>
                    </w:rPr>
                  </w:pPr>
                  <w:r>
                    <w:rPr>
                      <w:color w:val="auto"/>
                    </w:rPr>
                    <w:t>4000</w:t>
                  </w:r>
                </w:p>
              </w:tc>
              <w:tc>
                <w:tcPr>
                  <w:tcW w:w="1340"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1.795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1.789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1.763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1.722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1.667 </w:t>
                  </w:r>
                </w:p>
              </w:tc>
              <w:tc>
                <w:tcPr>
                  <w:tcW w:w="1164" w:type="dxa"/>
                  <w:tcBorders>
                    <w:top w:val="single" w:color="auto" w:sz="4" w:space="0"/>
                    <w:left w:val="single" w:color="auto" w:sz="4" w:space="0"/>
                    <w:bottom w:val="single" w:color="auto" w:sz="4" w:space="0"/>
                    <w:right w:val="single" w:color="auto" w:sz="4" w:space="0"/>
                  </w:tcBorders>
                  <w:vAlign w:val="center"/>
                </w:tcPr>
                <w:p>
                  <w:pPr>
                    <w:pStyle w:val="109"/>
                    <w:rPr>
                      <w:color w:val="auto"/>
                    </w:rPr>
                  </w:pPr>
                  <w:r>
                    <w:rPr>
                      <w:color w:val="auto"/>
                    </w:rPr>
                    <w:t xml:space="preserve">1.600 </w:t>
                  </w:r>
                </w:p>
              </w:tc>
              <w:tc>
                <w:tcPr>
                  <w:tcW w:w="1164" w:type="dxa"/>
                  <w:tcBorders>
                    <w:top w:val="single" w:color="auto" w:sz="4" w:space="0"/>
                    <w:left w:val="single" w:color="auto" w:sz="4" w:space="0"/>
                    <w:bottom w:val="single" w:color="auto" w:sz="4" w:space="0"/>
                    <w:right w:val="single" w:color="auto" w:sz="12" w:space="0"/>
                  </w:tcBorders>
                  <w:vAlign w:val="center"/>
                </w:tcPr>
                <w:p>
                  <w:pPr>
                    <w:pStyle w:val="109"/>
                    <w:rPr>
                      <w:color w:val="auto"/>
                    </w:rPr>
                  </w:pPr>
                  <w:r>
                    <w:rPr>
                      <w:color w:val="auto"/>
                    </w:rPr>
                    <w:t xml:space="preserve">1.524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3" w:type="dxa"/>
                  <w:tcBorders>
                    <w:top w:val="single" w:color="auto" w:sz="4" w:space="0"/>
                    <w:left w:val="single" w:color="auto" w:sz="12" w:space="0"/>
                    <w:bottom w:val="single" w:color="auto" w:sz="12" w:space="0"/>
                    <w:right w:val="single" w:color="auto" w:sz="4" w:space="0"/>
                  </w:tcBorders>
                  <w:vAlign w:val="center"/>
                </w:tcPr>
                <w:p>
                  <w:pPr>
                    <w:pStyle w:val="109"/>
                    <w:rPr>
                      <w:color w:val="auto"/>
                    </w:rPr>
                  </w:pPr>
                  <w:r>
                    <w:rPr>
                      <w:color w:val="auto"/>
                    </w:rPr>
                    <w:t>5000</w:t>
                  </w:r>
                </w:p>
              </w:tc>
              <w:tc>
                <w:tcPr>
                  <w:tcW w:w="1340" w:type="dxa"/>
                  <w:tcBorders>
                    <w:top w:val="single" w:color="auto" w:sz="4" w:space="0"/>
                    <w:left w:val="single" w:color="auto" w:sz="4" w:space="0"/>
                    <w:bottom w:val="single" w:color="auto" w:sz="12" w:space="0"/>
                    <w:right w:val="single" w:color="auto" w:sz="4" w:space="0"/>
                  </w:tcBorders>
                  <w:vAlign w:val="center"/>
                </w:tcPr>
                <w:p>
                  <w:pPr>
                    <w:pStyle w:val="109"/>
                    <w:rPr>
                      <w:color w:val="auto"/>
                    </w:rPr>
                  </w:pPr>
                  <w:r>
                    <w:rPr>
                      <w:color w:val="auto"/>
                    </w:rPr>
                    <w:t xml:space="preserve">1.583 </w:t>
                  </w:r>
                </w:p>
              </w:tc>
              <w:tc>
                <w:tcPr>
                  <w:tcW w:w="1164" w:type="dxa"/>
                  <w:tcBorders>
                    <w:top w:val="single" w:color="auto" w:sz="4" w:space="0"/>
                    <w:left w:val="single" w:color="auto" w:sz="4" w:space="0"/>
                    <w:bottom w:val="single" w:color="auto" w:sz="12" w:space="0"/>
                    <w:right w:val="single" w:color="auto" w:sz="4" w:space="0"/>
                  </w:tcBorders>
                  <w:vAlign w:val="center"/>
                </w:tcPr>
                <w:p>
                  <w:pPr>
                    <w:pStyle w:val="109"/>
                    <w:rPr>
                      <w:color w:val="auto"/>
                    </w:rPr>
                  </w:pPr>
                  <w:r>
                    <w:rPr>
                      <w:color w:val="auto"/>
                    </w:rPr>
                    <w:t xml:space="preserve">1.579 </w:t>
                  </w:r>
                </w:p>
              </w:tc>
              <w:tc>
                <w:tcPr>
                  <w:tcW w:w="1164" w:type="dxa"/>
                  <w:tcBorders>
                    <w:top w:val="single" w:color="auto" w:sz="4" w:space="0"/>
                    <w:left w:val="single" w:color="auto" w:sz="4" w:space="0"/>
                    <w:bottom w:val="single" w:color="auto" w:sz="12" w:space="0"/>
                    <w:right w:val="single" w:color="auto" w:sz="4" w:space="0"/>
                  </w:tcBorders>
                  <w:vAlign w:val="center"/>
                </w:tcPr>
                <w:p>
                  <w:pPr>
                    <w:pStyle w:val="109"/>
                    <w:rPr>
                      <w:color w:val="auto"/>
                    </w:rPr>
                  </w:pPr>
                  <w:r>
                    <w:rPr>
                      <w:color w:val="auto"/>
                    </w:rPr>
                    <w:t xml:space="preserve">1.562 </w:t>
                  </w:r>
                </w:p>
              </w:tc>
              <w:tc>
                <w:tcPr>
                  <w:tcW w:w="1164" w:type="dxa"/>
                  <w:tcBorders>
                    <w:top w:val="single" w:color="auto" w:sz="4" w:space="0"/>
                    <w:left w:val="single" w:color="auto" w:sz="4" w:space="0"/>
                    <w:bottom w:val="single" w:color="auto" w:sz="12" w:space="0"/>
                    <w:right w:val="single" w:color="auto" w:sz="4" w:space="0"/>
                  </w:tcBorders>
                  <w:vAlign w:val="center"/>
                </w:tcPr>
                <w:p>
                  <w:pPr>
                    <w:pStyle w:val="109"/>
                    <w:rPr>
                      <w:color w:val="auto"/>
                    </w:rPr>
                  </w:pPr>
                  <w:r>
                    <w:rPr>
                      <w:color w:val="auto"/>
                    </w:rPr>
                    <w:t xml:space="preserve">1.535 </w:t>
                  </w:r>
                </w:p>
              </w:tc>
              <w:tc>
                <w:tcPr>
                  <w:tcW w:w="1164" w:type="dxa"/>
                  <w:tcBorders>
                    <w:top w:val="single" w:color="auto" w:sz="4" w:space="0"/>
                    <w:left w:val="single" w:color="auto" w:sz="4" w:space="0"/>
                    <w:bottom w:val="single" w:color="auto" w:sz="12" w:space="0"/>
                    <w:right w:val="single" w:color="auto" w:sz="4" w:space="0"/>
                  </w:tcBorders>
                  <w:vAlign w:val="center"/>
                </w:tcPr>
                <w:p>
                  <w:pPr>
                    <w:pStyle w:val="109"/>
                    <w:rPr>
                      <w:color w:val="auto"/>
                    </w:rPr>
                  </w:pPr>
                  <w:r>
                    <w:rPr>
                      <w:color w:val="auto"/>
                    </w:rPr>
                    <w:t xml:space="preserve">1.498 </w:t>
                  </w:r>
                </w:p>
              </w:tc>
              <w:tc>
                <w:tcPr>
                  <w:tcW w:w="1164" w:type="dxa"/>
                  <w:tcBorders>
                    <w:top w:val="single" w:color="auto" w:sz="4" w:space="0"/>
                    <w:left w:val="single" w:color="auto" w:sz="4" w:space="0"/>
                    <w:bottom w:val="single" w:color="auto" w:sz="12" w:space="0"/>
                    <w:right w:val="single" w:color="auto" w:sz="4" w:space="0"/>
                  </w:tcBorders>
                  <w:vAlign w:val="center"/>
                </w:tcPr>
                <w:p>
                  <w:pPr>
                    <w:pStyle w:val="109"/>
                    <w:rPr>
                      <w:color w:val="auto"/>
                    </w:rPr>
                  </w:pPr>
                  <w:r>
                    <w:rPr>
                      <w:color w:val="auto"/>
                    </w:rPr>
                    <w:t xml:space="preserve">1.453 </w:t>
                  </w:r>
                </w:p>
              </w:tc>
              <w:tc>
                <w:tcPr>
                  <w:tcW w:w="1164" w:type="dxa"/>
                  <w:tcBorders>
                    <w:top w:val="single" w:color="auto" w:sz="4" w:space="0"/>
                    <w:left w:val="single" w:color="auto" w:sz="4" w:space="0"/>
                    <w:bottom w:val="single" w:color="auto" w:sz="12" w:space="0"/>
                    <w:right w:val="single" w:color="auto" w:sz="12" w:space="0"/>
                  </w:tcBorders>
                  <w:vAlign w:val="center"/>
                </w:tcPr>
                <w:p>
                  <w:pPr>
                    <w:pStyle w:val="109"/>
                    <w:rPr>
                      <w:color w:val="auto"/>
                    </w:rPr>
                  </w:pPr>
                  <w:r>
                    <w:rPr>
                      <w:color w:val="auto"/>
                    </w:rPr>
                    <w:t xml:space="preserve">1.401 </w:t>
                  </w:r>
                </w:p>
              </w:tc>
            </w:tr>
          </w:tbl>
          <w:p>
            <w:pPr>
              <w:pStyle w:val="114"/>
              <w:rPr>
                <w:spacing w:val="8"/>
              </w:rPr>
            </w:pPr>
            <w:r>
              <w:rPr>
                <w:rFonts w:hint="eastAsia"/>
              </w:rPr>
              <w:t>潭榄溪执行《地表水环境质量标准》（</w:t>
            </w:r>
            <w:r>
              <w:t>GB3838-2002</w:t>
            </w:r>
            <w:r>
              <w:rPr>
                <w:rFonts w:hint="eastAsia"/>
              </w:rPr>
              <w:t>）Ⅲ类标准，本项目属于受纳水体环境质量不达标区。根据《环境影响评价技术导则</w:t>
            </w:r>
            <w:r>
              <w:t xml:space="preserve"> </w:t>
            </w:r>
            <w:r>
              <w:rPr>
                <w:rFonts w:hint="eastAsia"/>
              </w:rPr>
              <w:t>地表水环境》相关要求：“受纳水体环境质量不达标区的建设项目选择废水处理措施或多方案比选时，应满足区（流）域水环境质量限期达标规划和替代源的消减方案要求、区（流）环境质量改善目标要求及行业污染防治可行性技术指南中最佳可行性技术要求，确保废水污染物达到最低排放强度和排放浓度，环境影响可以接受。”根据海南省水污染防治行动计划实施工作领导小组办公室《关于印发《海南省</w:t>
            </w:r>
            <w:r>
              <w:t>2019</w:t>
            </w:r>
            <w:r>
              <w:rPr>
                <w:rFonts w:hint="eastAsia"/>
              </w:rPr>
              <w:t>年度水污染防治工作计划》的函》（琼环函</w:t>
            </w:r>
            <w:r>
              <w:t>[2019]148</w:t>
            </w:r>
            <w:r>
              <w:rPr>
                <w:rFonts w:hint="eastAsia"/>
              </w:rPr>
              <w:t>号）中附件</w:t>
            </w:r>
            <w:r>
              <w:t>2</w:t>
            </w:r>
            <w:r>
              <w:rPr>
                <w:rFonts w:hint="eastAsia"/>
              </w:rPr>
              <w:t>“各市县污染水体治理进展情况调度表”中相关内容：定安县潭榄溪潭榄桥断面水质目标为为Ⅴ类；根据定安县人民政府办公室《关于印发定安县污染水体治理三年行动实施方案（</w:t>
            </w:r>
            <w:r>
              <w:t>2018—2020</w:t>
            </w:r>
            <w:r>
              <w:rPr>
                <w:rFonts w:hint="eastAsia"/>
              </w:rPr>
              <w:t>年）的通知》（定府办</w:t>
            </w:r>
            <w:r>
              <w:t>[2018]85</w:t>
            </w:r>
            <w:r>
              <w:rPr>
                <w:rFonts w:hint="eastAsia"/>
              </w:rPr>
              <w:t>号）中相关内容：潭榄溪潭榄桥断面力争提升水质目标为Ⅳ类，完成时间为</w:t>
            </w:r>
            <w:r>
              <w:t>2020</w:t>
            </w:r>
            <w:r>
              <w:rPr>
                <w:rFonts w:hint="eastAsia"/>
              </w:rPr>
              <w:t>年。综上所述，本次评价潭榄溪水质按定安县潭榄溪潭榄桥断面环境质量改善目标要求Ⅳ类标准进行结果分析。</w:t>
            </w:r>
          </w:p>
          <w:p>
            <w:pPr>
              <w:pStyle w:val="114"/>
            </w:pPr>
            <w:r>
              <w:rPr>
                <w:rFonts w:hint="eastAsia"/>
              </w:rPr>
              <w:t>根据以上预测结果：正常情况下，污水处理厂排放口下游形成</w:t>
            </w:r>
            <w:r>
              <w:t xml:space="preserve">COD </w:t>
            </w:r>
            <w:r>
              <w:rPr>
                <w:rFonts w:hint="eastAsia"/>
              </w:rPr>
              <w:t>和</w:t>
            </w:r>
            <w:r>
              <w:t>NH</w:t>
            </w:r>
            <w:r>
              <w:rPr>
                <w:vertAlign w:val="subscript"/>
              </w:rPr>
              <w:t>3</w:t>
            </w:r>
            <w:r>
              <w:t>-N</w:t>
            </w:r>
            <w:r>
              <w:rPr>
                <w:rFonts w:hint="eastAsia"/>
              </w:rPr>
              <w:t>污染带，</w:t>
            </w:r>
            <w:r>
              <w:t xml:space="preserve">COD </w:t>
            </w:r>
            <w:r>
              <w:rPr>
                <w:rFonts w:hint="eastAsia"/>
              </w:rPr>
              <w:t>在汇合断面下游</w:t>
            </w:r>
            <w:r>
              <w:t xml:space="preserve">460m </w:t>
            </w:r>
            <w:r>
              <w:rPr>
                <w:rFonts w:hint="eastAsia"/>
              </w:rPr>
              <w:t>处可满足《地表水环境质量标准》（</w:t>
            </w:r>
            <w:r>
              <w:t>GB3838-2002</w:t>
            </w:r>
            <w:r>
              <w:rPr>
                <w:rFonts w:hint="eastAsia"/>
              </w:rPr>
              <w:t>）Ⅳ类标准要求，</w:t>
            </w:r>
            <w:r>
              <w:t>NH</w:t>
            </w:r>
            <w:r>
              <w:rPr>
                <w:vertAlign w:val="subscript"/>
              </w:rPr>
              <w:t>3</w:t>
            </w:r>
            <w:r>
              <w:t>-N</w:t>
            </w:r>
            <w:r>
              <w:rPr>
                <w:rFonts w:hint="eastAsia"/>
              </w:rPr>
              <w:t>在汇合断面下游</w:t>
            </w:r>
            <w:r>
              <w:t xml:space="preserve">512m </w:t>
            </w:r>
            <w:r>
              <w:rPr>
                <w:rFonts w:hint="eastAsia"/>
              </w:rPr>
              <w:t>处可满足《地表水环境质量标准》（</w:t>
            </w:r>
            <w:r>
              <w:t>GB3838-2002</w:t>
            </w:r>
            <w:r>
              <w:rPr>
                <w:rFonts w:hint="eastAsia"/>
              </w:rPr>
              <w:t>）Ⅳ类标准要求；非正常情况下，污水处理厂排放口下游</w:t>
            </w:r>
            <w:r>
              <w:t xml:space="preserve">COD </w:t>
            </w:r>
            <w:r>
              <w:rPr>
                <w:rFonts w:hint="eastAsia"/>
              </w:rPr>
              <w:t>和</w:t>
            </w:r>
            <w:r>
              <w:t>NH</w:t>
            </w:r>
            <w:r>
              <w:rPr>
                <w:vertAlign w:val="subscript"/>
              </w:rPr>
              <w:t>3</w:t>
            </w:r>
            <w:r>
              <w:t>-N</w:t>
            </w:r>
            <w:r>
              <w:rPr>
                <w:rFonts w:hint="eastAsia"/>
              </w:rPr>
              <w:t>污染带范围扩大，</w:t>
            </w:r>
            <w:r>
              <w:t xml:space="preserve">COD </w:t>
            </w:r>
            <w:r>
              <w:rPr>
                <w:rFonts w:hint="eastAsia"/>
              </w:rPr>
              <w:t>及</w:t>
            </w:r>
            <w:r>
              <w:t>NH</w:t>
            </w:r>
            <w:r>
              <w:rPr>
                <w:vertAlign w:val="subscript"/>
              </w:rPr>
              <w:t>3</w:t>
            </w:r>
            <w:r>
              <w:t>-N</w:t>
            </w:r>
            <w:r>
              <w:rPr>
                <w:rFonts w:hint="eastAsia"/>
              </w:rPr>
              <w:t>在汇合断面下游</w:t>
            </w:r>
            <w:r>
              <w:t xml:space="preserve">5000m </w:t>
            </w:r>
            <w:r>
              <w:rPr>
                <w:rFonts w:hint="eastAsia"/>
              </w:rPr>
              <w:t>处仍然不能满足《地表水环境质量标准》（</w:t>
            </w:r>
            <w:r>
              <w:t>GB3838-2002</w:t>
            </w:r>
            <w:r>
              <w:rPr>
                <w:rFonts w:hint="eastAsia"/>
              </w:rPr>
              <w:t>）Ⅳ类标准要求。</w:t>
            </w:r>
          </w:p>
          <w:p>
            <w:pPr>
              <w:pStyle w:val="114"/>
            </w:pPr>
            <w:r>
              <w:rPr>
                <w:rFonts w:hint="eastAsia"/>
              </w:rPr>
              <w:t>综上所述，项目正常排放情况下，项目尾水对潭榄溪水质影响可接受；非正常排放下对潭揽溪的水质影响较大。故项目建设单位须加强污水处理设施的维修和保养，明确操作规程，加强监督管理，配备专业的技术人员进行管理，保证污水处理厂的正常运行，应杜绝非正常排放的发生。</w:t>
            </w:r>
          </w:p>
          <w:p>
            <w:pPr>
              <w:pStyle w:val="114"/>
            </w:pPr>
            <w:r>
              <w:rPr>
                <w:rFonts w:hint="eastAsia"/>
              </w:rPr>
              <w:t>因此本次评价要求运营单位在原有的基础措施的基础上，加强和增设以下防范措施，防止事故发生，确保污水在规定的排污口稳定达标排放：</w:t>
            </w:r>
          </w:p>
          <w:p>
            <w:pPr>
              <w:pStyle w:val="114"/>
            </w:pPr>
            <w:r>
              <w:rPr>
                <w:rFonts w:hint="eastAsia"/>
              </w:rPr>
              <w:t>（</w:t>
            </w:r>
            <w:r>
              <w:t>1</w:t>
            </w:r>
            <w:r>
              <w:rPr>
                <w:rFonts w:hint="eastAsia"/>
              </w:rPr>
              <w:t>）项目加强对进水水质自动监控系统使用与维护，及时掌握污水处理设施的运行情况，一旦出现水质超标现象，应立即采取应急措施，确保污水处理系统的稳定运行，杜绝事故排放。</w:t>
            </w:r>
          </w:p>
          <w:p>
            <w:pPr>
              <w:pStyle w:val="114"/>
            </w:pPr>
            <w:r>
              <w:rPr>
                <w:rFonts w:hint="eastAsia"/>
              </w:rPr>
              <w:t>（</w:t>
            </w:r>
            <w:r>
              <w:t>2</w:t>
            </w:r>
            <w:r>
              <w:rPr>
                <w:rFonts w:hint="eastAsia"/>
              </w:rPr>
              <w:t>）主要设备均配置备用设备，工作人员加强对污水处理装置进行检查和维修，使其始终处于正常工作状态。避免出现故障和进行检修时造成的非正常排放；若污水处理厂确实需要大规模检修设备，应提前做好计划。</w:t>
            </w:r>
          </w:p>
          <w:p>
            <w:pPr>
              <w:pStyle w:val="114"/>
            </w:pPr>
            <w:r>
              <w:rPr>
                <w:rFonts w:hint="eastAsia"/>
              </w:rPr>
              <w:t>（</w:t>
            </w:r>
            <w:r>
              <w:t>3</w:t>
            </w:r>
            <w:r>
              <w:rPr>
                <w:rFonts w:hint="eastAsia"/>
              </w:rPr>
              <w:t>）加强进水水质管理和控制，维护和保持好生物菌类的生活环境。</w:t>
            </w:r>
          </w:p>
          <w:p>
            <w:pPr>
              <w:pStyle w:val="114"/>
            </w:pPr>
            <w:r>
              <w:rPr>
                <w:rFonts w:hint="eastAsia"/>
              </w:rPr>
              <w:t>（</w:t>
            </w:r>
            <w:r>
              <w:t>4</w:t>
            </w:r>
            <w:r>
              <w:rPr>
                <w:rFonts w:hint="eastAsia"/>
              </w:rPr>
              <w:t>）加强厂区清污分流系统的畅通维护检测，厂内污水收集系统</w:t>
            </w:r>
            <w:r>
              <w:t>(</w:t>
            </w:r>
            <w:r>
              <w:rPr>
                <w:rFonts w:hint="eastAsia"/>
              </w:rPr>
              <w:t>包括污水管网、厂内泵站等</w:t>
            </w:r>
            <w:r>
              <w:t>)</w:t>
            </w:r>
            <w:r>
              <w:rPr>
                <w:rFonts w:hint="eastAsia"/>
              </w:rPr>
              <w:t>，保持整个厂区洁净，杜绝污水外溢现象。。</w:t>
            </w:r>
          </w:p>
          <w:p>
            <w:pPr>
              <w:pStyle w:val="114"/>
            </w:pPr>
            <w:r>
              <w:rPr>
                <w:rFonts w:hint="eastAsia"/>
              </w:rPr>
              <w:t>（</w:t>
            </w:r>
            <w:r>
              <w:t>5</w:t>
            </w:r>
            <w:r>
              <w:rPr>
                <w:rFonts w:hint="eastAsia"/>
              </w:rPr>
              <w:t>）严格规范化操作，污水处理厂要制定污水处理装置操作管理规程、岗位责任制、奖惩条例等规章制度，对污水处理厂实现规范化、制度化管理。加强员工的岗位操作技能、技术和安全知识培训，加强污水处理厂内部管理。制定应急处置措施，做好员工宣传和培训工作。操作人员严格执行操作管理规程，最大限度控制由于操作失误造成的废水事故发生。</w:t>
            </w:r>
          </w:p>
          <w:p>
            <w:pPr>
              <w:pStyle w:val="114"/>
            </w:pPr>
            <w:r>
              <w:rPr>
                <w:rFonts w:hint="eastAsia"/>
              </w:rPr>
              <w:t>（</w:t>
            </w:r>
            <w:r>
              <w:t>6</w:t>
            </w:r>
            <w:r>
              <w:rPr>
                <w:rFonts w:hint="eastAsia"/>
              </w:rPr>
              <w:t>）加快完善区域污水管网建设，保证按规划要求收集污水量，形成正常的污水处理量。同时制定详细方案，严格控制来水水质，各污水源应确保在预处理达到本厂设计进水水质要求，方可排入污水管网。</w:t>
            </w:r>
          </w:p>
          <w:p>
            <w:pPr>
              <w:pStyle w:val="114"/>
            </w:pPr>
            <w:r>
              <w:rPr>
                <w:rFonts w:hint="eastAsia"/>
              </w:rPr>
              <w:t>（</w:t>
            </w:r>
            <w:r>
              <w:t>7</w:t>
            </w:r>
            <w:r>
              <w:rPr>
                <w:rFonts w:hint="eastAsia"/>
              </w:rPr>
              <w:t>）总进、出口处设置检测井，严密监视进、出水水质。</w:t>
            </w:r>
          </w:p>
          <w:p>
            <w:pPr>
              <w:pStyle w:val="114"/>
            </w:pPr>
            <w:r>
              <w:rPr>
                <w:rFonts w:hint="eastAsia"/>
              </w:rPr>
              <w:t>（</w:t>
            </w:r>
            <w:r>
              <w:t>8</w:t>
            </w:r>
            <w:r>
              <w:rPr>
                <w:rFonts w:hint="eastAsia"/>
              </w:rPr>
              <w:t>）做好项目的防渗防漏措施，避免发生泄漏事故。</w:t>
            </w:r>
          </w:p>
          <w:p>
            <w:pPr>
              <w:pStyle w:val="114"/>
            </w:pPr>
            <w:r>
              <w:rPr>
                <w:rFonts w:hint="eastAsia"/>
              </w:rPr>
              <w:t>（</w:t>
            </w:r>
            <w:r>
              <w:t>9</w:t>
            </w:r>
            <w:r>
              <w:rPr>
                <w:rFonts w:hint="eastAsia"/>
              </w:rPr>
              <w:t>）加强对污水处理设施的运行管理和维护，定期检测、维修，及时更换腐蚀受损设备，同时对尾水排放设施定期巡视、检测、维护，发现不正常现象，应立即采取预防、修复措施。</w:t>
            </w:r>
          </w:p>
          <w:p>
            <w:pPr>
              <w:pStyle w:val="114"/>
            </w:pPr>
            <w:r>
              <w:rPr>
                <w:rFonts w:hint="eastAsia"/>
              </w:rPr>
              <w:t>项目尾水排放口下游不涉及饮用水水源保护区，且根据上述尾水排放情况预测，在事故排放的情况下，排污口下游</w:t>
            </w:r>
            <w:r>
              <w:t>COD</w:t>
            </w:r>
            <w:r>
              <w:rPr>
                <w:rFonts w:hint="eastAsia"/>
              </w:rPr>
              <w:t>、</w:t>
            </w:r>
            <w:r>
              <w:t>NH</w:t>
            </w:r>
            <w:r>
              <w:rPr>
                <w:vertAlign w:val="subscript"/>
              </w:rPr>
              <w:t>3</w:t>
            </w:r>
            <w:r>
              <w:t>-N</w:t>
            </w:r>
            <w:r>
              <w:rPr>
                <w:rFonts w:hint="eastAsia"/>
              </w:rPr>
              <w:t>浓度均超出《地表水环境质量标准》（</w:t>
            </w:r>
            <w:r>
              <w:t>GB3838-2002</w:t>
            </w:r>
            <w:r>
              <w:rPr>
                <w:rFonts w:hint="eastAsia"/>
              </w:rPr>
              <w:t>）Ⅳ类标准要求，事故情况会对潭榄溪水质造成污染。因此，项目在加强上述的污染防治措施以及应急措施，减轻对下游河流的影响，将污染事故控制在可控范围内。</w:t>
            </w:r>
          </w:p>
          <w:p>
            <w:pPr>
              <w:autoSpaceDE w:val="0"/>
              <w:autoSpaceDN w:val="0"/>
              <w:adjustRightInd w:val="0"/>
              <w:snapToGrid w:val="0"/>
              <w:spacing w:line="360" w:lineRule="auto"/>
              <w:jc w:val="left"/>
              <w:rPr>
                <w:rFonts w:ascii="Times New Roman" w:hAnsi="Times New Roman"/>
                <w:b/>
                <w:bCs/>
                <w:sz w:val="24"/>
                <w:szCs w:val="24"/>
              </w:rPr>
            </w:pPr>
            <w:r>
              <w:rPr>
                <w:rFonts w:hint="eastAsia" w:ascii="Times New Roman" w:hAnsi="Times New Roman"/>
                <w:b/>
                <w:bCs/>
                <w:sz w:val="24"/>
                <w:szCs w:val="24"/>
              </w:rPr>
              <w:t>三、地下水环境影响分析</w:t>
            </w:r>
          </w:p>
          <w:p>
            <w:pPr>
              <w:spacing w:line="360" w:lineRule="auto"/>
              <w:ind w:firstLine="482" w:firstLineChars="200"/>
              <w:outlineLvl w:val="1"/>
              <w:rPr>
                <w:rFonts w:ascii="宋体"/>
                <w:b/>
                <w:bCs/>
                <w:sz w:val="24"/>
                <w:szCs w:val="24"/>
              </w:rPr>
            </w:pPr>
            <w:r>
              <w:rPr>
                <w:rFonts w:ascii="宋体" w:hAnsi="宋体"/>
                <w:b/>
                <w:bCs/>
                <w:sz w:val="24"/>
                <w:szCs w:val="24"/>
              </w:rPr>
              <w:t>1</w:t>
            </w:r>
            <w:r>
              <w:rPr>
                <w:rFonts w:hint="eastAsia" w:ascii="宋体" w:hAnsi="宋体"/>
                <w:b/>
                <w:bCs/>
                <w:sz w:val="24"/>
                <w:szCs w:val="24"/>
              </w:rPr>
              <w:t>评价工作等级</w:t>
            </w:r>
          </w:p>
          <w:p>
            <w:pPr>
              <w:pStyle w:val="137"/>
              <w:spacing w:line="360" w:lineRule="auto"/>
              <w:ind w:firstLine="480"/>
              <w:rPr>
                <w:rFonts w:ascii="Times New Roman" w:hAnsi="Times New Roman"/>
                <w:color w:val="000000"/>
              </w:rPr>
            </w:pPr>
            <w:bookmarkStart w:id="38" w:name="_Hlk11219866"/>
            <w:r>
              <w:rPr>
                <w:rFonts w:ascii="Times New Roman" w:hAnsi="Times New Roman"/>
                <w:color w:val="000000"/>
              </w:rPr>
              <w:t>根据《环境影响评价技术导则 地下水环境》（HJ610-2016），建设项目地下水评价等级根据其行业分类和地下水环境敏感程度判定。</w:t>
            </w:r>
          </w:p>
          <w:p>
            <w:pPr>
              <w:spacing w:line="360" w:lineRule="auto"/>
              <w:ind w:firstLine="480" w:firstLineChars="200"/>
              <w:rPr>
                <w:rFonts w:ascii="Times New Roman" w:hAnsi="Times New Roman"/>
                <w:color w:val="000000"/>
                <w:sz w:val="24"/>
                <w:szCs w:val="20"/>
              </w:rPr>
            </w:pPr>
            <w:r>
              <w:rPr>
                <w:rFonts w:ascii="Times New Roman" w:hAnsi="Times New Roman"/>
                <w:color w:val="000000"/>
                <w:sz w:val="24"/>
                <w:szCs w:val="20"/>
              </w:rPr>
              <w:fldChar w:fldCharType="begin"/>
            </w:r>
            <w:r>
              <w:rPr>
                <w:rFonts w:ascii="Times New Roman" w:hAnsi="Times New Roman"/>
                <w:color w:val="000000"/>
                <w:sz w:val="24"/>
                <w:szCs w:val="20"/>
              </w:rPr>
              <w:instrText xml:space="preserve"> = 1 \* GB3 </w:instrText>
            </w:r>
            <w:r>
              <w:rPr>
                <w:rFonts w:ascii="Times New Roman" w:hAnsi="Times New Roman"/>
                <w:color w:val="000000"/>
                <w:sz w:val="24"/>
                <w:szCs w:val="20"/>
              </w:rPr>
              <w:fldChar w:fldCharType="separate"/>
            </w:r>
            <w:r>
              <w:rPr>
                <w:rFonts w:hint="eastAsia" w:ascii="宋体" w:hAnsi="宋体" w:cs="宋体"/>
                <w:color w:val="000000"/>
                <w:sz w:val="24"/>
                <w:szCs w:val="20"/>
              </w:rPr>
              <w:t>①</w:t>
            </w:r>
            <w:r>
              <w:rPr>
                <w:rFonts w:ascii="Times New Roman" w:hAnsi="Times New Roman"/>
                <w:color w:val="000000"/>
                <w:sz w:val="24"/>
                <w:szCs w:val="20"/>
              </w:rPr>
              <w:fldChar w:fldCharType="end"/>
            </w:r>
            <w:r>
              <w:rPr>
                <w:rFonts w:ascii="Times New Roman" w:hAnsi="Times New Roman"/>
                <w:color w:val="000000"/>
                <w:sz w:val="24"/>
                <w:szCs w:val="20"/>
              </w:rPr>
              <w:t>行业类别</w:t>
            </w:r>
          </w:p>
          <w:p>
            <w:pPr>
              <w:spacing w:line="360" w:lineRule="auto"/>
              <w:ind w:firstLine="480" w:firstLineChars="200"/>
              <w:rPr>
                <w:rFonts w:ascii="Times New Roman" w:hAnsi="Times New Roman"/>
                <w:color w:val="000000"/>
                <w:sz w:val="24"/>
                <w:szCs w:val="20"/>
              </w:rPr>
            </w:pPr>
            <w:r>
              <w:rPr>
                <w:rFonts w:ascii="Times New Roman" w:hAnsi="Times New Roman"/>
                <w:color w:val="000000"/>
                <w:sz w:val="24"/>
                <w:szCs w:val="20"/>
              </w:rPr>
              <w:t>建设项目内容主要为生活污水集中处理，且日处理10万吨以下。根据《环境影响评价技术导则</w:t>
            </w:r>
            <w:r>
              <w:rPr>
                <w:rFonts w:hint="eastAsia" w:ascii="Times New Roman" w:hAnsi="Times New Roman"/>
                <w:color w:val="000000"/>
                <w:sz w:val="24"/>
                <w:szCs w:val="20"/>
              </w:rPr>
              <w:t xml:space="preserve"> </w:t>
            </w:r>
            <w:r>
              <w:rPr>
                <w:rFonts w:ascii="Times New Roman" w:hAnsi="Times New Roman"/>
                <w:color w:val="000000"/>
                <w:sz w:val="24"/>
                <w:szCs w:val="20"/>
              </w:rPr>
              <w:t>地下水环境》（HJ610-2016）附录A，生活污水集中处理，且日处理10万吨以下项目应为</w:t>
            </w:r>
            <w:r>
              <w:rPr>
                <w:rFonts w:ascii="Times New Roman" w:hAnsi="Times New Roman"/>
                <w:color w:val="000000"/>
                <w:sz w:val="24"/>
                <w:szCs w:val="20"/>
              </w:rPr>
              <w:fldChar w:fldCharType="begin"/>
            </w:r>
            <w:r>
              <w:rPr>
                <w:rFonts w:ascii="Times New Roman" w:hAnsi="Times New Roman"/>
                <w:color w:val="000000"/>
                <w:sz w:val="24"/>
                <w:szCs w:val="20"/>
              </w:rPr>
              <w:instrText xml:space="preserve"> = 3 \* ROMAN </w:instrText>
            </w:r>
            <w:r>
              <w:rPr>
                <w:rFonts w:ascii="Times New Roman" w:hAnsi="Times New Roman"/>
                <w:color w:val="000000"/>
                <w:sz w:val="24"/>
                <w:szCs w:val="20"/>
              </w:rPr>
              <w:fldChar w:fldCharType="separate"/>
            </w:r>
            <w:r>
              <w:rPr>
                <w:rFonts w:ascii="Times New Roman" w:hAnsi="Times New Roman"/>
                <w:color w:val="000000"/>
                <w:sz w:val="24"/>
                <w:szCs w:val="20"/>
              </w:rPr>
              <w:t>III</w:t>
            </w:r>
            <w:r>
              <w:rPr>
                <w:rFonts w:ascii="Times New Roman" w:hAnsi="Times New Roman"/>
                <w:color w:val="000000"/>
                <w:sz w:val="24"/>
                <w:szCs w:val="20"/>
              </w:rPr>
              <w:fldChar w:fldCharType="end"/>
            </w:r>
            <w:r>
              <w:rPr>
                <w:rFonts w:ascii="Times New Roman" w:hAnsi="Times New Roman"/>
                <w:color w:val="000000"/>
                <w:sz w:val="24"/>
                <w:szCs w:val="20"/>
              </w:rPr>
              <w:t>类项目。因此本项目行业分类为</w:t>
            </w:r>
            <w:bookmarkStart w:id="39" w:name="_Hlk13165728"/>
            <w:r>
              <w:rPr>
                <w:rFonts w:ascii="Times New Roman" w:hAnsi="Times New Roman"/>
                <w:color w:val="000000"/>
                <w:sz w:val="24"/>
                <w:szCs w:val="20"/>
              </w:rPr>
              <w:fldChar w:fldCharType="begin"/>
            </w:r>
            <w:r>
              <w:rPr>
                <w:rFonts w:ascii="Times New Roman" w:hAnsi="Times New Roman"/>
                <w:color w:val="000000"/>
                <w:sz w:val="24"/>
                <w:szCs w:val="20"/>
              </w:rPr>
              <w:instrText xml:space="preserve"> = 3 \* ROMAN </w:instrText>
            </w:r>
            <w:r>
              <w:rPr>
                <w:rFonts w:ascii="Times New Roman" w:hAnsi="Times New Roman"/>
                <w:color w:val="000000"/>
                <w:sz w:val="24"/>
                <w:szCs w:val="20"/>
              </w:rPr>
              <w:fldChar w:fldCharType="separate"/>
            </w:r>
            <w:r>
              <w:rPr>
                <w:rFonts w:ascii="Times New Roman" w:hAnsi="Times New Roman"/>
                <w:color w:val="000000"/>
                <w:sz w:val="24"/>
                <w:szCs w:val="20"/>
              </w:rPr>
              <w:t>III</w:t>
            </w:r>
            <w:r>
              <w:rPr>
                <w:rFonts w:ascii="Times New Roman" w:hAnsi="Times New Roman"/>
                <w:color w:val="000000"/>
                <w:sz w:val="24"/>
                <w:szCs w:val="20"/>
              </w:rPr>
              <w:fldChar w:fldCharType="end"/>
            </w:r>
            <w:bookmarkEnd w:id="39"/>
            <w:r>
              <w:rPr>
                <w:rFonts w:ascii="Times New Roman" w:hAnsi="Times New Roman"/>
                <w:color w:val="000000"/>
                <w:sz w:val="24"/>
                <w:szCs w:val="20"/>
              </w:rPr>
              <w:t>类项目。</w:t>
            </w:r>
          </w:p>
          <w:p>
            <w:pPr>
              <w:spacing w:line="360" w:lineRule="auto"/>
              <w:ind w:firstLine="480" w:firstLineChars="200"/>
              <w:rPr>
                <w:rFonts w:ascii="宋体" w:hAnsi="宋体"/>
                <w:color w:val="000000"/>
                <w:sz w:val="24"/>
                <w:szCs w:val="20"/>
              </w:rPr>
            </w:pPr>
            <w:r>
              <w:rPr>
                <w:rFonts w:ascii="宋体" w:hAnsi="宋体"/>
                <w:color w:val="000000"/>
                <w:sz w:val="24"/>
                <w:szCs w:val="20"/>
              </w:rPr>
              <w:fldChar w:fldCharType="begin"/>
            </w:r>
            <w:r>
              <w:rPr>
                <w:rFonts w:ascii="宋体" w:hAnsi="宋体"/>
                <w:color w:val="000000"/>
                <w:sz w:val="24"/>
                <w:szCs w:val="20"/>
              </w:rPr>
              <w:instrText xml:space="preserve"> </w:instrText>
            </w:r>
            <w:r>
              <w:rPr>
                <w:rFonts w:hint="eastAsia" w:ascii="宋体" w:hAnsi="宋体"/>
                <w:color w:val="000000"/>
                <w:sz w:val="24"/>
                <w:szCs w:val="20"/>
              </w:rPr>
              <w:instrText xml:space="preserve">= 2 \* GB3</w:instrText>
            </w:r>
            <w:r>
              <w:rPr>
                <w:rFonts w:ascii="宋体" w:hAnsi="宋体"/>
                <w:color w:val="000000"/>
                <w:sz w:val="24"/>
                <w:szCs w:val="20"/>
              </w:rPr>
              <w:instrText xml:space="preserve"> </w:instrText>
            </w:r>
            <w:r>
              <w:rPr>
                <w:rFonts w:ascii="宋体" w:hAnsi="宋体"/>
                <w:color w:val="000000"/>
                <w:sz w:val="24"/>
                <w:szCs w:val="20"/>
              </w:rPr>
              <w:fldChar w:fldCharType="separate"/>
            </w:r>
            <w:r>
              <w:rPr>
                <w:rFonts w:hint="eastAsia" w:ascii="宋体" w:hAnsi="宋体"/>
                <w:color w:val="000000"/>
                <w:sz w:val="24"/>
                <w:szCs w:val="20"/>
              </w:rPr>
              <w:t>②</w:t>
            </w:r>
            <w:r>
              <w:rPr>
                <w:rFonts w:ascii="宋体" w:hAnsi="宋体"/>
                <w:color w:val="000000"/>
                <w:sz w:val="24"/>
                <w:szCs w:val="20"/>
              </w:rPr>
              <w:fldChar w:fldCharType="end"/>
            </w:r>
            <w:r>
              <w:rPr>
                <w:rFonts w:hint="eastAsia" w:ascii="宋体" w:hAnsi="宋体"/>
                <w:color w:val="000000"/>
                <w:sz w:val="24"/>
                <w:szCs w:val="20"/>
              </w:rPr>
              <w:t>地下水环境敏感程度</w:t>
            </w:r>
          </w:p>
          <w:p>
            <w:pPr>
              <w:spacing w:line="360" w:lineRule="auto"/>
              <w:ind w:firstLine="480" w:firstLineChars="200"/>
              <w:rPr>
                <w:rFonts w:ascii="宋体" w:hAnsi="宋体"/>
                <w:color w:val="000000"/>
                <w:sz w:val="24"/>
                <w:szCs w:val="20"/>
              </w:rPr>
            </w:pPr>
            <w:r>
              <w:rPr>
                <w:rFonts w:hint="eastAsia" w:ascii="宋体" w:hAnsi="宋体"/>
                <w:color w:val="000000"/>
                <w:sz w:val="24"/>
                <w:szCs w:val="20"/>
              </w:rPr>
              <w:t>建设项目的地下水环境敏感程度可分为敏感、较敏感、不敏感三级，分级原则详见表</w:t>
            </w:r>
            <w:r>
              <w:rPr>
                <w:rFonts w:ascii="宋体" w:hAnsi="宋体"/>
                <w:color w:val="000000"/>
                <w:sz w:val="24"/>
                <w:szCs w:val="20"/>
              </w:rPr>
              <w:t>6-18</w:t>
            </w:r>
            <w:r>
              <w:rPr>
                <w:rFonts w:hint="eastAsia" w:ascii="宋体" w:hAnsi="宋体"/>
                <w:color w:val="000000"/>
                <w:sz w:val="24"/>
                <w:szCs w:val="20"/>
              </w:rPr>
              <w:t>。</w:t>
            </w:r>
          </w:p>
          <w:bookmarkEnd w:id="38"/>
          <w:p>
            <w:pPr>
              <w:pStyle w:val="111"/>
            </w:pPr>
            <w:r>
              <w:rPr>
                <w:rFonts w:hint="eastAsia"/>
              </w:rPr>
              <w:t>表</w:t>
            </w:r>
            <w:r>
              <w:t>6-18</w:t>
            </w:r>
            <w:r>
              <w:rPr>
                <w:rFonts w:hint="eastAsia"/>
              </w:rPr>
              <w:t>地下水敏感程度分级表</w:t>
            </w:r>
          </w:p>
          <w:tbl>
            <w:tblPr>
              <w:tblStyle w:val="37"/>
              <w:tblW w:w="9395"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079"/>
              <w:gridCol w:w="831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92" w:hRule="atLeast"/>
                <w:jc w:val="center"/>
              </w:trPr>
              <w:tc>
                <w:tcPr>
                  <w:tcW w:w="1079" w:type="dxa"/>
                  <w:tcBorders>
                    <w:top w:val="single" w:color="auto" w:sz="12" w:space="0"/>
                    <w:left w:val="single" w:color="auto" w:sz="12" w:space="0"/>
                    <w:bottom w:val="double" w:color="auto" w:sz="4" w:space="0"/>
                    <w:right w:val="single" w:color="auto" w:sz="2" w:space="0"/>
                  </w:tcBorders>
                  <w:vAlign w:val="center"/>
                </w:tcPr>
                <w:p>
                  <w:pPr>
                    <w:pStyle w:val="77"/>
                    <w:rPr>
                      <w:b/>
                      <w:bCs/>
                    </w:rPr>
                  </w:pPr>
                  <w:r>
                    <w:rPr>
                      <w:rFonts w:hint="eastAsia"/>
                      <w:b/>
                      <w:bCs/>
                    </w:rPr>
                    <w:t>分级</w:t>
                  </w:r>
                </w:p>
              </w:tc>
              <w:tc>
                <w:tcPr>
                  <w:tcW w:w="8316" w:type="dxa"/>
                  <w:tcBorders>
                    <w:top w:val="single" w:color="auto" w:sz="12" w:space="0"/>
                    <w:left w:val="single" w:color="auto" w:sz="2" w:space="0"/>
                    <w:bottom w:val="double" w:color="auto" w:sz="4" w:space="0"/>
                    <w:right w:val="single" w:color="auto" w:sz="12" w:space="0"/>
                  </w:tcBorders>
                  <w:vAlign w:val="center"/>
                </w:tcPr>
                <w:p>
                  <w:pPr>
                    <w:pStyle w:val="77"/>
                    <w:rPr>
                      <w:b/>
                      <w:bCs/>
                    </w:rPr>
                  </w:pPr>
                  <w:r>
                    <w:rPr>
                      <w:rFonts w:hint="eastAsia"/>
                      <w:b/>
                      <w:bCs/>
                    </w:rPr>
                    <w:t>项目场地的地下水环境敏感程度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10" w:hRule="atLeast"/>
                <w:jc w:val="center"/>
              </w:trPr>
              <w:tc>
                <w:tcPr>
                  <w:tcW w:w="1079" w:type="dxa"/>
                  <w:tcBorders>
                    <w:top w:val="double" w:color="auto" w:sz="4" w:space="0"/>
                    <w:left w:val="single" w:color="auto" w:sz="12" w:space="0"/>
                    <w:bottom w:val="single" w:color="auto" w:sz="2" w:space="0"/>
                    <w:right w:val="single" w:color="auto" w:sz="2" w:space="0"/>
                  </w:tcBorders>
                  <w:vAlign w:val="center"/>
                </w:tcPr>
                <w:p>
                  <w:pPr>
                    <w:jc w:val="center"/>
                    <w:rPr>
                      <w:rFonts w:ascii="宋体"/>
                      <w:kern w:val="0"/>
                      <w:szCs w:val="21"/>
                    </w:rPr>
                  </w:pPr>
                  <w:r>
                    <w:rPr>
                      <w:rFonts w:hint="eastAsia" w:ascii="宋体" w:hAnsi="宋体"/>
                      <w:kern w:val="0"/>
                      <w:szCs w:val="21"/>
                    </w:rPr>
                    <w:t>敏感</w:t>
                  </w:r>
                </w:p>
              </w:tc>
              <w:tc>
                <w:tcPr>
                  <w:tcW w:w="8316" w:type="dxa"/>
                  <w:tcBorders>
                    <w:top w:val="double" w:color="auto" w:sz="4" w:space="0"/>
                    <w:left w:val="single" w:color="auto" w:sz="2" w:space="0"/>
                    <w:bottom w:val="single" w:color="auto" w:sz="2" w:space="0"/>
                    <w:right w:val="single" w:color="auto" w:sz="12" w:space="0"/>
                  </w:tcBorders>
                  <w:vAlign w:val="center"/>
                </w:tcPr>
                <w:p>
                  <w:pPr>
                    <w:rPr>
                      <w:rFonts w:ascii="宋体"/>
                      <w:kern w:val="0"/>
                      <w:szCs w:val="21"/>
                    </w:rPr>
                  </w:pPr>
                  <w:r>
                    <w:rPr>
                      <w:rFonts w:hint="eastAsia" w:ascii="宋体" w:hAnsi="宋体"/>
                      <w:kern w:val="0"/>
                      <w:szCs w:val="21"/>
                    </w:rPr>
                    <w:t>集中式饮用水水源地（包括已建成的在用、备用、应急水源地，在建和规划的饮用水水源地）准保护区；除集中式饮用水水源以外的国家或地方政府设定的与地下水环境相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154" w:hRule="atLeast"/>
                <w:jc w:val="center"/>
              </w:trPr>
              <w:tc>
                <w:tcPr>
                  <w:tcW w:w="1079" w:type="dxa"/>
                  <w:tcBorders>
                    <w:top w:val="single" w:color="auto" w:sz="2" w:space="0"/>
                    <w:left w:val="single" w:color="auto" w:sz="12" w:space="0"/>
                    <w:bottom w:val="single" w:color="auto" w:sz="2" w:space="0"/>
                    <w:right w:val="single" w:color="auto" w:sz="2" w:space="0"/>
                  </w:tcBorders>
                  <w:vAlign w:val="center"/>
                </w:tcPr>
                <w:p>
                  <w:pPr>
                    <w:jc w:val="center"/>
                    <w:rPr>
                      <w:rFonts w:ascii="宋体"/>
                      <w:kern w:val="0"/>
                      <w:szCs w:val="21"/>
                    </w:rPr>
                  </w:pPr>
                  <w:r>
                    <w:rPr>
                      <w:rFonts w:hint="eastAsia" w:ascii="宋体" w:hAnsi="宋体"/>
                      <w:kern w:val="0"/>
                      <w:szCs w:val="21"/>
                    </w:rPr>
                    <w:t>较敏感</w:t>
                  </w:r>
                </w:p>
              </w:tc>
              <w:tc>
                <w:tcPr>
                  <w:tcW w:w="8316" w:type="dxa"/>
                  <w:tcBorders>
                    <w:top w:val="single" w:color="auto" w:sz="2" w:space="0"/>
                    <w:left w:val="single" w:color="auto" w:sz="2" w:space="0"/>
                    <w:bottom w:val="single" w:color="auto" w:sz="2" w:space="0"/>
                    <w:right w:val="single" w:color="auto" w:sz="12" w:space="0"/>
                  </w:tcBorders>
                  <w:vAlign w:val="center"/>
                </w:tcPr>
                <w:p>
                  <w:pPr>
                    <w:rPr>
                      <w:rFonts w:ascii="宋体"/>
                      <w:kern w:val="0"/>
                      <w:szCs w:val="21"/>
                    </w:rPr>
                  </w:pPr>
                  <w:r>
                    <w:rPr>
                      <w:rFonts w:hint="eastAsia" w:ascii="宋体" w:hAnsi="宋体"/>
                      <w:kern w:val="0"/>
                      <w:szCs w:val="21"/>
                    </w:rPr>
                    <w:t>集中式饮用水水源地（包括已建成的在用、备用、应急水源地，在建和规划的饮用水水源地）准保护区以外的径流补给区；未划定准保护区的集中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56" w:hRule="atLeast"/>
                <w:jc w:val="center"/>
              </w:trPr>
              <w:tc>
                <w:tcPr>
                  <w:tcW w:w="1079" w:type="dxa"/>
                  <w:tcBorders>
                    <w:top w:val="single" w:color="auto" w:sz="2" w:space="0"/>
                    <w:left w:val="single" w:color="auto" w:sz="12" w:space="0"/>
                    <w:bottom w:val="single" w:color="auto" w:sz="2" w:space="0"/>
                    <w:right w:val="single" w:color="auto" w:sz="2" w:space="0"/>
                  </w:tcBorders>
                  <w:vAlign w:val="center"/>
                </w:tcPr>
                <w:p>
                  <w:pPr>
                    <w:jc w:val="center"/>
                    <w:rPr>
                      <w:rFonts w:ascii="宋体"/>
                      <w:kern w:val="0"/>
                      <w:szCs w:val="21"/>
                    </w:rPr>
                  </w:pPr>
                  <w:r>
                    <w:rPr>
                      <w:rFonts w:hint="eastAsia" w:ascii="宋体" w:hAnsi="宋体"/>
                      <w:kern w:val="0"/>
                      <w:szCs w:val="21"/>
                    </w:rPr>
                    <w:t>不敏感</w:t>
                  </w:r>
                </w:p>
              </w:tc>
              <w:tc>
                <w:tcPr>
                  <w:tcW w:w="8316" w:type="dxa"/>
                  <w:tcBorders>
                    <w:top w:val="single" w:color="auto" w:sz="2" w:space="0"/>
                    <w:left w:val="single" w:color="auto" w:sz="2" w:space="0"/>
                    <w:bottom w:val="single" w:color="auto" w:sz="2" w:space="0"/>
                    <w:right w:val="single" w:color="auto" w:sz="12" w:space="0"/>
                  </w:tcBorders>
                  <w:vAlign w:val="center"/>
                </w:tcPr>
                <w:p>
                  <w:pPr>
                    <w:jc w:val="center"/>
                    <w:rPr>
                      <w:rFonts w:ascii="宋体"/>
                      <w:kern w:val="0"/>
                      <w:szCs w:val="21"/>
                    </w:rPr>
                  </w:pPr>
                  <w:r>
                    <w:rPr>
                      <w:rFonts w:hint="eastAsia" w:ascii="宋体" w:hAnsi="宋体"/>
                      <w:kern w:val="0"/>
                      <w:szCs w:val="21"/>
                    </w:rPr>
                    <w:t>上述地区之外的其它地区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84" w:hRule="atLeast"/>
                <w:jc w:val="center"/>
              </w:trPr>
              <w:tc>
                <w:tcPr>
                  <w:tcW w:w="9395" w:type="dxa"/>
                  <w:gridSpan w:val="2"/>
                  <w:tcBorders>
                    <w:top w:val="single" w:color="auto" w:sz="2" w:space="0"/>
                    <w:left w:val="single" w:color="auto" w:sz="12" w:space="0"/>
                    <w:bottom w:val="single" w:color="auto" w:sz="12" w:space="0"/>
                    <w:right w:val="single" w:color="auto" w:sz="12" w:space="0"/>
                  </w:tcBorders>
                  <w:vAlign w:val="center"/>
                </w:tcPr>
                <w:p>
                  <w:pPr>
                    <w:rPr>
                      <w:rFonts w:ascii="宋体"/>
                      <w:kern w:val="0"/>
                      <w:szCs w:val="21"/>
                    </w:rPr>
                  </w:pPr>
                  <w:r>
                    <w:rPr>
                      <w:rFonts w:hint="eastAsia" w:ascii="宋体" w:hAnsi="宋体"/>
                      <w:kern w:val="0"/>
                      <w:szCs w:val="21"/>
                    </w:rPr>
                    <w:t>注：</w:t>
                  </w:r>
                  <w:r>
                    <w:rPr>
                      <w:rFonts w:ascii="宋体" w:hAnsi="宋体"/>
                      <w:kern w:val="0"/>
                      <w:szCs w:val="21"/>
                    </w:rPr>
                    <w:t>a</w:t>
                  </w:r>
                  <w:r>
                    <w:rPr>
                      <w:rFonts w:hint="eastAsia" w:ascii="宋体" w:hAnsi="宋体"/>
                      <w:kern w:val="0"/>
                      <w:szCs w:val="21"/>
                    </w:rPr>
                    <w:t>、</w:t>
                  </w:r>
                  <w:r>
                    <w:rPr>
                      <w:rFonts w:hint="eastAsia" w:ascii="宋体"/>
                      <w:kern w:val="0"/>
                      <w:szCs w:val="21"/>
                    </w:rPr>
                    <w:t>“</w:t>
                  </w:r>
                  <w:r>
                    <w:rPr>
                      <w:rFonts w:hint="eastAsia" w:ascii="宋体" w:hAnsi="宋体"/>
                      <w:kern w:val="0"/>
                      <w:szCs w:val="21"/>
                    </w:rPr>
                    <w:t>环境敏感区</w:t>
                  </w:r>
                  <w:r>
                    <w:rPr>
                      <w:rFonts w:hint="eastAsia" w:ascii="宋体"/>
                      <w:kern w:val="0"/>
                      <w:szCs w:val="21"/>
                    </w:rPr>
                    <w:t>”</w:t>
                  </w:r>
                  <w:r>
                    <w:rPr>
                      <w:rFonts w:hint="eastAsia" w:ascii="宋体" w:hAnsi="宋体"/>
                      <w:kern w:val="0"/>
                      <w:szCs w:val="21"/>
                    </w:rPr>
                    <w:t>是指《建设项目环境影响评价分类管理名录》中所界定的涉及地下水的环境敏感区。</w:t>
                  </w:r>
                </w:p>
              </w:tc>
            </w:tr>
          </w:tbl>
          <w:p>
            <w:pPr>
              <w:spacing w:line="360" w:lineRule="auto"/>
              <w:ind w:firstLine="480" w:firstLineChars="200"/>
              <w:rPr>
                <w:rFonts w:ascii="宋体" w:hAnsi="宋体"/>
                <w:color w:val="000000"/>
                <w:sz w:val="24"/>
                <w:szCs w:val="24"/>
              </w:rPr>
            </w:pPr>
            <w:r>
              <w:rPr>
                <w:rFonts w:hint="eastAsia" w:ascii="宋体" w:hAnsi="宋体"/>
                <w:color w:val="000000"/>
                <w:sz w:val="24"/>
                <w:szCs w:val="24"/>
              </w:rPr>
              <w:t>建设项目所在地周边不在在用、备用、规划的集中式饮用水源保护区及其补给径流范围内，但周边村庄存在分散式饮用水源地，</w:t>
            </w:r>
            <w:r>
              <w:rPr>
                <w:rFonts w:ascii="宋体" w:hAnsi="宋体"/>
                <w:color w:val="000000"/>
                <w:sz w:val="24"/>
                <w:szCs w:val="24"/>
              </w:rPr>
              <w:t>因此，地下水环境敏感程度为</w:t>
            </w:r>
            <w:r>
              <w:rPr>
                <w:rFonts w:hint="eastAsia" w:ascii="宋体" w:hAnsi="宋体"/>
                <w:color w:val="000000"/>
                <w:sz w:val="24"/>
                <w:szCs w:val="24"/>
              </w:rPr>
              <w:t>“较敏感”</w:t>
            </w:r>
            <w:r>
              <w:rPr>
                <w:rFonts w:ascii="宋体" w:hAnsi="宋体"/>
                <w:color w:val="000000"/>
                <w:sz w:val="24"/>
                <w:szCs w:val="24"/>
              </w:rPr>
              <w:t>。</w:t>
            </w:r>
          </w:p>
          <w:p>
            <w:pPr>
              <w:pStyle w:val="114"/>
            </w:pPr>
            <w:r>
              <w:rPr>
                <w:rFonts w:hint="eastAsia"/>
              </w:rPr>
              <w:t>③地下水评价等级确定</w:t>
            </w:r>
          </w:p>
          <w:p>
            <w:pPr>
              <w:pStyle w:val="114"/>
            </w:pPr>
            <w:r>
              <w:rPr>
                <w:rFonts w:hint="eastAsia"/>
              </w:rPr>
              <w:t>建设项目地下水环境影响评价工作等级划分依据见表</w:t>
            </w:r>
            <w:r>
              <w:t>6-19</w:t>
            </w:r>
            <w:r>
              <w:rPr>
                <w:rFonts w:hint="eastAsia"/>
              </w:rPr>
              <w:t>。</w:t>
            </w:r>
          </w:p>
          <w:p>
            <w:pPr>
              <w:pStyle w:val="111"/>
            </w:pPr>
            <w:r>
              <w:rPr>
                <w:rFonts w:hint="eastAsia"/>
              </w:rPr>
              <w:t>表</w:t>
            </w:r>
            <w:r>
              <w:t>6-19</w:t>
            </w:r>
            <w:r>
              <w:rPr>
                <w:rFonts w:hint="eastAsia"/>
              </w:rPr>
              <w:t>地下水环境影响评价工作等级分级表</w:t>
            </w:r>
          </w:p>
          <w:tbl>
            <w:tblPr>
              <w:tblStyle w:val="37"/>
              <w:tblW w:w="92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38"/>
              <w:gridCol w:w="2063"/>
              <w:gridCol w:w="2065"/>
              <w:gridCol w:w="20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038" w:type="dxa"/>
                  <w:tcBorders>
                    <w:top w:val="single" w:color="auto" w:sz="12" w:space="0"/>
                    <w:left w:val="single" w:color="auto" w:sz="12" w:space="0"/>
                    <w:bottom w:val="double" w:color="auto" w:sz="4" w:space="0"/>
                    <w:right w:val="single" w:color="auto" w:sz="6" w:space="0"/>
                    <w:tl2br w:val="single" w:color="auto" w:sz="8" w:space="0"/>
                  </w:tcBorders>
                  <w:vAlign w:val="center"/>
                </w:tcPr>
                <w:p>
                  <w:pPr>
                    <w:adjustRightInd w:val="0"/>
                    <w:snapToGrid w:val="0"/>
                    <w:jc w:val="center"/>
                    <w:rPr>
                      <w:rFonts w:ascii="宋体"/>
                      <w:b/>
                      <w:bCs/>
                      <w:kern w:val="0"/>
                      <w:szCs w:val="21"/>
                    </w:rPr>
                  </w:pPr>
                  <w:r>
                    <w:rPr>
                      <w:rFonts w:ascii="宋体" w:hAnsi="宋体"/>
                      <w:b/>
                      <w:bCs/>
                      <w:kern w:val="0"/>
                      <w:szCs w:val="21"/>
                    </w:rPr>
                    <w:t xml:space="preserve">           </w:t>
                  </w:r>
                  <w:r>
                    <w:rPr>
                      <w:rFonts w:hint="eastAsia" w:ascii="宋体" w:hAnsi="宋体"/>
                      <w:b/>
                      <w:bCs/>
                      <w:kern w:val="0"/>
                      <w:szCs w:val="21"/>
                    </w:rPr>
                    <w:t>项目类别</w:t>
                  </w:r>
                </w:p>
                <w:p>
                  <w:pPr>
                    <w:adjustRightInd w:val="0"/>
                    <w:snapToGrid w:val="0"/>
                    <w:rPr>
                      <w:rFonts w:ascii="宋体"/>
                      <w:b/>
                      <w:bCs/>
                      <w:kern w:val="0"/>
                      <w:szCs w:val="21"/>
                    </w:rPr>
                  </w:pPr>
                  <w:r>
                    <w:rPr>
                      <w:rFonts w:hint="eastAsia" w:ascii="宋体" w:hAnsi="宋体"/>
                      <w:b/>
                      <w:bCs/>
                      <w:kern w:val="0"/>
                      <w:szCs w:val="21"/>
                    </w:rPr>
                    <w:t>环境敏感程度</w:t>
                  </w:r>
                </w:p>
              </w:tc>
              <w:tc>
                <w:tcPr>
                  <w:tcW w:w="2063" w:type="dxa"/>
                  <w:tcBorders>
                    <w:top w:val="single" w:color="auto" w:sz="12" w:space="0"/>
                    <w:left w:val="single" w:color="auto" w:sz="6" w:space="0"/>
                    <w:bottom w:val="double" w:color="auto" w:sz="4" w:space="0"/>
                    <w:right w:val="single" w:color="auto" w:sz="6" w:space="0"/>
                  </w:tcBorders>
                  <w:vAlign w:val="center"/>
                </w:tcPr>
                <w:p>
                  <w:pPr>
                    <w:adjustRightInd w:val="0"/>
                    <w:snapToGrid w:val="0"/>
                    <w:jc w:val="center"/>
                    <w:rPr>
                      <w:rFonts w:ascii="宋体"/>
                      <w:b/>
                      <w:bCs/>
                      <w:kern w:val="0"/>
                      <w:szCs w:val="21"/>
                    </w:rPr>
                  </w:pPr>
                  <w:r>
                    <w:rPr>
                      <w:rFonts w:hint="eastAsia" w:ascii="宋体" w:hAnsi="宋体" w:cs="宋体"/>
                      <w:b/>
                      <w:bCs/>
                      <w:kern w:val="0"/>
                      <w:szCs w:val="21"/>
                    </w:rPr>
                    <w:t>Ⅰ</w:t>
                  </w:r>
                  <w:r>
                    <w:rPr>
                      <w:rFonts w:hint="eastAsia" w:ascii="宋体" w:hAnsi="宋体"/>
                      <w:b/>
                      <w:bCs/>
                      <w:kern w:val="0"/>
                      <w:szCs w:val="21"/>
                    </w:rPr>
                    <w:t>类项目</w:t>
                  </w:r>
                </w:p>
              </w:tc>
              <w:tc>
                <w:tcPr>
                  <w:tcW w:w="2065" w:type="dxa"/>
                  <w:tcBorders>
                    <w:top w:val="single" w:color="auto" w:sz="12" w:space="0"/>
                    <w:left w:val="single" w:color="auto" w:sz="6" w:space="0"/>
                    <w:bottom w:val="double" w:color="auto" w:sz="4" w:space="0"/>
                    <w:right w:val="single" w:color="auto" w:sz="6" w:space="0"/>
                  </w:tcBorders>
                  <w:vAlign w:val="center"/>
                </w:tcPr>
                <w:p>
                  <w:pPr>
                    <w:adjustRightInd w:val="0"/>
                    <w:snapToGrid w:val="0"/>
                    <w:jc w:val="center"/>
                    <w:rPr>
                      <w:rFonts w:ascii="宋体"/>
                      <w:b/>
                      <w:bCs/>
                      <w:kern w:val="0"/>
                      <w:szCs w:val="21"/>
                    </w:rPr>
                  </w:pPr>
                  <w:r>
                    <w:rPr>
                      <w:rFonts w:hint="eastAsia" w:ascii="宋体" w:hAnsi="宋体" w:cs="宋体"/>
                      <w:b/>
                      <w:bCs/>
                      <w:kern w:val="0"/>
                      <w:szCs w:val="21"/>
                    </w:rPr>
                    <w:t>Ⅱ</w:t>
                  </w:r>
                  <w:r>
                    <w:rPr>
                      <w:rFonts w:hint="eastAsia" w:ascii="宋体" w:hAnsi="宋体"/>
                      <w:b/>
                      <w:bCs/>
                      <w:kern w:val="0"/>
                      <w:szCs w:val="21"/>
                    </w:rPr>
                    <w:t>类项目</w:t>
                  </w:r>
                </w:p>
              </w:tc>
              <w:tc>
                <w:tcPr>
                  <w:tcW w:w="2062" w:type="dxa"/>
                  <w:tcBorders>
                    <w:top w:val="single" w:color="auto" w:sz="12" w:space="0"/>
                    <w:left w:val="single" w:color="auto" w:sz="6" w:space="0"/>
                    <w:bottom w:val="double" w:color="auto" w:sz="4" w:space="0"/>
                    <w:right w:val="single" w:color="auto" w:sz="12" w:space="0"/>
                  </w:tcBorders>
                  <w:vAlign w:val="center"/>
                </w:tcPr>
                <w:p>
                  <w:pPr>
                    <w:adjustRightInd w:val="0"/>
                    <w:snapToGrid w:val="0"/>
                    <w:jc w:val="center"/>
                    <w:rPr>
                      <w:rFonts w:ascii="宋体"/>
                      <w:b/>
                      <w:bCs/>
                      <w:kern w:val="0"/>
                      <w:szCs w:val="21"/>
                    </w:rPr>
                  </w:pPr>
                  <w:r>
                    <w:rPr>
                      <w:rFonts w:hint="eastAsia" w:ascii="宋体" w:hAnsi="宋体" w:cs="宋体"/>
                      <w:b/>
                      <w:bCs/>
                      <w:kern w:val="0"/>
                      <w:szCs w:val="21"/>
                    </w:rPr>
                    <w:t>Ⅲ</w:t>
                  </w:r>
                  <w:r>
                    <w:rPr>
                      <w:rFonts w:hint="eastAsia" w:ascii="宋体" w:hAnsi="宋体"/>
                      <w:b/>
                      <w:bCs/>
                      <w:kern w:val="0"/>
                      <w:szCs w:val="21"/>
                    </w:rPr>
                    <w:t>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038" w:type="dxa"/>
                  <w:tcBorders>
                    <w:top w:val="double" w:color="auto" w:sz="4" w:space="0"/>
                    <w:left w:val="single" w:color="auto" w:sz="12" w:space="0"/>
                    <w:bottom w:val="single" w:color="auto" w:sz="6" w:space="0"/>
                    <w:right w:val="single" w:color="auto" w:sz="6" w:space="0"/>
                  </w:tcBorders>
                  <w:vAlign w:val="center"/>
                </w:tcPr>
                <w:p>
                  <w:pPr>
                    <w:adjustRightInd w:val="0"/>
                    <w:snapToGrid w:val="0"/>
                    <w:jc w:val="center"/>
                    <w:rPr>
                      <w:rFonts w:ascii="宋体"/>
                      <w:kern w:val="0"/>
                      <w:szCs w:val="21"/>
                    </w:rPr>
                  </w:pPr>
                  <w:r>
                    <w:rPr>
                      <w:rFonts w:hint="eastAsia" w:ascii="宋体" w:hAnsi="宋体"/>
                      <w:kern w:val="0"/>
                      <w:szCs w:val="21"/>
                    </w:rPr>
                    <w:t>敏感</w:t>
                  </w:r>
                </w:p>
              </w:tc>
              <w:tc>
                <w:tcPr>
                  <w:tcW w:w="2063" w:type="dxa"/>
                  <w:tcBorders>
                    <w:top w:val="double" w:color="auto" w:sz="4" w:space="0"/>
                    <w:left w:val="single" w:color="auto" w:sz="6" w:space="0"/>
                    <w:bottom w:val="single" w:color="auto" w:sz="6" w:space="0"/>
                    <w:right w:val="single" w:color="auto" w:sz="6" w:space="0"/>
                  </w:tcBorders>
                  <w:vAlign w:val="center"/>
                </w:tcPr>
                <w:p>
                  <w:pPr>
                    <w:adjustRightInd w:val="0"/>
                    <w:snapToGrid w:val="0"/>
                    <w:jc w:val="center"/>
                    <w:rPr>
                      <w:rFonts w:ascii="宋体"/>
                      <w:kern w:val="0"/>
                      <w:szCs w:val="21"/>
                    </w:rPr>
                  </w:pPr>
                  <w:r>
                    <w:rPr>
                      <w:rFonts w:hint="eastAsia" w:ascii="宋体" w:hAnsi="宋体"/>
                      <w:kern w:val="0"/>
                      <w:szCs w:val="21"/>
                    </w:rPr>
                    <w:t>一</w:t>
                  </w:r>
                </w:p>
              </w:tc>
              <w:tc>
                <w:tcPr>
                  <w:tcW w:w="2065" w:type="dxa"/>
                  <w:tcBorders>
                    <w:top w:val="double" w:color="auto" w:sz="4" w:space="0"/>
                    <w:left w:val="single" w:color="auto" w:sz="6" w:space="0"/>
                    <w:bottom w:val="single" w:color="auto" w:sz="6" w:space="0"/>
                    <w:right w:val="single" w:color="auto" w:sz="6" w:space="0"/>
                  </w:tcBorders>
                  <w:vAlign w:val="center"/>
                </w:tcPr>
                <w:p>
                  <w:pPr>
                    <w:adjustRightInd w:val="0"/>
                    <w:snapToGrid w:val="0"/>
                    <w:jc w:val="center"/>
                    <w:rPr>
                      <w:rFonts w:ascii="宋体"/>
                      <w:kern w:val="0"/>
                      <w:szCs w:val="21"/>
                    </w:rPr>
                  </w:pPr>
                  <w:r>
                    <w:rPr>
                      <w:rFonts w:hint="eastAsia" w:ascii="宋体" w:hAnsi="宋体"/>
                      <w:kern w:val="0"/>
                      <w:szCs w:val="21"/>
                    </w:rPr>
                    <w:t>一</w:t>
                  </w:r>
                </w:p>
              </w:tc>
              <w:tc>
                <w:tcPr>
                  <w:tcW w:w="2062" w:type="dxa"/>
                  <w:tcBorders>
                    <w:top w:val="double" w:color="auto" w:sz="4" w:space="0"/>
                    <w:left w:val="single" w:color="auto" w:sz="6" w:space="0"/>
                    <w:bottom w:val="single" w:color="auto" w:sz="6" w:space="0"/>
                    <w:right w:val="single" w:color="auto" w:sz="12" w:space="0"/>
                  </w:tcBorders>
                  <w:vAlign w:val="center"/>
                </w:tcPr>
                <w:p>
                  <w:pPr>
                    <w:adjustRightInd w:val="0"/>
                    <w:snapToGrid w:val="0"/>
                    <w:jc w:val="center"/>
                    <w:rPr>
                      <w:rFonts w:ascii="宋体"/>
                      <w:kern w:val="0"/>
                      <w:szCs w:val="21"/>
                    </w:rPr>
                  </w:pPr>
                  <w:r>
                    <w:rPr>
                      <w:rFonts w:hint="eastAsia" w:ascii="宋体" w:hAnsi="宋体"/>
                      <w:kern w:val="0"/>
                      <w:szCs w:val="21"/>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038"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ascii="宋体"/>
                      <w:kern w:val="0"/>
                      <w:szCs w:val="21"/>
                    </w:rPr>
                  </w:pPr>
                  <w:r>
                    <w:rPr>
                      <w:rFonts w:hint="eastAsia" w:ascii="宋体" w:hAnsi="宋体"/>
                      <w:kern w:val="0"/>
                      <w:szCs w:val="21"/>
                    </w:rPr>
                    <w:t>较敏感</w:t>
                  </w:r>
                </w:p>
              </w:tc>
              <w:tc>
                <w:tcPr>
                  <w:tcW w:w="206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b/>
                      <w:kern w:val="0"/>
                      <w:szCs w:val="21"/>
                    </w:rPr>
                  </w:pPr>
                  <w:r>
                    <w:rPr>
                      <w:rFonts w:hint="eastAsia" w:ascii="宋体" w:hAnsi="宋体"/>
                      <w:b/>
                      <w:kern w:val="0"/>
                      <w:szCs w:val="21"/>
                    </w:rPr>
                    <w:t>一</w:t>
                  </w:r>
                </w:p>
              </w:tc>
              <w:tc>
                <w:tcPr>
                  <w:tcW w:w="2065"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kern w:val="0"/>
                      <w:szCs w:val="21"/>
                    </w:rPr>
                  </w:pPr>
                  <w:r>
                    <w:rPr>
                      <w:rFonts w:hint="eastAsia" w:ascii="宋体" w:hAnsi="宋体"/>
                      <w:kern w:val="0"/>
                      <w:szCs w:val="21"/>
                    </w:rPr>
                    <w:t>二</w:t>
                  </w:r>
                </w:p>
              </w:tc>
              <w:tc>
                <w:tcPr>
                  <w:tcW w:w="2062"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ascii="宋体"/>
                      <w:kern w:val="0"/>
                      <w:szCs w:val="21"/>
                    </w:rPr>
                  </w:pPr>
                  <w:r>
                    <w:rPr>
                      <w:rFonts w:hint="eastAsia" w:ascii="宋体" w:hAnsi="宋体"/>
                      <w:kern w:val="0"/>
                      <w:szCs w:val="21"/>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038" w:type="dxa"/>
                  <w:tcBorders>
                    <w:top w:val="single" w:color="auto" w:sz="6" w:space="0"/>
                    <w:left w:val="single" w:color="auto" w:sz="12" w:space="0"/>
                    <w:bottom w:val="single" w:color="auto" w:sz="12" w:space="0"/>
                    <w:right w:val="single" w:color="auto" w:sz="6" w:space="0"/>
                  </w:tcBorders>
                  <w:vAlign w:val="center"/>
                </w:tcPr>
                <w:p>
                  <w:pPr>
                    <w:adjustRightInd w:val="0"/>
                    <w:snapToGrid w:val="0"/>
                    <w:jc w:val="center"/>
                    <w:rPr>
                      <w:rFonts w:ascii="宋体"/>
                      <w:kern w:val="0"/>
                      <w:szCs w:val="21"/>
                    </w:rPr>
                  </w:pPr>
                  <w:r>
                    <w:rPr>
                      <w:rFonts w:hint="eastAsia" w:ascii="宋体" w:hAnsi="宋体"/>
                      <w:kern w:val="0"/>
                      <w:szCs w:val="21"/>
                    </w:rPr>
                    <w:t>不敏感</w:t>
                  </w:r>
                </w:p>
              </w:tc>
              <w:tc>
                <w:tcPr>
                  <w:tcW w:w="2063"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rFonts w:ascii="宋体"/>
                      <w:kern w:val="0"/>
                      <w:szCs w:val="21"/>
                    </w:rPr>
                  </w:pPr>
                  <w:r>
                    <w:rPr>
                      <w:rFonts w:hint="eastAsia" w:ascii="宋体" w:hAnsi="宋体"/>
                      <w:kern w:val="0"/>
                      <w:szCs w:val="21"/>
                    </w:rPr>
                    <w:t>二</w:t>
                  </w:r>
                </w:p>
              </w:tc>
              <w:tc>
                <w:tcPr>
                  <w:tcW w:w="2065"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rFonts w:ascii="宋体"/>
                      <w:kern w:val="0"/>
                      <w:szCs w:val="21"/>
                    </w:rPr>
                  </w:pPr>
                  <w:r>
                    <w:rPr>
                      <w:rFonts w:hint="eastAsia" w:ascii="宋体" w:hAnsi="宋体"/>
                      <w:kern w:val="0"/>
                      <w:szCs w:val="21"/>
                    </w:rPr>
                    <w:t>三</w:t>
                  </w:r>
                </w:p>
              </w:tc>
              <w:tc>
                <w:tcPr>
                  <w:tcW w:w="2062" w:type="dxa"/>
                  <w:tcBorders>
                    <w:top w:val="single" w:color="auto" w:sz="6" w:space="0"/>
                    <w:left w:val="single" w:color="auto" w:sz="6" w:space="0"/>
                    <w:bottom w:val="single" w:color="auto" w:sz="12" w:space="0"/>
                    <w:right w:val="single" w:color="auto" w:sz="12" w:space="0"/>
                  </w:tcBorders>
                  <w:vAlign w:val="center"/>
                </w:tcPr>
                <w:p>
                  <w:pPr>
                    <w:adjustRightInd w:val="0"/>
                    <w:snapToGrid w:val="0"/>
                    <w:jc w:val="center"/>
                    <w:rPr>
                      <w:rFonts w:ascii="宋体"/>
                      <w:kern w:val="0"/>
                      <w:szCs w:val="21"/>
                    </w:rPr>
                  </w:pPr>
                  <w:r>
                    <w:rPr>
                      <w:rFonts w:hint="eastAsia" w:ascii="宋体" w:hAnsi="宋体"/>
                      <w:kern w:val="0"/>
                      <w:szCs w:val="21"/>
                    </w:rPr>
                    <w:t>三</w:t>
                  </w:r>
                </w:p>
              </w:tc>
            </w:tr>
          </w:tbl>
          <w:p>
            <w:pPr>
              <w:pStyle w:val="114"/>
              <w:rPr>
                <w:shd w:val="clear" w:color="auto" w:fill="FFFFFF"/>
              </w:rPr>
            </w:pPr>
            <w:bookmarkStart w:id="40" w:name="_Hlk11219942"/>
            <w:r>
              <w:rPr>
                <w:rFonts w:hint="eastAsia"/>
                <w:shd w:val="clear" w:color="auto" w:fill="FFFFFF"/>
              </w:rPr>
              <w:t>建设项目属于</w:t>
            </w:r>
            <w:r>
              <w:rPr>
                <w:rFonts w:hint="eastAsia" w:ascii="宋体" w:hAnsi="宋体" w:cs="宋体"/>
                <w:shd w:val="clear" w:color="auto" w:fill="FFFFFF"/>
              </w:rPr>
              <w:t>Ⅲ</w:t>
            </w:r>
            <w:r>
              <w:rPr>
                <w:rFonts w:hint="eastAsia"/>
                <w:shd w:val="clear" w:color="auto" w:fill="FFFFFF"/>
              </w:rPr>
              <w:t>类项目，所处地下水环境敏感程度分级为</w:t>
            </w:r>
            <w:r>
              <w:rPr>
                <w:shd w:val="clear" w:color="auto" w:fill="FFFFFF"/>
              </w:rPr>
              <w:t>“</w:t>
            </w:r>
            <w:r>
              <w:rPr>
                <w:rFonts w:hint="eastAsia"/>
                <w:shd w:val="clear" w:color="auto" w:fill="FFFFFF"/>
              </w:rPr>
              <w:t>较敏感</w:t>
            </w:r>
            <w:r>
              <w:rPr>
                <w:shd w:val="clear" w:color="auto" w:fill="FFFFFF"/>
              </w:rPr>
              <w:t>”</w:t>
            </w:r>
            <w:r>
              <w:rPr>
                <w:rFonts w:hint="eastAsia"/>
                <w:shd w:val="clear" w:color="auto" w:fill="FFFFFF"/>
              </w:rPr>
              <w:t>，由此确定该项目地下水评价等级为三级。</w:t>
            </w:r>
          </w:p>
          <w:bookmarkEnd w:id="40"/>
          <w:p>
            <w:pPr>
              <w:spacing w:line="440" w:lineRule="exact"/>
              <w:ind w:firstLine="482" w:firstLineChars="200"/>
              <w:outlineLvl w:val="1"/>
              <w:rPr>
                <w:rFonts w:ascii="宋体"/>
                <w:b/>
                <w:bCs/>
                <w:sz w:val="24"/>
                <w:szCs w:val="24"/>
              </w:rPr>
            </w:pPr>
            <w:r>
              <w:rPr>
                <w:rFonts w:ascii="宋体" w:hAnsi="宋体"/>
                <w:b/>
                <w:bCs/>
                <w:sz w:val="24"/>
                <w:szCs w:val="24"/>
              </w:rPr>
              <w:t>2</w:t>
            </w:r>
            <w:r>
              <w:rPr>
                <w:rFonts w:hint="eastAsia" w:ascii="宋体" w:hAnsi="宋体"/>
                <w:b/>
                <w:bCs/>
                <w:sz w:val="24"/>
                <w:szCs w:val="24"/>
              </w:rPr>
              <w:t>评价范围</w:t>
            </w:r>
          </w:p>
          <w:p>
            <w:pPr>
              <w:pStyle w:val="114"/>
              <w:rPr>
                <w:shd w:val="clear" w:color="auto" w:fill="FFFFFF"/>
              </w:rPr>
            </w:pPr>
            <w:r>
              <w:rPr>
                <w:rFonts w:hint="eastAsia"/>
                <w:shd w:val="clear" w:color="auto" w:fill="FFFFFF"/>
              </w:rPr>
              <w:t>建设项目地下水环境影响现状调查评价范围可采用公式计算法、查表法和自定义发确定。</w:t>
            </w:r>
          </w:p>
          <w:p>
            <w:pPr>
              <w:spacing w:line="440" w:lineRule="exact"/>
              <w:ind w:firstLine="480" w:firstLineChars="200"/>
              <w:rPr>
                <w:rFonts w:ascii="宋体" w:hAnsi="宋体"/>
                <w:color w:val="000000"/>
                <w:sz w:val="24"/>
                <w:szCs w:val="24"/>
              </w:rPr>
            </w:pPr>
            <w:r>
              <w:rPr>
                <w:rFonts w:hint="eastAsia" w:ascii="宋体" w:hAnsi="宋体"/>
                <w:color w:val="000000"/>
                <w:sz w:val="24"/>
                <w:szCs w:val="24"/>
                <w:shd w:val="clear" w:color="auto" w:fill="FFFFFF"/>
              </w:rPr>
              <w:t>该建设项目</w:t>
            </w:r>
            <w:r>
              <w:rPr>
                <w:rFonts w:ascii="宋体" w:hAnsi="宋体"/>
                <w:color w:val="000000"/>
                <w:kern w:val="0"/>
                <w:sz w:val="24"/>
                <w:szCs w:val="24"/>
              </w:rPr>
              <w:t>所在区</w:t>
            </w:r>
            <w:r>
              <w:rPr>
                <w:rFonts w:hint="eastAsia" w:ascii="宋体" w:hAnsi="宋体"/>
                <w:color w:val="000000"/>
                <w:kern w:val="0"/>
                <w:sz w:val="24"/>
                <w:szCs w:val="24"/>
              </w:rPr>
              <w:t>地势较平坦，北侧为一地表水体，同时</w:t>
            </w:r>
            <w:r>
              <w:rPr>
                <w:rFonts w:ascii="宋体" w:hAnsi="宋体"/>
                <w:color w:val="000000"/>
                <w:kern w:val="0"/>
                <w:sz w:val="24"/>
                <w:szCs w:val="24"/>
              </w:rPr>
              <w:t>项目所在地水文地质环境相对简单，所以，本次地下水评价范围采用公式法</w:t>
            </w:r>
            <w:r>
              <w:rPr>
                <w:rFonts w:hint="eastAsia" w:ascii="宋体" w:hAnsi="宋体"/>
                <w:color w:val="000000"/>
                <w:kern w:val="0"/>
                <w:sz w:val="24"/>
                <w:szCs w:val="24"/>
              </w:rPr>
              <w:t>与自定义法结合</w:t>
            </w:r>
            <w:r>
              <w:rPr>
                <w:rFonts w:ascii="宋体" w:hAnsi="宋体"/>
                <w:color w:val="000000"/>
                <w:kern w:val="0"/>
                <w:sz w:val="24"/>
                <w:szCs w:val="24"/>
              </w:rPr>
              <w:t>计算确定：</w:t>
            </w:r>
            <w:r>
              <w:rPr>
                <w:rFonts w:ascii="宋体" w:hAnsi="宋体"/>
                <w:color w:val="000000"/>
                <w:sz w:val="24"/>
                <w:szCs w:val="24"/>
              </w:rPr>
              <w:t xml:space="preserve"> </w:t>
            </w:r>
          </w:p>
          <w:p>
            <w:pPr>
              <w:spacing w:before="156" w:after="156" w:line="360" w:lineRule="auto"/>
              <w:ind w:firstLine="420" w:firstLineChars="200"/>
              <w:jc w:val="center"/>
              <w:rPr>
                <w:rFonts w:ascii="宋体" w:hAnsi="宋体"/>
                <w:i/>
                <w:color w:val="000000"/>
                <w:sz w:val="24"/>
                <w:szCs w:val="24"/>
              </w:rPr>
            </w:pPr>
            <m:oMathPara>
              <m:oMath>
                <m:r>
                  <w:rPr>
                    <w:rFonts w:ascii="Cambria Math" w:hAnsi="Cambria Math"/>
                  </w:rPr>
                  <m:t>L=α∙K∙I∙</m:t>
                </m:r>
                <m:f>
                  <m:fPr>
                    <m:type m:val="lin"/>
                    <m:ctrlPr>
                      <w:rPr>
                        <w:rFonts w:ascii="Cambria Math" w:hAnsi="Cambria Math"/>
                        <w:i/>
                      </w:rPr>
                    </m:ctrlPr>
                  </m:fPr>
                  <m:num>
                    <m:r>
                      <w:rPr>
                        <w:rFonts w:ascii="Cambria Math" w:hAnsi="Cambria Math"/>
                      </w:rPr>
                      <m:t>T</m:t>
                    </m:r>
                    <m:ctrlPr>
                      <w:rPr>
                        <w:rFonts w:ascii="Cambria Math" w:hAnsi="Cambria Math"/>
                        <w:i/>
                      </w:rPr>
                    </m:ctrlPr>
                  </m:num>
                  <m:den>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e</m:t>
                        </m:r>
                        <m:ctrlPr>
                          <w:rPr>
                            <w:rFonts w:ascii="Cambria Math" w:hAnsi="Cambria Math"/>
                            <w:i/>
                          </w:rPr>
                        </m:ctrlPr>
                      </m:sub>
                    </m:sSub>
                    <m:ctrlPr>
                      <w:rPr>
                        <w:rFonts w:ascii="Cambria Math" w:hAnsi="Cambria Math"/>
                        <w:i/>
                      </w:rPr>
                    </m:ctrlPr>
                  </m:den>
                </m:f>
              </m:oMath>
            </m:oMathPara>
          </w:p>
          <w:p>
            <w:pPr>
              <w:spacing w:line="360" w:lineRule="auto"/>
              <w:rPr>
                <w:rFonts w:ascii="Times New Roman" w:hAnsi="Times New Roman"/>
                <w:color w:val="000000"/>
                <w:sz w:val="24"/>
                <w:szCs w:val="24"/>
              </w:rPr>
            </w:pPr>
            <w:r>
              <w:rPr>
                <w:rFonts w:ascii="宋体" w:hAnsi="宋体"/>
                <w:color w:val="000000"/>
                <w:sz w:val="24"/>
                <w:szCs w:val="24"/>
              </w:rPr>
              <w:t>上式中，</w:t>
            </w:r>
            <w:r>
              <w:rPr>
                <w:rFonts w:ascii="Times New Roman" w:hAnsi="Times New Roman"/>
                <w:i/>
                <w:color w:val="000000"/>
                <w:sz w:val="24"/>
                <w:szCs w:val="24"/>
              </w:rPr>
              <w:t>L</w:t>
            </w:r>
            <w:r>
              <w:rPr>
                <w:rFonts w:ascii="Times New Roman" w:hAnsi="Times New Roman"/>
                <w:color w:val="000000"/>
                <w:sz w:val="24"/>
                <w:szCs w:val="24"/>
              </w:rPr>
              <w:t>——质点下游迁移距离（m）；</w:t>
            </w:r>
          </w:p>
          <w:p>
            <w:pPr>
              <w:spacing w:line="360" w:lineRule="auto"/>
              <w:ind w:firstLine="840" w:firstLineChars="400"/>
              <w:rPr>
                <w:rFonts w:ascii="Times New Roman" w:hAnsi="Times New Roman"/>
                <w:color w:val="000000"/>
                <w:sz w:val="24"/>
                <w:szCs w:val="24"/>
              </w:rPr>
            </w:pPr>
            <m:oMath>
              <m:r>
                <w:rPr>
                  <w:rFonts w:ascii="Cambria Math" w:hAnsi="Cambria Math"/>
                </w:rPr>
                <m:t>α</m:t>
              </m:r>
            </m:oMath>
            <w:r>
              <w:rPr>
                <w:rFonts w:ascii="Times New Roman" w:hAnsi="Times New Roman"/>
                <w:color w:val="000000"/>
                <w:sz w:val="24"/>
                <w:szCs w:val="24"/>
              </w:rPr>
              <w:t>——变化系数，</w:t>
            </w:r>
            <m:oMath>
              <m:r>
                <w:rPr>
                  <w:rFonts w:ascii="Cambria Math" w:hAnsi="Cambria Math"/>
                </w:rPr>
                <m:t>α≥1</m:t>
              </m:r>
            </m:oMath>
            <w:r>
              <w:rPr>
                <w:rFonts w:ascii="Times New Roman" w:hAnsi="Times New Roman"/>
                <w:color w:val="000000"/>
                <w:sz w:val="24"/>
                <w:szCs w:val="24"/>
              </w:rPr>
              <w:t>，一般取2；</w:t>
            </w:r>
          </w:p>
          <w:p>
            <w:pPr>
              <w:spacing w:line="360" w:lineRule="auto"/>
              <w:ind w:firstLine="960" w:firstLineChars="400"/>
              <w:rPr>
                <w:rFonts w:ascii="Times New Roman" w:hAnsi="Times New Roman"/>
                <w:color w:val="000000"/>
                <w:sz w:val="24"/>
                <w:szCs w:val="24"/>
              </w:rPr>
            </w:pPr>
            <w:r>
              <w:rPr>
                <w:rFonts w:ascii="Times New Roman" w:hAnsi="Times New Roman"/>
                <w:color w:val="000000"/>
                <w:sz w:val="24"/>
                <w:szCs w:val="24"/>
              </w:rPr>
              <w:t>K——含水层渗透系数（m/d），</w:t>
            </w:r>
            <w:r>
              <w:rPr>
                <w:rFonts w:ascii="Times New Roman" w:hAnsi="Times New Roman"/>
                <w:sz w:val="24"/>
                <w:szCs w:val="24"/>
              </w:rPr>
              <w:t>取值约为0.05m/d；</w:t>
            </w:r>
          </w:p>
          <w:p>
            <w:pPr>
              <w:pStyle w:val="139"/>
              <w:ind w:firstLine="960" w:firstLineChars="400"/>
              <w:rPr>
                <w:rFonts w:ascii="Times New Roman" w:hAnsi="Times New Roman"/>
                <w:color w:val="000000"/>
                <w:szCs w:val="24"/>
              </w:rPr>
            </w:pPr>
            <w:r>
              <w:rPr>
                <w:rFonts w:ascii="Times New Roman" w:hAnsi="Times New Roman"/>
                <w:color w:val="000000"/>
                <w:szCs w:val="24"/>
              </w:rPr>
              <w:t>I——水力坡度，无量纲，取值为3.5‰；</w:t>
            </w:r>
          </w:p>
          <w:p>
            <w:pPr>
              <w:pStyle w:val="139"/>
              <w:ind w:firstLine="960" w:firstLineChars="400"/>
              <w:rPr>
                <w:rFonts w:ascii="Times New Roman" w:hAnsi="Times New Roman"/>
                <w:color w:val="000000"/>
                <w:szCs w:val="24"/>
              </w:rPr>
            </w:pPr>
            <w:r>
              <w:rPr>
                <w:rFonts w:ascii="Times New Roman" w:hAnsi="Times New Roman"/>
                <w:color w:val="000000"/>
                <w:szCs w:val="24"/>
              </w:rPr>
              <w:t>T——质点迁移天数，取值为300a；</w:t>
            </w:r>
          </w:p>
          <w:p>
            <w:pPr>
              <w:pStyle w:val="139"/>
              <w:ind w:firstLine="960" w:firstLineChars="400"/>
              <w:rPr>
                <w:rFonts w:ascii="Times New Roman" w:hAnsi="Times New Roman"/>
                <w:color w:val="000000"/>
                <w:szCs w:val="24"/>
              </w:rPr>
            </w:pPr>
            <m:oMath>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e</m:t>
                  </m:r>
                  <m:ctrlPr>
                    <w:rPr>
                      <w:rFonts w:ascii="Cambria Math" w:hAnsi="Cambria Math"/>
                      <w:i/>
                    </w:rPr>
                  </m:ctrlPr>
                </m:sub>
              </m:sSub>
            </m:oMath>
            <w:r>
              <w:rPr>
                <w:rFonts w:ascii="Times New Roman" w:hAnsi="Times New Roman"/>
                <w:color w:val="000000"/>
                <w:szCs w:val="24"/>
              </w:rPr>
              <w:t>——有效孔隙度，无量纲，取值0.15。</w:t>
            </w:r>
          </w:p>
          <w:p>
            <w:pPr>
              <w:spacing w:line="440" w:lineRule="exact"/>
              <w:ind w:firstLine="480" w:firstLineChars="200"/>
              <w:rPr>
                <w:rFonts w:ascii="宋体" w:hAnsi="宋体"/>
                <w:color w:val="000000"/>
                <w:sz w:val="24"/>
                <w:szCs w:val="24"/>
              </w:rPr>
            </w:pPr>
            <w:r>
              <w:rPr>
                <w:rFonts w:ascii="宋体" w:hAnsi="宋体"/>
                <w:color w:val="000000"/>
                <w:sz w:val="24"/>
                <w:szCs w:val="24"/>
              </w:rPr>
              <w:t>通过计算得质点下游迁移距离</w:t>
            </w:r>
            <w:r>
              <w:rPr>
                <w:rFonts w:hint="eastAsia" w:ascii="宋体" w:hAnsi="宋体"/>
                <w:color w:val="000000"/>
                <w:sz w:val="24"/>
                <w:szCs w:val="24"/>
              </w:rPr>
              <w:t>约</w:t>
            </w:r>
            <w:r>
              <w:rPr>
                <w:rFonts w:ascii="宋体" w:hAnsi="宋体"/>
                <w:color w:val="000000"/>
                <w:sz w:val="24"/>
                <w:szCs w:val="24"/>
              </w:rPr>
              <w:t>为255.5m，</w:t>
            </w:r>
            <w:r>
              <w:rPr>
                <w:rFonts w:hint="eastAsia" w:ascii="宋体" w:hAnsi="宋体"/>
                <w:color w:val="000000"/>
                <w:sz w:val="24"/>
                <w:szCs w:val="24"/>
              </w:rPr>
              <w:t>故</w:t>
            </w:r>
            <w:r>
              <w:rPr>
                <w:rFonts w:ascii="宋体" w:hAnsi="宋体"/>
                <w:color w:val="000000"/>
                <w:sz w:val="24"/>
                <w:szCs w:val="24"/>
              </w:rPr>
              <w:t>本次调查评价范围根据项目分布特征、地下水流场特征，两侧和上游扩展不小于127.75m</w:t>
            </w:r>
            <w:r>
              <w:rPr>
                <w:rFonts w:hint="eastAsia" w:ascii="宋体" w:hAnsi="宋体"/>
                <w:color w:val="000000"/>
                <w:sz w:val="24"/>
                <w:szCs w:val="24"/>
              </w:rPr>
              <w:t>，下游以北侧河流为自然边界，确定</w:t>
            </w:r>
            <w:r>
              <w:rPr>
                <w:rFonts w:ascii="宋体" w:hAnsi="宋体"/>
                <w:color w:val="000000"/>
                <w:sz w:val="24"/>
                <w:szCs w:val="24"/>
              </w:rPr>
              <w:t>的</w:t>
            </w:r>
            <w:r>
              <w:rPr>
                <w:rFonts w:hint="eastAsia" w:ascii="宋体" w:hAnsi="宋体"/>
                <w:color w:val="000000"/>
                <w:sz w:val="24"/>
                <w:szCs w:val="24"/>
              </w:rPr>
              <w:t>评价</w:t>
            </w:r>
            <w:r>
              <w:rPr>
                <w:rFonts w:ascii="宋体" w:hAnsi="宋体"/>
                <w:color w:val="000000"/>
                <w:sz w:val="24"/>
                <w:szCs w:val="24"/>
              </w:rPr>
              <w:t>面积约0.14</w:t>
            </w:r>
            <w:r>
              <w:rPr>
                <w:rFonts w:hint="eastAsia" w:ascii="宋体" w:hAnsi="宋体"/>
                <w:color w:val="000000"/>
                <w:sz w:val="24"/>
                <w:szCs w:val="24"/>
              </w:rPr>
              <w:t>km</w:t>
            </w:r>
            <w:r>
              <w:rPr>
                <w:rFonts w:ascii="宋体" w:hAnsi="宋体"/>
                <w:color w:val="000000"/>
                <w:sz w:val="24"/>
                <w:szCs w:val="24"/>
                <w:vertAlign w:val="superscript"/>
              </w:rPr>
              <w:t>2</w:t>
            </w:r>
            <w:r>
              <w:rPr>
                <w:rFonts w:ascii="宋体" w:hAnsi="宋体"/>
                <w:color w:val="000000"/>
                <w:sz w:val="24"/>
                <w:szCs w:val="24"/>
              </w:rPr>
              <w:t>的区域，具体可见图6-4。</w:t>
            </w:r>
          </w:p>
          <w:p>
            <w:pPr>
              <w:pStyle w:val="111"/>
              <w:rPr>
                <w:kern w:val="0"/>
              </w:rPr>
            </w:pPr>
            <w:r>
              <w:rPr>
                <w:kern w:val="0"/>
              </w:rPr>
              <w:drawing>
                <wp:inline distT="0" distB="0" distL="0" distR="0">
                  <wp:extent cx="5939790" cy="3550285"/>
                  <wp:effectExtent l="12700" t="12700" r="16510" b="18415"/>
                  <wp:docPr id="130" name="图片 130"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图片包含 文字, 地图&#10;&#10;描述已自动生成"/>
                          <pic:cNvPicPr>
                            <a:picLocks noChangeAspect="1"/>
                          </pic:cNvPicPr>
                        </pic:nvPicPr>
                        <pic:blipFill>
                          <a:blip r:embed="rId55"/>
                          <a:stretch>
                            <a:fillRect/>
                          </a:stretch>
                        </pic:blipFill>
                        <pic:spPr>
                          <a:xfrm>
                            <a:off x="0" y="0"/>
                            <a:ext cx="5939790" cy="3550285"/>
                          </a:xfrm>
                          <a:prstGeom prst="rect">
                            <a:avLst/>
                          </a:prstGeom>
                          <a:ln w="12700">
                            <a:solidFill>
                              <a:schemeClr val="tx1"/>
                            </a:solidFill>
                          </a:ln>
                        </pic:spPr>
                      </pic:pic>
                    </a:graphicData>
                  </a:graphic>
                </wp:inline>
              </w:drawing>
            </w:r>
          </w:p>
          <w:p>
            <w:pPr>
              <w:pStyle w:val="111"/>
              <w:rPr>
                <w:bCs/>
                <w:kern w:val="0"/>
              </w:rPr>
            </w:pPr>
            <w:r>
              <w:rPr>
                <w:rFonts w:hint="eastAsia"/>
                <w:bCs/>
                <w:kern w:val="0"/>
              </w:rPr>
              <w:t>图</w:t>
            </w:r>
            <w:r>
              <w:rPr>
                <w:bCs/>
                <w:kern w:val="0"/>
              </w:rPr>
              <w:t>6-4</w:t>
            </w:r>
            <w:r>
              <w:rPr>
                <w:rFonts w:hint="eastAsia"/>
                <w:bCs/>
                <w:kern w:val="0"/>
              </w:rPr>
              <w:t>调查评价范围</w:t>
            </w:r>
          </w:p>
          <w:p>
            <w:pPr>
              <w:spacing w:line="440" w:lineRule="exact"/>
              <w:ind w:firstLine="482" w:firstLineChars="200"/>
              <w:outlineLvl w:val="0"/>
              <w:rPr>
                <w:rFonts w:ascii="宋体"/>
                <w:b/>
                <w:bCs/>
                <w:sz w:val="24"/>
              </w:rPr>
            </w:pPr>
            <w:r>
              <w:rPr>
                <w:rFonts w:ascii="宋体" w:hAnsi="宋体"/>
                <w:b/>
                <w:bCs/>
                <w:sz w:val="24"/>
              </w:rPr>
              <w:t>3</w:t>
            </w:r>
            <w:r>
              <w:rPr>
                <w:rFonts w:hint="eastAsia" w:ascii="宋体" w:hAnsi="宋体"/>
                <w:b/>
                <w:bCs/>
                <w:sz w:val="24"/>
              </w:rPr>
              <w:t>地下水境影响分析</w:t>
            </w:r>
          </w:p>
          <w:p>
            <w:pPr>
              <w:spacing w:line="360" w:lineRule="auto"/>
              <w:ind w:firstLine="482" w:firstLineChars="200"/>
              <w:jc w:val="left"/>
              <w:outlineLvl w:val="1"/>
              <w:rPr>
                <w:rFonts w:ascii="宋体"/>
                <w:b/>
                <w:bCs/>
                <w:sz w:val="24"/>
                <w:szCs w:val="24"/>
                <w:shd w:val="clear" w:color="auto" w:fill="FFFFFF"/>
              </w:rPr>
            </w:pPr>
            <w:r>
              <w:rPr>
                <w:rFonts w:ascii="宋体" w:hAnsi="宋体"/>
                <w:b/>
                <w:bCs/>
                <w:sz w:val="24"/>
              </w:rPr>
              <w:t xml:space="preserve">3.1 </w:t>
            </w:r>
            <w:r>
              <w:rPr>
                <w:rFonts w:hint="eastAsia" w:ascii="宋体" w:hAnsi="宋体"/>
                <w:b/>
                <w:bCs/>
                <w:sz w:val="24"/>
              </w:rPr>
              <w:t>地质概况</w:t>
            </w:r>
          </w:p>
          <w:p>
            <w:pPr>
              <w:spacing w:line="360" w:lineRule="auto"/>
              <w:ind w:firstLine="482" w:firstLineChars="200"/>
              <w:jc w:val="left"/>
              <w:outlineLvl w:val="2"/>
              <w:rPr>
                <w:rFonts w:ascii="宋体"/>
                <w:b/>
                <w:bCs/>
                <w:sz w:val="24"/>
                <w:szCs w:val="24"/>
                <w:shd w:val="clear" w:color="auto" w:fill="FFFFFF"/>
              </w:rPr>
            </w:pPr>
            <w:r>
              <w:rPr>
                <w:rFonts w:ascii="宋体" w:hAnsi="宋体"/>
                <w:b/>
                <w:bCs/>
                <w:sz w:val="24"/>
                <w:szCs w:val="24"/>
                <w:shd w:val="clear" w:color="auto" w:fill="FFFFFF"/>
              </w:rPr>
              <w:t>3.1.1</w:t>
            </w:r>
            <w:r>
              <w:rPr>
                <w:rFonts w:hint="eastAsia" w:ascii="宋体" w:hAnsi="宋体"/>
                <w:b/>
                <w:bCs/>
                <w:sz w:val="24"/>
                <w:szCs w:val="24"/>
                <w:shd w:val="clear" w:color="auto" w:fill="FFFFFF"/>
              </w:rPr>
              <w:t>地层概况</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t>根据收集地质资料，场地地层属于第四系全新统冲洪积土（Q</w:t>
            </w:r>
            <w:r>
              <w:rPr>
                <w:rFonts w:ascii="Times New Roman" w:hAnsi="Times New Roman"/>
                <w:color w:val="000000"/>
                <w:szCs w:val="24"/>
                <w:shd w:val="clear" w:color="auto" w:fill="FFFFFF"/>
                <w:vertAlign w:val="subscript"/>
              </w:rPr>
              <w:t>4</w:t>
            </w:r>
            <w:r>
              <w:rPr>
                <w:rFonts w:ascii="Times New Roman" w:hAnsi="Times New Roman"/>
                <w:color w:val="000000"/>
                <w:szCs w:val="24"/>
                <w:shd w:val="clear" w:color="auto" w:fill="FFFFFF"/>
                <w:vertAlign w:val="superscript"/>
              </w:rPr>
              <w:t>al+pl</w:t>
            </w:r>
            <w:r>
              <w:rPr>
                <w:rFonts w:ascii="Times New Roman" w:hAnsi="Times New Roman"/>
                <w:color w:val="000000"/>
                <w:szCs w:val="24"/>
                <w:shd w:val="clear" w:color="auto" w:fill="FFFFFF"/>
              </w:rPr>
              <w:t>）、下更新统冲洪积土（Q</w:t>
            </w:r>
            <w:r>
              <w:rPr>
                <w:rFonts w:ascii="Times New Roman" w:hAnsi="Times New Roman"/>
                <w:color w:val="000000"/>
                <w:szCs w:val="24"/>
                <w:shd w:val="clear" w:color="auto" w:fill="FFFFFF"/>
                <w:vertAlign w:val="subscript"/>
              </w:rPr>
              <w:t>1</w:t>
            </w:r>
            <w:r>
              <w:rPr>
                <w:rFonts w:ascii="Times New Roman" w:hAnsi="Times New Roman"/>
                <w:color w:val="000000"/>
                <w:szCs w:val="24"/>
                <w:shd w:val="clear" w:color="auto" w:fill="FFFFFF"/>
                <w:vertAlign w:val="superscript"/>
              </w:rPr>
              <w:t>al+pl</w:t>
            </w:r>
            <w:r>
              <w:rPr>
                <w:rFonts w:ascii="Times New Roman" w:hAnsi="Times New Roman"/>
                <w:color w:val="000000"/>
                <w:szCs w:val="24"/>
                <w:shd w:val="clear" w:color="auto" w:fill="FFFFFF"/>
              </w:rPr>
              <w:t>），根据地层岩性特征从上而下划分为六层，分述如下：</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fldChar w:fldCharType="begin"/>
            </w:r>
            <w:r>
              <w:rPr>
                <w:rFonts w:ascii="Times New Roman" w:hAnsi="Times New Roman"/>
                <w:color w:val="000000"/>
                <w:szCs w:val="24"/>
                <w:shd w:val="clear" w:color="auto" w:fill="FFFFFF"/>
              </w:rPr>
              <w:instrText xml:space="preserve"> = 1 \* GB3 </w:instrText>
            </w:r>
            <w:r>
              <w:rPr>
                <w:rFonts w:ascii="Times New Roman" w:hAnsi="Times New Roman"/>
                <w:color w:val="000000"/>
                <w:szCs w:val="24"/>
                <w:shd w:val="clear" w:color="auto" w:fill="FFFFFF"/>
              </w:rPr>
              <w:fldChar w:fldCharType="separate"/>
            </w:r>
            <w:r>
              <w:rPr>
                <w:rFonts w:hint="eastAsia" w:cs="宋体"/>
                <w:color w:val="000000"/>
                <w:szCs w:val="24"/>
                <w:shd w:val="clear" w:color="auto" w:fill="FFFFFF"/>
              </w:rPr>
              <w:t>①</w:t>
            </w:r>
            <w:r>
              <w:rPr>
                <w:rFonts w:ascii="Times New Roman" w:hAnsi="Times New Roman"/>
                <w:color w:val="000000"/>
                <w:szCs w:val="24"/>
                <w:shd w:val="clear" w:color="auto" w:fill="FFFFFF"/>
              </w:rPr>
              <w:fldChar w:fldCharType="end"/>
            </w:r>
            <w:r>
              <w:rPr>
                <w:rFonts w:ascii="Times New Roman" w:hAnsi="Times New Roman"/>
                <w:color w:val="000000"/>
                <w:szCs w:val="24"/>
                <w:shd w:val="clear" w:color="auto" w:fill="FFFFFF"/>
              </w:rPr>
              <w:t>粉土（Q</w:t>
            </w:r>
            <w:r>
              <w:rPr>
                <w:rFonts w:ascii="Times New Roman" w:hAnsi="Times New Roman"/>
                <w:color w:val="000000"/>
                <w:szCs w:val="24"/>
                <w:shd w:val="clear" w:color="auto" w:fill="FFFFFF"/>
                <w:vertAlign w:val="subscript"/>
              </w:rPr>
              <w:t>4</w:t>
            </w:r>
            <w:r>
              <w:rPr>
                <w:rFonts w:ascii="Times New Roman" w:hAnsi="Times New Roman"/>
                <w:color w:val="000000"/>
                <w:szCs w:val="24"/>
                <w:shd w:val="clear" w:color="auto" w:fill="FFFFFF"/>
                <w:vertAlign w:val="superscript"/>
              </w:rPr>
              <w:t>al+pl</w:t>
            </w:r>
            <w:r>
              <w:rPr>
                <w:rFonts w:ascii="Times New Roman" w:hAnsi="Times New Roman"/>
                <w:color w:val="000000"/>
                <w:szCs w:val="24"/>
                <w:shd w:val="clear" w:color="auto" w:fill="FFFFFF"/>
              </w:rPr>
              <w:t>）：浅黄色，结构松散，中密-密实，湿，主要成分为石英、粘土矿物，含少量砂质成分，砂质成分以粉粒、细粒为主，少量中粒，手捻有轻微的粘滞感，钻孔揭露层厚0.30-5.50m。在场地内均有分布。</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fldChar w:fldCharType="begin"/>
            </w:r>
            <w:r>
              <w:rPr>
                <w:rFonts w:ascii="Times New Roman" w:hAnsi="Times New Roman"/>
                <w:color w:val="000000"/>
                <w:szCs w:val="24"/>
                <w:shd w:val="clear" w:color="auto" w:fill="FFFFFF"/>
              </w:rPr>
              <w:instrText xml:space="preserve"> = 2 \* GB3 </w:instrText>
            </w:r>
            <w:r>
              <w:rPr>
                <w:rFonts w:ascii="Times New Roman" w:hAnsi="Times New Roman"/>
                <w:color w:val="000000"/>
                <w:szCs w:val="24"/>
                <w:shd w:val="clear" w:color="auto" w:fill="FFFFFF"/>
              </w:rPr>
              <w:fldChar w:fldCharType="separate"/>
            </w:r>
            <w:r>
              <w:rPr>
                <w:rFonts w:hint="eastAsia" w:cs="宋体"/>
                <w:color w:val="000000"/>
                <w:szCs w:val="24"/>
                <w:shd w:val="clear" w:color="auto" w:fill="FFFFFF"/>
              </w:rPr>
              <w:t>②</w:t>
            </w:r>
            <w:r>
              <w:rPr>
                <w:rFonts w:ascii="Times New Roman" w:hAnsi="Times New Roman"/>
                <w:color w:val="000000"/>
                <w:szCs w:val="24"/>
                <w:shd w:val="clear" w:color="auto" w:fill="FFFFFF"/>
              </w:rPr>
              <w:fldChar w:fldCharType="end"/>
            </w:r>
            <w:r>
              <w:rPr>
                <w:rFonts w:ascii="Times New Roman" w:hAnsi="Times New Roman"/>
                <w:color w:val="000000"/>
                <w:szCs w:val="24"/>
                <w:shd w:val="clear" w:color="auto" w:fill="FFFFFF"/>
              </w:rPr>
              <w:t>中砂（Q</w:t>
            </w:r>
            <w:r>
              <w:rPr>
                <w:rFonts w:ascii="Times New Roman" w:hAnsi="Times New Roman"/>
                <w:color w:val="000000"/>
                <w:szCs w:val="24"/>
                <w:shd w:val="clear" w:color="auto" w:fill="FFFFFF"/>
                <w:vertAlign w:val="subscript"/>
              </w:rPr>
              <w:t>1</w:t>
            </w:r>
            <w:r>
              <w:rPr>
                <w:rFonts w:ascii="Times New Roman" w:hAnsi="Times New Roman"/>
                <w:color w:val="000000"/>
                <w:szCs w:val="24"/>
                <w:shd w:val="clear" w:color="auto" w:fill="FFFFFF"/>
                <w:vertAlign w:val="superscript"/>
              </w:rPr>
              <w:t>al+pl</w:t>
            </w:r>
            <w:r>
              <w:rPr>
                <w:rFonts w:ascii="Times New Roman" w:hAnsi="Times New Roman"/>
                <w:color w:val="000000"/>
                <w:szCs w:val="24"/>
                <w:shd w:val="clear" w:color="auto" w:fill="FFFFFF"/>
              </w:rPr>
              <w:t>）：土黄色、褐黄色，结构松散，稍密-中密状，中湿，主要成分为石英、粘土矿物，颗粒多呈次圆状，以中砂为主，含少量粗砂，钻孔揭露层厚1.50-5.00m。仅部分钻孔揭露。</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fldChar w:fldCharType="begin"/>
            </w:r>
            <w:r>
              <w:rPr>
                <w:rFonts w:ascii="Times New Roman" w:hAnsi="Times New Roman"/>
                <w:color w:val="000000"/>
                <w:szCs w:val="24"/>
                <w:shd w:val="clear" w:color="auto" w:fill="FFFFFF"/>
              </w:rPr>
              <w:instrText xml:space="preserve"> = 3 \* GB3 </w:instrText>
            </w:r>
            <w:r>
              <w:rPr>
                <w:rFonts w:ascii="Times New Roman" w:hAnsi="Times New Roman"/>
                <w:color w:val="000000"/>
                <w:szCs w:val="24"/>
                <w:shd w:val="clear" w:color="auto" w:fill="FFFFFF"/>
              </w:rPr>
              <w:fldChar w:fldCharType="separate"/>
            </w:r>
            <w:r>
              <w:rPr>
                <w:rFonts w:hint="eastAsia" w:cs="宋体"/>
                <w:color w:val="000000"/>
                <w:szCs w:val="24"/>
                <w:shd w:val="clear" w:color="auto" w:fill="FFFFFF"/>
              </w:rPr>
              <w:t>③</w:t>
            </w:r>
            <w:r>
              <w:rPr>
                <w:rFonts w:ascii="Times New Roman" w:hAnsi="Times New Roman"/>
                <w:color w:val="000000"/>
                <w:szCs w:val="24"/>
                <w:shd w:val="clear" w:color="auto" w:fill="FFFFFF"/>
              </w:rPr>
              <w:fldChar w:fldCharType="end"/>
            </w:r>
            <w:r>
              <w:rPr>
                <w:rFonts w:ascii="Times New Roman" w:hAnsi="Times New Roman"/>
                <w:color w:val="000000"/>
                <w:szCs w:val="24"/>
                <w:shd w:val="clear" w:color="auto" w:fill="FFFFFF"/>
              </w:rPr>
              <w:t>粉质粘土（Q</w:t>
            </w:r>
            <w:r>
              <w:rPr>
                <w:rFonts w:ascii="Times New Roman" w:hAnsi="Times New Roman"/>
                <w:color w:val="000000"/>
                <w:szCs w:val="24"/>
                <w:shd w:val="clear" w:color="auto" w:fill="FFFFFF"/>
                <w:vertAlign w:val="subscript"/>
              </w:rPr>
              <w:t>1</w:t>
            </w:r>
            <w:r>
              <w:rPr>
                <w:rFonts w:ascii="Times New Roman" w:hAnsi="Times New Roman"/>
                <w:color w:val="000000"/>
                <w:szCs w:val="24"/>
                <w:shd w:val="clear" w:color="auto" w:fill="FFFFFF"/>
                <w:vertAlign w:val="superscript"/>
              </w:rPr>
              <w:t>al+pl</w:t>
            </w:r>
            <w:r>
              <w:rPr>
                <w:rFonts w:ascii="Times New Roman" w:hAnsi="Times New Roman"/>
                <w:color w:val="000000"/>
                <w:szCs w:val="24"/>
                <w:shd w:val="clear" w:color="auto" w:fill="FFFFFF"/>
              </w:rPr>
              <w:t>）：灰黄色，局部褐灰、砖红色，密实，可塑，主要成分为粘土矿物，以粘粒为主，含少量粉粒，刀切面较光滑，干强度中等，韧性中等，无摇振反应，可手搓呈条状，钻孔揭露层厚2.50-15.10m。在场地内均有分布。</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fldChar w:fldCharType="begin"/>
            </w:r>
            <w:r>
              <w:rPr>
                <w:rFonts w:ascii="Times New Roman" w:hAnsi="Times New Roman"/>
                <w:color w:val="000000"/>
                <w:szCs w:val="24"/>
                <w:shd w:val="clear" w:color="auto" w:fill="FFFFFF"/>
              </w:rPr>
              <w:instrText xml:space="preserve"> = 4 \* GB3 </w:instrText>
            </w:r>
            <w:r>
              <w:rPr>
                <w:rFonts w:ascii="Times New Roman" w:hAnsi="Times New Roman"/>
                <w:color w:val="000000"/>
                <w:szCs w:val="24"/>
                <w:shd w:val="clear" w:color="auto" w:fill="FFFFFF"/>
              </w:rPr>
              <w:fldChar w:fldCharType="separate"/>
            </w:r>
            <w:r>
              <w:rPr>
                <w:rFonts w:hint="eastAsia" w:cs="宋体"/>
                <w:color w:val="000000"/>
                <w:szCs w:val="24"/>
                <w:shd w:val="clear" w:color="auto" w:fill="FFFFFF"/>
              </w:rPr>
              <w:t>④</w:t>
            </w:r>
            <w:r>
              <w:rPr>
                <w:rFonts w:ascii="Times New Roman" w:hAnsi="Times New Roman"/>
                <w:color w:val="000000"/>
                <w:szCs w:val="24"/>
                <w:shd w:val="clear" w:color="auto" w:fill="FFFFFF"/>
              </w:rPr>
              <w:fldChar w:fldCharType="end"/>
            </w:r>
            <w:r>
              <w:rPr>
                <w:rFonts w:ascii="Times New Roman" w:hAnsi="Times New Roman"/>
                <w:color w:val="000000"/>
                <w:szCs w:val="24"/>
                <w:shd w:val="clear" w:color="auto" w:fill="FFFFFF"/>
              </w:rPr>
              <w:t>粉砂（Q</w:t>
            </w:r>
            <w:r>
              <w:rPr>
                <w:rFonts w:ascii="Times New Roman" w:hAnsi="Times New Roman"/>
                <w:color w:val="000000"/>
                <w:szCs w:val="24"/>
                <w:shd w:val="clear" w:color="auto" w:fill="FFFFFF"/>
                <w:vertAlign w:val="subscript"/>
              </w:rPr>
              <w:t>1</w:t>
            </w:r>
            <w:r>
              <w:rPr>
                <w:rFonts w:ascii="Times New Roman" w:hAnsi="Times New Roman"/>
                <w:color w:val="000000"/>
                <w:szCs w:val="24"/>
                <w:shd w:val="clear" w:color="auto" w:fill="FFFFFF"/>
                <w:vertAlign w:val="superscript"/>
              </w:rPr>
              <w:t>al+pl</w:t>
            </w:r>
            <w:r>
              <w:rPr>
                <w:rFonts w:ascii="Times New Roman" w:hAnsi="Times New Roman"/>
                <w:color w:val="000000"/>
                <w:szCs w:val="24"/>
                <w:shd w:val="clear" w:color="auto" w:fill="FFFFFF"/>
              </w:rPr>
              <w:t>）：浅灰色，结构松散，稍密-中密，中湿，主要成分为石英、粘土矿物，以粉粒、细粒为主，钻孔揭露层厚0.40-6.80m。在场地内广泛分布。</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fldChar w:fldCharType="begin"/>
            </w:r>
            <w:r>
              <w:rPr>
                <w:rFonts w:ascii="Times New Roman" w:hAnsi="Times New Roman"/>
                <w:color w:val="000000"/>
                <w:szCs w:val="24"/>
                <w:shd w:val="clear" w:color="auto" w:fill="FFFFFF"/>
              </w:rPr>
              <w:instrText xml:space="preserve"> = 5 \* GB3 </w:instrText>
            </w:r>
            <w:r>
              <w:rPr>
                <w:rFonts w:ascii="Times New Roman" w:hAnsi="Times New Roman"/>
                <w:color w:val="000000"/>
                <w:szCs w:val="24"/>
                <w:shd w:val="clear" w:color="auto" w:fill="FFFFFF"/>
              </w:rPr>
              <w:fldChar w:fldCharType="separate"/>
            </w:r>
            <w:r>
              <w:rPr>
                <w:rFonts w:hint="eastAsia" w:cs="宋体"/>
                <w:color w:val="000000"/>
                <w:szCs w:val="24"/>
                <w:shd w:val="clear" w:color="auto" w:fill="FFFFFF"/>
              </w:rPr>
              <w:t>⑤</w:t>
            </w:r>
            <w:r>
              <w:rPr>
                <w:rFonts w:ascii="Times New Roman" w:hAnsi="Times New Roman"/>
                <w:color w:val="000000"/>
                <w:szCs w:val="24"/>
                <w:shd w:val="clear" w:color="auto" w:fill="FFFFFF"/>
              </w:rPr>
              <w:fldChar w:fldCharType="end"/>
            </w:r>
            <w:r>
              <w:rPr>
                <w:rFonts w:ascii="Times New Roman" w:hAnsi="Times New Roman"/>
                <w:color w:val="000000"/>
                <w:szCs w:val="24"/>
                <w:shd w:val="clear" w:color="auto" w:fill="FFFFFF"/>
              </w:rPr>
              <w:t>砂砾（Q</w:t>
            </w:r>
            <w:r>
              <w:rPr>
                <w:rFonts w:ascii="Times New Roman" w:hAnsi="Times New Roman"/>
                <w:color w:val="000000"/>
                <w:szCs w:val="24"/>
                <w:shd w:val="clear" w:color="auto" w:fill="FFFFFF"/>
                <w:vertAlign w:val="subscript"/>
              </w:rPr>
              <w:t>1</w:t>
            </w:r>
            <w:r>
              <w:rPr>
                <w:rFonts w:ascii="Times New Roman" w:hAnsi="Times New Roman"/>
                <w:color w:val="000000"/>
                <w:szCs w:val="24"/>
                <w:shd w:val="clear" w:color="auto" w:fill="FFFFFF"/>
                <w:vertAlign w:val="superscript"/>
              </w:rPr>
              <w:t>al+pl</w:t>
            </w:r>
            <w:r>
              <w:rPr>
                <w:rFonts w:ascii="Times New Roman" w:hAnsi="Times New Roman"/>
                <w:color w:val="000000"/>
                <w:szCs w:val="24"/>
                <w:shd w:val="clear" w:color="auto" w:fill="FFFFFF"/>
              </w:rPr>
              <w:t>）：灰白色，中密-密实，主要成分为石英、长石等，以砂砾为主，次为中粒、粗粒，砾径多为2-6mm，含少量卵石，颗粒多呈次圆状-次棱角状，钻孔揭露层厚1.20-5.50m。在场地内广泛分布。</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fldChar w:fldCharType="begin"/>
            </w:r>
            <w:r>
              <w:rPr>
                <w:rFonts w:ascii="Times New Roman" w:hAnsi="Times New Roman"/>
                <w:color w:val="000000"/>
                <w:szCs w:val="24"/>
                <w:shd w:val="clear" w:color="auto" w:fill="FFFFFF"/>
              </w:rPr>
              <w:instrText xml:space="preserve"> = 6 \* GB3 </w:instrText>
            </w:r>
            <w:r>
              <w:rPr>
                <w:rFonts w:ascii="Times New Roman" w:hAnsi="Times New Roman"/>
                <w:color w:val="000000"/>
                <w:szCs w:val="24"/>
                <w:shd w:val="clear" w:color="auto" w:fill="FFFFFF"/>
              </w:rPr>
              <w:fldChar w:fldCharType="separate"/>
            </w:r>
            <w:r>
              <w:rPr>
                <w:rFonts w:hint="eastAsia" w:cs="宋体"/>
                <w:color w:val="000000"/>
                <w:szCs w:val="24"/>
                <w:shd w:val="clear" w:color="auto" w:fill="FFFFFF"/>
              </w:rPr>
              <w:t>⑥</w:t>
            </w:r>
            <w:r>
              <w:rPr>
                <w:rFonts w:ascii="Times New Roman" w:hAnsi="Times New Roman"/>
                <w:color w:val="000000"/>
                <w:szCs w:val="24"/>
                <w:shd w:val="clear" w:color="auto" w:fill="FFFFFF"/>
              </w:rPr>
              <w:fldChar w:fldCharType="end"/>
            </w:r>
            <w:r>
              <w:rPr>
                <w:rFonts w:ascii="Times New Roman" w:hAnsi="Times New Roman"/>
                <w:color w:val="000000"/>
                <w:szCs w:val="24"/>
                <w:shd w:val="clear" w:color="auto" w:fill="FFFFFF"/>
              </w:rPr>
              <w:t>粉质粘土（Q</w:t>
            </w:r>
            <w:r>
              <w:rPr>
                <w:rFonts w:ascii="Times New Roman" w:hAnsi="Times New Roman"/>
                <w:color w:val="000000"/>
                <w:szCs w:val="24"/>
                <w:shd w:val="clear" w:color="auto" w:fill="FFFFFF"/>
                <w:vertAlign w:val="subscript"/>
              </w:rPr>
              <w:t>1</w:t>
            </w:r>
            <w:r>
              <w:rPr>
                <w:rFonts w:ascii="Times New Roman" w:hAnsi="Times New Roman"/>
                <w:color w:val="000000"/>
                <w:szCs w:val="24"/>
                <w:shd w:val="clear" w:color="auto" w:fill="FFFFFF"/>
                <w:vertAlign w:val="superscript"/>
              </w:rPr>
              <w:t>al+pl</w:t>
            </w:r>
            <w:r>
              <w:rPr>
                <w:rFonts w:ascii="Times New Roman" w:hAnsi="Times New Roman"/>
                <w:color w:val="000000"/>
                <w:szCs w:val="24"/>
                <w:shd w:val="clear" w:color="auto" w:fill="FFFFFF"/>
              </w:rPr>
              <w:t>）：灰黄、浅灰色，可塑，主要成分为粘土矿物，以粘粒为主，含少量粉粒，干强度中等，韧性中等，无摇振反应，可手搓呈条状，刀切面较光滑，当次钻孔揭露最大层厚1.30m，未揭穿。在场地内大部分钻孔有所揭露。</w:t>
            </w:r>
          </w:p>
          <w:p>
            <w:pPr>
              <w:pStyle w:val="139"/>
              <w:jc w:val="both"/>
              <w:rPr>
                <w:rFonts w:ascii="Times New Roman" w:hAnsi="Times New Roman"/>
                <w:color w:val="000000"/>
                <w:szCs w:val="24"/>
                <w:shd w:val="clear" w:color="auto" w:fill="FFFFFF"/>
              </w:rPr>
            </w:pPr>
            <w:r>
              <w:rPr>
                <w:rFonts w:hint="eastAsia" w:ascii="Times New Roman" w:hAnsi="Times New Roman"/>
                <w:color w:val="000000"/>
                <w:szCs w:val="24"/>
                <w:shd w:val="clear" w:color="auto" w:fill="FFFFFF"/>
              </w:rPr>
              <w:t>部分钻孔柱状图件图6</w:t>
            </w:r>
            <w:r>
              <w:rPr>
                <w:rFonts w:ascii="Times New Roman" w:hAnsi="Times New Roman"/>
                <w:color w:val="000000"/>
                <w:szCs w:val="24"/>
                <w:shd w:val="clear" w:color="auto" w:fill="FFFFFF"/>
              </w:rPr>
              <w:t>-5</w:t>
            </w:r>
            <w:r>
              <w:rPr>
                <w:rFonts w:hint="eastAsia" w:ascii="Times New Roman" w:hAnsi="Times New Roman"/>
                <w:color w:val="000000"/>
                <w:szCs w:val="24"/>
                <w:shd w:val="clear" w:color="auto" w:fill="FFFFFF"/>
              </w:rPr>
              <w:t>、6</w:t>
            </w:r>
            <w:r>
              <w:rPr>
                <w:rFonts w:ascii="Times New Roman" w:hAnsi="Times New Roman"/>
                <w:color w:val="000000"/>
                <w:szCs w:val="24"/>
                <w:shd w:val="clear" w:color="auto" w:fill="FFFFFF"/>
              </w:rPr>
              <w:t>-6</w:t>
            </w:r>
            <w:r>
              <w:rPr>
                <w:rFonts w:hint="eastAsia" w:ascii="Times New Roman" w:hAnsi="Times New Roman"/>
                <w:color w:val="000000"/>
                <w:szCs w:val="24"/>
                <w:shd w:val="clear" w:color="auto" w:fill="FFFFFF"/>
              </w:rPr>
              <w:t>。</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drawing>
                <wp:inline distT="0" distB="0" distL="0" distR="0">
                  <wp:extent cx="5457825" cy="8642985"/>
                  <wp:effectExtent l="12700" t="12700" r="15875" b="184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6"/>
                          <a:srcRect/>
                          <a:stretch>
                            <a:fillRect/>
                          </a:stretch>
                        </pic:blipFill>
                        <pic:spPr>
                          <a:xfrm>
                            <a:off x="0" y="0"/>
                            <a:ext cx="5466176" cy="8656353"/>
                          </a:xfrm>
                          <a:prstGeom prst="rect">
                            <a:avLst/>
                          </a:prstGeom>
                          <a:ln w="12700">
                            <a:solidFill>
                              <a:schemeClr val="tx1"/>
                            </a:solidFill>
                          </a:ln>
                        </pic:spPr>
                      </pic:pic>
                    </a:graphicData>
                  </a:graphic>
                </wp:inline>
              </w:drawing>
            </w:r>
          </w:p>
          <w:p>
            <w:pPr>
              <w:pStyle w:val="111"/>
              <w:rPr>
                <w:bCs/>
                <w:kern w:val="0"/>
              </w:rPr>
            </w:pPr>
            <w:r>
              <w:rPr>
                <w:rFonts w:hint="eastAsia"/>
                <w:bCs/>
                <w:kern w:val="0"/>
              </w:rPr>
              <w:t>图6</w:t>
            </w:r>
            <w:r>
              <w:rPr>
                <w:bCs/>
                <w:kern w:val="0"/>
              </w:rPr>
              <w:t>-5 ZK19</w:t>
            </w:r>
            <w:r>
              <w:rPr>
                <w:rFonts w:hint="eastAsia"/>
                <w:bCs/>
                <w:kern w:val="0"/>
              </w:rPr>
              <w:t>钻孔柱状图</w:t>
            </w:r>
          </w:p>
          <w:p>
            <w:pPr>
              <w:pStyle w:val="139"/>
              <w:jc w:val="center"/>
              <w:rPr>
                <w:rFonts w:ascii="Times New Roman" w:hAnsi="Times New Roman"/>
                <w:color w:val="000000"/>
                <w:szCs w:val="24"/>
                <w:shd w:val="clear" w:color="auto" w:fill="FFFFFF"/>
              </w:rPr>
            </w:pPr>
            <w:r>
              <w:rPr>
                <w:rFonts w:hint="eastAsia" w:ascii="Times New Roman" w:hAnsi="Times New Roman"/>
                <w:color w:val="000000"/>
                <w:szCs w:val="24"/>
                <w:shd w:val="clear" w:color="auto" w:fill="FFFFFF"/>
              </w:rPr>
              <w:drawing>
                <wp:inline distT="0" distB="0" distL="0" distR="0">
                  <wp:extent cx="5446395" cy="8521700"/>
                  <wp:effectExtent l="0" t="0" r="190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7"/>
                          <a:srcRect/>
                          <a:stretch>
                            <a:fillRect/>
                          </a:stretch>
                        </pic:blipFill>
                        <pic:spPr>
                          <a:xfrm>
                            <a:off x="0" y="0"/>
                            <a:ext cx="5463563" cy="8548043"/>
                          </a:xfrm>
                          <a:prstGeom prst="rect">
                            <a:avLst/>
                          </a:prstGeom>
                          <a:ln>
                            <a:noFill/>
                          </a:ln>
                        </pic:spPr>
                      </pic:pic>
                    </a:graphicData>
                  </a:graphic>
                </wp:inline>
              </w:drawing>
            </w:r>
          </w:p>
          <w:p>
            <w:pPr>
              <w:pStyle w:val="111"/>
              <w:rPr>
                <w:bCs/>
                <w:kern w:val="0"/>
              </w:rPr>
            </w:pPr>
            <w:r>
              <w:rPr>
                <w:rFonts w:hint="eastAsia"/>
                <w:bCs/>
                <w:kern w:val="0"/>
              </w:rPr>
              <w:t>图6</w:t>
            </w:r>
            <w:r>
              <w:rPr>
                <w:bCs/>
                <w:kern w:val="0"/>
              </w:rPr>
              <w:t>-6 ZK39</w:t>
            </w:r>
            <w:r>
              <w:rPr>
                <w:rFonts w:hint="eastAsia"/>
                <w:bCs/>
                <w:kern w:val="0"/>
              </w:rPr>
              <w:t>钻孔柱状图</w:t>
            </w:r>
          </w:p>
          <w:p>
            <w:pPr>
              <w:spacing w:line="360" w:lineRule="auto"/>
              <w:ind w:firstLine="482" w:firstLineChars="200"/>
              <w:jc w:val="left"/>
              <w:outlineLvl w:val="2"/>
              <w:rPr>
                <w:rFonts w:ascii="宋体"/>
                <w:b/>
                <w:bCs/>
                <w:sz w:val="24"/>
                <w:szCs w:val="24"/>
                <w:shd w:val="clear" w:color="auto" w:fill="FFFFFF"/>
              </w:rPr>
            </w:pPr>
            <w:r>
              <w:rPr>
                <w:rFonts w:ascii="宋体" w:hAnsi="宋体"/>
                <w:b/>
                <w:bCs/>
                <w:sz w:val="24"/>
                <w:szCs w:val="24"/>
                <w:shd w:val="clear" w:color="auto" w:fill="FFFFFF"/>
              </w:rPr>
              <w:t>3.1.2</w:t>
            </w:r>
            <w:r>
              <w:rPr>
                <w:rFonts w:hint="eastAsia" w:ascii="宋体" w:hAnsi="宋体"/>
                <w:b/>
                <w:bCs/>
                <w:sz w:val="24"/>
                <w:szCs w:val="24"/>
                <w:shd w:val="clear" w:color="auto" w:fill="FFFFFF"/>
              </w:rPr>
              <w:t>地质构造</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t>根据区域地质资料，</w:t>
            </w:r>
            <w:r>
              <w:rPr>
                <w:rFonts w:hint="eastAsia" w:ascii="Times New Roman" w:hAnsi="Times New Roman"/>
                <w:color w:val="000000"/>
                <w:szCs w:val="24"/>
                <w:shd w:val="clear" w:color="auto" w:fill="FFFFFF"/>
              </w:rPr>
              <w:t>场地周边分布的断裂主要为</w:t>
            </w:r>
            <w:r>
              <w:rPr>
                <w:rFonts w:ascii="Times New Roman" w:hAnsi="Times New Roman"/>
                <w:color w:val="000000"/>
                <w:szCs w:val="24"/>
                <w:shd w:val="clear" w:color="auto" w:fill="FFFFFF"/>
              </w:rPr>
              <w:t>呈东西向分布的王五-文教断裂</w:t>
            </w:r>
            <w:r>
              <w:rPr>
                <w:rFonts w:hint="eastAsia" w:ascii="Times New Roman" w:hAnsi="Times New Roman"/>
                <w:color w:val="000000"/>
                <w:szCs w:val="24"/>
                <w:shd w:val="clear" w:color="auto" w:fill="FFFFFF"/>
              </w:rPr>
              <w:t>和呈南北向分布的长流-仙沟断裂</w:t>
            </w:r>
            <w:r>
              <w:rPr>
                <w:rFonts w:ascii="Times New Roman" w:hAnsi="Times New Roman"/>
                <w:color w:val="000000"/>
                <w:szCs w:val="24"/>
                <w:shd w:val="clear" w:color="auto" w:fill="FFFFFF"/>
              </w:rPr>
              <w:t>。</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t>王五-文教断裂是琼中南隆起与北部湾坳陷的边界断裂，走向近东西，倾向北。展布于琼北地区，西起王五，向东经过澄迈、定安至文昌文教以东，陆地部分长约190km，该断裂中段构成北部湾盆地的南界。该断裂对新生界的地层的分布和第四纪微地貌的发育起着明显的控制作用，表现出上盘下降、下盘上升的正断层特征。断裂南侧为琼中南隆起区，主要出露前新生界地层，北侧上第三系沉积厚度可达3km以上，第四纪玄武岩亦广泛分布。该断裂多处被走向为NW和NE向断裂错断，具有明显分段性，大致以北东向临高断裂和北西向长流—仙沟断裂为界。</w:t>
            </w:r>
          </w:p>
          <w:p>
            <w:pPr>
              <w:pStyle w:val="139"/>
              <w:jc w:val="both"/>
              <w:rPr>
                <w:rFonts w:ascii="Times New Roman" w:hAnsi="Times New Roman"/>
                <w:color w:val="000000"/>
                <w:szCs w:val="24"/>
                <w:shd w:val="clear" w:color="auto" w:fill="FFFFFF"/>
              </w:rPr>
            </w:pPr>
            <w:r>
              <w:rPr>
                <w:rFonts w:hint="eastAsia" w:ascii="Times New Roman" w:hAnsi="Times New Roman"/>
                <w:color w:val="000000"/>
                <w:szCs w:val="24"/>
                <w:shd w:val="clear" w:color="auto" w:fill="FFFFFF"/>
              </w:rPr>
              <w:t>长流-仙沟断裂北起长流，向南经荣山、仙沟、至长昌煤矿一带，总体走向N</w:t>
            </w:r>
            <w:r>
              <w:rPr>
                <w:rFonts w:ascii="Times New Roman" w:hAnsi="Times New Roman"/>
                <w:color w:val="000000"/>
                <w:szCs w:val="24"/>
                <w:shd w:val="clear" w:color="auto" w:fill="FFFFFF"/>
              </w:rPr>
              <w:t>30</w:t>
            </w:r>
            <w:r>
              <w:rPr>
                <w:rFonts w:hint="eastAsia" w:ascii="Times New Roman" w:hAnsi="Times New Roman"/>
                <w:color w:val="000000"/>
                <w:szCs w:val="24"/>
                <w:shd w:val="clear" w:color="auto" w:fill="FFFFFF"/>
              </w:rPr>
              <w:t>°</w:t>
            </w:r>
            <w:r>
              <w:rPr>
                <w:rFonts w:ascii="Times New Roman" w:hAnsi="Times New Roman"/>
                <w:color w:val="000000"/>
                <w:szCs w:val="24"/>
                <w:shd w:val="clear" w:color="auto" w:fill="FFFFFF"/>
              </w:rPr>
              <w:t>W</w:t>
            </w:r>
            <w:r>
              <w:rPr>
                <w:rFonts w:hint="eastAsia" w:ascii="Times New Roman" w:hAnsi="Times New Roman"/>
                <w:color w:val="000000"/>
                <w:szCs w:val="24"/>
                <w:shd w:val="clear" w:color="auto" w:fill="FFFFFF"/>
              </w:rPr>
              <w:t>，倾向南西，倾角6</w:t>
            </w:r>
            <w:r>
              <w:rPr>
                <w:rFonts w:ascii="Times New Roman" w:hAnsi="Times New Roman"/>
                <w:color w:val="000000"/>
                <w:szCs w:val="24"/>
                <w:shd w:val="clear" w:color="auto" w:fill="FFFFFF"/>
              </w:rPr>
              <w:t>0</w:t>
            </w:r>
            <w:r>
              <w:rPr>
                <w:rFonts w:hint="eastAsia" w:ascii="Times New Roman" w:hAnsi="Times New Roman"/>
                <w:color w:val="000000"/>
                <w:szCs w:val="24"/>
                <w:shd w:val="clear" w:color="auto" w:fill="FFFFFF"/>
              </w:rPr>
              <w:t>-</w:t>
            </w:r>
            <w:r>
              <w:rPr>
                <w:rFonts w:ascii="Times New Roman" w:hAnsi="Times New Roman"/>
                <w:color w:val="000000"/>
                <w:szCs w:val="24"/>
                <w:shd w:val="clear" w:color="auto" w:fill="FFFFFF"/>
              </w:rPr>
              <w:t>80</w:t>
            </w:r>
            <w:r>
              <w:rPr>
                <w:rFonts w:hint="eastAsia" w:ascii="Times New Roman" w:hAnsi="Times New Roman"/>
                <w:color w:val="000000"/>
                <w:szCs w:val="24"/>
                <w:shd w:val="clear" w:color="auto" w:fill="FFFFFF"/>
              </w:rPr>
              <w:t>°，长约7</w:t>
            </w:r>
            <w:r>
              <w:rPr>
                <w:rFonts w:ascii="Times New Roman" w:hAnsi="Times New Roman"/>
                <w:color w:val="000000"/>
                <w:szCs w:val="24"/>
                <w:shd w:val="clear" w:color="auto" w:fill="FFFFFF"/>
              </w:rPr>
              <w:t>5</w:t>
            </w:r>
            <w:r>
              <w:rPr>
                <w:rFonts w:hint="eastAsia" w:ascii="Times New Roman" w:hAnsi="Times New Roman"/>
                <w:color w:val="000000"/>
                <w:szCs w:val="24"/>
                <w:shd w:val="clear" w:color="auto" w:fill="FFFFFF"/>
              </w:rPr>
              <w:t>km。在琼北美鼎、石山、道堂等地错段上更新统，表现为东升西降，在道堂-石山-水新-咸琼一带还出现一系列晚更新世至全新世火山口，排列方向北北西向，并广泛分布早全新世石山组玄武岩。在断裂的安定田头村一带，可看到平直的玄武岩台地陡坎西升东降的现象。</w:t>
            </w:r>
          </w:p>
          <w:p>
            <w:pPr>
              <w:pStyle w:val="139"/>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t>场地内无影响场地稳定性的活动断裂、滑坡、崩塌等不良地质作用。</w:t>
            </w:r>
            <w:r>
              <w:rPr>
                <w:rFonts w:hint="eastAsia" w:ascii="Times New Roman" w:hAnsi="Times New Roman"/>
                <w:color w:val="000000"/>
                <w:szCs w:val="24"/>
                <w:shd w:val="clear" w:color="auto" w:fill="FFFFFF"/>
              </w:rPr>
              <w:t>区域构造简图见6</w:t>
            </w:r>
            <w:r>
              <w:rPr>
                <w:rFonts w:ascii="Times New Roman" w:hAnsi="Times New Roman"/>
                <w:color w:val="000000"/>
                <w:szCs w:val="24"/>
                <w:shd w:val="clear" w:color="auto" w:fill="FFFFFF"/>
              </w:rPr>
              <w:t>-7</w:t>
            </w:r>
            <w:r>
              <w:rPr>
                <w:rFonts w:hint="eastAsia" w:ascii="Times New Roman" w:hAnsi="Times New Roman"/>
                <w:color w:val="000000"/>
                <w:szCs w:val="24"/>
                <w:shd w:val="clear" w:color="auto" w:fill="FFFFFF"/>
              </w:rPr>
              <w:t>。</w:t>
            </w:r>
          </w:p>
          <w:p>
            <w:pPr>
              <w:spacing w:line="360" w:lineRule="auto"/>
              <w:ind w:firstLine="420" w:firstLineChars="200"/>
              <w:jc w:val="center"/>
              <w:outlineLvl w:val="2"/>
              <w:rPr>
                <w:rFonts w:ascii="Times New Roman" w:hAnsi="Times New Roman"/>
                <w:color w:val="000000"/>
                <w:szCs w:val="24"/>
                <w:shd w:val="clear" w:color="auto" w:fill="FFFFFF"/>
              </w:rPr>
            </w:pPr>
            <w:r>
              <w:rPr>
                <w:rFonts w:ascii="Times New Roman" w:hAnsi="Times New Roman"/>
                <w:color w:val="000000"/>
                <w:szCs w:val="24"/>
                <w:shd w:val="clear" w:color="auto" w:fill="FFFFFF"/>
              </w:rPr>
              <w:drawing>
                <wp:inline distT="0" distB="0" distL="0" distR="0">
                  <wp:extent cx="4720590" cy="462534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58"/>
                          <a:srcRect/>
                          <a:stretch>
                            <a:fillRect/>
                          </a:stretch>
                        </pic:blipFill>
                        <pic:spPr>
                          <a:xfrm>
                            <a:off x="0" y="0"/>
                            <a:ext cx="4720590" cy="4625340"/>
                          </a:xfrm>
                          <a:prstGeom prst="rect">
                            <a:avLst/>
                          </a:prstGeom>
                          <a:noFill/>
                          <a:ln>
                            <a:noFill/>
                          </a:ln>
                        </pic:spPr>
                      </pic:pic>
                    </a:graphicData>
                  </a:graphic>
                </wp:inline>
              </w:drawing>
            </w:r>
          </w:p>
          <w:p>
            <w:pPr>
              <w:pStyle w:val="111"/>
              <w:rPr>
                <w:bCs/>
                <w:kern w:val="0"/>
              </w:rPr>
            </w:pPr>
            <w:r>
              <w:rPr>
                <w:rFonts w:hint="eastAsia"/>
                <w:bCs/>
                <w:kern w:val="0"/>
              </w:rPr>
              <w:t>图6</w:t>
            </w:r>
            <w:r>
              <w:rPr>
                <w:bCs/>
                <w:kern w:val="0"/>
              </w:rPr>
              <w:t xml:space="preserve">-7 </w:t>
            </w:r>
            <w:r>
              <w:rPr>
                <w:rFonts w:hint="eastAsia"/>
                <w:bCs/>
                <w:kern w:val="0"/>
              </w:rPr>
              <w:t>区域构造简图</w:t>
            </w:r>
          </w:p>
          <w:p>
            <w:pPr>
              <w:spacing w:line="360" w:lineRule="auto"/>
              <w:ind w:firstLine="482" w:firstLineChars="200"/>
              <w:jc w:val="left"/>
              <w:outlineLvl w:val="2"/>
              <w:rPr>
                <w:rFonts w:ascii="宋体"/>
                <w:b/>
                <w:bCs/>
                <w:sz w:val="24"/>
                <w:szCs w:val="24"/>
                <w:shd w:val="clear" w:color="auto" w:fill="FFFFFF"/>
              </w:rPr>
            </w:pPr>
            <w:r>
              <w:rPr>
                <w:rFonts w:ascii="宋体" w:hAnsi="宋体"/>
                <w:b/>
                <w:bCs/>
                <w:sz w:val="24"/>
                <w:szCs w:val="24"/>
                <w:shd w:val="clear" w:color="auto" w:fill="FFFFFF"/>
              </w:rPr>
              <w:t>3.2</w:t>
            </w:r>
            <w:r>
              <w:rPr>
                <w:rFonts w:hint="eastAsia" w:ascii="宋体" w:hAnsi="宋体"/>
                <w:b/>
                <w:bCs/>
                <w:sz w:val="24"/>
                <w:szCs w:val="24"/>
                <w:shd w:val="clear" w:color="auto" w:fill="FFFFFF"/>
              </w:rPr>
              <w:t>水文地质条件</w:t>
            </w:r>
          </w:p>
          <w:p>
            <w:pPr>
              <w:pStyle w:val="139"/>
              <w:rPr>
                <w:color w:val="000000"/>
                <w:szCs w:val="24"/>
                <w:shd w:val="clear" w:color="auto" w:fill="FFFFFF"/>
              </w:rPr>
            </w:pPr>
            <w:r>
              <w:rPr>
                <w:rFonts w:hint="eastAsia"/>
                <w:color w:val="000000"/>
                <w:szCs w:val="24"/>
                <w:shd w:val="clear" w:color="auto" w:fill="FFFFFF"/>
              </w:rPr>
              <w:t>根据含水介质类型的不同，场地主要分布有第四系松散岩类孔隙水及第四系松散岩类孔隙微承压水。</w:t>
            </w:r>
          </w:p>
          <w:p>
            <w:pPr>
              <w:pStyle w:val="139"/>
              <w:rPr>
                <w:color w:val="000000"/>
                <w:szCs w:val="24"/>
                <w:shd w:val="clear" w:color="auto" w:fill="FFFFFF"/>
              </w:rPr>
            </w:pPr>
            <w:r>
              <w:rPr>
                <w:rFonts w:hint="eastAsia"/>
                <w:color w:val="000000"/>
                <w:szCs w:val="24"/>
                <w:shd w:val="clear" w:color="auto" w:fill="FFFFFF"/>
              </w:rPr>
              <w:t>（1）第四系松散岩类孔隙潜水</w:t>
            </w:r>
          </w:p>
          <w:p>
            <w:pPr>
              <w:pStyle w:val="139"/>
              <w:rPr>
                <w:color w:val="000000"/>
                <w:szCs w:val="24"/>
                <w:shd w:val="clear" w:color="auto" w:fill="FFFFFF"/>
              </w:rPr>
            </w:pPr>
            <w:r>
              <w:rPr>
                <w:rFonts w:hint="eastAsia"/>
                <w:color w:val="000000"/>
                <w:szCs w:val="24"/>
                <w:shd w:val="clear" w:color="auto" w:fill="FFFFFF"/>
              </w:rPr>
              <w:t>该含水层在区内广泛分布，含水层的主要岩性为浅黄色粉土、</w:t>
            </w:r>
            <w:r>
              <w:rPr>
                <w:rFonts w:ascii="Times New Roman" w:hAnsi="Times New Roman"/>
                <w:color w:val="000000"/>
                <w:szCs w:val="24"/>
                <w:shd w:val="clear" w:color="auto" w:fill="FFFFFF"/>
              </w:rPr>
              <w:t>土黄色、褐黄色</w:t>
            </w:r>
            <w:r>
              <w:rPr>
                <w:rFonts w:hint="eastAsia" w:ascii="Times New Roman" w:hAnsi="Times New Roman"/>
                <w:color w:val="000000"/>
                <w:szCs w:val="24"/>
                <w:shd w:val="clear" w:color="auto" w:fill="FFFFFF"/>
              </w:rPr>
              <w:t>中砂等，厚度小于</w:t>
            </w:r>
            <w:r>
              <w:rPr>
                <w:rFonts w:ascii="Times New Roman" w:hAnsi="Times New Roman"/>
                <w:color w:val="000000"/>
                <w:szCs w:val="24"/>
                <w:shd w:val="clear" w:color="auto" w:fill="FFFFFF"/>
              </w:rPr>
              <w:t>20m</w:t>
            </w:r>
            <w:r>
              <w:rPr>
                <w:rFonts w:hint="eastAsia" w:ascii="Times New Roman" w:hAnsi="Times New Roman"/>
                <w:color w:val="000000"/>
                <w:szCs w:val="24"/>
                <w:shd w:val="clear" w:color="auto" w:fill="FFFFFF"/>
              </w:rPr>
              <w:t>，水位埋深3</w:t>
            </w:r>
            <w:r>
              <w:rPr>
                <w:rFonts w:ascii="Times New Roman" w:hAnsi="Times New Roman"/>
                <w:color w:val="000000"/>
                <w:szCs w:val="24"/>
                <w:shd w:val="clear" w:color="auto" w:fill="FFFFFF"/>
              </w:rPr>
              <w:t>.00-6.00m</w:t>
            </w:r>
            <w:r>
              <w:rPr>
                <w:rFonts w:hint="eastAsia" w:ascii="Times New Roman" w:hAnsi="Times New Roman"/>
                <w:color w:val="000000"/>
                <w:szCs w:val="24"/>
                <w:shd w:val="clear" w:color="auto" w:fill="FFFFFF"/>
              </w:rPr>
              <w:t>，水量中等。</w:t>
            </w:r>
            <w:r>
              <w:rPr>
                <w:rFonts w:hint="eastAsia"/>
                <w:shd w:val="clear" w:color="auto" w:fill="FFFFFF"/>
              </w:rPr>
              <w:t>岩土工程试验监测手册粉土、粉质粘土的</w:t>
            </w:r>
            <w:r>
              <w:rPr>
                <w:shd w:val="clear" w:color="auto" w:fill="FFFFFF"/>
              </w:rPr>
              <w:t>渗透系数经验值为0.05-0.5m/d</w:t>
            </w:r>
            <w:r>
              <w:rPr>
                <w:rFonts w:hint="eastAsia" w:ascii="Times New Roman" w:hAnsi="Times New Roman"/>
                <w:color w:val="000000"/>
                <w:szCs w:val="24"/>
                <w:shd w:val="clear" w:color="auto" w:fill="FFFFFF"/>
              </w:rPr>
              <w:t>。</w:t>
            </w:r>
          </w:p>
          <w:p>
            <w:pPr>
              <w:pStyle w:val="139"/>
              <w:rPr>
                <w:color w:val="000000"/>
                <w:szCs w:val="24"/>
                <w:shd w:val="clear" w:color="auto" w:fill="FFFFFF"/>
              </w:rPr>
            </w:pPr>
            <w:r>
              <w:rPr>
                <w:rFonts w:hint="eastAsia"/>
                <w:color w:val="000000"/>
                <w:szCs w:val="24"/>
                <w:shd w:val="clear" w:color="auto" w:fill="FFFFFF"/>
              </w:rPr>
              <w:t>（2）第四系松散岩类孔隙微承压水</w:t>
            </w:r>
          </w:p>
          <w:p>
            <w:pPr>
              <w:pStyle w:val="139"/>
              <w:rPr>
                <w:color w:val="000000"/>
                <w:szCs w:val="24"/>
                <w:shd w:val="clear" w:color="auto" w:fill="FFFFFF"/>
              </w:rPr>
            </w:pPr>
            <w:r>
              <w:rPr>
                <w:rFonts w:hint="eastAsia"/>
                <w:color w:val="000000"/>
                <w:szCs w:val="24"/>
                <w:shd w:val="clear" w:color="auto" w:fill="FFFFFF"/>
              </w:rPr>
              <w:t>该含水层在区内广泛分布，含水层的主要岩性为褐黄色中砂、灰白色砾砂等，含水层的分布受地形的控制。</w:t>
            </w:r>
          </w:p>
          <w:p>
            <w:pPr>
              <w:spacing w:line="360" w:lineRule="auto"/>
              <w:ind w:firstLine="482" w:firstLineChars="200"/>
              <w:jc w:val="left"/>
              <w:outlineLvl w:val="2"/>
              <w:rPr>
                <w:rFonts w:ascii="宋体"/>
                <w:b/>
                <w:bCs/>
                <w:sz w:val="24"/>
                <w:szCs w:val="24"/>
                <w:shd w:val="clear" w:color="auto" w:fill="FFFFFF"/>
              </w:rPr>
            </w:pPr>
            <w:r>
              <w:rPr>
                <w:rFonts w:ascii="宋体" w:hAnsi="宋体"/>
                <w:b/>
                <w:bCs/>
                <w:sz w:val="24"/>
                <w:szCs w:val="24"/>
                <w:shd w:val="clear" w:color="auto" w:fill="FFFFFF"/>
              </w:rPr>
              <w:t>3.2.1</w:t>
            </w:r>
            <w:r>
              <w:rPr>
                <w:rFonts w:hint="eastAsia" w:ascii="宋体" w:hAnsi="宋体"/>
                <w:b/>
                <w:bCs/>
                <w:sz w:val="24"/>
                <w:szCs w:val="24"/>
                <w:shd w:val="clear" w:color="auto" w:fill="FFFFFF"/>
              </w:rPr>
              <w:t>地下水的补给、径流、排泄</w:t>
            </w:r>
          </w:p>
          <w:p>
            <w:pPr>
              <w:pStyle w:val="139"/>
              <w:rPr>
                <w:color w:val="000000"/>
                <w:szCs w:val="24"/>
                <w:shd w:val="clear" w:color="auto" w:fill="FFFFFF"/>
              </w:rPr>
            </w:pPr>
            <w:r>
              <w:rPr>
                <w:rFonts w:hint="eastAsia"/>
                <w:color w:val="000000"/>
                <w:szCs w:val="24"/>
                <w:shd w:val="clear" w:color="auto" w:fill="FFFFFF"/>
              </w:rPr>
              <w:t>（1）补给条件</w:t>
            </w:r>
          </w:p>
          <w:p>
            <w:pPr>
              <w:pStyle w:val="139"/>
              <w:jc w:val="both"/>
              <w:rPr>
                <w:color w:val="000000"/>
                <w:szCs w:val="24"/>
                <w:shd w:val="clear" w:color="auto" w:fill="FFFFFF"/>
              </w:rPr>
            </w:pPr>
            <w:r>
              <w:rPr>
                <w:rFonts w:hint="eastAsia"/>
                <w:color w:val="000000"/>
                <w:szCs w:val="24"/>
                <w:shd w:val="clear" w:color="auto" w:fill="FFFFFF"/>
              </w:rPr>
              <w:t>地下水的补给方式有多种形式，包含大气降水补给、灌溉水补给。该区内地下水埋深较浅，接受大气降雨补给；同时，该区有大量的农田分布，农田灌溉水部分被农作物吸收、蒸发，还有部分会渗入地下，即灌溉回归水也是该区地下水补给来源之一。</w:t>
            </w:r>
          </w:p>
          <w:p>
            <w:pPr>
              <w:pStyle w:val="139"/>
              <w:rPr>
                <w:color w:val="000000"/>
                <w:szCs w:val="24"/>
                <w:shd w:val="clear" w:color="auto" w:fill="FFFFFF"/>
              </w:rPr>
            </w:pPr>
            <w:r>
              <w:rPr>
                <w:rFonts w:hint="eastAsia"/>
                <w:color w:val="000000"/>
                <w:szCs w:val="24"/>
                <w:shd w:val="clear" w:color="auto" w:fill="FFFFFF"/>
              </w:rPr>
              <w:t>（2）径流特征</w:t>
            </w:r>
          </w:p>
          <w:p>
            <w:pPr>
              <w:pStyle w:val="139"/>
              <w:rPr>
                <w:color w:val="000000"/>
                <w:szCs w:val="24"/>
                <w:shd w:val="clear" w:color="auto" w:fill="FFFFFF"/>
              </w:rPr>
            </w:pPr>
            <w:r>
              <w:rPr>
                <w:color w:val="000000"/>
                <w:szCs w:val="24"/>
                <w:shd w:val="clear" w:color="auto" w:fill="FFFFFF"/>
              </w:rPr>
              <w:t>地下水的径流条件受地形地势的</w:t>
            </w:r>
            <w:r>
              <w:rPr>
                <w:rFonts w:hint="eastAsia"/>
                <w:color w:val="000000"/>
                <w:szCs w:val="24"/>
                <w:shd w:val="clear" w:color="auto" w:fill="FFFFFF"/>
              </w:rPr>
              <w:t>控制</w:t>
            </w:r>
            <w:r>
              <w:rPr>
                <w:color w:val="000000"/>
                <w:szCs w:val="24"/>
                <w:shd w:val="clear" w:color="auto" w:fill="FFFFFF"/>
              </w:rPr>
              <w:t>明显</w:t>
            </w:r>
            <w:r>
              <w:rPr>
                <w:rFonts w:hint="eastAsia"/>
                <w:color w:val="000000"/>
                <w:szCs w:val="24"/>
                <w:shd w:val="clear" w:color="auto" w:fill="FFFFFF"/>
              </w:rPr>
              <w:t>，一般沿着地形降低的方向流动。区内总体地势较平坦，总体上由东南向西北倾斜，故地下水总体由东南向西北径流。</w:t>
            </w:r>
          </w:p>
          <w:p>
            <w:pPr>
              <w:pStyle w:val="139"/>
              <w:rPr>
                <w:color w:val="000000"/>
                <w:szCs w:val="24"/>
                <w:shd w:val="clear" w:color="auto" w:fill="FFFFFF"/>
              </w:rPr>
            </w:pPr>
            <w:r>
              <w:rPr>
                <w:rFonts w:hint="eastAsia"/>
                <w:color w:val="000000"/>
                <w:szCs w:val="24"/>
                <w:shd w:val="clear" w:color="auto" w:fill="FFFFFF"/>
              </w:rPr>
              <w:t>（3）排泄</w:t>
            </w:r>
          </w:p>
          <w:p>
            <w:pPr>
              <w:pStyle w:val="139"/>
              <w:rPr>
                <w:color w:val="000000"/>
                <w:szCs w:val="24"/>
                <w:shd w:val="clear" w:color="auto" w:fill="FFFFFF"/>
              </w:rPr>
            </w:pPr>
            <w:r>
              <w:rPr>
                <w:rFonts w:hint="eastAsia"/>
                <w:color w:val="000000"/>
                <w:szCs w:val="24"/>
                <w:shd w:val="clear" w:color="auto" w:fill="FFFFFF"/>
              </w:rPr>
              <w:t>区内地下水的排泄主要有三种方式：向地表水排泄、蒸发和人工开采。厂区北侧为潭榄溪，地势较低，区内地下水会以泄流的形式排泄到该地表水体。另外，厂区周边农户有自备井，人工开采也是地下水的排泄方式之一。由于地下水埋深较小，一般在3</w:t>
            </w:r>
            <w:r>
              <w:rPr>
                <w:color w:val="000000"/>
                <w:szCs w:val="24"/>
                <w:shd w:val="clear" w:color="auto" w:fill="FFFFFF"/>
              </w:rPr>
              <w:t>-6m</w:t>
            </w:r>
            <w:r>
              <w:rPr>
                <w:rFonts w:hint="eastAsia"/>
                <w:color w:val="000000"/>
                <w:szCs w:val="24"/>
                <w:shd w:val="clear" w:color="auto" w:fill="FFFFFF"/>
              </w:rPr>
              <w:t>，故蒸发也是区内地下水的主要排泄方式之一。</w:t>
            </w:r>
          </w:p>
          <w:p>
            <w:pPr>
              <w:spacing w:line="360" w:lineRule="auto"/>
              <w:ind w:firstLine="482" w:firstLineChars="200"/>
              <w:jc w:val="left"/>
              <w:outlineLvl w:val="2"/>
              <w:rPr>
                <w:rFonts w:ascii="宋体" w:hAnsi="宋体"/>
                <w:b/>
                <w:bCs/>
                <w:sz w:val="24"/>
                <w:szCs w:val="24"/>
                <w:shd w:val="clear" w:color="auto" w:fill="FFFFFF"/>
              </w:rPr>
            </w:pPr>
            <w:r>
              <w:rPr>
                <w:rFonts w:ascii="宋体" w:hAnsi="宋体"/>
                <w:b/>
                <w:bCs/>
                <w:sz w:val="24"/>
                <w:szCs w:val="24"/>
                <w:shd w:val="clear" w:color="auto" w:fill="FFFFFF"/>
              </w:rPr>
              <w:t>3.2.2</w:t>
            </w:r>
            <w:r>
              <w:rPr>
                <w:rFonts w:hint="eastAsia" w:ascii="宋体" w:hAnsi="宋体"/>
                <w:b/>
                <w:bCs/>
                <w:sz w:val="24"/>
                <w:szCs w:val="24"/>
                <w:shd w:val="clear" w:color="auto" w:fill="FFFFFF"/>
              </w:rPr>
              <w:t>地下水与地表水的水力联系</w:t>
            </w:r>
          </w:p>
          <w:p>
            <w:pPr>
              <w:pStyle w:val="139"/>
              <w:rPr>
                <w:color w:val="000000"/>
                <w:szCs w:val="24"/>
                <w:shd w:val="clear" w:color="auto" w:fill="FFFFFF"/>
              </w:rPr>
            </w:pPr>
            <w:r>
              <w:rPr>
                <w:rFonts w:hint="eastAsia"/>
                <w:color w:val="000000"/>
                <w:szCs w:val="24"/>
                <w:shd w:val="clear" w:color="auto" w:fill="FFFFFF"/>
              </w:rPr>
              <w:t>勘查区北侧为潭榄溪，所处地势较低，一方面接受降水的直接补给，另一方面接收地势高处含水层的地下水径流补给。所以，区内地下水和地表水的水力联系是地下水补给地表水。</w:t>
            </w:r>
          </w:p>
          <w:p>
            <w:pPr>
              <w:spacing w:line="360" w:lineRule="auto"/>
              <w:ind w:firstLine="482" w:firstLineChars="200"/>
              <w:jc w:val="left"/>
              <w:outlineLvl w:val="2"/>
              <w:rPr>
                <w:rFonts w:ascii="宋体"/>
                <w:b/>
                <w:bCs/>
                <w:sz w:val="24"/>
                <w:szCs w:val="24"/>
                <w:shd w:val="clear" w:color="auto" w:fill="FFFFFF"/>
              </w:rPr>
            </w:pPr>
            <w:r>
              <w:rPr>
                <w:rFonts w:ascii="宋体" w:hAnsi="宋体"/>
                <w:b/>
                <w:bCs/>
                <w:sz w:val="24"/>
                <w:szCs w:val="24"/>
                <w:shd w:val="clear" w:color="auto" w:fill="FFFFFF"/>
              </w:rPr>
              <w:t>3.2.3</w:t>
            </w:r>
            <w:r>
              <w:rPr>
                <w:rFonts w:hint="eastAsia" w:ascii="宋体" w:hAnsi="宋体"/>
                <w:b/>
                <w:bCs/>
                <w:sz w:val="24"/>
                <w:szCs w:val="24"/>
                <w:shd w:val="clear" w:color="auto" w:fill="FFFFFF"/>
              </w:rPr>
              <w:t>地下水水位动态变化特征</w:t>
            </w:r>
          </w:p>
          <w:p>
            <w:pPr>
              <w:pStyle w:val="139"/>
              <w:rPr>
                <w:color w:val="000000"/>
                <w:szCs w:val="24"/>
                <w:shd w:val="clear" w:color="auto" w:fill="FFFFFF"/>
              </w:rPr>
            </w:pPr>
            <w:r>
              <w:rPr>
                <w:rFonts w:hint="eastAsia"/>
                <w:color w:val="000000"/>
                <w:szCs w:val="24"/>
                <w:shd w:val="clear" w:color="auto" w:fill="FFFFFF"/>
              </w:rPr>
              <w:t>区内</w:t>
            </w:r>
            <w:r>
              <w:rPr>
                <w:color w:val="000000"/>
                <w:szCs w:val="24"/>
                <w:shd w:val="clear" w:color="auto" w:fill="FFFFFF"/>
              </w:rPr>
              <w:t>地下</w:t>
            </w:r>
            <w:r>
              <w:rPr>
                <w:rFonts w:hint="eastAsia"/>
                <w:color w:val="000000"/>
                <w:szCs w:val="24"/>
                <w:shd w:val="clear" w:color="auto" w:fill="FFFFFF"/>
              </w:rPr>
              <w:t>水位和降雨关系密切</w:t>
            </w:r>
            <w:r>
              <w:rPr>
                <w:color w:val="000000"/>
                <w:szCs w:val="24"/>
                <w:shd w:val="clear" w:color="auto" w:fill="FFFFFF"/>
              </w:rPr>
              <w:t>，通常在雨季地下水位升高，在非雨季地下水位降低</w:t>
            </w:r>
            <w:r>
              <w:rPr>
                <w:rFonts w:hint="eastAsia"/>
                <w:color w:val="000000"/>
                <w:szCs w:val="24"/>
                <w:shd w:val="clear" w:color="auto" w:fill="FFFFFF"/>
              </w:rPr>
              <w:t>，因此</w:t>
            </w:r>
            <w:r>
              <w:rPr>
                <w:color w:val="000000"/>
                <w:szCs w:val="24"/>
                <w:shd w:val="clear" w:color="auto" w:fill="FFFFFF"/>
              </w:rPr>
              <w:t>区内地下水动态变化特征为降雨入渗—径流型水。</w:t>
            </w:r>
            <w:r>
              <w:rPr>
                <w:rFonts w:hint="eastAsia"/>
                <w:color w:val="000000"/>
                <w:szCs w:val="24"/>
                <w:shd w:val="clear" w:color="auto" w:fill="FFFFFF"/>
              </w:rPr>
              <w:t>定安</w:t>
            </w:r>
            <w:r>
              <w:rPr>
                <w:color w:val="000000"/>
                <w:szCs w:val="24"/>
                <w:shd w:val="clear" w:color="auto" w:fill="FFFFFF"/>
              </w:rPr>
              <w:t>县年内降雨集中在5-10月份，通常5-10月份处于丰水期，地下水位较高，在11-4月份地下水位较低，为地下水枯水期。虽然在个别丰水年份或者枯水年份地下水位会出现升高或者降低，但是从长时间序列来看，</w:t>
            </w:r>
            <w:r>
              <w:rPr>
                <w:rFonts w:hint="eastAsia"/>
                <w:color w:val="000000"/>
                <w:szCs w:val="24"/>
                <w:shd w:val="clear" w:color="auto" w:fill="FFFFFF"/>
              </w:rPr>
              <w:t>地下水位变动不大，水位变幅为1</w:t>
            </w:r>
            <w:r>
              <w:rPr>
                <w:color w:val="000000"/>
                <w:szCs w:val="24"/>
                <w:shd w:val="clear" w:color="auto" w:fill="FFFFFF"/>
              </w:rPr>
              <w:t>.5m</w:t>
            </w:r>
            <w:r>
              <w:rPr>
                <w:rFonts w:hint="eastAsia"/>
                <w:color w:val="000000"/>
                <w:szCs w:val="24"/>
                <w:shd w:val="clear" w:color="auto" w:fill="FFFFFF"/>
              </w:rPr>
              <w:t>，因此区内地下水年际动态应为基本稳定性。</w:t>
            </w:r>
          </w:p>
          <w:p>
            <w:pPr>
              <w:spacing w:line="360" w:lineRule="auto"/>
              <w:ind w:firstLine="482" w:firstLineChars="200"/>
              <w:jc w:val="left"/>
              <w:outlineLvl w:val="2"/>
              <w:rPr>
                <w:rFonts w:ascii="宋体"/>
                <w:b/>
                <w:bCs/>
                <w:sz w:val="24"/>
                <w:szCs w:val="24"/>
                <w:shd w:val="clear" w:color="auto" w:fill="FFFFFF"/>
              </w:rPr>
            </w:pPr>
            <w:r>
              <w:rPr>
                <w:rFonts w:ascii="宋体" w:hAnsi="宋体"/>
                <w:b/>
                <w:bCs/>
                <w:sz w:val="24"/>
                <w:szCs w:val="24"/>
                <w:shd w:val="clear" w:color="auto" w:fill="FFFFFF"/>
              </w:rPr>
              <w:t>3.2</w:t>
            </w:r>
            <w:r>
              <w:rPr>
                <w:rFonts w:hint="eastAsia" w:ascii="宋体" w:hAnsi="宋体"/>
                <w:b/>
                <w:bCs/>
                <w:sz w:val="24"/>
                <w:szCs w:val="24"/>
                <w:shd w:val="clear" w:color="auto" w:fill="FFFFFF"/>
              </w:rPr>
              <w:t>正常状况下废污水对地下水环境的影响分析</w:t>
            </w:r>
          </w:p>
          <w:p>
            <w:pPr>
              <w:pStyle w:val="114"/>
              <w:rPr>
                <w:shd w:val="clear" w:color="auto" w:fill="FFFFFF"/>
              </w:rPr>
            </w:pPr>
            <w:r>
              <w:rPr>
                <w:rFonts w:hint="eastAsia" w:ascii="宋体" w:hAnsi="宋体"/>
                <w:bCs w:val="0"/>
                <w:color w:val="000000"/>
                <w:szCs w:val="24"/>
                <w:shd w:val="clear" w:color="auto" w:fill="FFFFFF"/>
              </w:rPr>
              <w:t>本项目</w:t>
            </w:r>
            <w:r>
              <w:rPr>
                <w:rFonts w:ascii="宋体" w:hAnsi="宋体"/>
                <w:bCs w:val="0"/>
                <w:color w:val="000000"/>
                <w:szCs w:val="24"/>
                <w:shd w:val="clear" w:color="auto" w:fill="FFFFFF"/>
              </w:rPr>
              <w:t>主要建设内容包括新建处理规模为1.5万m</w:t>
            </w:r>
            <w:r>
              <w:rPr>
                <w:rFonts w:ascii="宋体" w:hAnsi="宋体"/>
                <w:bCs w:val="0"/>
                <w:color w:val="000000"/>
                <w:szCs w:val="24"/>
                <w:shd w:val="clear" w:color="auto" w:fill="FFFFFF"/>
                <w:vertAlign w:val="superscript"/>
              </w:rPr>
              <w:t>3</w:t>
            </w:r>
            <w:r>
              <w:rPr>
                <w:rFonts w:ascii="宋体" w:hAnsi="宋体"/>
                <w:bCs w:val="0"/>
                <w:color w:val="000000"/>
                <w:szCs w:val="24"/>
                <w:shd w:val="clear" w:color="auto" w:fill="FFFFFF"/>
              </w:rPr>
              <w:t>/d污水处理</w:t>
            </w:r>
            <w:r>
              <w:rPr>
                <w:rFonts w:hint="eastAsia" w:ascii="宋体" w:hAnsi="宋体"/>
                <w:bCs w:val="0"/>
                <w:color w:val="000000"/>
                <w:szCs w:val="24"/>
                <w:shd w:val="clear" w:color="auto" w:fill="FFFFFF"/>
              </w:rPr>
              <w:t>设施一套</w:t>
            </w:r>
            <w:r>
              <w:rPr>
                <w:rFonts w:ascii="宋体" w:hAnsi="宋体"/>
                <w:bCs w:val="0"/>
                <w:color w:val="000000"/>
                <w:szCs w:val="24"/>
                <w:shd w:val="clear" w:color="auto" w:fill="FFFFFF"/>
              </w:rPr>
              <w:t>，</w:t>
            </w:r>
            <w:r>
              <w:rPr>
                <w:rFonts w:hint="eastAsia" w:ascii="宋体" w:hAnsi="宋体"/>
                <w:bCs w:val="0"/>
                <w:color w:val="000000"/>
                <w:szCs w:val="24"/>
                <w:shd w:val="clear" w:color="auto" w:fill="FFFFFF"/>
              </w:rPr>
              <w:t>同时</w:t>
            </w:r>
            <w:r>
              <w:rPr>
                <w:rFonts w:ascii="宋体" w:hAnsi="宋体"/>
                <w:bCs w:val="0"/>
                <w:color w:val="000000"/>
                <w:szCs w:val="24"/>
                <w:shd w:val="clear" w:color="auto" w:fill="FFFFFF"/>
              </w:rPr>
              <w:t>对一期工程部分处理建构筑物进行局部改造，对部分工艺设备进行更换</w:t>
            </w:r>
            <w:r>
              <w:rPr>
                <w:rFonts w:hint="eastAsia" w:ascii="宋体" w:hAnsi="宋体"/>
                <w:bCs w:val="0"/>
                <w:color w:val="000000"/>
                <w:szCs w:val="24"/>
                <w:shd w:val="clear" w:color="auto" w:fill="FFFFFF"/>
              </w:rPr>
              <w:t>，</w:t>
            </w:r>
            <w:r>
              <w:rPr>
                <w:rFonts w:hint="eastAsia"/>
                <w:shd w:val="clear" w:color="auto" w:fill="FFFFFF"/>
              </w:rPr>
              <w:t>各构筑物均按要求进行了防渗处理；扩建工程</w:t>
            </w:r>
            <w:r>
              <w:rPr>
                <w:rFonts w:hint="eastAsia"/>
              </w:rPr>
              <w:t>不新增员工，</w:t>
            </w:r>
            <w:r>
              <w:t>污水处理厂本身产生的设备清洗废水全部进入污水处理系统处理。</w:t>
            </w:r>
            <w:r>
              <w:rPr>
                <w:rFonts w:hint="eastAsia"/>
                <w:shd w:val="clear" w:color="auto" w:fill="FFFFFF"/>
              </w:rPr>
              <w:t>因此正常工况下，废污水不会对研究区地下水水环境产生影响。</w:t>
            </w:r>
          </w:p>
          <w:p>
            <w:pPr>
              <w:spacing w:line="360" w:lineRule="auto"/>
              <w:ind w:firstLine="482" w:firstLineChars="200"/>
              <w:jc w:val="left"/>
              <w:outlineLvl w:val="2"/>
              <w:rPr>
                <w:rFonts w:ascii="宋体"/>
                <w:b/>
                <w:bCs/>
                <w:color w:val="000000" w:themeColor="text1"/>
                <w:sz w:val="24"/>
                <w:szCs w:val="24"/>
                <w:shd w:val="clear" w:color="auto" w:fill="FFFFFF"/>
                <w14:textFill>
                  <w14:solidFill>
                    <w14:schemeClr w14:val="tx1"/>
                  </w14:solidFill>
                </w14:textFill>
              </w:rPr>
            </w:pPr>
            <w:r>
              <w:rPr>
                <w:rFonts w:ascii="宋体" w:hAnsi="宋体"/>
                <w:b/>
                <w:bCs/>
                <w:color w:val="000000" w:themeColor="text1"/>
                <w:sz w:val="24"/>
                <w:szCs w:val="24"/>
                <w:shd w:val="clear" w:color="auto" w:fill="FFFFFF"/>
                <w14:textFill>
                  <w14:solidFill>
                    <w14:schemeClr w14:val="tx1"/>
                  </w14:solidFill>
                </w14:textFill>
              </w:rPr>
              <w:t>3.3</w:t>
            </w:r>
            <w:r>
              <w:rPr>
                <w:rFonts w:hint="eastAsia" w:ascii="宋体" w:hAnsi="宋体"/>
                <w:b/>
                <w:bCs/>
                <w:color w:val="000000" w:themeColor="text1"/>
                <w:sz w:val="24"/>
                <w:szCs w:val="24"/>
                <w:shd w:val="clear" w:color="auto" w:fill="FFFFFF"/>
                <w14:textFill>
                  <w14:solidFill>
                    <w14:schemeClr w14:val="tx1"/>
                  </w14:solidFill>
                </w14:textFill>
              </w:rPr>
              <w:t>非正常状况下废污水对地下水环境的影响分析</w:t>
            </w:r>
          </w:p>
          <w:p>
            <w:pPr>
              <w:pStyle w:val="114"/>
              <w:rPr>
                <w:shd w:val="clear" w:color="auto" w:fill="FFFFFF"/>
              </w:rPr>
            </w:pPr>
            <w:r>
              <w:rPr>
                <w:rFonts w:hint="eastAsia"/>
                <w:shd w:val="clear" w:color="auto" w:fill="FFFFFF"/>
              </w:rPr>
              <w:t>扩建项目主要新增工程有细格栅及曝气沉砂池、改良型合建式</w:t>
            </w:r>
            <w:r>
              <w:rPr>
                <w:shd w:val="clear" w:color="auto" w:fill="FFFFFF"/>
              </w:rPr>
              <w:t>AAO</w:t>
            </w:r>
            <w:r>
              <w:rPr>
                <w:rFonts w:hint="eastAsia"/>
                <w:shd w:val="clear" w:color="auto" w:fill="FFFFFF"/>
              </w:rPr>
              <w:t>生物池、活性砂滤池、接触消毒池、加药间、贮泥池、脱水车间、中水清水池、中水泵房、中水管网预留阀门井等，各工程单元均存在因系统老化、腐蚀等原因而出现废污水跑冒滴漏风险。</w:t>
            </w:r>
          </w:p>
          <w:p>
            <w:pPr>
              <w:pStyle w:val="114"/>
              <w:rPr>
                <w:shd w:val="clear" w:color="auto" w:fill="FFFFFF"/>
              </w:rPr>
            </w:pPr>
            <w:r>
              <w:rPr>
                <w:rFonts w:hint="eastAsia"/>
                <w:shd w:val="clear" w:color="auto" w:fill="FFFFFF"/>
              </w:rPr>
              <w:t>1、非正常状况下预测单元的选择</w:t>
            </w:r>
          </w:p>
          <w:p>
            <w:pPr>
              <w:pStyle w:val="114"/>
              <w:rPr>
                <w:shd w:val="clear" w:color="auto" w:fill="FFFFFF"/>
              </w:rPr>
            </w:pPr>
            <w:r>
              <w:rPr>
                <w:rFonts w:hint="eastAsia"/>
              </w:rPr>
              <w:t>根据项目的总平面布置、废污水产生量和废污水的类型，</w:t>
            </w:r>
            <w:r>
              <w:rPr>
                <w:rFonts w:hint="eastAsia"/>
                <w:shd w:val="clear" w:color="auto" w:fill="FFFFFF"/>
              </w:rPr>
              <w:t>本次选取</w:t>
            </w:r>
            <w:bookmarkStart w:id="41" w:name="_Hlk16233627"/>
            <w:r>
              <w:rPr>
                <w:rFonts w:hint="eastAsia"/>
              </w:rPr>
              <w:t>改良型合建式</w:t>
            </w:r>
            <w:r>
              <w:t>AAO</w:t>
            </w:r>
            <w:bookmarkEnd w:id="41"/>
            <w:r>
              <w:rPr>
                <w:rFonts w:hint="eastAsia"/>
              </w:rPr>
              <w:t>生物池</w:t>
            </w:r>
            <w:r>
              <w:rPr>
                <w:rFonts w:hint="eastAsia"/>
                <w:shd w:val="clear" w:color="auto" w:fill="FFFFFF"/>
              </w:rPr>
              <w:t>作为模拟预测单元，模拟预测非正常状况下地下水影响预测。</w:t>
            </w:r>
          </w:p>
          <w:p>
            <w:pPr>
              <w:pStyle w:val="114"/>
              <w:rPr>
                <w:shd w:val="clear" w:color="auto" w:fill="FFFFFF"/>
              </w:rPr>
            </w:pPr>
            <w:r>
              <w:rPr>
                <w:rFonts w:hint="eastAsia"/>
                <w:shd w:val="clear" w:color="auto" w:fill="FFFFFF"/>
              </w:rPr>
              <w:t>2、预测情景的设置</w:t>
            </w:r>
          </w:p>
          <w:p>
            <w:pPr>
              <w:pStyle w:val="114"/>
              <w:rPr>
                <w:shd w:val="clear" w:color="auto" w:fill="FFFFFF"/>
              </w:rPr>
            </w:pPr>
            <w:r>
              <w:rPr>
                <w:shd w:val="clear" w:color="auto" w:fill="FFFFFF"/>
              </w:rPr>
              <w:t>改良型合建式AAO生物池采取了有效的防渗措施，在防渗层老化破损防渗性能降低的非正常状况下，污水会渗漏进入含水层。假设改良型合建式AAO生物池出现破损，破损面积占池体总面积的1%，污水通过改良型合建式AAO生物池的破损区域渗漏进入下部包气带，继而渗漏进含水层；由于改良型合建式AAO生物池为半地埋式，污水渗漏事故发生至通过下游监测井监测到渗漏事故并切断污染源，其可能持续的时间为监测井的监测周期，即30天。改良型合建式AAO生物池尺寸为51.4m×38.7m×6.5m,厂区包气带岩性为粉土、粉质粘土，根据</w:t>
            </w:r>
            <w:r>
              <w:rPr>
                <w:rFonts w:hint="eastAsia"/>
                <w:shd w:val="clear" w:color="auto" w:fill="FFFFFF"/>
              </w:rPr>
              <w:t>岩土工程试验监测手册粉土的</w:t>
            </w:r>
            <w:r>
              <w:rPr>
                <w:shd w:val="clear" w:color="auto" w:fill="FFFFFF"/>
              </w:rPr>
              <w:t>渗透系数经验值为0.05-0.5m/d，本次按照渗透系数为0.5m/d计算污染物的渗漏量。通过达西定律计算每天渗漏进入含水层的淋溶水的量。</w:t>
            </w:r>
          </w:p>
          <w:p>
            <w:pPr>
              <w:spacing w:line="360" w:lineRule="auto"/>
              <w:ind w:firstLine="480" w:firstLineChars="200"/>
              <w:rPr>
                <w:rFonts w:ascii="Times New Roman" w:hAnsi="Times New Roman"/>
                <w:sz w:val="24"/>
              </w:rPr>
            </w:pPr>
            <w:r>
              <w:rPr>
                <w:rFonts w:hint="eastAsia" w:ascii="Times New Roman" w:hAnsi="Times New Roman"/>
                <w:sz w:val="24"/>
              </w:rPr>
              <w:t>计算公式：Q</w:t>
            </w:r>
            <w:r>
              <w:rPr>
                <w:rFonts w:ascii="Times New Roman" w:hAnsi="Times New Roman"/>
                <w:sz w:val="24"/>
              </w:rPr>
              <w:t>=K×I×A</w:t>
            </w:r>
          </w:p>
          <w:p>
            <w:pPr>
              <w:spacing w:line="360" w:lineRule="auto"/>
              <w:ind w:firstLine="480" w:firstLineChars="200"/>
              <w:rPr>
                <w:rFonts w:ascii="Times New Roman" w:hAnsi="Times New Roman"/>
                <w:sz w:val="24"/>
              </w:rPr>
            </w:pPr>
            <w:r>
              <w:rPr>
                <w:rFonts w:hint="eastAsia" w:ascii="Times New Roman" w:hAnsi="Times New Roman"/>
                <w:sz w:val="24"/>
              </w:rPr>
              <w:t>其中：Q——每天渗漏进入含水层的污水的量，单位</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/d</w:t>
            </w:r>
            <w:r>
              <w:rPr>
                <w:rFonts w:hint="eastAsia" w:ascii="Times New Roman" w:hAnsi="Times New Roman"/>
                <w:sz w:val="24"/>
              </w:rPr>
              <w:t>；</w:t>
            </w:r>
          </w:p>
          <w:p>
            <w:pPr>
              <w:spacing w:line="360" w:lineRule="auto"/>
              <w:ind w:left="420" w:leftChars="200"/>
              <w:rPr>
                <w:rFonts w:ascii="Times New Roman" w:hAnsi="Times New Roman"/>
                <w:sz w:val="24"/>
              </w:rPr>
            </w:pPr>
            <w:r>
              <w:rPr>
                <w:rFonts w:hint="eastAsia" w:ascii="Times New Roman" w:hAnsi="Times New Roman"/>
                <w:sz w:val="24"/>
              </w:rPr>
              <w:t xml:space="preserve"> </w:t>
            </w:r>
            <w:r>
              <w:rPr>
                <w:rFonts w:ascii="Times New Roman" w:hAnsi="Times New Roman"/>
                <w:sz w:val="24"/>
              </w:rPr>
              <w:t xml:space="preserve">     K</w:t>
            </w:r>
            <w:r>
              <w:rPr>
                <w:rFonts w:hint="eastAsia" w:ascii="Times New Roman" w:hAnsi="Times New Roman"/>
                <w:sz w:val="24"/>
              </w:rPr>
              <w:t>——包气带垂向渗透系数，取项目区包气带平均渗透系数为</w:t>
            </w:r>
            <w:r>
              <w:rPr>
                <w:rFonts w:ascii="Times New Roman" w:hAnsi="Times New Roman"/>
                <w:shd w:val="clear" w:color="auto" w:fill="FFFFFF"/>
              </w:rPr>
              <w:t>0.5m/d</w:t>
            </w:r>
            <w:r>
              <w:rPr>
                <w:rFonts w:hint="eastAsia" w:ascii="Times New Roman" w:hAnsi="Times New Roman"/>
                <w:sz w:val="24"/>
              </w:rPr>
              <w:t>；</w:t>
            </w:r>
          </w:p>
          <w:p>
            <w:pPr>
              <w:spacing w:line="360" w:lineRule="auto"/>
              <w:ind w:firstLine="1200" w:firstLineChars="500"/>
              <w:rPr>
                <w:rFonts w:ascii="Times New Roman" w:hAnsi="Times New Roman"/>
                <w:sz w:val="24"/>
              </w:rPr>
            </w:pPr>
            <w:r>
              <w:rPr>
                <w:rFonts w:ascii="Times New Roman" w:hAnsi="Times New Roman"/>
                <w:sz w:val="24"/>
              </w:rPr>
              <w:t>I</w:t>
            </w:r>
            <w:r>
              <w:rPr>
                <w:rFonts w:hint="eastAsia" w:ascii="Times New Roman" w:hAnsi="Times New Roman"/>
                <w:sz w:val="24"/>
              </w:rPr>
              <w:t>——水力梯度，在连续渗漏事故下，其水头差和渗流路径一致，故取值为1；</w:t>
            </w:r>
          </w:p>
          <w:p>
            <w:pPr>
              <w:spacing w:line="360" w:lineRule="auto"/>
              <w:ind w:firstLine="1200" w:firstLineChars="500"/>
              <w:rPr>
                <w:rFonts w:ascii="Times New Roman" w:hAnsi="Times New Roman"/>
                <w:sz w:val="24"/>
              </w:rPr>
            </w:pPr>
            <w:r>
              <w:rPr>
                <w:rFonts w:ascii="Times New Roman" w:hAnsi="Times New Roman"/>
                <w:sz w:val="24"/>
              </w:rPr>
              <w:t>A</w:t>
            </w:r>
            <w:r>
              <w:rPr>
                <w:rFonts w:hint="eastAsia" w:ascii="Times New Roman" w:hAnsi="Times New Roman"/>
                <w:sz w:val="24"/>
              </w:rPr>
              <w:t>——发生渗漏事故的破损区面积，</w:t>
            </w:r>
            <w:r>
              <w:rPr>
                <w:rFonts w:ascii="Times New Roman" w:hAnsi="Times New Roman"/>
                <w:sz w:val="24"/>
              </w:rPr>
              <w:t>51.4*38.7*1%=19.9m</w:t>
            </w:r>
            <w:r>
              <w:rPr>
                <w:rFonts w:ascii="Times New Roman" w:hAnsi="Times New Roman"/>
                <w:sz w:val="24"/>
                <w:vertAlign w:val="superscript"/>
              </w:rPr>
              <w:t>2</w:t>
            </w:r>
            <w:r>
              <w:rPr>
                <w:rFonts w:hint="eastAsia" w:ascii="Times New Roman" w:hAnsi="Times New Roman"/>
                <w:sz w:val="24"/>
              </w:rPr>
              <w:t>。</w:t>
            </w:r>
          </w:p>
          <w:p>
            <w:pPr>
              <w:pStyle w:val="114"/>
              <w:rPr>
                <w:shd w:val="clear" w:color="auto" w:fill="FFFFFF"/>
              </w:rPr>
            </w:pPr>
            <w:r>
              <w:rPr>
                <w:rFonts w:hint="eastAsia"/>
                <w:shd w:val="clear" w:color="auto" w:fill="FFFFFF"/>
              </w:rPr>
              <w:t>通过计算得到，每天渗漏进入含水层的污水的量为</w:t>
            </w:r>
            <w:r>
              <w:rPr>
                <w:shd w:val="clear" w:color="auto" w:fill="FFFFFF"/>
              </w:rPr>
              <w:t>9.95m</w:t>
            </w:r>
            <w:r>
              <w:rPr>
                <w:shd w:val="clear" w:color="auto" w:fill="FFFFFF"/>
                <w:vertAlign w:val="superscript"/>
              </w:rPr>
              <w:t>3</w:t>
            </w:r>
            <w:r>
              <w:rPr>
                <w:shd w:val="clear" w:color="auto" w:fill="FFFFFF"/>
              </w:rPr>
              <w:t>/d</w:t>
            </w:r>
            <w:r>
              <w:rPr>
                <w:rFonts w:hint="eastAsia"/>
                <w:shd w:val="clear" w:color="auto" w:fill="FFFFFF"/>
              </w:rPr>
              <w:t>。</w:t>
            </w:r>
          </w:p>
          <w:p>
            <w:pPr>
              <w:pStyle w:val="114"/>
              <w:rPr>
                <w:shd w:val="clear" w:color="auto" w:fill="FFFFFF"/>
              </w:rPr>
            </w:pPr>
            <w:r>
              <w:rPr>
                <w:rFonts w:hint="eastAsia"/>
                <w:shd w:val="clear" w:color="auto" w:fill="FFFFFF"/>
              </w:rPr>
              <w:t>综上所述，</w:t>
            </w:r>
            <w:r>
              <w:rPr>
                <w:shd w:val="clear" w:color="auto" w:fill="FFFFFF"/>
              </w:rPr>
              <w:t>改良型合建式AAO生物池</w:t>
            </w:r>
            <w:r>
              <w:rPr>
                <w:rFonts w:hint="eastAsia"/>
                <w:shd w:val="clear" w:color="auto" w:fill="FFFFFF"/>
              </w:rPr>
              <w:t>渗漏事故模拟预测情景为</w:t>
            </w:r>
            <w:r>
              <w:rPr>
                <w:shd w:val="clear" w:color="auto" w:fill="FFFFFF"/>
              </w:rPr>
              <w:t>改良型合建式AAO生物池</w:t>
            </w:r>
            <w:r>
              <w:rPr>
                <w:rFonts w:hint="eastAsia"/>
                <w:shd w:val="clear" w:color="auto" w:fill="FFFFFF"/>
              </w:rPr>
              <w:t>每天渗漏污水的量为</w:t>
            </w:r>
            <w:r>
              <w:rPr>
                <w:shd w:val="clear" w:color="auto" w:fill="FFFFFF"/>
              </w:rPr>
              <w:t>9.95m</w:t>
            </w:r>
            <w:r>
              <w:rPr>
                <w:shd w:val="clear" w:color="auto" w:fill="FFFFFF"/>
                <w:vertAlign w:val="superscript"/>
              </w:rPr>
              <w:t>3</w:t>
            </w:r>
            <w:r>
              <w:rPr>
                <w:shd w:val="clear" w:color="auto" w:fill="FFFFFF"/>
              </w:rPr>
              <w:t>/d</w:t>
            </w:r>
            <w:r>
              <w:rPr>
                <w:rFonts w:hint="eastAsia"/>
                <w:shd w:val="clear" w:color="auto" w:fill="FFFFFF"/>
              </w:rPr>
              <w:t>，连续渗漏时间为</w:t>
            </w:r>
            <w:r>
              <w:rPr>
                <w:shd w:val="clear" w:color="auto" w:fill="FFFFFF"/>
              </w:rPr>
              <w:t>30</w:t>
            </w:r>
            <w:r>
              <w:rPr>
                <w:rFonts w:hint="eastAsia"/>
                <w:shd w:val="clear" w:color="auto" w:fill="FFFFFF"/>
              </w:rPr>
              <w:t>天。</w:t>
            </w:r>
          </w:p>
          <w:p>
            <w:pPr>
              <w:pStyle w:val="114"/>
              <w:rPr>
                <w:shd w:val="clear" w:color="auto" w:fill="FFFFFF"/>
              </w:rPr>
            </w:pPr>
            <w:r>
              <w:rPr>
                <w:rFonts w:hint="eastAsia"/>
                <w:shd w:val="clear" w:color="auto" w:fill="FFFFFF"/>
              </w:rPr>
              <w:t>3、预测因子的选择</w:t>
            </w:r>
          </w:p>
          <w:p>
            <w:pPr>
              <w:pStyle w:val="114"/>
              <w:rPr>
                <w:shd w:val="clear" w:color="auto" w:fill="FFFFFF"/>
              </w:rPr>
            </w:pPr>
            <w:r>
              <w:rPr>
                <w:shd w:val="clear" w:color="auto" w:fill="FFFFFF"/>
              </w:rPr>
              <w:t>改良型合建式AAO生物池</w:t>
            </w:r>
            <w:r>
              <w:rPr>
                <w:rFonts w:hint="eastAsia"/>
                <w:shd w:val="clear" w:color="auto" w:fill="FFFFFF"/>
              </w:rPr>
              <w:t>破损泄漏</w:t>
            </w:r>
            <w:r>
              <w:rPr>
                <w:shd w:val="clear" w:color="auto" w:fill="FFFFFF"/>
              </w:rPr>
              <w:t>非正常状况</w:t>
            </w:r>
            <w:r>
              <w:rPr>
                <w:rFonts w:hint="eastAsia"/>
                <w:shd w:val="clear" w:color="auto" w:fill="FFFFFF"/>
              </w:rPr>
              <w:t>下，泄漏时间为下游监测井的监测周期</w:t>
            </w:r>
            <w:r>
              <w:rPr>
                <w:shd w:val="clear" w:color="auto" w:fill="FFFFFF"/>
              </w:rPr>
              <w:t>30d</w:t>
            </w:r>
            <w:r>
              <w:rPr>
                <w:rFonts w:hint="eastAsia"/>
                <w:shd w:val="clear" w:color="auto" w:fill="FFFFFF"/>
              </w:rPr>
              <w:t>。根据</w:t>
            </w:r>
            <w:r>
              <w:rPr>
                <w:rFonts w:hint="eastAsia"/>
              </w:rPr>
              <w:t>设计文件和风险最大化原则，</w:t>
            </w:r>
            <w:r>
              <w:rPr>
                <w:rFonts w:hint="eastAsia"/>
                <w:shd w:val="clear" w:color="auto" w:fill="FFFFFF"/>
              </w:rPr>
              <w:t>本次泄漏点的污染物浓度以污水处理场的进水水质作为源强浓度。废污水的主要污染物为氨氮、</w:t>
            </w:r>
            <w:r>
              <w:rPr>
                <w:shd w:val="clear" w:color="auto" w:fill="FFFFFF"/>
              </w:rPr>
              <w:t>COD</w:t>
            </w:r>
            <w:r>
              <w:rPr>
                <w:rFonts w:hint="eastAsia"/>
                <w:shd w:val="clear" w:color="auto" w:fill="FFFFFF"/>
              </w:rPr>
              <w:t>、</w:t>
            </w:r>
            <w:r>
              <w:rPr>
                <w:shd w:val="clear" w:color="auto" w:fill="FFFFFF"/>
              </w:rPr>
              <w:t>BOD</w:t>
            </w:r>
            <w:r>
              <w:rPr>
                <w:shd w:val="clear" w:color="auto" w:fill="FFFFFF"/>
                <w:vertAlign w:val="subscript"/>
              </w:rPr>
              <w:t>5</w:t>
            </w:r>
            <w:r>
              <w:rPr>
                <w:rFonts w:hint="eastAsia"/>
                <w:shd w:val="clear" w:color="auto" w:fill="FFFFFF"/>
              </w:rPr>
              <w:t>、</w:t>
            </w:r>
            <w:r>
              <w:rPr>
                <w:shd w:val="clear" w:color="auto" w:fill="FFFFFF"/>
              </w:rPr>
              <w:t>SS</w:t>
            </w:r>
            <w:r>
              <w:rPr>
                <w:rFonts w:hint="eastAsia"/>
                <w:shd w:val="clear" w:color="auto" w:fill="FFFFFF"/>
              </w:rPr>
              <w:t>，根据初步设计文件，本次预测选取氨氮、</w:t>
            </w:r>
            <w:r>
              <w:rPr>
                <w:shd w:val="clear" w:color="auto" w:fill="FFFFFF"/>
              </w:rPr>
              <w:t>COD</w:t>
            </w:r>
            <w:r>
              <w:rPr>
                <w:rFonts w:hint="eastAsia"/>
                <w:shd w:val="clear" w:color="auto" w:fill="FFFFFF"/>
              </w:rPr>
              <w:t>的浓度上限进行预测。</w:t>
            </w:r>
          </w:p>
          <w:p>
            <w:pPr>
              <w:pStyle w:val="114"/>
              <w:rPr>
                <w:shd w:val="clear" w:color="auto" w:fill="FFFFFF"/>
              </w:rPr>
            </w:pPr>
            <w:r>
              <w:rPr>
                <w:rFonts w:hint="eastAsia"/>
                <w:shd w:val="clear" w:color="auto" w:fill="FFFFFF"/>
              </w:rPr>
              <w:t>其次，由于《地下水质量标准》（</w:t>
            </w:r>
            <w:r>
              <w:rPr>
                <w:shd w:val="clear" w:color="auto" w:fill="FFFFFF"/>
              </w:rPr>
              <w:t>GB/T14848-2017</w:t>
            </w:r>
            <w:r>
              <w:rPr>
                <w:rFonts w:hint="eastAsia"/>
                <w:shd w:val="clear" w:color="auto" w:fill="FFFFFF"/>
              </w:rPr>
              <w:t>）中没有</w:t>
            </w:r>
            <w:r>
              <w:rPr>
                <w:shd w:val="clear" w:color="auto" w:fill="FFFFFF"/>
              </w:rPr>
              <w:t>CODcr</w:t>
            </w:r>
            <w:r>
              <w:rPr>
                <w:rFonts w:hint="eastAsia"/>
                <w:shd w:val="clear" w:color="auto" w:fill="FFFFFF"/>
              </w:rPr>
              <w:t>的标准限值，仅有耗氧量（以</w:t>
            </w:r>
            <w:r>
              <w:rPr>
                <w:shd w:val="clear" w:color="auto" w:fill="FFFFFF"/>
              </w:rPr>
              <w:t>COD</w:t>
            </w:r>
            <w:r>
              <w:rPr>
                <w:shd w:val="clear" w:color="auto" w:fill="FFFFFF"/>
                <w:vertAlign w:val="subscript"/>
              </w:rPr>
              <w:t>Mn</w:t>
            </w:r>
            <w:r>
              <w:rPr>
                <w:rFonts w:hint="eastAsia"/>
                <w:shd w:val="clear" w:color="auto" w:fill="FFFFFF"/>
              </w:rPr>
              <w:t>计）标准限值，因此选择</w:t>
            </w:r>
            <w:r>
              <w:rPr>
                <w:shd w:val="clear" w:color="auto" w:fill="FFFFFF"/>
              </w:rPr>
              <w:t>COD</w:t>
            </w:r>
            <w:r>
              <w:rPr>
                <w:shd w:val="clear" w:color="auto" w:fill="FFFFFF"/>
                <w:vertAlign w:val="subscript"/>
              </w:rPr>
              <w:t>Mn</w:t>
            </w:r>
            <w:r>
              <w:rPr>
                <w:rFonts w:hint="eastAsia"/>
                <w:shd w:val="clear" w:color="auto" w:fill="FFFFFF"/>
              </w:rPr>
              <w:t>代替</w:t>
            </w:r>
            <w:r>
              <w:rPr>
                <w:shd w:val="clear" w:color="auto" w:fill="FFFFFF"/>
              </w:rPr>
              <w:t>CODcr</w:t>
            </w:r>
            <w:r>
              <w:rPr>
                <w:rFonts w:hint="eastAsia"/>
                <w:shd w:val="clear" w:color="auto" w:fill="FFFFFF"/>
              </w:rPr>
              <w:t>作为预测因子，其浓度一般为</w:t>
            </w:r>
            <w:r>
              <w:rPr>
                <w:shd w:val="clear" w:color="auto" w:fill="FFFFFF"/>
              </w:rPr>
              <w:t>COD</w:t>
            </w:r>
            <w:r>
              <w:rPr>
                <w:rFonts w:hint="eastAsia"/>
                <w:shd w:val="clear" w:color="auto" w:fill="FFFFFF"/>
              </w:rPr>
              <w:t>的三分之一，</w:t>
            </w:r>
            <w:r>
              <w:rPr>
                <w:shd w:val="clear" w:color="auto" w:fill="FFFFFF"/>
              </w:rPr>
              <w:t>COD</w:t>
            </w:r>
            <w:r>
              <w:rPr>
                <w:shd w:val="clear" w:color="auto" w:fill="FFFFFF"/>
                <w:vertAlign w:val="subscript"/>
              </w:rPr>
              <w:t>Mn</w:t>
            </w:r>
            <w:r>
              <w:rPr>
                <w:rFonts w:hint="eastAsia"/>
                <w:shd w:val="clear" w:color="auto" w:fill="FFFFFF"/>
              </w:rPr>
              <w:t>浓度为</w:t>
            </w:r>
            <w:r>
              <w:rPr>
                <w:shd w:val="clear" w:color="auto" w:fill="FFFFFF"/>
              </w:rPr>
              <w:t>100mg/L</w:t>
            </w:r>
            <w:r>
              <w:rPr>
                <w:rFonts w:hint="eastAsia"/>
                <w:shd w:val="clear" w:color="auto" w:fill="FFFFFF"/>
              </w:rPr>
              <w:t>。</w:t>
            </w:r>
          </w:p>
          <w:p>
            <w:pPr>
              <w:pStyle w:val="114"/>
              <w:rPr>
                <w:shd w:val="clear" w:color="auto" w:fill="FFFFFF"/>
              </w:rPr>
            </w:pPr>
            <w:r>
              <w:rPr>
                <w:rFonts w:hint="eastAsia"/>
                <w:shd w:val="clear" w:color="auto" w:fill="FFFFFF"/>
              </w:rPr>
              <w:t>根据《环境影响评价技术导则地下水环境》（</w:t>
            </w:r>
            <w:r>
              <w:rPr>
                <w:shd w:val="clear" w:color="auto" w:fill="FFFFFF"/>
              </w:rPr>
              <w:t>HJ610-2016</w:t>
            </w:r>
            <w:r>
              <w:rPr>
                <w:rFonts w:hint="eastAsia"/>
                <w:shd w:val="clear" w:color="auto" w:fill="FFFFFF"/>
              </w:rPr>
              <w:t>）预测因子采用标准指数法进行排序，取标准指数最大的因子作为预测因子。预测因子选择见表</w:t>
            </w:r>
            <w:r>
              <w:rPr>
                <w:shd w:val="clear" w:color="auto" w:fill="FFFFFF"/>
              </w:rPr>
              <w:t>6-20</w:t>
            </w:r>
            <w:r>
              <w:rPr>
                <w:rFonts w:hint="eastAsia"/>
                <w:shd w:val="clear" w:color="auto" w:fill="FFFFFF"/>
              </w:rPr>
              <w:t>。</w:t>
            </w:r>
          </w:p>
          <w:p>
            <w:pPr>
              <w:pStyle w:val="111"/>
            </w:pPr>
            <w:r>
              <w:rPr>
                <w:rFonts w:hint="eastAsia"/>
              </w:rPr>
              <w:t>表</w:t>
            </w:r>
            <w:r>
              <w:t>6-20</w:t>
            </w:r>
            <w:r>
              <w:rPr>
                <w:rFonts w:hint="eastAsia"/>
              </w:rPr>
              <w:t>预测因子选择表</w:t>
            </w:r>
          </w:p>
          <w:tbl>
            <w:tblPr>
              <w:tblStyle w:val="37"/>
              <w:tblW w:w="920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03"/>
              <w:gridCol w:w="1879"/>
              <w:gridCol w:w="1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5603" w:type="dxa"/>
                  <w:tcBorders>
                    <w:top w:val="single" w:color="auto" w:sz="12" w:space="0"/>
                    <w:left w:val="single" w:color="auto" w:sz="12" w:space="0"/>
                    <w:bottom w:val="double" w:color="auto" w:sz="4" w:space="0"/>
                    <w:right w:val="single" w:color="auto" w:sz="4" w:space="0"/>
                  </w:tcBorders>
                  <w:vAlign w:val="center"/>
                </w:tcPr>
                <w:p>
                  <w:pPr>
                    <w:pStyle w:val="77"/>
                  </w:pPr>
                  <w:r>
                    <w:rPr>
                      <w:rFonts w:hint="eastAsia"/>
                    </w:rPr>
                    <w:t>因子</w:t>
                  </w:r>
                </w:p>
              </w:tc>
              <w:tc>
                <w:tcPr>
                  <w:tcW w:w="1879" w:type="dxa"/>
                  <w:tcBorders>
                    <w:top w:val="single" w:color="auto" w:sz="12" w:space="0"/>
                    <w:left w:val="single" w:color="auto" w:sz="4" w:space="0"/>
                    <w:bottom w:val="double" w:color="auto" w:sz="4" w:space="0"/>
                    <w:right w:val="single" w:color="auto" w:sz="4" w:space="0"/>
                  </w:tcBorders>
                  <w:vAlign w:val="center"/>
                </w:tcPr>
                <w:p>
                  <w:pPr>
                    <w:pStyle w:val="77"/>
                  </w:pPr>
                  <w:r>
                    <w:t>COD</w:t>
                  </w:r>
                </w:p>
              </w:tc>
              <w:tc>
                <w:tcPr>
                  <w:tcW w:w="1721" w:type="dxa"/>
                  <w:tcBorders>
                    <w:top w:val="single" w:color="auto" w:sz="12" w:space="0"/>
                    <w:left w:val="single" w:color="auto" w:sz="4" w:space="0"/>
                    <w:bottom w:val="double" w:color="auto" w:sz="4" w:space="0"/>
                    <w:right w:val="single" w:color="auto" w:sz="12" w:space="0"/>
                  </w:tcBorders>
                  <w:vAlign w:val="center"/>
                </w:tcPr>
                <w:p>
                  <w:pPr>
                    <w:pStyle w:val="77"/>
                  </w:pPr>
                  <w:r>
                    <w:t>NH</w:t>
                  </w:r>
                  <w:r>
                    <w:rPr>
                      <w:vertAlign w:val="subscript"/>
                    </w:rPr>
                    <w:t>3</w:t>
                  </w:r>
                  <w: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5603" w:type="dxa"/>
                  <w:tcBorders>
                    <w:top w:val="double" w:color="auto" w:sz="4" w:space="0"/>
                    <w:left w:val="single" w:color="auto" w:sz="12" w:space="0"/>
                    <w:bottom w:val="single" w:color="auto" w:sz="4" w:space="0"/>
                    <w:right w:val="single" w:color="auto" w:sz="4" w:space="0"/>
                  </w:tcBorders>
                  <w:vAlign w:val="center"/>
                </w:tcPr>
                <w:p>
                  <w:pPr>
                    <w:pStyle w:val="77"/>
                  </w:pPr>
                  <w:r>
                    <w:rPr>
                      <w:rFonts w:hint="eastAsia"/>
                    </w:rPr>
                    <w:t>浓度（</w:t>
                  </w:r>
                  <w:r>
                    <w:t>mg/L</w:t>
                  </w:r>
                  <w:r>
                    <w:rPr>
                      <w:rFonts w:hint="eastAsia"/>
                    </w:rPr>
                    <w:t>）</w:t>
                  </w:r>
                </w:p>
              </w:tc>
              <w:tc>
                <w:tcPr>
                  <w:tcW w:w="1879" w:type="dxa"/>
                  <w:tcBorders>
                    <w:top w:val="double" w:color="auto" w:sz="4" w:space="0"/>
                    <w:left w:val="single" w:color="auto" w:sz="4" w:space="0"/>
                    <w:bottom w:val="single" w:color="auto" w:sz="4" w:space="0"/>
                    <w:right w:val="single" w:color="auto" w:sz="4" w:space="0"/>
                  </w:tcBorders>
                  <w:vAlign w:val="center"/>
                </w:tcPr>
                <w:p>
                  <w:pPr>
                    <w:pStyle w:val="77"/>
                  </w:pPr>
                  <w:r>
                    <w:t>100</w:t>
                  </w:r>
                </w:p>
              </w:tc>
              <w:tc>
                <w:tcPr>
                  <w:tcW w:w="1721" w:type="dxa"/>
                  <w:tcBorders>
                    <w:top w:val="double" w:color="auto" w:sz="4" w:space="0"/>
                    <w:left w:val="single" w:color="auto" w:sz="4" w:space="0"/>
                    <w:bottom w:val="single" w:color="auto" w:sz="4" w:space="0"/>
                    <w:right w:val="single" w:color="auto" w:sz="12" w:space="0"/>
                  </w:tcBorders>
                  <w:vAlign w:val="center"/>
                </w:tcPr>
                <w:p>
                  <w:pPr>
                    <w:pStyle w:val="77"/>
                  </w:pPr>
                  <w: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5603" w:type="dxa"/>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《地下水质量标准》（</w:t>
                  </w:r>
                  <w:r>
                    <w:t>GB/T14848-2017</w:t>
                  </w:r>
                  <w:r>
                    <w:rPr>
                      <w:rFonts w:hint="eastAsia"/>
                    </w:rPr>
                    <w:t>）</w:t>
                  </w:r>
                </w:p>
                <w:p>
                  <w:pPr>
                    <w:pStyle w:val="77"/>
                  </w:pPr>
                  <w:r>
                    <w:rPr>
                      <w:rFonts w:hint="eastAsia"/>
                    </w:rPr>
                    <w:t>Ⅲ类标准（</w:t>
                  </w:r>
                  <w:r>
                    <w:t>mg/L</w:t>
                  </w:r>
                  <w:r>
                    <w:rPr>
                      <w:rFonts w:hint="eastAsia"/>
                    </w:rPr>
                    <w:t>）</w:t>
                  </w:r>
                </w:p>
              </w:tc>
              <w:tc>
                <w:tcPr>
                  <w:tcW w:w="1879" w:type="dxa"/>
                  <w:tcBorders>
                    <w:top w:val="single" w:color="auto" w:sz="4" w:space="0"/>
                    <w:left w:val="single" w:color="auto" w:sz="4" w:space="0"/>
                    <w:bottom w:val="single" w:color="auto" w:sz="4" w:space="0"/>
                    <w:right w:val="single" w:color="auto" w:sz="4" w:space="0"/>
                  </w:tcBorders>
                  <w:vAlign w:val="center"/>
                </w:tcPr>
                <w:p>
                  <w:pPr>
                    <w:pStyle w:val="77"/>
                  </w:pPr>
                  <w:r>
                    <w:t>3</w:t>
                  </w:r>
                </w:p>
              </w:tc>
              <w:tc>
                <w:tcPr>
                  <w:tcW w:w="1721" w:type="dxa"/>
                  <w:tcBorders>
                    <w:top w:val="single" w:color="auto" w:sz="4" w:space="0"/>
                    <w:left w:val="single" w:color="auto" w:sz="4" w:space="0"/>
                    <w:bottom w:val="single" w:color="auto" w:sz="4" w:space="0"/>
                    <w:right w:val="single" w:color="auto" w:sz="12" w:space="0"/>
                  </w:tcBorders>
                  <w:vAlign w:val="center"/>
                </w:tcPr>
                <w:p>
                  <w:pPr>
                    <w:pStyle w:val="77"/>
                  </w:pPr>
                  <w: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jc w:val="center"/>
              </w:trPr>
              <w:tc>
                <w:tcPr>
                  <w:tcW w:w="5603" w:type="dxa"/>
                  <w:tcBorders>
                    <w:top w:val="single" w:color="auto" w:sz="4" w:space="0"/>
                    <w:left w:val="single" w:color="auto" w:sz="12" w:space="0"/>
                    <w:bottom w:val="single" w:color="auto" w:sz="12" w:space="0"/>
                    <w:right w:val="single" w:color="auto" w:sz="4" w:space="0"/>
                  </w:tcBorders>
                  <w:vAlign w:val="center"/>
                </w:tcPr>
                <w:p>
                  <w:pPr>
                    <w:pStyle w:val="77"/>
                  </w:pPr>
                  <w:r>
                    <w:rPr>
                      <w:rFonts w:hint="eastAsia"/>
                    </w:rPr>
                    <w:t>标准指数</w:t>
                  </w:r>
                </w:p>
              </w:tc>
              <w:tc>
                <w:tcPr>
                  <w:tcW w:w="1879" w:type="dxa"/>
                  <w:tcBorders>
                    <w:top w:val="single" w:color="auto" w:sz="4" w:space="0"/>
                    <w:left w:val="single" w:color="auto" w:sz="4" w:space="0"/>
                    <w:bottom w:val="single" w:color="auto" w:sz="12" w:space="0"/>
                    <w:right w:val="single" w:color="auto" w:sz="4" w:space="0"/>
                  </w:tcBorders>
                  <w:vAlign w:val="center"/>
                </w:tcPr>
                <w:p>
                  <w:pPr>
                    <w:pStyle w:val="77"/>
                  </w:pPr>
                  <w:r>
                    <w:t>33.3</w:t>
                  </w:r>
                </w:p>
              </w:tc>
              <w:tc>
                <w:tcPr>
                  <w:tcW w:w="1721" w:type="dxa"/>
                  <w:tcBorders>
                    <w:top w:val="single" w:color="auto" w:sz="4" w:space="0"/>
                    <w:left w:val="single" w:color="auto" w:sz="4" w:space="0"/>
                    <w:bottom w:val="single" w:color="auto" w:sz="12" w:space="0"/>
                    <w:right w:val="single" w:color="auto" w:sz="12" w:space="0"/>
                  </w:tcBorders>
                  <w:vAlign w:val="center"/>
                </w:tcPr>
                <w:p>
                  <w:pPr>
                    <w:pStyle w:val="77"/>
                  </w:pPr>
                  <w:r>
                    <w:t>50</w:t>
                  </w:r>
                </w:p>
              </w:tc>
            </w:tr>
          </w:tbl>
          <w:p>
            <w:pPr>
              <w:pStyle w:val="114"/>
              <w:rPr>
                <w:shd w:val="clear" w:color="auto" w:fill="FFFFFF"/>
              </w:rPr>
            </w:pPr>
            <w:r>
              <w:rPr>
                <w:rFonts w:hint="eastAsia"/>
                <w:shd w:val="clear" w:color="auto" w:fill="FFFFFF"/>
              </w:rPr>
              <w:t>由表</w:t>
            </w:r>
            <w:r>
              <w:rPr>
                <w:shd w:val="clear" w:color="auto" w:fill="FFFFFF"/>
              </w:rPr>
              <w:t>6-20</w:t>
            </w:r>
            <w:r>
              <w:rPr>
                <w:rFonts w:hint="eastAsia"/>
                <w:shd w:val="clear" w:color="auto" w:fill="FFFFFF"/>
              </w:rPr>
              <w:t>可知，改良型合建式</w:t>
            </w:r>
            <w:r>
              <w:rPr>
                <w:shd w:val="clear" w:color="auto" w:fill="FFFFFF"/>
              </w:rPr>
              <w:t>AAO</w:t>
            </w:r>
            <w:r>
              <w:rPr>
                <w:rFonts w:hint="eastAsia"/>
                <w:shd w:val="clear" w:color="auto" w:fill="FFFFFF"/>
              </w:rPr>
              <w:t>生化池破损泄漏事故工况下选取</w:t>
            </w:r>
            <w:r>
              <w:rPr>
                <w:rFonts w:eastAsia="等线"/>
              </w:rPr>
              <w:t>NH</w:t>
            </w:r>
            <w:r>
              <w:rPr>
                <w:rFonts w:eastAsia="等线"/>
                <w:vertAlign w:val="subscript"/>
              </w:rPr>
              <w:t>3</w:t>
            </w:r>
            <w:r>
              <w:rPr>
                <w:rFonts w:eastAsia="等线"/>
              </w:rPr>
              <w:t>-N</w:t>
            </w:r>
            <w:r>
              <w:rPr>
                <w:rFonts w:hint="eastAsia"/>
                <w:shd w:val="clear" w:color="auto" w:fill="FFFFFF"/>
              </w:rPr>
              <w:t>作为预测因子，因此，预测的初始浓度</w:t>
            </w:r>
            <w:r>
              <w:rPr>
                <w:rFonts w:eastAsia="等线"/>
              </w:rPr>
              <w:t>NH</w:t>
            </w:r>
            <w:r>
              <w:rPr>
                <w:rFonts w:eastAsia="等线"/>
                <w:vertAlign w:val="subscript"/>
              </w:rPr>
              <w:t>3</w:t>
            </w:r>
            <w:r>
              <w:rPr>
                <w:rFonts w:eastAsia="等线"/>
              </w:rPr>
              <w:t>-N</w:t>
            </w:r>
            <w:r>
              <w:rPr>
                <w:rFonts w:hint="eastAsia"/>
                <w:shd w:val="clear" w:color="auto" w:fill="FFFFFF"/>
              </w:rPr>
              <w:t>为</w:t>
            </w:r>
            <w:r>
              <w:rPr>
                <w:shd w:val="clear" w:color="auto" w:fill="FFFFFF"/>
              </w:rPr>
              <w:t>25mg/L</w:t>
            </w:r>
            <w:r>
              <w:rPr>
                <w:rFonts w:hint="eastAsia"/>
                <w:shd w:val="clear" w:color="auto" w:fill="FFFFFF"/>
              </w:rPr>
              <w:t>。</w:t>
            </w:r>
          </w:p>
          <w:p>
            <w:pPr>
              <w:pStyle w:val="114"/>
              <w:rPr>
                <w:shd w:val="clear" w:color="auto" w:fill="FFFFFF"/>
              </w:rPr>
            </w:pPr>
            <w:r>
              <w:rPr>
                <w:rFonts w:hint="eastAsia"/>
                <w:shd w:val="clear" w:color="auto" w:fill="FFFFFF"/>
              </w:rPr>
              <w:t>4、预测公式的选择</w:t>
            </w:r>
          </w:p>
          <w:p>
            <w:pPr>
              <w:spacing w:line="360" w:lineRule="auto"/>
              <w:ind w:firstLine="480" w:firstLineChars="200"/>
              <w:rPr>
                <w:rFonts w:ascii="Times New Roman" w:hAnsi="Times New Roman"/>
                <w:sz w:val="24"/>
              </w:rPr>
            </w:pPr>
            <w:r>
              <w:rPr>
                <w:rFonts w:ascii="Times New Roman" w:hAnsi="Times New Roman"/>
                <w:sz w:val="24"/>
              </w:rPr>
              <w:t>本次评价选择《环境影响评价技术导则 地下水环境》（HJ610-2016）推荐的中的平面点源计算公式计算公式：</w:t>
            </w:r>
          </w:p>
          <w:p>
            <w:pPr>
              <w:spacing w:line="360" w:lineRule="auto"/>
              <w:ind w:firstLine="480" w:firstLineChars="200"/>
              <w:jc w:val="center"/>
              <w:rPr>
                <w:rFonts w:ascii="Times New Roman" w:hAnsi="Times New Roman"/>
                <w:sz w:val="24"/>
              </w:rPr>
            </w:pPr>
            <w:r>
              <w:rPr>
                <w:rFonts w:ascii="Times New Roman" w:hAnsi="Times New Roman"/>
                <w:kern w:val="0"/>
                <w:sz w:val="24"/>
                <w:szCs w:val="24"/>
              </w:rPr>
              <w:object>
                <v:shape id="_x0000_i1058" o:spt="75" alt="" type="#_x0000_t75" style="height:45pt;width:187.5pt;" o:ole="t" filled="f" o:preferrelative="t" stroked="f" coordsize="21600,21600">
                  <v:path/>
                  <v:fill on="f" focussize="0,0"/>
                  <v:stroke on="f"/>
                  <v:imagedata r:id="rId60" o:title=""/>
                  <o:lock v:ext="edit" aspectratio="t"/>
                  <w10:wrap type="none"/>
                  <w10:anchorlock/>
                </v:shape>
                <o:OLEObject Type="Embed" ProgID="Equation.DSMT4" ShapeID="_x0000_i1058" DrawAspect="Content" ObjectID="_1468075726" r:id="rId59">
                  <o:LockedField>false</o:LockedField>
                </o:OLEObject>
              </w:object>
            </w:r>
          </w:p>
          <w:p>
            <w:pPr>
              <w:pStyle w:val="2"/>
            </w:pPr>
          </w:p>
          <w:p>
            <w:pPr>
              <w:spacing w:line="360" w:lineRule="auto"/>
              <w:ind w:firstLine="480" w:firstLineChars="200"/>
              <w:rPr>
                <w:rFonts w:ascii="Times New Roman" w:hAnsi="Times New Roman"/>
                <w:sz w:val="24"/>
              </w:rPr>
            </w:pPr>
            <w:r>
              <w:rPr>
                <w:rFonts w:ascii="Times New Roman" w:hAnsi="Times New Roman"/>
                <w:sz w:val="24"/>
              </w:rPr>
              <w:t>各参数意义及取值见表10-4。</w:t>
            </w:r>
          </w:p>
          <w:p>
            <w:pPr>
              <w:adjustRightInd w:val="0"/>
              <w:snapToGrid w:val="0"/>
              <w:spacing w:line="360" w:lineRule="auto"/>
              <w:ind w:firstLine="480"/>
              <w:jc w:val="center"/>
              <w:rPr>
                <w:rFonts w:ascii="Times New Roman" w:hAnsi="Times New Roman"/>
                <w:b/>
                <w:sz w:val="24"/>
              </w:rPr>
            </w:pPr>
            <w:r>
              <w:rPr>
                <w:rFonts w:ascii="Times New Roman" w:hAnsi="Times New Roman"/>
                <w:b/>
                <w:sz w:val="24"/>
              </w:rPr>
              <w:t>表10-4  模型参数取值表</w:t>
            </w:r>
          </w:p>
          <w:tbl>
            <w:tblPr>
              <w:tblStyle w:val="37"/>
              <w:tblW w:w="94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181"/>
              <w:gridCol w:w="1288"/>
              <w:gridCol w:w="6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856" w:type="dxa"/>
                  <w:tcBorders>
                    <w:top w:val="single" w:color="auto" w:sz="12" w:space="0"/>
                    <w:bottom w:val="double" w:color="auto" w:sz="4" w:space="0"/>
                  </w:tcBorders>
                  <w:vAlign w:val="center"/>
                </w:tcPr>
                <w:p>
                  <w:pPr>
                    <w:jc w:val="center"/>
                    <w:rPr>
                      <w:rFonts w:ascii="Times New Roman" w:hAnsi="Times New Roman"/>
                      <w:szCs w:val="21"/>
                    </w:rPr>
                  </w:pPr>
                  <w:r>
                    <w:rPr>
                      <w:rFonts w:ascii="Times New Roman" w:hAnsi="Times New Roman"/>
                      <w:szCs w:val="21"/>
                    </w:rPr>
                    <w:t>参数</w:t>
                  </w:r>
                </w:p>
              </w:tc>
              <w:tc>
                <w:tcPr>
                  <w:tcW w:w="1181" w:type="dxa"/>
                  <w:tcBorders>
                    <w:top w:val="single" w:color="auto" w:sz="12" w:space="0"/>
                    <w:bottom w:val="double" w:color="auto" w:sz="4" w:space="0"/>
                  </w:tcBorders>
                  <w:vAlign w:val="center"/>
                </w:tcPr>
                <w:p>
                  <w:pPr>
                    <w:jc w:val="center"/>
                    <w:rPr>
                      <w:rFonts w:ascii="Times New Roman" w:hAnsi="Times New Roman"/>
                      <w:szCs w:val="21"/>
                    </w:rPr>
                  </w:pPr>
                  <w:r>
                    <w:rPr>
                      <w:rFonts w:ascii="Times New Roman" w:hAnsi="Times New Roman"/>
                      <w:szCs w:val="21"/>
                    </w:rPr>
                    <w:t>意义</w:t>
                  </w:r>
                </w:p>
              </w:tc>
              <w:tc>
                <w:tcPr>
                  <w:tcW w:w="1288" w:type="dxa"/>
                  <w:tcBorders>
                    <w:top w:val="single" w:color="auto" w:sz="12" w:space="0"/>
                    <w:bottom w:val="double" w:color="auto" w:sz="4" w:space="0"/>
                  </w:tcBorders>
                  <w:vAlign w:val="center"/>
                </w:tcPr>
                <w:p>
                  <w:pPr>
                    <w:jc w:val="center"/>
                    <w:rPr>
                      <w:rFonts w:ascii="Times New Roman" w:hAnsi="Times New Roman"/>
                      <w:szCs w:val="21"/>
                    </w:rPr>
                  </w:pPr>
                  <w:r>
                    <w:rPr>
                      <w:rFonts w:ascii="Times New Roman" w:hAnsi="Times New Roman"/>
                      <w:szCs w:val="21"/>
                    </w:rPr>
                    <w:t>取值</w:t>
                  </w:r>
                </w:p>
              </w:tc>
              <w:tc>
                <w:tcPr>
                  <w:tcW w:w="6087" w:type="dxa"/>
                  <w:tcBorders>
                    <w:top w:val="single" w:color="auto" w:sz="12" w:space="0"/>
                    <w:bottom w:val="double" w:color="auto" w:sz="4" w:space="0"/>
                  </w:tcBorders>
                  <w:vAlign w:val="center"/>
                </w:tcPr>
                <w:p>
                  <w:pPr>
                    <w:jc w:val="center"/>
                    <w:rPr>
                      <w:rFonts w:ascii="Times New Roman" w:hAnsi="Times New Roman"/>
                      <w:szCs w:val="21"/>
                    </w:rPr>
                  </w:pPr>
                  <w:r>
                    <w:rPr>
                      <w:rFonts w:ascii="Times New Roman" w:hAnsi="Times New Roman"/>
                      <w:szCs w:val="21"/>
                    </w:rPr>
                    <w:t>取值依据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56" w:type="dxa"/>
                  <w:tcBorders>
                    <w:top w:val="doub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(x,y)</w:t>
                  </w:r>
                </w:p>
              </w:tc>
              <w:tc>
                <w:tcPr>
                  <w:tcW w:w="1181" w:type="dxa"/>
                  <w:tcBorders>
                    <w:top w:val="doub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计算点坐标</w:t>
                  </w:r>
                </w:p>
              </w:tc>
              <w:tc>
                <w:tcPr>
                  <w:tcW w:w="1288" w:type="dxa"/>
                  <w:tcBorders>
                    <w:top w:val="doub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6087" w:type="dxa"/>
                  <w:tcBorders>
                    <w:top w:val="double" w:color="auto" w:sz="4" w:space="0"/>
                    <w:bottom w:val="single" w:color="auto" w:sz="4" w:space="0"/>
                  </w:tcBorders>
                  <w:vAlign w:val="center"/>
                </w:tcPr>
                <w:p>
                  <w:pPr>
                    <w:rPr>
                      <w:rFonts w:ascii="Times New Roman" w:hAnsi="Times New Roman"/>
                      <w:szCs w:val="21"/>
                    </w:rPr>
                  </w:pPr>
                  <w:r>
                    <w:rPr>
                      <w:rFonts w:ascii="Times New Roman" w:hAnsi="Times New Roman"/>
                      <w:szCs w:val="21"/>
                    </w:rPr>
                    <w:t>与渗漏事故发生处之间的距离。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856"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t</w:t>
                  </w:r>
                </w:p>
              </w:tc>
              <w:tc>
                <w:tcPr>
                  <w:tcW w:w="1181"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时间</w:t>
                  </w:r>
                </w:p>
              </w:tc>
              <w:tc>
                <w:tcPr>
                  <w:tcW w:w="1288"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6087"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59" w:hRule="atLeast"/>
                <w:jc w:val="center"/>
              </w:trPr>
              <w:tc>
                <w:tcPr>
                  <w:tcW w:w="856"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C(x,y,t)</w:t>
                  </w:r>
                </w:p>
              </w:tc>
              <w:tc>
                <w:tcPr>
                  <w:tcW w:w="1181"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t时刻(x,y)处的污染物浓度</w:t>
                  </w:r>
                </w:p>
              </w:tc>
              <w:tc>
                <w:tcPr>
                  <w:tcW w:w="1288"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w:t>
                  </w:r>
                </w:p>
              </w:tc>
              <w:tc>
                <w:tcPr>
                  <w:tcW w:w="6087"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56"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M</w:t>
                  </w:r>
                </w:p>
              </w:tc>
              <w:tc>
                <w:tcPr>
                  <w:tcW w:w="1181"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含水层厚度</w:t>
                  </w:r>
                </w:p>
              </w:tc>
              <w:tc>
                <w:tcPr>
                  <w:tcW w:w="1288"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15m</w:t>
                  </w:r>
                </w:p>
              </w:tc>
              <w:tc>
                <w:tcPr>
                  <w:tcW w:w="6087" w:type="dxa"/>
                  <w:tcBorders>
                    <w:top w:val="single" w:color="auto" w:sz="4" w:space="0"/>
                    <w:bottom w:val="single" w:color="auto" w:sz="4" w:space="0"/>
                  </w:tcBorders>
                  <w:vAlign w:val="center"/>
                </w:tcPr>
                <w:p>
                  <w:pPr>
                    <w:rPr>
                      <w:rFonts w:ascii="Times New Roman" w:hAnsi="Times New Roman"/>
                      <w:szCs w:val="21"/>
                    </w:rPr>
                  </w:pPr>
                  <w:r>
                    <w:rPr>
                      <w:rFonts w:ascii="Times New Roman" w:hAnsi="Times New Roman"/>
                      <w:szCs w:val="21"/>
                    </w:rPr>
                    <w:t>项目区具有统一水力联系的潜水含水层的平均厚度取15m。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jc w:val="center"/>
              </w:trPr>
              <w:tc>
                <w:tcPr>
                  <w:tcW w:w="856"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m</w:t>
                  </w:r>
                  <w:r>
                    <w:rPr>
                      <w:rFonts w:ascii="Times New Roman" w:hAnsi="Times New Roman"/>
                      <w:szCs w:val="21"/>
                      <w:vertAlign w:val="subscript"/>
                    </w:rPr>
                    <w:t>M</w:t>
                  </w:r>
                </w:p>
              </w:tc>
              <w:tc>
                <w:tcPr>
                  <w:tcW w:w="1181"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注入的污染物的量</w:t>
                  </w:r>
                </w:p>
              </w:tc>
              <w:tc>
                <w:tcPr>
                  <w:tcW w:w="1288" w:type="dxa"/>
                  <w:tcBorders>
                    <w:top w:val="single" w:color="auto" w:sz="4" w:space="0"/>
                    <w:bottom w:val="single" w:color="auto" w:sz="4" w:space="0"/>
                  </w:tcBorders>
                  <w:vAlign w:val="center"/>
                </w:tcPr>
                <w:p>
                  <w:pPr>
                    <w:jc w:val="center"/>
                    <w:rPr>
                      <w:rFonts w:ascii="Times New Roman" w:hAnsi="Times New Roman"/>
                      <w:szCs w:val="21"/>
                    </w:rPr>
                  </w:pPr>
                  <w:r>
                    <w:rPr>
                      <w:rFonts w:ascii="Times New Roman" w:hAnsi="Times New Roman"/>
                      <w:szCs w:val="21"/>
                    </w:rPr>
                    <w:t>7462.5g</w:t>
                  </w:r>
                </w:p>
              </w:tc>
              <w:tc>
                <w:tcPr>
                  <w:tcW w:w="6087" w:type="dxa"/>
                  <w:tcBorders>
                    <w:top w:val="single" w:color="auto" w:sz="4" w:space="0"/>
                    <w:bottom w:val="single" w:color="auto" w:sz="4" w:space="0"/>
                  </w:tcBorders>
                  <w:vAlign w:val="center"/>
                </w:tcPr>
                <w:p>
                  <w:pPr>
                    <w:rPr>
                      <w:rFonts w:ascii="Times New Roman" w:hAnsi="Times New Roman"/>
                      <w:szCs w:val="21"/>
                    </w:rPr>
                  </w:pPr>
                  <w:r>
                    <w:rPr>
                      <w:rFonts w:ascii="Times New Roman" w:hAnsi="Times New Roman"/>
                      <w:szCs w:val="21"/>
                    </w:rPr>
                    <w:t>本次评价预测情景为</w:t>
                  </w:r>
                  <w:r>
                    <w:rPr>
                      <w:rFonts w:ascii="Times New Roman" w:hAnsi="Times New Roman"/>
                      <w:shd w:val="clear" w:color="auto" w:fill="FFFFFF"/>
                    </w:rPr>
                    <w:t>改良型合建式AAO生化池</w:t>
                  </w:r>
                  <w:r>
                    <w:rPr>
                      <w:rFonts w:ascii="Times New Roman" w:hAnsi="Times New Roman"/>
                      <w:szCs w:val="21"/>
                    </w:rPr>
                    <w:t>发生渗漏，发生事故至切断污染源，在此过程中设定298.5m</w:t>
                  </w:r>
                  <w:r>
                    <w:rPr>
                      <w:rFonts w:ascii="Times New Roman" w:hAnsi="Times New Roman"/>
                      <w:szCs w:val="21"/>
                      <w:vertAlign w:val="superscript"/>
                    </w:rPr>
                    <w:t>3</w:t>
                  </w:r>
                  <w:r>
                    <w:rPr>
                      <w:rFonts w:ascii="Times New Roman" w:hAnsi="Times New Roman"/>
                      <w:szCs w:val="21"/>
                    </w:rPr>
                    <w:t>的污水进入含水层，污水中</w:t>
                  </w:r>
                  <w:r>
                    <w:rPr>
                      <w:rFonts w:ascii="Times New Roman" w:hAnsi="Times New Roman"/>
                    </w:rPr>
                    <w:t>NH</w:t>
                  </w:r>
                  <w:r>
                    <w:rPr>
                      <w:rFonts w:ascii="Times New Roman" w:hAnsi="Times New Roman"/>
                      <w:vertAlign w:val="subscript"/>
                    </w:rPr>
                    <w:t>3</w:t>
                  </w:r>
                  <w:r>
                    <w:rPr>
                      <w:rFonts w:ascii="Times New Roman" w:hAnsi="Times New Roman"/>
                    </w:rPr>
                    <w:t>-N</w:t>
                  </w:r>
                  <w:r>
                    <w:rPr>
                      <w:rFonts w:ascii="Times New Roman" w:hAnsi="Times New Roman"/>
                      <w:sz w:val="24"/>
                    </w:rPr>
                    <w:t>浓度为25 mg/L</w:t>
                  </w:r>
                  <w:r>
                    <w:rPr>
                      <w:rFonts w:ascii="Times New Roman" w:hAnsi="Times New Roman"/>
                      <w:szCs w:val="21"/>
                    </w:rPr>
                    <w:t>，则注入的污染物为7462.5g。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56" w:type="dxa"/>
                  <w:tcBorders>
                    <w:top w:val="single" w:color="auto" w:sz="4" w:space="0"/>
                  </w:tcBorders>
                  <w:vAlign w:val="center"/>
                </w:tcPr>
                <w:p>
                  <w:pPr>
                    <w:jc w:val="center"/>
                    <w:rPr>
                      <w:rFonts w:ascii="Times New Roman" w:hAnsi="Times New Roman"/>
                      <w:szCs w:val="21"/>
                    </w:rPr>
                  </w:pPr>
                  <w:r>
                    <w:rPr>
                      <w:rFonts w:ascii="Times New Roman" w:hAnsi="Times New Roman"/>
                      <w:szCs w:val="21"/>
                    </w:rPr>
                    <w:t>u</w:t>
                  </w:r>
                </w:p>
              </w:tc>
              <w:tc>
                <w:tcPr>
                  <w:tcW w:w="1181" w:type="dxa"/>
                  <w:tcBorders>
                    <w:top w:val="single" w:color="auto" w:sz="4" w:space="0"/>
                  </w:tcBorders>
                  <w:vAlign w:val="center"/>
                </w:tcPr>
                <w:p>
                  <w:pPr>
                    <w:jc w:val="center"/>
                    <w:rPr>
                      <w:rFonts w:ascii="Times New Roman" w:hAnsi="Times New Roman"/>
                      <w:szCs w:val="21"/>
                    </w:rPr>
                  </w:pPr>
                  <w:r>
                    <w:rPr>
                      <w:rFonts w:ascii="Times New Roman" w:hAnsi="Times New Roman"/>
                      <w:szCs w:val="21"/>
                    </w:rPr>
                    <w:t>实际平均水流速度</w:t>
                  </w:r>
                </w:p>
              </w:tc>
              <w:tc>
                <w:tcPr>
                  <w:tcW w:w="1288" w:type="dxa"/>
                  <w:tcBorders>
                    <w:top w:val="single" w:color="auto" w:sz="4" w:space="0"/>
                  </w:tcBorders>
                  <w:vAlign w:val="center"/>
                </w:tcPr>
                <w:p>
                  <w:pPr>
                    <w:jc w:val="center"/>
                    <w:rPr>
                      <w:rFonts w:ascii="Times New Roman" w:hAnsi="Times New Roman"/>
                      <w:szCs w:val="21"/>
                    </w:rPr>
                  </w:pPr>
                  <w:r>
                    <w:rPr>
                      <w:rFonts w:ascii="Times New Roman" w:hAnsi="Times New Roman"/>
                      <w:szCs w:val="21"/>
                    </w:rPr>
                    <w:t>0.00112m/d</w:t>
                  </w:r>
                </w:p>
              </w:tc>
              <w:tc>
                <w:tcPr>
                  <w:tcW w:w="6087" w:type="dxa"/>
                  <w:tcBorders>
                    <w:top w:val="single" w:color="auto" w:sz="4" w:space="0"/>
                  </w:tcBorders>
                  <w:vAlign w:val="center"/>
                </w:tcPr>
                <w:p>
                  <w:pPr>
                    <w:rPr>
                      <w:rFonts w:ascii="Times New Roman" w:hAnsi="Times New Roman"/>
                      <w:szCs w:val="21"/>
                    </w:rPr>
                  </w:pPr>
                  <w:r>
                    <w:rPr>
                      <w:rFonts w:ascii="Times New Roman" w:hAnsi="Times New Roman"/>
                      <w:szCs w:val="21"/>
                    </w:rPr>
                    <w:t>项目区含水层</w:t>
                  </w:r>
                  <w:r>
                    <w:rPr>
                      <w:rFonts w:hint="eastAsia" w:ascii="Times New Roman" w:hAnsi="Times New Roman"/>
                      <w:szCs w:val="21"/>
                    </w:rPr>
                    <w:t>岩性为粉砂层、粉质粘土层，根据经验值</w:t>
                  </w:r>
                  <w:r>
                    <w:rPr>
                      <w:rFonts w:ascii="Times New Roman" w:hAnsi="Times New Roman"/>
                      <w:szCs w:val="21"/>
                    </w:rPr>
                    <w:t>渗透系数</w:t>
                  </w:r>
                  <w:r>
                    <w:rPr>
                      <w:rFonts w:hint="eastAsia" w:ascii="Times New Roman" w:hAnsi="Times New Roman"/>
                      <w:szCs w:val="21"/>
                    </w:rPr>
                    <w:t>取值</w:t>
                  </w:r>
                  <w:r>
                    <w:rPr>
                      <w:rFonts w:ascii="Times New Roman" w:hAnsi="Times New Roman"/>
                      <w:szCs w:val="21"/>
                    </w:rPr>
                    <w:t>为0.05m/d，取水力梯度为3.5</w:t>
                  </w:r>
                  <w:r>
                    <w:rPr>
                      <w:rFonts w:hint="eastAsia" w:ascii="Times New Roman" w:hAnsi="Times New Roman"/>
                      <w:szCs w:val="21"/>
                    </w:rPr>
                    <w:t>‰</w:t>
                  </w:r>
                  <w:r>
                    <w:rPr>
                      <w:rFonts w:ascii="Times New Roman" w:hAnsi="Times New Roman"/>
                      <w:szCs w:val="21"/>
                    </w:rPr>
                    <w:t>，有效孔隙度为0.15，则实际流速为0.00112m/d。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56" w:type="dxa"/>
                  <w:vAlign w:val="center"/>
                </w:tcPr>
                <w:p>
                  <w:pPr>
                    <w:jc w:val="center"/>
                    <w:rPr>
                      <w:rFonts w:ascii="Times New Roman" w:hAnsi="Times New Roman"/>
                      <w:szCs w:val="21"/>
                    </w:rPr>
                  </w:pPr>
                  <w:r>
                    <w:rPr>
                      <w:rFonts w:ascii="Times New Roman" w:hAnsi="Times New Roman"/>
                      <w:szCs w:val="21"/>
                    </w:rPr>
                    <w:t>n</w:t>
                  </w:r>
                </w:p>
              </w:tc>
              <w:tc>
                <w:tcPr>
                  <w:tcW w:w="1181" w:type="dxa"/>
                  <w:vAlign w:val="center"/>
                </w:tcPr>
                <w:p>
                  <w:pPr>
                    <w:jc w:val="center"/>
                    <w:rPr>
                      <w:rFonts w:ascii="Times New Roman" w:hAnsi="Times New Roman"/>
                      <w:szCs w:val="21"/>
                    </w:rPr>
                  </w:pPr>
                  <w:r>
                    <w:rPr>
                      <w:rFonts w:ascii="Times New Roman" w:hAnsi="Times New Roman"/>
                      <w:szCs w:val="21"/>
                    </w:rPr>
                    <w:t>有效孔隙度</w:t>
                  </w:r>
                </w:p>
              </w:tc>
              <w:tc>
                <w:tcPr>
                  <w:tcW w:w="1288" w:type="dxa"/>
                  <w:vAlign w:val="center"/>
                </w:tcPr>
                <w:p>
                  <w:pPr>
                    <w:jc w:val="center"/>
                    <w:rPr>
                      <w:rFonts w:ascii="Times New Roman" w:hAnsi="Times New Roman"/>
                      <w:szCs w:val="21"/>
                    </w:rPr>
                  </w:pPr>
                  <w:r>
                    <w:rPr>
                      <w:rFonts w:ascii="Times New Roman" w:hAnsi="Times New Roman"/>
                      <w:szCs w:val="21"/>
                    </w:rPr>
                    <w:t>0.15</w:t>
                  </w:r>
                </w:p>
              </w:tc>
              <w:tc>
                <w:tcPr>
                  <w:tcW w:w="6087" w:type="dxa"/>
                  <w:vAlign w:val="center"/>
                </w:tcPr>
                <w:p>
                  <w:pPr>
                    <w:rPr>
                      <w:rFonts w:ascii="Times New Roman" w:hAnsi="Times New Roman"/>
                      <w:szCs w:val="21"/>
                    </w:rPr>
                  </w:pPr>
                  <w:r>
                    <w:rPr>
                      <w:rFonts w:ascii="Times New Roman" w:hAnsi="Times New Roman"/>
                      <w:szCs w:val="21"/>
                    </w:rPr>
                    <w:t>项目区潜水含水层有效孔隙度为0.15。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56" w:type="dxa"/>
                  <w:vAlign w:val="center"/>
                </w:tcPr>
                <w:p>
                  <w:pPr>
                    <w:jc w:val="center"/>
                    <w:rPr>
                      <w:rFonts w:ascii="Times New Roman" w:hAnsi="Times New Roman"/>
                      <w:szCs w:val="21"/>
                    </w:rPr>
                  </w:pPr>
                  <w:r>
                    <w:rPr>
                      <w:rFonts w:ascii="Times New Roman" w:hAnsi="Times New Roman"/>
                      <w:szCs w:val="21"/>
                    </w:rPr>
                    <w:t>D</w:t>
                  </w:r>
                  <w:r>
                    <w:rPr>
                      <w:rFonts w:ascii="Times New Roman" w:hAnsi="Times New Roman"/>
                      <w:szCs w:val="21"/>
                      <w:vertAlign w:val="subscript"/>
                    </w:rPr>
                    <w:t>L</w:t>
                  </w:r>
                </w:p>
              </w:tc>
              <w:tc>
                <w:tcPr>
                  <w:tcW w:w="1181" w:type="dxa"/>
                  <w:vAlign w:val="center"/>
                </w:tcPr>
                <w:p>
                  <w:pPr>
                    <w:jc w:val="center"/>
                    <w:rPr>
                      <w:rFonts w:ascii="Times New Roman" w:hAnsi="Times New Roman"/>
                      <w:szCs w:val="21"/>
                    </w:rPr>
                  </w:pPr>
                  <w:r>
                    <w:rPr>
                      <w:rFonts w:ascii="Times New Roman" w:hAnsi="Times New Roman"/>
                      <w:szCs w:val="21"/>
                    </w:rPr>
                    <w:t>纵向弥散系数</w:t>
                  </w:r>
                </w:p>
              </w:tc>
              <w:tc>
                <w:tcPr>
                  <w:tcW w:w="1288" w:type="dxa"/>
                  <w:vAlign w:val="center"/>
                </w:tcPr>
                <w:p>
                  <w:pPr>
                    <w:jc w:val="center"/>
                    <w:rPr>
                      <w:rFonts w:ascii="Times New Roman" w:hAnsi="Times New Roman"/>
                      <w:szCs w:val="21"/>
                    </w:rPr>
                  </w:pPr>
                  <w:r>
                    <w:rPr>
                      <w:rFonts w:ascii="Times New Roman" w:hAnsi="Times New Roman"/>
                      <w:szCs w:val="21"/>
                    </w:rPr>
                    <w:t>0.0112m</w:t>
                  </w:r>
                  <w:r>
                    <w:rPr>
                      <w:rFonts w:ascii="Times New Roman" w:hAnsi="Times New Roman"/>
                      <w:szCs w:val="21"/>
                      <w:vertAlign w:val="superscript"/>
                    </w:rPr>
                    <w:t>2</w:t>
                  </w:r>
                  <w:r>
                    <w:rPr>
                      <w:rFonts w:ascii="Times New Roman" w:hAnsi="Times New Roman"/>
                      <w:szCs w:val="21"/>
                    </w:rPr>
                    <w:t>/d</w:t>
                  </w:r>
                </w:p>
              </w:tc>
              <w:tc>
                <w:tcPr>
                  <w:tcW w:w="6087" w:type="dxa"/>
                  <w:vAlign w:val="center"/>
                </w:tcPr>
                <w:p>
                  <w:pPr>
                    <w:rPr>
                      <w:rFonts w:ascii="Times New Roman" w:hAnsi="Times New Roman"/>
                      <w:szCs w:val="21"/>
                    </w:rPr>
                  </w:pPr>
                  <w:r>
                    <w:rPr>
                      <w:rFonts w:ascii="Times New Roman" w:hAnsi="Times New Roman"/>
                      <w:szCs w:val="21"/>
                    </w:rPr>
                    <w:t>根据类比相同岩性地区的研究成果，取纵向弥散度为10m，则纵向弥散系数为0.0112m</w:t>
                  </w:r>
                  <w:r>
                    <w:rPr>
                      <w:rFonts w:ascii="Times New Roman" w:hAnsi="Times New Roman"/>
                      <w:szCs w:val="21"/>
                      <w:vertAlign w:val="superscript"/>
                    </w:rPr>
                    <w:t>2</w:t>
                  </w:r>
                  <w:r>
                    <w:rPr>
                      <w:rFonts w:ascii="Times New Roman" w:hAnsi="Times New Roman"/>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856" w:type="dxa"/>
                  <w:vAlign w:val="center"/>
                </w:tcPr>
                <w:p>
                  <w:pPr>
                    <w:jc w:val="center"/>
                    <w:rPr>
                      <w:rFonts w:ascii="Times New Roman" w:hAnsi="Times New Roman"/>
                      <w:szCs w:val="21"/>
                    </w:rPr>
                  </w:pPr>
                  <w:r>
                    <w:rPr>
                      <w:rFonts w:ascii="Times New Roman" w:hAnsi="Times New Roman"/>
                      <w:szCs w:val="21"/>
                    </w:rPr>
                    <w:t>D</w:t>
                  </w:r>
                  <w:r>
                    <w:rPr>
                      <w:rFonts w:ascii="Times New Roman" w:hAnsi="Times New Roman"/>
                      <w:szCs w:val="21"/>
                      <w:vertAlign w:val="subscript"/>
                    </w:rPr>
                    <w:t>T</w:t>
                  </w:r>
                </w:p>
              </w:tc>
              <w:tc>
                <w:tcPr>
                  <w:tcW w:w="1181" w:type="dxa"/>
                  <w:vAlign w:val="center"/>
                </w:tcPr>
                <w:p>
                  <w:pPr>
                    <w:jc w:val="center"/>
                    <w:rPr>
                      <w:rFonts w:ascii="Times New Roman" w:hAnsi="Times New Roman"/>
                      <w:szCs w:val="21"/>
                    </w:rPr>
                  </w:pPr>
                  <w:r>
                    <w:rPr>
                      <w:rFonts w:ascii="Times New Roman" w:hAnsi="Times New Roman"/>
                      <w:szCs w:val="21"/>
                    </w:rPr>
                    <w:t>横向弥散系数</w:t>
                  </w:r>
                </w:p>
              </w:tc>
              <w:tc>
                <w:tcPr>
                  <w:tcW w:w="1288" w:type="dxa"/>
                  <w:vAlign w:val="center"/>
                </w:tcPr>
                <w:p>
                  <w:pPr>
                    <w:jc w:val="center"/>
                    <w:rPr>
                      <w:rFonts w:ascii="Times New Roman" w:hAnsi="Times New Roman"/>
                      <w:szCs w:val="21"/>
                    </w:rPr>
                  </w:pPr>
                  <w:r>
                    <w:rPr>
                      <w:rFonts w:ascii="Times New Roman" w:hAnsi="Times New Roman"/>
                      <w:szCs w:val="21"/>
                    </w:rPr>
                    <w:t>0.00112m</w:t>
                  </w:r>
                  <w:r>
                    <w:rPr>
                      <w:rFonts w:ascii="Times New Roman" w:hAnsi="Times New Roman"/>
                      <w:szCs w:val="21"/>
                      <w:vertAlign w:val="superscript"/>
                    </w:rPr>
                    <w:t>2</w:t>
                  </w:r>
                  <w:r>
                    <w:rPr>
                      <w:rFonts w:ascii="Times New Roman" w:hAnsi="Times New Roman"/>
                      <w:szCs w:val="21"/>
                    </w:rPr>
                    <w:t>/d</w:t>
                  </w:r>
                </w:p>
              </w:tc>
              <w:tc>
                <w:tcPr>
                  <w:tcW w:w="6087" w:type="dxa"/>
                  <w:vAlign w:val="center"/>
                </w:tcPr>
                <w:p>
                  <w:pPr>
                    <w:rPr>
                      <w:rFonts w:ascii="Times New Roman" w:hAnsi="Times New Roman"/>
                      <w:szCs w:val="21"/>
                    </w:rPr>
                  </w:pPr>
                  <w:r>
                    <w:rPr>
                      <w:rFonts w:ascii="Times New Roman" w:hAnsi="Times New Roman"/>
                      <w:szCs w:val="21"/>
                    </w:rPr>
                    <w:t>横向弥散度一般为纵向弥散度的十分之一，则横向弥散系数为0.00112m</w:t>
                  </w:r>
                  <w:r>
                    <w:rPr>
                      <w:rFonts w:ascii="Times New Roman" w:hAnsi="Times New Roman"/>
                      <w:szCs w:val="21"/>
                      <w:vertAlign w:val="superscript"/>
                    </w:rPr>
                    <w:t>2</w:t>
                  </w:r>
                  <w:r>
                    <w:rPr>
                      <w:rFonts w:ascii="Times New Roman" w:hAnsi="Times New Roman"/>
                      <w:szCs w:val="21"/>
                    </w:rPr>
                    <w:t>/d。</w:t>
                  </w:r>
                </w:p>
              </w:tc>
            </w:tr>
          </w:tbl>
          <w:p>
            <w:pPr>
              <w:pStyle w:val="114"/>
            </w:pPr>
            <w:r>
              <w:rPr>
                <w:rFonts w:hint="eastAsia"/>
              </w:rPr>
              <w:t>5、解析解预测结果</w:t>
            </w:r>
          </w:p>
          <w:p>
            <w:pPr>
              <w:pStyle w:val="114"/>
              <w:rPr>
                <w:shd w:val="clear" w:color="auto" w:fill="FFFFFF"/>
              </w:rPr>
            </w:pPr>
            <w:r>
              <w:rPr>
                <w:rFonts w:hint="eastAsia"/>
                <w:shd w:val="clear" w:color="auto" w:fill="FFFFFF"/>
              </w:rPr>
              <w:t>改良型合建式</w:t>
            </w:r>
            <w:r>
              <w:rPr>
                <w:shd w:val="clear" w:color="auto" w:fill="FFFFFF"/>
              </w:rPr>
              <w:t>AAO</w:t>
            </w:r>
            <w:r>
              <w:rPr>
                <w:rFonts w:hint="eastAsia"/>
                <w:shd w:val="clear" w:color="auto" w:fill="FFFFFF"/>
              </w:rPr>
              <w:t>生化池渗漏事故发生后渗漏的污水进入含水层中，在水力梯度的作用下向地下水径流的下游方向迁移，事故发生</w:t>
            </w:r>
            <w:r>
              <w:rPr>
                <w:shd w:val="clear" w:color="auto" w:fill="FFFFFF"/>
              </w:rPr>
              <w:t>1a</w:t>
            </w:r>
            <w:r>
              <w:rPr>
                <w:rFonts w:hint="eastAsia"/>
                <w:shd w:val="clear" w:color="auto" w:fill="FFFFFF"/>
              </w:rPr>
              <w:t>、</w:t>
            </w:r>
            <w:r>
              <w:rPr>
                <w:shd w:val="clear" w:color="auto" w:fill="FFFFFF"/>
              </w:rPr>
              <w:t>2a</w:t>
            </w:r>
            <w:r>
              <w:rPr>
                <w:rFonts w:hint="eastAsia"/>
                <w:shd w:val="clear" w:color="auto" w:fill="FFFFFF"/>
              </w:rPr>
              <w:t>、</w:t>
            </w:r>
            <w:r>
              <w:rPr>
                <w:shd w:val="clear" w:color="auto" w:fill="FFFFFF"/>
              </w:rPr>
              <w:t>5a</w:t>
            </w:r>
            <w:r>
              <w:rPr>
                <w:rFonts w:hint="eastAsia"/>
                <w:shd w:val="clear" w:color="auto" w:fill="FFFFFF"/>
              </w:rPr>
              <w:t>、</w:t>
            </w:r>
            <w:r>
              <w:rPr>
                <w:shd w:val="clear" w:color="auto" w:fill="FFFFFF"/>
              </w:rPr>
              <w:t>10a</w:t>
            </w:r>
            <w:r>
              <w:rPr>
                <w:rFonts w:hint="eastAsia"/>
                <w:shd w:val="clear" w:color="auto" w:fill="FFFFFF"/>
              </w:rPr>
              <w:t>、</w:t>
            </w:r>
            <w:r>
              <w:rPr>
                <w:shd w:val="clear" w:color="auto" w:fill="FFFFFF"/>
              </w:rPr>
              <w:t>50a</w:t>
            </w:r>
            <w:r>
              <w:rPr>
                <w:rFonts w:hint="eastAsia"/>
                <w:shd w:val="clear" w:color="auto" w:fill="FFFFFF"/>
              </w:rPr>
              <w:t>、</w:t>
            </w:r>
            <w:r>
              <w:rPr>
                <w:shd w:val="clear" w:color="auto" w:fill="FFFFFF"/>
              </w:rPr>
              <w:t>100a</w:t>
            </w:r>
            <w:r>
              <w:rPr>
                <w:rFonts w:hint="eastAsia"/>
                <w:shd w:val="clear" w:color="auto" w:fill="FFFFFF"/>
              </w:rPr>
              <w:t>、</w:t>
            </w:r>
            <w:r>
              <w:rPr>
                <w:shd w:val="clear" w:color="auto" w:fill="FFFFFF"/>
              </w:rPr>
              <w:t>150a</w:t>
            </w:r>
            <w:r>
              <w:rPr>
                <w:rFonts w:hint="eastAsia"/>
                <w:shd w:val="clear" w:color="auto" w:fill="FFFFFF"/>
              </w:rPr>
              <w:t>、</w:t>
            </w:r>
            <w:r>
              <w:rPr>
                <w:shd w:val="clear" w:color="auto" w:fill="FFFFFF"/>
              </w:rPr>
              <w:t>250a</w:t>
            </w:r>
            <w:r>
              <w:rPr>
                <w:rFonts w:hint="eastAsia"/>
                <w:shd w:val="clear" w:color="auto" w:fill="FFFFFF"/>
              </w:rPr>
              <w:t>后事故发生区下游不同距离处污染物</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的浓度变化见表1</w:t>
            </w:r>
            <w:r>
              <w:rPr>
                <w:shd w:val="clear" w:color="auto" w:fill="FFFFFF"/>
              </w:rPr>
              <w:t>0-5</w:t>
            </w:r>
            <w:r>
              <w:rPr>
                <w:rFonts w:hint="eastAsia"/>
                <w:shd w:val="clear" w:color="auto" w:fill="FFFFFF"/>
              </w:rPr>
              <w:t>。</w:t>
            </w:r>
          </w:p>
          <w:p>
            <w:pPr>
              <w:pStyle w:val="114"/>
              <w:jc w:val="center"/>
              <w:rPr>
                <w:shd w:val="clear" w:color="auto" w:fill="FFFFFF"/>
              </w:rPr>
            </w:pPr>
            <w:r>
              <w:rPr>
                <w:rFonts w:hint="eastAsia"/>
                <w:shd w:val="clear" w:color="auto" w:fill="FFFFFF"/>
              </w:rPr>
              <w:t>表1</w:t>
            </w:r>
            <w:r>
              <w:rPr>
                <w:shd w:val="clear" w:color="auto" w:fill="FFFFFF"/>
              </w:rPr>
              <w:t>0</w:t>
            </w:r>
            <w:r>
              <w:rPr>
                <w:rFonts w:hint="eastAsia"/>
                <w:shd w:val="clear" w:color="auto" w:fill="FFFFFF"/>
              </w:rPr>
              <w:t>-</w:t>
            </w:r>
            <w:r>
              <w:rPr>
                <w:shd w:val="clear" w:color="auto" w:fill="FFFFFF"/>
              </w:rPr>
              <w:t xml:space="preserve">5 </w:t>
            </w:r>
            <w:r>
              <w:rPr>
                <w:rFonts w:hint="eastAsia"/>
                <w:shd w:val="clear" w:color="auto" w:fill="FFFFFF"/>
              </w:rPr>
              <w:t>渗漏事故发生后下游不同距离处污染物</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变化</w:t>
            </w:r>
          </w:p>
          <w:tbl>
            <w:tblPr>
              <w:tblStyle w:val="37"/>
              <w:tblW w:w="9435" w:type="dxa"/>
              <w:tblInd w:w="0" w:type="dxa"/>
              <w:tblLayout w:type="fixed"/>
              <w:tblCellMar>
                <w:top w:w="0" w:type="dxa"/>
                <w:left w:w="108" w:type="dxa"/>
                <w:bottom w:w="0" w:type="dxa"/>
                <w:right w:w="108" w:type="dxa"/>
              </w:tblCellMar>
            </w:tblPr>
            <w:tblGrid>
              <w:gridCol w:w="1048"/>
              <w:gridCol w:w="1048"/>
              <w:gridCol w:w="1048"/>
              <w:gridCol w:w="1047"/>
              <w:gridCol w:w="1047"/>
              <w:gridCol w:w="1047"/>
              <w:gridCol w:w="1047"/>
              <w:gridCol w:w="1047"/>
              <w:gridCol w:w="1056"/>
            </w:tblGrid>
            <w:tr>
              <w:tblPrEx>
                <w:tblLayout w:type="fixed"/>
                <w:tblCellMar>
                  <w:top w:w="0" w:type="dxa"/>
                  <w:left w:w="108" w:type="dxa"/>
                  <w:bottom w:w="0" w:type="dxa"/>
                  <w:right w:w="108" w:type="dxa"/>
                </w:tblCellMar>
              </w:tblPrEx>
              <w:trPr>
                <w:trHeight w:val="457" w:hRule="atLeast"/>
              </w:trPr>
              <w:tc>
                <w:tcPr>
                  <w:tcW w:w="1048" w:type="dxa"/>
                  <w:vMerge w:val="restart"/>
                  <w:tcBorders>
                    <w:top w:val="single" w:color="auto" w:sz="8" w:space="0"/>
                    <w:left w:val="single" w:color="auto" w:sz="8" w:space="0"/>
                    <w:bottom w:val="double" w:color="000000" w:sz="6" w:space="0"/>
                    <w:right w:val="single" w:color="auto" w:sz="4" w:space="0"/>
                  </w:tcBorders>
                  <w:shd w:val="clear" w:color="auto" w:fill="auto"/>
                  <w:vAlign w:val="center"/>
                </w:tcPr>
                <w:p>
                  <w:pPr>
                    <w:widowControl/>
                    <w:jc w:val="center"/>
                    <w:rPr>
                      <w:rFonts w:ascii="宋体" w:hAnsi="宋体"/>
                      <w:color w:val="000000"/>
                      <w:kern w:val="0"/>
                      <w:sz w:val="18"/>
                      <w:szCs w:val="18"/>
                    </w:rPr>
                  </w:pPr>
                  <w:r>
                    <w:rPr>
                      <w:rFonts w:hint="eastAsia" w:ascii="宋体" w:hAnsi="宋体"/>
                      <w:color w:val="000000"/>
                      <w:sz w:val="18"/>
                      <w:szCs w:val="18"/>
                    </w:rPr>
                    <w:t>距离渗漏事故发生处(m)</w:t>
                  </w:r>
                </w:p>
              </w:tc>
              <w:tc>
                <w:tcPr>
                  <w:tcW w:w="8387" w:type="dxa"/>
                  <w:gridSpan w:val="8"/>
                  <w:tcBorders>
                    <w:top w:val="single" w:color="auto" w:sz="8" w:space="0"/>
                    <w:left w:val="nil"/>
                    <w:bottom w:val="single" w:color="auto" w:sz="4" w:space="0"/>
                    <w:right w:val="single" w:color="000000" w:sz="8" w:space="0"/>
                  </w:tcBorders>
                  <w:shd w:val="clear" w:color="auto" w:fill="auto"/>
                  <w:vAlign w:val="center"/>
                </w:tcPr>
                <w:p>
                  <w:pPr>
                    <w:jc w:val="center"/>
                    <w:rPr>
                      <w:rFonts w:ascii="宋体" w:hAnsi="宋体"/>
                      <w:sz w:val="18"/>
                      <w:szCs w:val="18"/>
                    </w:rPr>
                  </w:pPr>
                  <w:r>
                    <w:rPr>
                      <w:rFonts w:hint="eastAsia" w:ascii="宋体" w:hAnsi="宋体"/>
                      <w:sz w:val="18"/>
                      <w:szCs w:val="18"/>
                    </w:rPr>
                    <w:t>污染物</w:t>
                  </w:r>
                  <w:r>
                    <w:rPr>
                      <w:rFonts w:ascii="宋体" w:hAnsi="宋体" w:cs="Calibri"/>
                      <w:sz w:val="18"/>
                      <w:szCs w:val="18"/>
                    </w:rPr>
                    <w:t>NH</w:t>
                  </w:r>
                  <w:r>
                    <w:rPr>
                      <w:rFonts w:ascii="宋体" w:hAnsi="宋体" w:cs="Calibri"/>
                      <w:sz w:val="18"/>
                      <w:szCs w:val="18"/>
                      <w:vertAlign w:val="subscript"/>
                    </w:rPr>
                    <w:t>3</w:t>
                  </w:r>
                  <w:r>
                    <w:rPr>
                      <w:rFonts w:ascii="宋体" w:hAnsi="宋体" w:cs="Calibri"/>
                      <w:sz w:val="18"/>
                      <w:szCs w:val="18"/>
                    </w:rPr>
                    <w:t>-H</w:t>
                  </w:r>
                  <w:r>
                    <w:rPr>
                      <w:rFonts w:hint="eastAsia" w:ascii="宋体" w:hAnsi="宋体"/>
                      <w:sz w:val="18"/>
                      <w:szCs w:val="18"/>
                    </w:rPr>
                    <w:t>浓度</w:t>
                  </w:r>
                  <w:r>
                    <w:rPr>
                      <w:rFonts w:ascii="宋体" w:hAnsi="宋体" w:cs="Calibri"/>
                      <w:sz w:val="18"/>
                      <w:szCs w:val="18"/>
                    </w:rPr>
                    <w:t>(mg/L)</w:t>
                  </w:r>
                </w:p>
              </w:tc>
            </w:tr>
            <w:tr>
              <w:tblPrEx>
                <w:tblLayout w:type="fixed"/>
                <w:tblCellMar>
                  <w:top w:w="0" w:type="dxa"/>
                  <w:left w:w="108" w:type="dxa"/>
                  <w:bottom w:w="0" w:type="dxa"/>
                  <w:right w:w="108" w:type="dxa"/>
                </w:tblCellMar>
              </w:tblPrEx>
              <w:trPr>
                <w:trHeight w:val="318" w:hRule="atLeast"/>
              </w:trPr>
              <w:tc>
                <w:tcPr>
                  <w:tcW w:w="1048" w:type="dxa"/>
                  <w:vMerge w:val="continue"/>
                  <w:tcBorders>
                    <w:top w:val="single" w:color="auto" w:sz="8" w:space="0"/>
                    <w:left w:val="single" w:color="auto" w:sz="8" w:space="0"/>
                    <w:bottom w:val="double" w:color="000000" w:sz="6" w:space="0"/>
                    <w:right w:val="single" w:color="auto" w:sz="4" w:space="0"/>
                  </w:tcBorders>
                  <w:vAlign w:val="center"/>
                </w:tcPr>
                <w:p>
                  <w:pPr>
                    <w:rPr>
                      <w:rFonts w:ascii="宋体" w:hAnsi="宋体" w:cs="宋体"/>
                      <w:color w:val="000000"/>
                      <w:sz w:val="18"/>
                      <w:szCs w:val="18"/>
                    </w:rPr>
                  </w:pPr>
                </w:p>
              </w:tc>
              <w:tc>
                <w:tcPr>
                  <w:tcW w:w="1048" w:type="dxa"/>
                  <w:tcBorders>
                    <w:top w:val="nil"/>
                    <w:left w:val="nil"/>
                    <w:bottom w:val="double" w:color="auto" w:sz="6"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1a</w:t>
                  </w:r>
                </w:p>
              </w:tc>
              <w:tc>
                <w:tcPr>
                  <w:tcW w:w="1048" w:type="dxa"/>
                  <w:tcBorders>
                    <w:top w:val="nil"/>
                    <w:left w:val="nil"/>
                    <w:bottom w:val="double" w:color="auto" w:sz="6"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2a</w:t>
                  </w:r>
                </w:p>
              </w:tc>
              <w:tc>
                <w:tcPr>
                  <w:tcW w:w="1047" w:type="dxa"/>
                  <w:tcBorders>
                    <w:top w:val="nil"/>
                    <w:left w:val="nil"/>
                    <w:bottom w:val="double" w:color="auto" w:sz="6"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5a</w:t>
                  </w:r>
                </w:p>
              </w:tc>
              <w:tc>
                <w:tcPr>
                  <w:tcW w:w="1047" w:type="dxa"/>
                  <w:tcBorders>
                    <w:top w:val="nil"/>
                    <w:left w:val="nil"/>
                    <w:bottom w:val="double" w:color="auto" w:sz="6"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10a</w:t>
                  </w:r>
                </w:p>
              </w:tc>
              <w:tc>
                <w:tcPr>
                  <w:tcW w:w="1047" w:type="dxa"/>
                  <w:tcBorders>
                    <w:top w:val="nil"/>
                    <w:left w:val="nil"/>
                    <w:bottom w:val="double" w:color="auto" w:sz="6"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50a</w:t>
                  </w:r>
                </w:p>
              </w:tc>
              <w:tc>
                <w:tcPr>
                  <w:tcW w:w="1047" w:type="dxa"/>
                  <w:tcBorders>
                    <w:top w:val="nil"/>
                    <w:left w:val="nil"/>
                    <w:bottom w:val="double" w:color="auto" w:sz="6"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100a</w:t>
                  </w:r>
                </w:p>
              </w:tc>
              <w:tc>
                <w:tcPr>
                  <w:tcW w:w="1047" w:type="dxa"/>
                  <w:tcBorders>
                    <w:top w:val="nil"/>
                    <w:left w:val="nil"/>
                    <w:bottom w:val="double" w:color="auto" w:sz="6"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150a</w:t>
                  </w:r>
                </w:p>
              </w:tc>
              <w:tc>
                <w:tcPr>
                  <w:tcW w:w="1056" w:type="dxa"/>
                  <w:tcBorders>
                    <w:top w:val="nil"/>
                    <w:left w:val="nil"/>
                    <w:bottom w:val="double" w:color="auto" w:sz="6" w:space="0"/>
                    <w:right w:val="single" w:color="auto" w:sz="8" w:space="0"/>
                  </w:tcBorders>
                  <w:shd w:val="clear" w:color="auto" w:fill="auto"/>
                  <w:vAlign w:val="center"/>
                </w:tcPr>
                <w:p>
                  <w:pPr>
                    <w:jc w:val="center"/>
                    <w:rPr>
                      <w:rFonts w:ascii="宋体" w:hAnsi="宋体"/>
                      <w:sz w:val="18"/>
                      <w:szCs w:val="18"/>
                    </w:rPr>
                  </w:pPr>
                  <w:r>
                    <w:rPr>
                      <w:rFonts w:hint="eastAsia" w:ascii="宋体" w:hAnsi="宋体"/>
                      <w:sz w:val="18"/>
                      <w:szCs w:val="18"/>
                    </w:rPr>
                    <w:t>250a</w:t>
                  </w:r>
                </w:p>
              </w:tc>
            </w:tr>
            <w:tr>
              <w:tblPrEx>
                <w:tblLayout w:type="fixed"/>
                <w:tblCellMar>
                  <w:top w:w="0" w:type="dxa"/>
                  <w:left w:w="108" w:type="dxa"/>
                  <w:bottom w:w="0" w:type="dxa"/>
                  <w:right w:w="108" w:type="dxa"/>
                </w:tblCellMar>
              </w:tblPrEx>
              <w:trPr>
                <w:trHeight w:val="31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0</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201.1141</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99.53457</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38.61166</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18.34409</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2.437736</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0.731193</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0.131569</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0.063142</w:t>
                  </w:r>
                </w:p>
              </w:tc>
            </w:tr>
            <w:tr>
              <w:tblPrEx>
                <w:tblLayout w:type="fixed"/>
                <w:tblCellMar>
                  <w:top w:w="0" w:type="dxa"/>
                  <w:left w:w="108" w:type="dxa"/>
                  <w:bottom w:w="0" w:type="dxa"/>
                  <w:right w:w="108" w:type="dxa"/>
                </w:tblCellMar>
              </w:tblPrEx>
              <w:trPr>
                <w:trHeight w:val="29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5</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5.60E+01</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5.95E+01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3.65E+01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2.02E+01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3.04E+00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9.25E-01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1.68E-01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8.06E-02</w:t>
                  </w:r>
                </w:p>
              </w:tc>
            </w:tr>
            <w:tr>
              <w:tblPrEx>
                <w:tblLayout w:type="fixed"/>
                <w:tblCellMar>
                  <w:top w:w="0" w:type="dxa"/>
                  <w:left w:w="108" w:type="dxa"/>
                  <w:bottom w:w="0" w:type="dxa"/>
                  <w:right w:w="108" w:type="dxa"/>
                </w:tblCellMar>
              </w:tblPrEx>
              <w:trPr>
                <w:trHeight w:val="31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10</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7.32E-01</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7.71E+00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1.87E+01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1.64E+01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3.56E+00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1.13E+00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2.10E-01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1.02E-01</w:t>
                  </w:r>
                </w:p>
              </w:tc>
            </w:tr>
            <w:tr>
              <w:tblPrEx>
                <w:tblLayout w:type="fixed"/>
                <w:tblCellMar>
                  <w:top w:w="0" w:type="dxa"/>
                  <w:left w:w="108" w:type="dxa"/>
                  <w:bottom w:w="0" w:type="dxa"/>
                  <w:right w:w="108" w:type="dxa"/>
                </w:tblCellMar>
              </w:tblPrEx>
              <w:trPr>
                <w:trHeight w:val="29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15</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4.50E-04</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2.17E-01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5.22E+00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9.81E+00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3.92E+00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1.35E+00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2.60E-01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1.27E-01</w:t>
                  </w:r>
                </w:p>
              </w:tc>
            </w:tr>
            <w:tr>
              <w:tblPrEx>
                <w:tblLayout w:type="fixed"/>
                <w:tblCellMar>
                  <w:top w:w="0" w:type="dxa"/>
                  <w:left w:w="108" w:type="dxa"/>
                  <w:bottom w:w="0" w:type="dxa"/>
                  <w:right w:w="108" w:type="dxa"/>
                </w:tblCellMar>
              </w:tblPrEx>
              <w:trPr>
                <w:trHeight w:val="29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20</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1.30E-08</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1.32E-03</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7.88E-01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4.32E+00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4.06E+00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1.56E+00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3.16E-01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1.56E-01</w:t>
                  </w:r>
                </w:p>
              </w:tc>
            </w:tr>
            <w:tr>
              <w:tblPrEx>
                <w:tblLayout w:type="fixed"/>
                <w:tblCellMar>
                  <w:top w:w="0" w:type="dxa"/>
                  <w:left w:w="108" w:type="dxa"/>
                  <w:bottom w:w="0" w:type="dxa"/>
                  <w:right w:w="108" w:type="dxa"/>
                </w:tblCellMar>
              </w:tblPrEx>
              <w:trPr>
                <w:trHeight w:val="31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25</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1.77E-14</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1.74E-06</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6.45E-02</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1.40E+00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3.96E+00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1.74E+00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3.79E-01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1.89E-01</w:t>
                  </w:r>
                </w:p>
              </w:tc>
            </w:tr>
            <w:tr>
              <w:tblPrEx>
                <w:tblLayout w:type="fixed"/>
                <w:tblCellMar>
                  <w:top w:w="0" w:type="dxa"/>
                  <w:left w:w="108" w:type="dxa"/>
                  <w:bottom w:w="0" w:type="dxa"/>
                  <w:right w:w="108" w:type="dxa"/>
                </w:tblCellMar>
              </w:tblPrEx>
              <w:trPr>
                <w:trHeight w:val="357"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30</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1.13E-21</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4.99E-10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2.87E-03</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3.35E-01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3.63E+00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1.89E+00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4.48E-01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2.27E-01</w:t>
                  </w:r>
                </w:p>
              </w:tc>
            </w:tr>
            <w:tr>
              <w:tblPrEx>
                <w:tblLayout w:type="fixed"/>
                <w:tblCellMar>
                  <w:top w:w="0" w:type="dxa"/>
                  <w:left w:w="108" w:type="dxa"/>
                  <w:bottom w:w="0" w:type="dxa"/>
                  <w:right w:w="108" w:type="dxa"/>
                </w:tblCellMar>
              </w:tblPrEx>
              <w:trPr>
                <w:trHeight w:val="31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40</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4.76E-40</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4.16E-19</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9.04E-07</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7.63E-03</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2.54E+00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2.03E+00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5.96E-01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3.15E-01</w:t>
                  </w:r>
                </w:p>
              </w:tc>
            </w:tr>
            <w:tr>
              <w:tblPrEx>
                <w:tblLayout w:type="fixed"/>
                <w:tblCellMar>
                  <w:top w:w="0" w:type="dxa"/>
                  <w:left w:w="108" w:type="dxa"/>
                  <w:bottom w:w="0" w:type="dxa"/>
                  <w:right w:w="108" w:type="dxa"/>
                </w:tblCellMar>
              </w:tblPrEx>
              <w:trPr>
                <w:trHeight w:val="31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50</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9.81E-64</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7.67E-31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2.47E-11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5.12E-05</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1.40E+00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1.93E+00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7.46E-01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4.17E-01</w:t>
                  </w:r>
                </w:p>
              </w:tc>
            </w:tr>
            <w:tr>
              <w:tblPrEx>
                <w:tblLayout w:type="fixed"/>
                <w:tblCellMar>
                  <w:top w:w="0" w:type="dxa"/>
                  <w:left w:w="108" w:type="dxa"/>
                  <w:bottom w:w="0" w:type="dxa"/>
                  <w:right w:w="108" w:type="dxa"/>
                </w:tblCellMar>
              </w:tblPrEx>
              <w:trPr>
                <w:trHeight w:val="31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60</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9.85E-93</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3.12E-45</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5.85E-17</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1.01E-07</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5.99E-01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1.62E+00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8.79E-01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5.26E-01</w:t>
                  </w:r>
                </w:p>
              </w:tc>
            </w:tr>
            <w:tr>
              <w:tblPrEx>
                <w:tblLayout w:type="fixed"/>
                <w:tblCellMar>
                  <w:top w:w="0" w:type="dxa"/>
                  <w:left w:w="108" w:type="dxa"/>
                  <w:bottom w:w="0" w:type="dxa"/>
                  <w:right w:w="108" w:type="dxa"/>
                </w:tblCellMar>
              </w:tblPrEx>
              <w:trPr>
                <w:trHeight w:val="298" w:hRule="atLeast"/>
              </w:trPr>
              <w:tc>
                <w:tcPr>
                  <w:tcW w:w="1048" w:type="dxa"/>
                  <w:tcBorders>
                    <w:top w:val="nil"/>
                    <w:left w:val="single" w:color="auto" w:sz="8" w:space="0"/>
                    <w:bottom w:val="single" w:color="auto" w:sz="4"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70</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4.8E-127</w:t>
                  </w:r>
                </w:p>
              </w:tc>
              <w:tc>
                <w:tcPr>
                  <w:tcW w:w="1048"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2.81E-62</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1.20E-23</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5.88E-11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2.01E-01</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1.21E+00</w:t>
                  </w:r>
                </w:p>
              </w:tc>
              <w:tc>
                <w:tcPr>
                  <w:tcW w:w="1047" w:type="dxa"/>
                  <w:tcBorders>
                    <w:top w:val="nil"/>
                    <w:left w:val="nil"/>
                    <w:bottom w:val="single" w:color="auto" w:sz="4"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9.74E-01</w:t>
                  </w:r>
                </w:p>
              </w:tc>
              <w:tc>
                <w:tcPr>
                  <w:tcW w:w="1056" w:type="dxa"/>
                  <w:tcBorders>
                    <w:top w:val="nil"/>
                    <w:left w:val="nil"/>
                    <w:bottom w:val="single" w:color="auto" w:sz="4"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6.31E-01</w:t>
                  </w:r>
                </w:p>
              </w:tc>
            </w:tr>
            <w:tr>
              <w:tblPrEx>
                <w:tblLayout w:type="fixed"/>
                <w:tblCellMar>
                  <w:top w:w="0" w:type="dxa"/>
                  <w:left w:w="108" w:type="dxa"/>
                  <w:bottom w:w="0" w:type="dxa"/>
                  <w:right w:w="108" w:type="dxa"/>
                </w:tblCellMar>
              </w:tblPrEx>
              <w:trPr>
                <w:trHeight w:val="318" w:hRule="atLeast"/>
              </w:trPr>
              <w:tc>
                <w:tcPr>
                  <w:tcW w:w="1048" w:type="dxa"/>
                  <w:tcBorders>
                    <w:top w:val="nil"/>
                    <w:left w:val="single" w:color="auto" w:sz="8" w:space="0"/>
                    <w:bottom w:val="single" w:color="auto" w:sz="8" w:space="0"/>
                    <w:right w:val="single" w:color="auto" w:sz="4" w:space="0"/>
                  </w:tcBorders>
                  <w:shd w:val="clear" w:color="auto" w:fill="auto"/>
                  <w:vAlign w:val="center"/>
                </w:tcPr>
                <w:p>
                  <w:pPr>
                    <w:jc w:val="center"/>
                    <w:rPr>
                      <w:rFonts w:ascii="宋体" w:hAnsi="宋体"/>
                      <w:sz w:val="18"/>
                      <w:szCs w:val="18"/>
                    </w:rPr>
                  </w:pPr>
                  <w:r>
                    <w:rPr>
                      <w:rFonts w:hint="eastAsia" w:ascii="宋体" w:hAnsi="宋体"/>
                      <w:sz w:val="18"/>
                      <w:szCs w:val="18"/>
                    </w:rPr>
                    <w:t>80</w:t>
                  </w:r>
                </w:p>
              </w:tc>
              <w:tc>
                <w:tcPr>
                  <w:tcW w:w="1048" w:type="dxa"/>
                  <w:tcBorders>
                    <w:top w:val="nil"/>
                    <w:left w:val="nil"/>
                    <w:bottom w:val="single" w:color="auto" w:sz="8"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1.2E-166</w:t>
                  </w:r>
                </w:p>
              </w:tc>
              <w:tc>
                <w:tcPr>
                  <w:tcW w:w="1048" w:type="dxa"/>
                  <w:tcBorders>
                    <w:top w:val="nil"/>
                    <w:left w:val="nil"/>
                    <w:bottom w:val="single" w:color="auto" w:sz="8"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5.57E-82</w:t>
                  </w:r>
                </w:p>
              </w:tc>
              <w:tc>
                <w:tcPr>
                  <w:tcW w:w="1047" w:type="dxa"/>
                  <w:tcBorders>
                    <w:top w:val="nil"/>
                    <w:left w:val="nil"/>
                    <w:bottom w:val="single" w:color="auto" w:sz="8"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2.13E-31</w:t>
                  </w:r>
                </w:p>
              </w:tc>
              <w:tc>
                <w:tcPr>
                  <w:tcW w:w="1047" w:type="dxa"/>
                  <w:tcBorders>
                    <w:top w:val="nil"/>
                    <w:left w:val="nil"/>
                    <w:bottom w:val="single" w:color="auto" w:sz="8"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1.01E-14</w:t>
                  </w:r>
                </w:p>
              </w:tc>
              <w:tc>
                <w:tcPr>
                  <w:tcW w:w="1047" w:type="dxa"/>
                  <w:tcBorders>
                    <w:top w:val="nil"/>
                    <w:left w:val="nil"/>
                    <w:bottom w:val="single" w:color="auto" w:sz="8"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5.30E-02</w:t>
                  </w:r>
                </w:p>
              </w:tc>
              <w:tc>
                <w:tcPr>
                  <w:tcW w:w="1047" w:type="dxa"/>
                  <w:tcBorders>
                    <w:top w:val="nil"/>
                    <w:left w:val="nil"/>
                    <w:bottom w:val="single" w:color="auto" w:sz="8"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7.97E-01</w:t>
                  </w:r>
                </w:p>
              </w:tc>
              <w:tc>
                <w:tcPr>
                  <w:tcW w:w="1047" w:type="dxa"/>
                  <w:tcBorders>
                    <w:top w:val="nil"/>
                    <w:left w:val="nil"/>
                    <w:bottom w:val="single" w:color="auto" w:sz="8" w:space="0"/>
                    <w:right w:val="single" w:color="auto" w:sz="4" w:space="0"/>
                  </w:tcBorders>
                  <w:shd w:val="clear" w:color="auto" w:fill="auto"/>
                  <w:vAlign w:val="center"/>
                </w:tcPr>
                <w:p>
                  <w:pPr>
                    <w:jc w:val="right"/>
                    <w:rPr>
                      <w:rFonts w:ascii="宋体" w:hAnsi="宋体"/>
                      <w:sz w:val="18"/>
                      <w:szCs w:val="18"/>
                    </w:rPr>
                  </w:pPr>
                  <w:r>
                    <w:rPr>
                      <w:rFonts w:hint="eastAsia" w:ascii="宋体" w:hAnsi="宋体"/>
                      <w:sz w:val="18"/>
                      <w:szCs w:val="18"/>
                    </w:rPr>
                    <w:t>1.01E+00</w:t>
                  </w:r>
                </w:p>
              </w:tc>
              <w:tc>
                <w:tcPr>
                  <w:tcW w:w="1056" w:type="dxa"/>
                  <w:tcBorders>
                    <w:top w:val="nil"/>
                    <w:left w:val="nil"/>
                    <w:bottom w:val="single" w:color="auto" w:sz="8" w:space="0"/>
                    <w:right w:val="single" w:color="auto" w:sz="8" w:space="0"/>
                  </w:tcBorders>
                  <w:shd w:val="clear" w:color="auto" w:fill="auto"/>
                  <w:vAlign w:val="center"/>
                </w:tcPr>
                <w:p>
                  <w:pPr>
                    <w:jc w:val="right"/>
                    <w:rPr>
                      <w:rFonts w:ascii="宋体" w:hAnsi="宋体"/>
                      <w:sz w:val="18"/>
                      <w:szCs w:val="18"/>
                    </w:rPr>
                  </w:pPr>
                  <w:r>
                    <w:rPr>
                      <w:rFonts w:hint="eastAsia" w:ascii="宋体" w:hAnsi="宋体"/>
                      <w:sz w:val="18"/>
                      <w:szCs w:val="18"/>
                    </w:rPr>
                    <w:t>7.20E-01</w:t>
                  </w:r>
                </w:p>
              </w:tc>
            </w:tr>
          </w:tbl>
          <w:p>
            <w:pPr>
              <w:pStyle w:val="114"/>
              <w:jc w:val="center"/>
              <w:rPr>
                <w:shd w:val="clear" w:color="auto" w:fill="FFFFFF"/>
              </w:rPr>
            </w:pPr>
            <w:r>
              <w:drawing>
                <wp:inline distT="0" distB="0" distL="0" distR="0">
                  <wp:extent cx="5457825" cy="3232785"/>
                  <wp:effectExtent l="0" t="0" r="15875" b="18415"/>
                  <wp:docPr id="128" name="图表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111"/>
            </w:pPr>
            <w:r>
              <w:rPr>
                <w:rFonts w:hint="eastAsia"/>
              </w:rPr>
              <w:t>图</w:t>
            </w:r>
            <w:r>
              <w:t>6-8</w:t>
            </w:r>
            <w:r>
              <w:rPr>
                <w:rFonts w:hint="eastAsia"/>
              </w:rPr>
              <w:t>事故处污染物浓度变化曲线</w:t>
            </w:r>
          </w:p>
          <w:p>
            <w:pPr>
              <w:pStyle w:val="111"/>
              <w:rPr>
                <w:rFonts w:ascii="等线" w:hAnsi="等线" w:eastAsia="等线"/>
              </w:rPr>
            </w:pPr>
            <w:r>
              <w:drawing>
                <wp:inline distT="0" distB="0" distL="0" distR="0">
                  <wp:extent cx="5288915" cy="2987675"/>
                  <wp:effectExtent l="0" t="0" r="6985" b="9525"/>
                  <wp:docPr id="129" name="图表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111"/>
            </w:pPr>
            <w:r>
              <w:rPr>
                <w:rFonts w:hint="eastAsia"/>
              </w:rPr>
              <w:t>图</w:t>
            </w:r>
            <w:r>
              <w:t>6-9</w:t>
            </w:r>
            <w:r>
              <w:rPr>
                <w:rFonts w:hint="eastAsia"/>
              </w:rPr>
              <w:t>下游厂界及潭榄溪处污染物浓度变化曲线</w:t>
            </w:r>
          </w:p>
          <w:p>
            <w:pPr>
              <w:pStyle w:val="114"/>
              <w:rPr>
                <w:shd w:val="clear" w:color="auto" w:fill="FFFFFF"/>
              </w:rPr>
            </w:pPr>
            <w:r>
              <w:rPr>
                <w:rFonts w:hint="eastAsia"/>
                <w:shd w:val="clear" w:color="auto" w:fill="FFFFFF"/>
              </w:rPr>
              <w:t>由图</w:t>
            </w:r>
            <w:r>
              <w:rPr>
                <w:shd w:val="clear" w:color="auto" w:fill="FFFFFF"/>
              </w:rPr>
              <w:t>6-8</w:t>
            </w:r>
            <w:r>
              <w:rPr>
                <w:rFonts w:hint="eastAsia"/>
                <w:shd w:val="clear" w:color="auto" w:fill="FFFFFF"/>
              </w:rPr>
              <w:t>、图</w:t>
            </w:r>
            <w:r>
              <w:rPr>
                <w:shd w:val="clear" w:color="auto" w:fill="FFFFFF"/>
              </w:rPr>
              <w:t>6-9</w:t>
            </w:r>
            <w:r>
              <w:rPr>
                <w:rFonts w:hint="eastAsia"/>
                <w:shd w:val="clear" w:color="auto" w:fill="FFFFFF"/>
              </w:rPr>
              <w:t>可知，</w:t>
            </w:r>
            <w:r>
              <w:rPr>
                <w:rFonts w:hint="eastAsia"/>
              </w:rPr>
              <w:t>泄露事故发生后，受泄露的</w:t>
            </w:r>
            <w:r>
              <w:rPr>
                <w:shd w:val="clear" w:color="auto" w:fill="FFFFFF"/>
              </w:rPr>
              <w:t>NH</w:t>
            </w:r>
            <w:r>
              <w:rPr>
                <w:shd w:val="clear" w:color="auto" w:fill="FFFFFF"/>
                <w:vertAlign w:val="subscript"/>
              </w:rPr>
              <w:t>3</w:t>
            </w:r>
            <w:r>
              <w:rPr>
                <w:shd w:val="clear" w:color="auto" w:fill="FFFFFF"/>
              </w:rPr>
              <w:t>-N</w:t>
            </w:r>
            <w:r>
              <w:rPr>
                <w:rFonts w:hint="eastAsia"/>
              </w:rPr>
              <w:t>的影响，污染物向下游潭榄溪迁移，</w:t>
            </w:r>
            <w:r>
              <w:rPr>
                <w:color w:val="000000" w:themeColor="text1"/>
                <w:shd w:val="clear" w:color="auto" w:fill="FFFFFF"/>
                <w14:textFill>
                  <w14:solidFill>
                    <w14:schemeClr w14:val="tx1"/>
                  </w14:solidFill>
                </w14:textFill>
              </w:rPr>
              <w:t>NH</w:t>
            </w:r>
            <w:r>
              <w:rPr>
                <w:color w:val="000000" w:themeColor="text1"/>
                <w:shd w:val="clear" w:color="auto" w:fill="FFFFFF"/>
                <w:vertAlign w:val="subscript"/>
                <w14:textFill>
                  <w14:solidFill>
                    <w14:schemeClr w14:val="tx1"/>
                  </w14:solidFill>
                </w14:textFill>
              </w:rPr>
              <w:t>3</w:t>
            </w:r>
            <w:r>
              <w:rPr>
                <w:color w:val="000000" w:themeColor="text1"/>
                <w:shd w:val="clear" w:color="auto" w:fill="FFFFFF"/>
                <w14:textFill>
                  <w14:solidFill>
                    <w14:schemeClr w14:val="tx1"/>
                  </w14:solidFill>
                </w14:textFill>
              </w:rPr>
              <w:t>-N</w:t>
            </w:r>
            <w:r>
              <w:rPr>
                <w:rFonts w:hint="eastAsia"/>
                <w:color w:val="000000" w:themeColor="text1"/>
                <w14:textFill>
                  <w14:solidFill>
                    <w14:schemeClr w14:val="tx1"/>
                  </w14:solidFill>
                </w14:textFill>
              </w:rPr>
              <w:t>的影响范围随时间不断增大，在泄露事故发生后</w:t>
            </w:r>
            <w:r>
              <w:rPr>
                <w:color w:val="000000" w:themeColor="text1"/>
                <w14:textFill>
                  <w14:solidFill>
                    <w14:schemeClr w14:val="tx1"/>
                  </w14:solidFill>
                </w14:textFill>
              </w:rPr>
              <w:t>79</w:t>
            </w:r>
            <w:r>
              <w:rPr>
                <w:rFonts w:hint="eastAsia"/>
                <w:color w:val="000000" w:themeColor="text1"/>
                <w14:textFill>
                  <w14:solidFill>
                    <w14:schemeClr w14:val="tx1"/>
                  </w14:solidFill>
                </w14:textFill>
              </w:rPr>
              <w:t>d污染物迁移范围超出下游厂界。</w:t>
            </w:r>
            <w:r>
              <w:rPr>
                <w:rFonts w:hint="eastAsia"/>
                <w:color w:val="000000" w:themeColor="text1"/>
                <w:shd w:val="clear" w:color="auto" w:fill="FFFFFF"/>
                <w14:textFill>
                  <w14:solidFill>
                    <w14:schemeClr w14:val="tx1"/>
                  </w14:solidFill>
                </w14:textFill>
              </w:rPr>
              <w:t>泄漏事故发生处污染物浓度随着时间的推移先增大后减小，</w:t>
            </w:r>
            <w:r>
              <w:rPr>
                <w:rFonts w:hint="eastAsia"/>
                <w:shd w:val="clear" w:color="auto" w:fill="FFFFFF"/>
              </w:rPr>
              <w:t>在泄漏事故发生后</w:t>
            </w:r>
            <w:r>
              <w:rPr>
                <w:shd w:val="clear" w:color="auto" w:fill="FFFFFF"/>
              </w:rPr>
              <w:t>119.64a</w:t>
            </w:r>
            <w:r>
              <w:rPr>
                <w:rFonts w:hint="eastAsia"/>
                <w:shd w:val="clear" w:color="auto" w:fill="FFFFFF"/>
              </w:rPr>
              <w:t>该处污染物浓度低于《地下水质量标准》（</w:t>
            </w:r>
            <w:r>
              <w:rPr>
                <w:shd w:val="clear" w:color="auto" w:fill="FFFFFF"/>
              </w:rPr>
              <w:t>GB/T14848-2017</w:t>
            </w:r>
            <w:r>
              <w:rPr>
                <w:rFonts w:hint="eastAsia"/>
                <w:shd w:val="clear" w:color="auto" w:fill="FFFFFF"/>
              </w:rPr>
              <w:t>）中</w:t>
            </w:r>
            <w:r>
              <w:rPr>
                <w:shd w:val="clear" w:color="auto" w:fill="FFFFFF"/>
              </w:rPr>
              <w:t>NH3-N</w:t>
            </w:r>
            <w:r>
              <w:rPr>
                <w:rFonts w:hint="eastAsia"/>
                <w:shd w:val="clear" w:color="auto" w:fill="FFFFFF"/>
              </w:rPr>
              <w:t>Ⅲ类标准</w:t>
            </w:r>
            <w:r>
              <w:rPr>
                <w:shd w:val="clear" w:color="auto" w:fill="FFFFFF"/>
              </w:rPr>
              <w:t>0.5mg/l</w:t>
            </w:r>
            <w:r>
              <w:rPr>
                <w:rFonts w:hint="eastAsia"/>
                <w:shd w:val="clear" w:color="auto" w:fill="FFFFFF"/>
              </w:rPr>
              <w:t>的浓度限值。下游厂界及潭揽溪处污染物浓度先增大后减小，在泄露事故发生后约8</w:t>
            </w:r>
            <w:r>
              <w:rPr>
                <w:shd w:val="clear" w:color="auto" w:fill="FFFFFF"/>
              </w:rPr>
              <w:t>2.</w:t>
            </w:r>
            <w:r>
              <w:rPr>
                <w:rFonts w:hint="eastAsia"/>
                <w:shd w:val="clear" w:color="auto" w:fill="FFFFFF"/>
              </w:rPr>
              <w:t>8a下游厂界处污染物浓度达到最大值</w:t>
            </w:r>
            <w:r>
              <w:rPr>
                <w:shd w:val="clear" w:color="auto" w:fill="FFFFFF"/>
              </w:rPr>
              <w:t>2.024mg/l</w:t>
            </w:r>
            <w:r>
              <w:rPr>
                <w:rFonts w:hint="eastAsia"/>
                <w:shd w:val="clear" w:color="auto" w:fill="FFFFFF"/>
              </w:rPr>
              <w:t>，在泄露事故发生后约</w:t>
            </w:r>
            <w:r>
              <w:rPr>
                <w:shd w:val="clear" w:color="auto" w:fill="FFFFFF"/>
              </w:rPr>
              <w:t>234.8</w:t>
            </w:r>
            <w:r>
              <w:rPr>
                <w:rFonts w:hint="eastAsia"/>
                <w:shd w:val="clear" w:color="auto" w:fill="FFFFFF"/>
              </w:rPr>
              <w:t>a污染物</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浓度低于《地下水质量标准》（</w:t>
            </w:r>
            <w:r>
              <w:rPr>
                <w:shd w:val="clear" w:color="auto" w:fill="FFFFFF"/>
              </w:rPr>
              <w:t>GB/T14848-2017</w:t>
            </w:r>
            <w:r>
              <w:rPr>
                <w:rFonts w:hint="eastAsia"/>
                <w:shd w:val="clear" w:color="auto" w:fill="FFFFFF"/>
              </w:rPr>
              <w:t>）中</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Ⅲ类标准</w:t>
            </w:r>
            <w:r>
              <w:rPr>
                <w:shd w:val="clear" w:color="auto" w:fill="FFFFFF"/>
              </w:rPr>
              <w:t>0.5mg/l</w:t>
            </w:r>
            <w:r>
              <w:rPr>
                <w:rFonts w:hint="eastAsia"/>
                <w:shd w:val="clear" w:color="auto" w:fill="FFFFFF"/>
              </w:rPr>
              <w:t>的浓度限值；在泄露事故发生后约</w:t>
            </w:r>
            <w:r>
              <w:rPr>
                <w:shd w:val="clear" w:color="auto" w:fill="FFFFFF"/>
              </w:rPr>
              <w:t>151.37</w:t>
            </w:r>
            <w:r>
              <w:rPr>
                <w:rFonts w:hint="eastAsia"/>
                <w:shd w:val="clear" w:color="auto" w:fill="FFFFFF"/>
              </w:rPr>
              <w:t>a下游潭揽溪处污染物浓度达到最大值</w:t>
            </w:r>
            <w:r>
              <w:rPr>
                <w:shd w:val="clear" w:color="auto" w:fill="FFFFFF"/>
              </w:rPr>
              <w:t>1.1755mg/l</w:t>
            </w:r>
            <w:r>
              <w:rPr>
                <w:rFonts w:hint="eastAsia"/>
                <w:shd w:val="clear" w:color="auto" w:fill="FFFFFF"/>
              </w:rPr>
              <w:t>，在泄露事故发生后约</w:t>
            </w:r>
            <w:r>
              <w:rPr>
                <w:shd w:val="clear" w:color="auto" w:fill="FFFFFF"/>
              </w:rPr>
              <w:t>292.8</w:t>
            </w:r>
            <w:r>
              <w:rPr>
                <w:rFonts w:hint="eastAsia"/>
                <w:shd w:val="clear" w:color="auto" w:fill="FFFFFF"/>
              </w:rPr>
              <w:t>a污染物</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浓度低于《地下水质量标准》（</w:t>
            </w:r>
            <w:r>
              <w:rPr>
                <w:shd w:val="clear" w:color="auto" w:fill="FFFFFF"/>
              </w:rPr>
              <w:t>GB/T14848-2017</w:t>
            </w:r>
            <w:r>
              <w:rPr>
                <w:rFonts w:hint="eastAsia"/>
                <w:shd w:val="clear" w:color="auto" w:fill="FFFFFF"/>
              </w:rPr>
              <w:t>）中</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Ⅲ类标准</w:t>
            </w:r>
            <w:r>
              <w:rPr>
                <w:shd w:val="clear" w:color="auto" w:fill="FFFFFF"/>
              </w:rPr>
              <w:t>0.5mg/l</w:t>
            </w:r>
            <w:r>
              <w:rPr>
                <w:rFonts w:hint="eastAsia"/>
                <w:shd w:val="clear" w:color="auto" w:fill="FFFFFF"/>
              </w:rPr>
              <w:t>的浓度限值。</w:t>
            </w:r>
          </w:p>
          <w:p>
            <w:pPr>
              <w:spacing w:line="360" w:lineRule="auto"/>
              <w:ind w:firstLine="482" w:firstLineChars="200"/>
              <w:jc w:val="left"/>
              <w:outlineLvl w:val="1"/>
              <w:rPr>
                <w:rFonts w:ascii="宋体"/>
                <w:b/>
                <w:bCs/>
                <w:sz w:val="24"/>
                <w:szCs w:val="24"/>
                <w:shd w:val="clear" w:color="auto" w:fill="FFFFFF"/>
              </w:rPr>
            </w:pPr>
            <w:r>
              <w:rPr>
                <w:rFonts w:ascii="宋体" w:hAnsi="宋体"/>
                <w:b/>
                <w:bCs/>
                <w:sz w:val="24"/>
                <w:szCs w:val="24"/>
                <w:shd w:val="clear" w:color="auto" w:fill="FFFFFF"/>
              </w:rPr>
              <w:t>3.4</w:t>
            </w:r>
            <w:r>
              <w:rPr>
                <w:rFonts w:hint="eastAsia" w:ascii="宋体" w:hAnsi="宋体"/>
                <w:b/>
                <w:bCs/>
                <w:sz w:val="24"/>
                <w:szCs w:val="24"/>
                <w:shd w:val="clear" w:color="auto" w:fill="FFFFFF"/>
              </w:rPr>
              <w:t>地下水污染防治措施</w:t>
            </w:r>
          </w:p>
          <w:p>
            <w:pPr>
              <w:pStyle w:val="114"/>
            </w:pPr>
            <w:r>
              <w:rPr>
                <w:rFonts w:hint="eastAsia"/>
              </w:rPr>
              <w:t>根据可能产生地下水污染的工程单元的分布情况，按照“源头控制、分区防治、污染监控、应急响应”相结合的原则，从污染物的产生、入渗、扩散、应急响应等方面制定地下水环境保护措施。</w:t>
            </w:r>
          </w:p>
          <w:p>
            <w:pPr>
              <w:pStyle w:val="114"/>
              <w:rPr>
                <w:shd w:val="clear" w:color="auto" w:fill="FFFFFF"/>
              </w:rPr>
            </w:pPr>
            <w:r>
              <w:rPr>
                <w:rFonts w:hint="eastAsia"/>
                <w:shd w:val="clear" w:color="auto" w:fill="FFFFFF"/>
              </w:rPr>
              <w:t>（</w:t>
            </w:r>
            <w:r>
              <w:rPr>
                <w:shd w:val="clear" w:color="auto" w:fill="FFFFFF"/>
              </w:rPr>
              <w:t>1</w:t>
            </w:r>
            <w:r>
              <w:rPr>
                <w:rFonts w:hint="eastAsia"/>
                <w:shd w:val="clear" w:color="auto" w:fill="FFFFFF"/>
              </w:rPr>
              <w:t>）源头控制</w:t>
            </w:r>
          </w:p>
          <w:p>
            <w:pPr>
              <w:pStyle w:val="114"/>
              <w:rPr>
                <w:shd w:val="clear" w:color="auto" w:fill="FFFFFF"/>
              </w:rPr>
            </w:pPr>
            <w:r>
              <w:rPr>
                <w:rFonts w:hint="eastAsia" w:ascii="宋体" w:hAnsi="宋体" w:cs="宋体"/>
                <w:shd w:val="clear" w:color="auto" w:fill="FFFFFF"/>
              </w:rPr>
              <w:t>①</w:t>
            </w:r>
            <w:r>
              <w:rPr>
                <w:rFonts w:hint="eastAsia"/>
                <w:shd w:val="clear" w:color="auto" w:fill="FFFFFF"/>
              </w:rPr>
              <w:t>积极开展处理场排放废水的回收利用，尽量减少废水排放。</w:t>
            </w:r>
          </w:p>
          <w:p>
            <w:pPr>
              <w:pStyle w:val="114"/>
              <w:rPr>
                <w:shd w:val="clear" w:color="auto" w:fill="FFFFFF"/>
              </w:rPr>
            </w:pPr>
            <w:r>
              <w:rPr>
                <w:rFonts w:hint="eastAsia" w:ascii="宋体" w:hAnsi="宋体" w:cs="宋体"/>
                <w:shd w:val="clear" w:color="auto" w:fill="FFFFFF"/>
              </w:rPr>
              <w:t>②</w:t>
            </w:r>
            <w:r>
              <w:rPr>
                <w:rFonts w:hint="eastAsia"/>
                <w:shd w:val="clear" w:color="auto" w:fill="FFFFFF"/>
              </w:rPr>
              <w:t>严格按照国家相关规范要求，对场区内各污水处理设备等采取相应措施，以防止和降低污染物的跑、冒、滴、漏，将污染物泄漏的环境风险事故降到最低程度。</w:t>
            </w:r>
          </w:p>
          <w:p>
            <w:pPr>
              <w:pStyle w:val="114"/>
              <w:rPr>
                <w:shd w:val="clear" w:color="auto" w:fill="FFFFFF"/>
              </w:rPr>
            </w:pPr>
            <w:r>
              <w:rPr>
                <w:rFonts w:hint="eastAsia" w:ascii="宋体" w:hAnsi="宋体" w:cs="宋体"/>
                <w:shd w:val="clear" w:color="auto" w:fill="FFFFFF"/>
              </w:rPr>
              <w:t>③</w:t>
            </w:r>
            <w:r>
              <w:rPr>
                <w:rFonts w:hint="eastAsia"/>
                <w:shd w:val="clear" w:color="auto" w:fill="FFFFFF"/>
              </w:rPr>
              <w:t>设备和管线尽量采用</w:t>
            </w:r>
            <w:r>
              <w:rPr>
                <w:shd w:val="clear" w:color="auto" w:fill="FFFFFF"/>
              </w:rPr>
              <w:t>“</w:t>
            </w:r>
            <w:r>
              <w:rPr>
                <w:rFonts w:hint="eastAsia"/>
                <w:shd w:val="clear" w:color="auto" w:fill="FFFFFF"/>
              </w:rPr>
              <w:t>可视化</w:t>
            </w:r>
            <w:r>
              <w:rPr>
                <w:shd w:val="clear" w:color="auto" w:fill="FFFFFF"/>
              </w:rPr>
              <w:t>”</w:t>
            </w:r>
            <w:r>
              <w:rPr>
                <w:rFonts w:hint="eastAsia"/>
                <w:shd w:val="clear" w:color="auto" w:fill="FFFFFF"/>
              </w:rPr>
              <w:t>原则，即尽可能地上敷设和放置，做到污染物</w:t>
            </w:r>
            <w:r>
              <w:rPr>
                <w:shd w:val="clear" w:color="auto" w:fill="FFFFFF"/>
              </w:rPr>
              <w:t>“</w:t>
            </w:r>
            <w:r>
              <w:rPr>
                <w:rFonts w:hint="eastAsia"/>
                <w:shd w:val="clear" w:color="auto" w:fill="FFFFFF"/>
              </w:rPr>
              <w:t>早发现、早处理</w:t>
            </w:r>
            <w:r>
              <w:rPr>
                <w:shd w:val="clear" w:color="auto" w:fill="FFFFFF"/>
              </w:rPr>
              <w:t>”</w:t>
            </w:r>
            <w:r>
              <w:rPr>
                <w:rFonts w:hint="eastAsia"/>
                <w:shd w:val="clear" w:color="auto" w:fill="FFFFFF"/>
              </w:rPr>
              <w:t>，以减少由于埋地泄漏而可能造成的地下水污染。</w:t>
            </w:r>
          </w:p>
          <w:p>
            <w:pPr>
              <w:pStyle w:val="114"/>
              <w:rPr>
                <w:shd w:val="clear" w:color="auto" w:fill="FFFFFF"/>
              </w:rPr>
            </w:pPr>
            <w:r>
              <w:rPr>
                <w:shd w:val="clear" w:color="auto" w:fill="FFFFFF"/>
              </w:rPr>
              <w:t>(2)</w:t>
            </w:r>
            <w:r>
              <w:rPr>
                <w:rFonts w:hint="eastAsia"/>
                <w:shd w:val="clear" w:color="auto" w:fill="FFFFFF"/>
              </w:rPr>
              <w:t>分区防治措施</w:t>
            </w:r>
          </w:p>
          <w:p>
            <w:pPr>
              <w:pStyle w:val="114"/>
              <w:rPr>
                <w:shd w:val="clear" w:color="auto" w:fill="FFFFFF"/>
              </w:rPr>
            </w:pPr>
            <w:r>
              <w:rPr>
                <w:rFonts w:hint="eastAsia"/>
                <w:shd w:val="clear" w:color="auto" w:fill="FFFFFF"/>
              </w:rPr>
              <w:t>根据项目区域各生产功能单元是否可能对地下水造成污染，将项目区域划分为污染重点防渗区、一般防渗区和简单防渗区。根据场地内天然包气带防污性能、污染控制难易程度和污染物特性，将场区内的污泥脱水机房、中间提升泵房、调节池、事故池、沉淀池、好氧池、活性砂滤池、臭氧催化氧化池、</w:t>
            </w:r>
            <w:r>
              <w:rPr>
                <w:shd w:val="clear" w:color="auto" w:fill="FFFFFF"/>
              </w:rPr>
              <w:t>BAF</w:t>
            </w:r>
            <w:r>
              <w:rPr>
                <w:rFonts w:hint="eastAsia"/>
                <w:shd w:val="clear" w:color="auto" w:fill="FFFFFF"/>
              </w:rPr>
              <w:t>滤池及污水处理厂内工业废水输送主管道划为重点防渗区</w:t>
            </w:r>
            <w:r>
              <w:rPr>
                <w:shd w:val="clear" w:color="auto" w:fill="FFFFFF"/>
              </w:rPr>
              <w:t>;</w:t>
            </w:r>
            <w:r>
              <w:rPr>
                <w:rFonts w:hint="eastAsia"/>
                <w:shd w:val="clear" w:color="auto" w:fill="FFFFFF"/>
              </w:rPr>
              <w:t>鼓风机房、臭氧发生间、碳源投加间、加药间、除臭系统划为一般防渗区</w:t>
            </w:r>
            <w:r>
              <w:rPr>
                <w:shd w:val="clear" w:color="auto" w:fill="FFFFFF"/>
              </w:rPr>
              <w:t>;</w:t>
            </w:r>
            <w:r>
              <w:rPr>
                <w:rFonts w:hint="eastAsia"/>
                <w:shd w:val="clear" w:color="auto" w:fill="FFFFFF"/>
              </w:rPr>
              <w:t>其它场地为简单防渗区。防渗区的防渗技术必须满足《环境影响评价技术导则</w:t>
            </w:r>
            <w:r>
              <w:rPr>
                <w:shd w:val="clear" w:color="auto" w:fill="FFFFFF"/>
              </w:rPr>
              <w:t xml:space="preserve"> </w:t>
            </w:r>
            <w:r>
              <w:rPr>
                <w:rFonts w:hint="eastAsia"/>
                <w:shd w:val="clear" w:color="auto" w:fill="FFFFFF"/>
              </w:rPr>
              <w:t>地下水环境》（</w:t>
            </w:r>
            <w:r>
              <w:rPr>
                <w:shd w:val="clear" w:color="auto" w:fill="FFFFFF"/>
              </w:rPr>
              <w:t>HJ 610-2016</w:t>
            </w:r>
            <w:r>
              <w:rPr>
                <w:rFonts w:hint="eastAsia"/>
                <w:shd w:val="clear" w:color="auto" w:fill="FFFFFF"/>
              </w:rPr>
              <w:t>）要求。</w:t>
            </w:r>
          </w:p>
          <w:p>
            <w:pPr>
              <w:pStyle w:val="114"/>
              <w:rPr>
                <w:shd w:val="clear" w:color="auto" w:fill="FFFFFF"/>
              </w:rPr>
            </w:pPr>
            <w:r>
              <w:rPr>
                <w:rFonts w:hint="eastAsia"/>
                <w:shd w:val="clear" w:color="auto" w:fill="FFFFFF"/>
              </w:rPr>
              <w:t>（</w:t>
            </w:r>
            <w:r>
              <w:rPr>
                <w:shd w:val="clear" w:color="auto" w:fill="FFFFFF"/>
              </w:rPr>
              <w:t>3</w:t>
            </w:r>
            <w:r>
              <w:rPr>
                <w:rFonts w:hint="eastAsia"/>
                <w:shd w:val="clear" w:color="auto" w:fill="FFFFFF"/>
              </w:rPr>
              <w:t>）地下水污染监控系统</w:t>
            </w:r>
          </w:p>
          <w:p>
            <w:pPr>
              <w:pStyle w:val="114"/>
            </w:pPr>
            <w:r>
              <w:rPr>
                <w:rFonts w:hint="eastAsia"/>
              </w:rPr>
              <w:t>为了及时准确地掌握厂址下游地区地下水环境质量状况和地下水中污染物的动态变化，拟建项目需建立地下水长期监控系统，包括科学、合理地设置地下水污染监控井，建立完善的监测制度，配备先进的检测</w:t>
            </w:r>
            <w:bookmarkStart w:id="47" w:name="_GoBack"/>
            <w:bookmarkEnd w:id="47"/>
            <w:r>
              <w:rPr>
                <w:rFonts w:hint="eastAsia"/>
              </w:rPr>
              <w:t>仪器和设备，以便及时发现问题并及时控制。</w:t>
            </w:r>
          </w:p>
          <w:p>
            <w:pPr>
              <w:pStyle w:val="114"/>
              <w:rPr>
                <w:color w:val="000000" w:themeColor="text1"/>
                <w14:textFill>
                  <w14:solidFill>
                    <w14:schemeClr w14:val="tx1"/>
                  </w14:solidFill>
                </w14:textFill>
              </w:rPr>
            </w:pPr>
            <w:r>
              <w:rPr>
                <w:rFonts w:hint="eastAsia"/>
              </w:rPr>
              <w:t>依据地下水监测原则，参照《地下水环境监测技术规范》（</w:t>
            </w:r>
            <w:r>
              <w:t>HJ/T164-2004</w:t>
            </w:r>
            <w:r>
              <w:rPr>
                <w:rFonts w:hint="eastAsia"/>
              </w:rPr>
              <w:t>）的要求，结合评价区水文地质条件及厂区平面布置，在厂址下游厂区边界处布设地下水水质监测井</w:t>
            </w:r>
            <w:r>
              <w:t>1</w:t>
            </w:r>
            <w:r>
              <w:rPr>
                <w:rFonts w:hint="eastAsia"/>
              </w:rPr>
              <w:t>眼，具体点位分布见图6</w:t>
            </w:r>
            <w:r>
              <w:t>-10</w:t>
            </w:r>
            <w:r>
              <w:rPr>
                <w:rFonts w:hint="eastAsia"/>
              </w:rPr>
              <w:t>。监测层位为潜水含水层，监测因子有氨氮、硝酸盐、亚硝酸盐、挥</w:t>
            </w:r>
            <w:r>
              <w:rPr>
                <w:rFonts w:hint="eastAsia"/>
                <w:color w:val="000000" w:themeColor="text1"/>
                <w14:textFill>
                  <w14:solidFill>
                    <w14:schemeClr w14:val="tx1"/>
                  </w14:solidFill>
                </w14:textFill>
              </w:rPr>
              <w:t>发性酚类、铬（六价）、溶解性总固体、总大肠菌群共</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项，监测频率要求每月一次。</w:t>
            </w:r>
          </w:p>
          <w:p>
            <w:pPr>
              <w:pStyle w:val="114"/>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857240" cy="3500755"/>
                  <wp:effectExtent l="19050" t="19050" r="10160" b="2349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3"/>
                          <a:stretch>
                            <a:fillRect/>
                          </a:stretch>
                        </pic:blipFill>
                        <pic:spPr>
                          <a:xfrm>
                            <a:off x="0" y="0"/>
                            <a:ext cx="5859064" cy="3502034"/>
                          </a:xfrm>
                          <a:prstGeom prst="rect">
                            <a:avLst/>
                          </a:prstGeom>
                          <a:ln w="12700">
                            <a:solidFill>
                              <a:schemeClr val="tx1"/>
                            </a:solidFill>
                          </a:ln>
                        </pic:spPr>
                      </pic:pic>
                    </a:graphicData>
                  </a:graphic>
                </wp:inline>
              </w:drawing>
            </w:r>
          </w:p>
          <w:p>
            <w:pPr>
              <w:pStyle w:val="111"/>
            </w:pPr>
            <w:r>
              <w:rPr>
                <w:rFonts w:hint="eastAsia"/>
              </w:rPr>
              <w:t>图6</w:t>
            </w:r>
            <w:r>
              <w:t xml:space="preserve">-10 </w:t>
            </w:r>
            <w:r>
              <w:rPr>
                <w:rFonts w:hint="eastAsia"/>
              </w:rPr>
              <w:t>监测井位置图</w:t>
            </w:r>
          </w:p>
          <w:p>
            <w:pPr>
              <w:spacing w:line="360" w:lineRule="auto"/>
              <w:ind w:firstLine="482" w:firstLineChars="200"/>
              <w:jc w:val="left"/>
              <w:outlineLvl w:val="1"/>
              <w:rPr>
                <w:rFonts w:ascii="宋体"/>
                <w:b/>
                <w:bCs/>
                <w:color w:val="000000" w:themeColor="text1"/>
                <w:sz w:val="24"/>
                <w:szCs w:val="24"/>
                <w:shd w:val="clear" w:color="auto" w:fill="FFFFFF"/>
                <w14:textFill>
                  <w14:solidFill>
                    <w14:schemeClr w14:val="tx1"/>
                  </w14:solidFill>
                </w14:textFill>
              </w:rPr>
            </w:pPr>
            <w:r>
              <w:rPr>
                <w:rFonts w:ascii="宋体" w:hAnsi="宋体"/>
                <w:b/>
                <w:bCs/>
                <w:color w:val="000000" w:themeColor="text1"/>
                <w:sz w:val="24"/>
                <w:szCs w:val="24"/>
                <w:shd w:val="clear" w:color="auto" w:fill="FFFFFF"/>
                <w14:textFill>
                  <w14:solidFill>
                    <w14:schemeClr w14:val="tx1"/>
                  </w14:solidFill>
                </w14:textFill>
              </w:rPr>
              <w:t>3</w:t>
            </w:r>
            <w:r>
              <w:rPr>
                <w:rFonts w:ascii="宋体"/>
                <w:b/>
                <w:bCs/>
                <w:color w:val="000000" w:themeColor="text1"/>
                <w:sz w:val="24"/>
                <w:szCs w:val="24"/>
                <w:shd w:val="clear" w:color="auto" w:fill="FFFFFF"/>
                <w14:textFill>
                  <w14:solidFill>
                    <w14:schemeClr w14:val="tx1"/>
                  </w14:solidFill>
                </w14:textFill>
              </w:rPr>
              <w:t>.</w:t>
            </w:r>
            <w:r>
              <w:rPr>
                <w:rFonts w:ascii="宋体" w:hAnsi="宋体"/>
                <w:b/>
                <w:bCs/>
                <w:color w:val="000000" w:themeColor="text1"/>
                <w:sz w:val="24"/>
                <w:szCs w:val="24"/>
                <w:shd w:val="clear" w:color="auto" w:fill="FFFFFF"/>
                <w14:textFill>
                  <w14:solidFill>
                    <w14:schemeClr w14:val="tx1"/>
                  </w14:solidFill>
                </w14:textFill>
              </w:rPr>
              <w:t>5</w:t>
            </w:r>
            <w:r>
              <w:rPr>
                <w:rFonts w:hint="eastAsia" w:ascii="宋体" w:hAnsi="宋体"/>
                <w:b/>
                <w:bCs/>
                <w:color w:val="000000" w:themeColor="text1"/>
                <w:sz w:val="24"/>
                <w:szCs w:val="24"/>
                <w:shd w:val="clear" w:color="auto" w:fill="FFFFFF"/>
                <w14:textFill>
                  <w14:solidFill>
                    <w14:schemeClr w14:val="tx1"/>
                  </w14:solidFill>
                </w14:textFill>
              </w:rPr>
              <w:t>地下水环境影响评价小结</w:t>
            </w:r>
          </w:p>
          <w:p>
            <w:pPr>
              <w:pStyle w:val="114"/>
              <w:rPr>
                <w:shd w:val="clear" w:color="auto" w:fill="FFFFFF"/>
              </w:rPr>
            </w:pPr>
            <w:r>
              <w:rPr>
                <w:rFonts w:hint="eastAsia"/>
                <w:shd w:val="clear" w:color="auto" w:fill="FFFFFF"/>
              </w:rPr>
              <w:t>根据</w:t>
            </w:r>
            <w:bookmarkStart w:id="42" w:name="_Hlk16175254"/>
            <w:r>
              <w:rPr>
                <w:rFonts w:hint="eastAsia"/>
                <w:shd w:val="clear" w:color="auto" w:fill="FFFFFF"/>
              </w:rPr>
              <w:t>《环境影响评价技术导则地下水环境》（</w:t>
            </w:r>
            <w:r>
              <w:rPr>
                <w:shd w:val="clear" w:color="auto" w:fill="FFFFFF"/>
              </w:rPr>
              <w:t>HJ 610-2016</w:t>
            </w:r>
            <w:r>
              <w:rPr>
                <w:rFonts w:hint="eastAsia"/>
                <w:shd w:val="clear" w:color="auto" w:fill="FFFFFF"/>
              </w:rPr>
              <w:t>）</w:t>
            </w:r>
            <w:bookmarkEnd w:id="42"/>
            <w:r>
              <w:rPr>
                <w:rFonts w:hint="eastAsia"/>
                <w:shd w:val="clear" w:color="auto" w:fill="FFFFFF"/>
              </w:rPr>
              <w:t>的技术要求本评价过程进行了一期地下水监测工作。收集了区域地质、水文地质等基础资料。据此开展了地下水环境影响评价。</w:t>
            </w:r>
          </w:p>
          <w:p>
            <w:pPr>
              <w:pStyle w:val="114"/>
            </w:pPr>
            <w:r>
              <w:rPr>
                <w:shd w:val="clear" w:color="auto" w:fill="FFFFFF"/>
              </w:rPr>
              <w:t>1</w:t>
            </w:r>
            <w:r>
              <w:rPr>
                <w:rFonts w:hint="eastAsia"/>
                <w:shd w:val="clear" w:color="auto" w:fill="FFFFFF"/>
              </w:rPr>
              <w:t>、监测结果显示</w:t>
            </w:r>
            <w:r>
              <w:rPr>
                <w:rFonts w:hint="eastAsia"/>
              </w:rPr>
              <w:t>各监测点位监测因子均符合《地下水质量标准》（</w:t>
            </w:r>
            <w:r>
              <w:t>GB/T14848-2017</w:t>
            </w:r>
            <w:r>
              <w:rPr>
                <w:rFonts w:hint="eastAsia"/>
              </w:rPr>
              <w:t>）中的Ⅲ类标准。</w:t>
            </w:r>
          </w:p>
          <w:p>
            <w:pPr>
              <w:pStyle w:val="114"/>
              <w:rPr>
                <w:shd w:val="clear" w:color="auto" w:fill="FFFFFF"/>
              </w:rPr>
            </w:pPr>
            <w:r>
              <w:rPr>
                <w:szCs w:val="20"/>
              </w:rPr>
              <w:t>2</w:t>
            </w:r>
            <w:r>
              <w:rPr>
                <w:rFonts w:hint="eastAsia"/>
                <w:szCs w:val="20"/>
              </w:rPr>
              <w:t>、</w:t>
            </w:r>
            <w:r>
              <w:rPr>
                <w:rFonts w:hint="eastAsia"/>
                <w:shd w:val="clear" w:color="auto" w:fill="FFFFFF"/>
              </w:rPr>
              <w:t>扩建工程</w:t>
            </w:r>
            <w:r>
              <w:rPr>
                <w:rFonts w:hint="eastAsia"/>
              </w:rPr>
              <w:t>不新增员工，</w:t>
            </w:r>
            <w:r>
              <w:t>污水处理厂本身产生的设备清洗废水全部进入污水处理系统处理。</w:t>
            </w:r>
            <w:r>
              <w:rPr>
                <w:rFonts w:hint="eastAsia"/>
                <w:shd w:val="clear" w:color="auto" w:fill="FFFFFF"/>
              </w:rPr>
              <w:t>正常工况下，废污水不会对研究区地下水水环境产生影响。</w:t>
            </w:r>
          </w:p>
          <w:p>
            <w:pPr>
              <w:pStyle w:val="114"/>
              <w:rPr>
                <w:shd w:val="clear" w:color="auto" w:fill="FFFFFF"/>
              </w:rPr>
            </w:pPr>
            <w:r>
              <w:rPr>
                <w:shd w:val="clear" w:color="auto" w:fill="FFFFFF"/>
              </w:rPr>
              <w:t>3、</w:t>
            </w:r>
            <w:r>
              <w:t>泄露事故发生后，受泄露的</w:t>
            </w:r>
            <w:r>
              <w:rPr>
                <w:shd w:val="clear" w:color="auto" w:fill="FFFFFF"/>
              </w:rPr>
              <w:t>NH</w:t>
            </w:r>
            <w:r>
              <w:rPr>
                <w:shd w:val="clear" w:color="auto" w:fill="FFFFFF"/>
                <w:vertAlign w:val="subscript"/>
              </w:rPr>
              <w:t>3</w:t>
            </w:r>
            <w:r>
              <w:rPr>
                <w:shd w:val="clear" w:color="auto" w:fill="FFFFFF"/>
              </w:rPr>
              <w:t>-N</w:t>
            </w:r>
            <w:r>
              <w:t>的影响，污染物向下游潭榄溪迁移，</w:t>
            </w:r>
            <w:r>
              <w:rPr>
                <w:color w:val="000000" w:themeColor="text1"/>
                <w:shd w:val="clear" w:color="auto" w:fill="FFFFFF"/>
                <w14:textFill>
                  <w14:solidFill>
                    <w14:schemeClr w14:val="tx1"/>
                  </w14:solidFill>
                </w14:textFill>
              </w:rPr>
              <w:t>NH</w:t>
            </w:r>
            <w:r>
              <w:rPr>
                <w:color w:val="000000" w:themeColor="text1"/>
                <w:shd w:val="clear" w:color="auto" w:fill="FFFFFF"/>
                <w:vertAlign w:val="subscript"/>
                <w14:textFill>
                  <w14:solidFill>
                    <w14:schemeClr w14:val="tx1"/>
                  </w14:solidFill>
                </w14:textFill>
              </w:rPr>
              <w:t>3</w:t>
            </w:r>
            <w:r>
              <w:rPr>
                <w:color w:val="000000" w:themeColor="text1"/>
                <w:shd w:val="clear" w:color="auto" w:fill="FFFFFF"/>
                <w14:textFill>
                  <w14:solidFill>
                    <w14:schemeClr w14:val="tx1"/>
                  </w14:solidFill>
                </w14:textFill>
              </w:rPr>
              <w:t>-N</w:t>
            </w:r>
            <w:r>
              <w:rPr>
                <w:color w:val="000000" w:themeColor="text1"/>
                <w14:textFill>
                  <w14:solidFill>
                    <w14:schemeClr w14:val="tx1"/>
                  </w14:solidFill>
                </w14:textFill>
              </w:rPr>
              <w:t>的影响范围随时间不断增大，在泄露事故发生后79d污染物迁移范围超出下游厂界。</w:t>
            </w:r>
            <w:r>
              <w:rPr>
                <w:color w:val="000000" w:themeColor="text1"/>
                <w:shd w:val="clear" w:color="auto" w:fill="FFFFFF"/>
                <w14:textFill>
                  <w14:solidFill>
                    <w14:schemeClr w14:val="tx1"/>
                  </w14:solidFill>
                </w14:textFill>
              </w:rPr>
              <w:t>泄漏事故发生处污染物浓度随着时间的推移先增大后减小，</w:t>
            </w:r>
            <w:r>
              <w:rPr>
                <w:shd w:val="clear" w:color="auto" w:fill="FFFFFF"/>
              </w:rPr>
              <w:t>在泄漏事故发生后119.64a该处污染物浓度低于《地下水质量标准》（GB/T14848-2017）中NH3-NⅢ类标准0.5mg/l的浓度限值。下游厂界及潭揽溪处污染物浓度先增大后减小，在泄露事故发生后约82.8a下游厂界处污染物浓度达到最大值2.024mg/l，在泄露事故发生后约234.8a污染物NH</w:t>
            </w:r>
            <w:r>
              <w:rPr>
                <w:shd w:val="clear" w:color="auto" w:fill="FFFFFF"/>
                <w:vertAlign w:val="subscript"/>
              </w:rPr>
              <w:t>3</w:t>
            </w:r>
            <w:r>
              <w:rPr>
                <w:shd w:val="clear" w:color="auto" w:fill="FFFFFF"/>
              </w:rPr>
              <w:t>-N浓度低于《地下水质量标准》（GB/T14848-2017）中NH</w:t>
            </w:r>
            <w:r>
              <w:rPr>
                <w:shd w:val="clear" w:color="auto" w:fill="FFFFFF"/>
                <w:vertAlign w:val="subscript"/>
              </w:rPr>
              <w:t>3</w:t>
            </w:r>
            <w:r>
              <w:rPr>
                <w:shd w:val="clear" w:color="auto" w:fill="FFFFFF"/>
              </w:rPr>
              <w:t>-NⅢ类标准0.5mg/l的浓度限值；在泄露事故发生后约151.37a下游潭揽溪处污染物浓度达到最大值1.1755mg/l，在泄露事故发生后约292.8a污染物NH</w:t>
            </w:r>
            <w:r>
              <w:rPr>
                <w:shd w:val="clear" w:color="auto" w:fill="FFFFFF"/>
                <w:vertAlign w:val="subscript"/>
              </w:rPr>
              <w:t>3</w:t>
            </w:r>
            <w:r>
              <w:rPr>
                <w:shd w:val="clear" w:color="auto" w:fill="FFFFFF"/>
              </w:rPr>
              <w:t>-N浓度低于《地下水质量标准》（GB/T14848-2017）中NH</w:t>
            </w:r>
            <w:r>
              <w:rPr>
                <w:shd w:val="clear" w:color="auto" w:fill="FFFFFF"/>
                <w:vertAlign w:val="subscript"/>
              </w:rPr>
              <w:t>3</w:t>
            </w:r>
            <w:r>
              <w:rPr>
                <w:shd w:val="clear" w:color="auto" w:fill="FFFFFF"/>
              </w:rPr>
              <w:t>-NⅢ类标准0.5mg/l的浓度限值。</w:t>
            </w:r>
          </w:p>
          <w:p>
            <w:pPr>
              <w:pStyle w:val="114"/>
              <w:rPr>
                <w:shd w:val="clear" w:color="auto" w:fill="FFFFFF"/>
              </w:rPr>
            </w:pPr>
            <w:r>
              <w:rPr>
                <w:shd w:val="clear" w:color="auto" w:fill="FFFFFF"/>
              </w:rPr>
              <w:t>4</w:t>
            </w:r>
            <w:r>
              <w:rPr>
                <w:rFonts w:hint="eastAsia"/>
                <w:shd w:val="clear" w:color="auto" w:fill="FFFFFF"/>
              </w:rPr>
              <w:t>、</w:t>
            </w:r>
            <w:r>
              <w:rPr>
                <w:rFonts w:hint="eastAsia"/>
              </w:rPr>
              <w:t>运营期针对潜在的地下水污染源的分布情况，在厂址下游厂区边界处布设地下水水质监测井</w:t>
            </w:r>
            <w:r>
              <w:t>1</w:t>
            </w:r>
            <w:r>
              <w:rPr>
                <w:rFonts w:hint="eastAsia"/>
              </w:rPr>
              <w:t>眼长期地下水水质监控井，及时掌握项目区周边地下水水质的变化情况。</w:t>
            </w:r>
          </w:p>
          <w:p>
            <w:pPr>
              <w:pStyle w:val="114"/>
              <w:rPr>
                <w:shd w:val="clear" w:color="auto" w:fill="FFFFFF"/>
              </w:rPr>
            </w:pPr>
            <w:r>
              <w:rPr>
                <w:rFonts w:hint="eastAsia"/>
                <w:shd w:val="clear" w:color="auto" w:fill="FFFFFF"/>
              </w:rPr>
              <w:t>通过以上环保措施，可使本项目建设对地下水的污染减小到最低限度。本项目升级改造后进一步提高了出水水质，减少了污水中污染物的排放量，对区域地下水环境具有一定改善和保护作用。故从地下水环境的角度讲本项目采取上述措施可行。</w:t>
            </w:r>
          </w:p>
          <w:p>
            <w:pPr>
              <w:autoSpaceDE w:val="0"/>
              <w:autoSpaceDN w:val="0"/>
              <w:adjustRightInd w:val="0"/>
              <w:snapToGrid w:val="0"/>
              <w:spacing w:line="360" w:lineRule="auto"/>
              <w:jc w:val="left"/>
              <w:rPr>
                <w:rFonts w:ascii="Times New Roman" w:hAnsi="Times New Roman"/>
                <w:b/>
                <w:bCs/>
                <w:sz w:val="24"/>
                <w:szCs w:val="24"/>
              </w:rPr>
            </w:pPr>
            <w:r>
              <w:rPr>
                <w:rFonts w:hint="eastAsia" w:ascii="Times New Roman" w:hAnsi="Times New Roman"/>
                <w:b/>
                <w:bCs/>
                <w:sz w:val="24"/>
                <w:szCs w:val="24"/>
              </w:rPr>
              <w:t>四、声环境质量影响分析</w:t>
            </w:r>
          </w:p>
          <w:p>
            <w:pPr>
              <w:pStyle w:val="114"/>
            </w:pPr>
            <w:r>
              <w:t>1</w:t>
            </w:r>
            <w:r>
              <w:rPr>
                <w:rFonts w:hint="eastAsia"/>
              </w:rPr>
              <w:t>、噪声源强</w:t>
            </w:r>
          </w:p>
          <w:p>
            <w:pPr>
              <w:pStyle w:val="114"/>
            </w:pPr>
            <w:r>
              <w:rPr>
                <w:rFonts w:hint="eastAsia"/>
              </w:rPr>
              <w:t>根据工程分析可知，噪声主要来源于风机、水泵等设备运行噪声，噪声级为</w:t>
            </w:r>
            <w:r>
              <w:t>75~93dB(A)</w:t>
            </w:r>
            <w:r>
              <w:rPr>
                <w:rFonts w:hint="eastAsia"/>
              </w:rPr>
              <w:t>，所有的产噪设备采取隔声、基础减振等措施，噪声源强较高的设备安装在专用设备间内，并采用吸声、隔声性能好的材料。泵房中污水泵、污泥泵、潜水搅拌机主要为潜水式安装，经过水体隔声后传播到外部环境噪声会大大衰减；鼓风机设置在鼓风机房内，对鼓风机采取隔声罩和房内墙贴隔音材料。同时，进行植树绿化，以减少噪声的影响。本项目主要新增噪声源强详见表</w:t>
            </w:r>
            <w:r>
              <w:t>6-21</w:t>
            </w:r>
            <w:r>
              <w:rPr>
                <w:rFonts w:hint="eastAsia"/>
              </w:rPr>
              <w:t>。</w:t>
            </w:r>
          </w:p>
          <w:p>
            <w:pPr>
              <w:pStyle w:val="111"/>
            </w:pPr>
            <w:r>
              <w:rPr>
                <w:rFonts w:hint="eastAsia"/>
              </w:rPr>
              <w:t>表</w:t>
            </w:r>
            <w:r>
              <w:t xml:space="preserve">6-21 </w:t>
            </w:r>
            <w:r>
              <w:rPr>
                <w:rFonts w:hint="eastAsia"/>
              </w:rPr>
              <w:t>主要噪声源强一览表</w:t>
            </w:r>
          </w:p>
          <w:tbl>
            <w:tblPr>
              <w:tblStyle w:val="37"/>
              <w:tblW w:w="94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254"/>
              <w:gridCol w:w="2692"/>
              <w:gridCol w:w="850"/>
              <w:gridCol w:w="935"/>
              <w:gridCol w:w="1190"/>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tcBorders>
                    <w:top w:val="single" w:color="auto" w:sz="12" w:space="0"/>
                    <w:left w:val="single" w:color="auto" w:sz="12" w:space="0"/>
                    <w:bottom w:val="doub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宋体"/>
                      <w:b/>
                      <w:szCs w:val="21"/>
                    </w:rPr>
                    <w:t>序号</w:t>
                  </w:r>
                </w:p>
              </w:tc>
              <w:tc>
                <w:tcPr>
                  <w:tcW w:w="1254"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宋体"/>
                      <w:b/>
                      <w:szCs w:val="21"/>
                    </w:rPr>
                    <w:t>建构筑物</w:t>
                  </w:r>
                </w:p>
              </w:tc>
              <w:tc>
                <w:tcPr>
                  <w:tcW w:w="2692"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b/>
                      <w:szCs w:val="21"/>
                    </w:rPr>
                  </w:pPr>
                  <w:r>
                    <w:rPr>
                      <w:rFonts w:hint="eastAsia" w:ascii="Times New Roman" w:hAnsi="宋体"/>
                      <w:b/>
                      <w:szCs w:val="21"/>
                    </w:rPr>
                    <w:t>设备名称</w:t>
                  </w:r>
                </w:p>
              </w:tc>
              <w:tc>
                <w:tcPr>
                  <w:tcW w:w="850"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宋体"/>
                      <w:b/>
                      <w:szCs w:val="21"/>
                    </w:rPr>
                    <w:t>数量</w:t>
                  </w:r>
                </w:p>
              </w:tc>
              <w:tc>
                <w:tcPr>
                  <w:tcW w:w="935"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宋体"/>
                      <w:b/>
                      <w:szCs w:val="21"/>
                    </w:rPr>
                    <w:t>源强</w:t>
                  </w:r>
                </w:p>
              </w:tc>
              <w:tc>
                <w:tcPr>
                  <w:tcW w:w="1190"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宋体"/>
                      <w:b/>
                      <w:szCs w:val="21"/>
                    </w:rPr>
                    <w:t>安装位置</w:t>
                  </w:r>
                </w:p>
              </w:tc>
              <w:tc>
                <w:tcPr>
                  <w:tcW w:w="1576" w:type="dxa"/>
                  <w:tcBorders>
                    <w:top w:val="single" w:color="auto" w:sz="12" w:space="0"/>
                    <w:left w:val="single" w:color="auto" w:sz="4" w:space="0"/>
                    <w:bottom w:val="doub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宋体"/>
                      <w:b/>
                      <w:szCs w:val="21"/>
                    </w:rPr>
                    <w:t>主要降噪措施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restart"/>
                  <w:tcBorders>
                    <w:top w:val="doub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r>
                    <w:rPr>
                      <w:rFonts w:hint="eastAsia" w:ascii="Times New Roman" w:hAnsi="宋体"/>
                      <w:b/>
                      <w:szCs w:val="21"/>
                    </w:rPr>
                    <w:t>一</w:t>
                  </w:r>
                </w:p>
              </w:tc>
              <w:tc>
                <w:tcPr>
                  <w:tcW w:w="1254" w:type="dxa"/>
                  <w:vMerge w:val="restart"/>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细格栅及旋曝气沉砂池</w:t>
                  </w:r>
                </w:p>
              </w:tc>
              <w:tc>
                <w:tcPr>
                  <w:tcW w:w="2692" w:type="dxa"/>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回转式格栅除污机</w:t>
                  </w:r>
                </w:p>
              </w:tc>
              <w:tc>
                <w:tcPr>
                  <w:tcW w:w="850" w:type="dxa"/>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台</w:t>
                  </w:r>
                </w:p>
              </w:tc>
              <w:tc>
                <w:tcPr>
                  <w:tcW w:w="935" w:type="dxa"/>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c>
                <w:tcPr>
                  <w:tcW w:w="1190" w:type="dxa"/>
                  <w:vMerge w:val="restart"/>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室外</w:t>
                  </w:r>
                </w:p>
              </w:tc>
              <w:tc>
                <w:tcPr>
                  <w:tcW w:w="1576" w:type="dxa"/>
                  <w:vMerge w:val="restart"/>
                  <w:tcBorders>
                    <w:top w:val="doub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基础减震、距离衰减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螺旋输送机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75</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b/>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气提系统</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套</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曝气沉砂池搅拌机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套</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二</w:t>
                  </w:r>
                </w:p>
              </w:tc>
              <w:tc>
                <w:tcPr>
                  <w:tcW w:w="125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tLeast"/>
                    <w:ind w:left="-105" w:leftChars="-50" w:right="-105" w:rightChars="-50"/>
                    <w:jc w:val="center"/>
                    <w:rPr>
                      <w:rFonts w:ascii="Times New Roman" w:hAnsi="Times New Roman"/>
                      <w:szCs w:val="21"/>
                    </w:rPr>
                  </w:pPr>
                  <w:r>
                    <w:rPr>
                      <w:rFonts w:hint="eastAsia" w:ascii="Times New Roman" w:hAnsi="宋体"/>
                      <w:szCs w:val="21"/>
                    </w:rPr>
                    <w:t>改良型合建式</w:t>
                  </w:r>
                  <w:r>
                    <w:rPr>
                      <w:rFonts w:ascii="Times New Roman" w:hAnsi="Times New Roman"/>
                      <w:szCs w:val="21"/>
                    </w:rPr>
                    <w:t>AAO</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潜水搅拌机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81</w:t>
                  </w:r>
                </w:p>
              </w:tc>
              <w:tc>
                <w:tcPr>
                  <w:tcW w:w="119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水下</w:t>
                  </w:r>
                </w:p>
              </w:tc>
              <w:tc>
                <w:tcPr>
                  <w:tcW w:w="157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基础减震、水体隔声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吸刮泥机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套</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三</w:t>
                  </w:r>
                </w:p>
              </w:tc>
              <w:tc>
                <w:tcPr>
                  <w:tcW w:w="125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活性砂滤池</w:t>
                  </w:r>
                  <w:r>
                    <w:rPr>
                      <w:rFonts w:ascii="Times New Roman" w:hAnsi="Times New Roman"/>
                      <w:szCs w:val="21"/>
                    </w:rPr>
                    <w:tab/>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驱动电机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75</w:t>
                  </w: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室外</w:t>
                  </w:r>
                </w:p>
              </w:tc>
              <w:tc>
                <w:tcPr>
                  <w:tcW w:w="1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基础减震、距离衰减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反冲洗污水泵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室内</w:t>
                  </w:r>
                </w:p>
              </w:tc>
              <w:tc>
                <w:tcPr>
                  <w:tcW w:w="1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基础减震、墙壁隔声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四</w:t>
                  </w:r>
                </w:p>
              </w:tc>
              <w:tc>
                <w:tcPr>
                  <w:tcW w:w="125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ascii="Times New Roman" w:hAnsi="Times New Roman"/>
                      <w:szCs w:val="21"/>
                    </w:rPr>
                    <w:t>PAC</w:t>
                  </w:r>
                  <w:r>
                    <w:rPr>
                      <w:rFonts w:hint="eastAsia" w:ascii="Times New Roman" w:hAnsi="宋体"/>
                      <w:szCs w:val="21"/>
                    </w:rPr>
                    <w:t>及碳源投加系统</w:t>
                  </w:r>
                </w:p>
              </w:tc>
              <w:tc>
                <w:tcPr>
                  <w:tcW w:w="26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szCs w:val="21"/>
                    </w:rPr>
                  </w:pPr>
                  <w:r>
                    <w:rPr>
                      <w:rFonts w:ascii="Times New Roman" w:hAnsi="Times New Roman"/>
                      <w:szCs w:val="21"/>
                    </w:rPr>
                    <w:t>PAC</w:t>
                  </w:r>
                  <w:r>
                    <w:rPr>
                      <w:rFonts w:hint="eastAsia" w:ascii="Times New Roman" w:hAnsi="宋体"/>
                      <w:szCs w:val="21"/>
                    </w:rPr>
                    <w:t>投加泵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83</w:t>
                  </w:r>
                </w:p>
              </w:tc>
              <w:tc>
                <w:tcPr>
                  <w:tcW w:w="119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室内</w:t>
                  </w:r>
                </w:p>
              </w:tc>
              <w:tc>
                <w:tcPr>
                  <w:tcW w:w="157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基础减震、墙壁隔声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醋酸钠投加泵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五</w:t>
                  </w:r>
                </w:p>
              </w:tc>
              <w:tc>
                <w:tcPr>
                  <w:tcW w:w="125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贮泥池</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潜水搅拌器</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水下</w:t>
                  </w:r>
                </w:p>
              </w:tc>
              <w:tc>
                <w:tcPr>
                  <w:tcW w:w="1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基础减震、水体隔声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六</w:t>
                  </w:r>
                </w:p>
              </w:tc>
              <w:tc>
                <w:tcPr>
                  <w:tcW w:w="125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污泥脱水车间</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板框脱水机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室内</w:t>
                  </w:r>
                </w:p>
              </w:tc>
              <w:tc>
                <w:tcPr>
                  <w:tcW w:w="157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基础减震、墙壁隔声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无轴螺旋输送机（水平）</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75</w:t>
                  </w:r>
                </w:p>
              </w:tc>
              <w:tc>
                <w:tcPr>
                  <w:tcW w:w="119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室内</w:t>
                  </w: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无轴螺旋输送机（倾斜）</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75</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加药计量泵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3</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冲洗泵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83</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轴流风机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4</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81</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立式搅拌器</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电动单梁起重机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低压进料泵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83</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高压进料泵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七</w:t>
                  </w:r>
                </w:p>
              </w:tc>
              <w:tc>
                <w:tcPr>
                  <w:tcW w:w="125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中水泵房</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单级单吸离心泵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3</w:t>
                  </w:r>
                  <w:r>
                    <w:rPr>
                      <w:rFonts w:hint="eastAsia" w:ascii="Times New Roman" w:hAnsi="宋体"/>
                      <w:szCs w:val="21"/>
                    </w:rPr>
                    <w:t>套</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c>
                <w:tcPr>
                  <w:tcW w:w="119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室内</w:t>
                  </w: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轴流风机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套</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ascii="Times New Roman" w:hAnsi="Times New Roman"/>
                      <w:szCs w:val="21"/>
                    </w:rPr>
                    <w:t>Lx</w:t>
                  </w:r>
                  <w:r>
                    <w:rPr>
                      <w:rFonts w:hint="eastAsia" w:ascii="Times New Roman" w:hAnsi="宋体"/>
                      <w:szCs w:val="21"/>
                    </w:rPr>
                    <w:t>型电动单梁悬挂式起重机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1</w:t>
                  </w:r>
                  <w:r>
                    <w:rPr>
                      <w:rFonts w:hint="eastAsia" w:ascii="Times New Roman" w:hAnsi="宋体"/>
                      <w:szCs w:val="21"/>
                    </w:rPr>
                    <w:t>套</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80</w:t>
                  </w:r>
                </w:p>
              </w:tc>
              <w:tc>
                <w:tcPr>
                  <w:tcW w:w="11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八</w:t>
                  </w:r>
                </w:p>
              </w:tc>
              <w:tc>
                <w:tcPr>
                  <w:tcW w:w="1254"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鼓风机房</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空气悬浮鼓风机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3</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85</w:t>
                  </w: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室内</w:t>
                  </w:r>
                </w:p>
              </w:tc>
              <w:tc>
                <w:tcPr>
                  <w:tcW w:w="157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九</w:t>
                  </w:r>
                </w:p>
              </w:tc>
              <w:tc>
                <w:tcPr>
                  <w:tcW w:w="125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除臭系统</w:t>
                  </w: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离心风机</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4</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93</w:t>
                  </w:r>
                </w:p>
              </w:tc>
              <w:tc>
                <w:tcPr>
                  <w:tcW w:w="119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隔声罩内</w:t>
                  </w:r>
                </w:p>
              </w:tc>
              <w:tc>
                <w:tcPr>
                  <w:tcW w:w="1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基础减震、隔声罩隔声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69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循环水泵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4</w:t>
                  </w:r>
                  <w:r>
                    <w:rPr>
                      <w:rFonts w:hint="eastAsia" w:ascii="Times New Roman" w:hAnsi="宋体"/>
                      <w:szCs w:val="21"/>
                    </w:rPr>
                    <w:t>台</w:t>
                  </w:r>
                </w:p>
              </w:tc>
              <w:tc>
                <w:tcPr>
                  <w:tcW w:w="9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81</w:t>
                  </w:r>
                </w:p>
              </w:tc>
              <w:tc>
                <w:tcPr>
                  <w:tcW w:w="119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水下</w:t>
                  </w:r>
                </w:p>
              </w:tc>
              <w:tc>
                <w:tcPr>
                  <w:tcW w:w="157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20" w:lineRule="exact"/>
                    <w:jc w:val="center"/>
                    <w:rPr>
                      <w:rFonts w:ascii="Times New Roman" w:hAnsi="Times New Roman"/>
                      <w:szCs w:val="21"/>
                    </w:rPr>
                  </w:pPr>
                  <w:r>
                    <w:rPr>
                      <w:rFonts w:hint="eastAsia" w:ascii="Times New Roman" w:hAnsi="宋体"/>
                      <w:szCs w:val="21"/>
                    </w:rPr>
                    <w:t>基础减震、水体隔声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9" w:type="dxa"/>
                  <w:vMerge w:val="continue"/>
                  <w:tcBorders>
                    <w:top w:val="single" w:color="auto" w:sz="4" w:space="0"/>
                    <w:left w:val="single" w:color="auto" w:sz="12" w:space="0"/>
                    <w:bottom w:val="single" w:color="auto" w:sz="12"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254" w:type="dxa"/>
                  <w:vMerge w:val="continue"/>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p>
              </w:tc>
              <w:tc>
                <w:tcPr>
                  <w:tcW w:w="2692" w:type="dxa"/>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ind w:left="-105" w:leftChars="-50" w:right="-105" w:rightChars="-50"/>
                    <w:jc w:val="center"/>
                    <w:rPr>
                      <w:rFonts w:ascii="Times New Roman" w:hAnsi="Times New Roman"/>
                      <w:szCs w:val="21"/>
                    </w:rPr>
                  </w:pPr>
                  <w:r>
                    <w:rPr>
                      <w:rFonts w:hint="eastAsia" w:ascii="Times New Roman" w:hAnsi="宋体"/>
                      <w:szCs w:val="21"/>
                    </w:rPr>
                    <w:t>喷淋水泵</w:t>
                  </w:r>
                </w:p>
              </w:tc>
              <w:tc>
                <w:tcPr>
                  <w:tcW w:w="850" w:type="dxa"/>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2</w:t>
                  </w:r>
                  <w:r>
                    <w:rPr>
                      <w:rFonts w:hint="eastAsia" w:ascii="Times New Roman" w:hAnsi="宋体"/>
                      <w:szCs w:val="21"/>
                    </w:rPr>
                    <w:t>台</w:t>
                  </w:r>
                </w:p>
              </w:tc>
              <w:tc>
                <w:tcPr>
                  <w:tcW w:w="935" w:type="dxa"/>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jc w:val="center"/>
                    <w:rPr>
                      <w:rFonts w:ascii="Times New Roman" w:hAnsi="Times New Roman"/>
                      <w:szCs w:val="21"/>
                    </w:rPr>
                  </w:pPr>
                  <w:r>
                    <w:rPr>
                      <w:rFonts w:ascii="Times New Roman" w:hAnsi="Times New Roman"/>
                      <w:szCs w:val="21"/>
                    </w:rPr>
                    <w:t>78</w:t>
                  </w:r>
                </w:p>
              </w:tc>
              <w:tc>
                <w:tcPr>
                  <w:tcW w:w="1190" w:type="dxa"/>
                  <w:vMerge w:val="continue"/>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jc w:val="center"/>
                    <w:rPr>
                      <w:rFonts w:ascii="Times New Roman" w:hAnsi="Times New Roman"/>
                      <w:szCs w:val="21"/>
                    </w:rPr>
                  </w:pPr>
                </w:p>
              </w:tc>
              <w:tc>
                <w:tcPr>
                  <w:tcW w:w="1576" w:type="dxa"/>
                  <w:vMerge w:val="continue"/>
                  <w:tcBorders>
                    <w:top w:val="single" w:color="auto" w:sz="4" w:space="0"/>
                    <w:left w:val="single" w:color="auto" w:sz="4" w:space="0"/>
                    <w:bottom w:val="single" w:color="auto" w:sz="12" w:space="0"/>
                    <w:right w:val="single" w:color="auto" w:sz="4" w:space="0"/>
                  </w:tcBorders>
                  <w:shd w:val="clear" w:color="auto" w:fill="FFFFFF"/>
                  <w:vAlign w:val="center"/>
                </w:tcPr>
                <w:p>
                  <w:pPr>
                    <w:spacing w:line="320" w:lineRule="exact"/>
                    <w:jc w:val="center"/>
                    <w:rPr>
                      <w:rFonts w:ascii="Times New Roman" w:hAnsi="Times New Roman"/>
                      <w:szCs w:val="21"/>
                    </w:rPr>
                  </w:pPr>
                </w:p>
              </w:tc>
            </w:tr>
          </w:tbl>
          <w:p>
            <w:pPr>
              <w:pStyle w:val="114"/>
            </w:pPr>
            <w:r>
              <w:t>2</w:t>
            </w:r>
            <w:r>
              <w:rPr>
                <w:rFonts w:hint="eastAsia"/>
              </w:rPr>
              <w:t>、评价方法与预测模式</w:t>
            </w:r>
          </w:p>
          <w:p>
            <w:pPr>
              <w:pStyle w:val="114"/>
            </w:pPr>
            <w:r>
              <w:rPr>
                <w:rFonts w:hint="eastAsia"/>
              </w:rPr>
              <w:t>本评价采用《环境影响评价技术导则声环境》（</w:t>
            </w:r>
            <w:r>
              <w:t>HJ2.4-2009</w:t>
            </w:r>
            <w:r>
              <w:rPr>
                <w:rFonts w:hint="eastAsia"/>
              </w:rPr>
              <w:t>）推荐的工业噪声源衰减公式。营运期噪声随距离衰减以及多个声源叠加可按以下二式计算：</w:t>
            </w:r>
          </w:p>
          <w:p>
            <w:pPr>
              <w:spacing w:line="360" w:lineRule="auto"/>
              <w:ind w:firstLine="480" w:firstLineChars="200"/>
              <w:rPr>
                <w:rFonts w:ascii="Times New Roman" w:hAnsi="Times New Roman"/>
                <w:bCs/>
                <w:sz w:val="24"/>
                <w:szCs w:val="28"/>
              </w:rPr>
            </w:pPr>
            <w:r>
              <w:rPr>
                <w:rFonts w:hint="eastAsia" w:ascii="Times New Roman" w:hAnsi="Times New Roman"/>
                <w:bCs/>
                <w:sz w:val="24"/>
                <w:szCs w:val="28"/>
              </w:rPr>
              <w:t>（1）</w:t>
            </w:r>
            <w:r>
              <w:rPr>
                <w:rFonts w:ascii="Times New Roman" w:hAnsi="Times New Roman"/>
                <w:bCs/>
                <w:sz w:val="24"/>
                <w:szCs w:val="28"/>
              </w:rPr>
              <w:t>点声源的几何发散衰减模式</w:t>
            </w:r>
          </w:p>
          <w:p>
            <w:pPr>
              <w:autoSpaceDE w:val="0"/>
              <w:autoSpaceDN w:val="0"/>
              <w:adjustRightInd w:val="0"/>
              <w:spacing w:line="360" w:lineRule="auto"/>
              <w:ind w:firstLine="420" w:firstLineChars="200"/>
              <w:jc w:val="center"/>
              <w:rPr>
                <w:rFonts w:ascii="Times New Roman" w:hAnsi="Times New Roman"/>
                <w:kern w:val="0"/>
                <w:sz w:val="24"/>
                <w:szCs w:val="24"/>
              </w:rPr>
            </w:pPr>
            <w:r>
              <w:pict>
                <v:shape id="_x0000_i1059" o:spt="75" alt="" type="#_x0000_t75" style="height:16.5pt;width:90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1E66&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Pr=&quot;00031E66&quot; wsp:rsidRDefault=&quot;00031E66&quot; wsp:rsidP=&quot;00031E66&quot;&gt;&lt;m:oMathPara&gt;&lt;m:oMath&gt;&lt;m:sSub&gt;&lt;m:sSubPr&gt;&lt;m:ctrlPr&gt;&lt;w:rPr&gt;&lt;w:rFonts w:ascii=&quot;Cambria Math&quot; w:h-ansi=&quot;Cambria Math&quot;/&gt;&lt;wx:font wx:val=&quot;Cambria Math&quot;/&gt;&lt;w:kern w:val=&quot;0&quot;/&gt;&lt;w:sz w:val=&quot;24&quot;/&gt;&lt;w:sz-cs w:val=&quot;24&quot;/&gt;&lt;/w:rPr&gt;&lt;/m:ctrlPr&gt;&lt;/m:sSubPr&gt;&lt;m:e&gt;&lt;m:r&gt;&lt;m:rPr&gt;&lt;m:nor/&gt;&lt;/m:rPr&gt;&lt;w:rPr&gt;&lt;w:rFonts w:ascii=&quot;Times New Roman&quot; w:h-ansi=&quot;Times New Roman&quot;/&gt;&lt;wx:font wx:val=&quot;Times New Roman&quot;/&gt;&lt;w:kern w:val=&quot;0&quot;/&gt;&lt;w:sz w:val=&quot;24&quot;/&gt;&lt;w:sz-cs w:val=&quot;24&quot;/&gt;&lt;/w:rPr&gt;&lt;m:t&gt;L&lt;/m:t&gt;&lt;/m:r&gt;&lt;/m:e&gt;&lt;m:sub&gt;&lt;m:r&gt;&lt;m:rPr&gt;&lt;m:nor/&gt;&lt;/m:rPr&gt;&lt;w:rPr&gt;&lt;w:rFonts w:ascii=&quot;Times New Roman&quot; w:h-ansi=&quot;Times New Roman&quot;/&gt;&lt;wx:font wx:val=&quot;Times New Roman&quot;/&gt;&lt;w:kern w:val=&quot;0&quot;/&gt;&lt;w:sz w:val=&quot;24&quot;/&gt;&lt;w:sz-cs w:val=&quot;24&quot;/&gt;&lt;/w:rPr&gt;&lt;m:t&gt;1&lt;/m:t&gt;&lt;/m:r&gt;&lt;/m:sub&gt;&lt;/m:sSub&gt;&lt;m:r&gt;&lt;m:rPr&gt;&lt;m:nor/&gt;&lt;/m:rPr&gt;&lt;w:rPr&gt;&lt;w:rFonts w:ascii=&quot;Times New Roman&quot; w:h-ansi=&quot;Times New Roman&quot;/&gt;&lt;wx:font wx:val=&quot;Times New Roman&quot;/&gt;&lt;w:kern w:val=&quot;0&quot;/&gt;&lt;w:sz w:val=&quot;24&quot;/&gt;&lt;w:sz-cs w:val=&quot;24&quot;/&gt;&lt;/w:rPr&gt;&lt;m:t&gt;=&lt;/m:t&gt;&lt;/m:r&gt;&lt;m:sSub&gt;&lt;m:sSubPr&gt;&lt;m:ctrlPr&gt;&lt;w:rPr&gt;&lt;w:rFonts w:ascii=&quot;Cambria Math&quot; w:h-ansi=&quot;Cambria Math&quot;/&gt;&lt;wx:font wx:val=&quot;Cambria Math&quot;/&gt;&lt;w:kern w:val=&quot;0&quot;/&gt;&lt;w:sz w:val=&quot;24&quot;/&gt;&lt;w:sz-cs w:val=&quot;24&quot;/&gt;&lt;/w:rPr&gt;&lt;/m:ctrlPr&gt;&lt;/m:sSubPr&gt;&lt;m:e&gt;&lt;m:r&gt;&lt;m:rPr&gt;&lt;m:nor/&gt;&lt;/m:rPr&gt;&lt;w:rPr&gt;&lt;w:rFonts w:ascii=&quot;Times New Roman&quot; w:h-ansi=&quot;Times New Roman&quot;/&gt;&lt;wx:font wx:val=&quot;Times New Roman&quot;/&gt;&lt;w:kern w:val=&quot;0&quot;/&gt;&lt;w:sz w:val=&quot;24&quot;/&gt;&lt;w:sz-cs w:val=&quot;24&quot;/&gt;&lt;/w:rPr&gt;&lt;m:t&gt;L&lt;/m:t&gt;&lt;/m:r&gt;&lt;/m:e&gt;&lt;m:sub&gt;&lt;m:r&gt;&lt;m:rPr&gt;&lt;m:nor/&gt;&lt;/m:rPr&gt;&lt;w:rPr&gt;&lt;w:rFonts w:ascii=&quot;Times New Roman&quot; w:h-ansi=&quot;Times New Roman&quot;/&gt;&lt;wx:font wx:val=&quot;Times New Roman&quot;/&gt;&lt;w:kern w:val=&quot;0&quot;/&gt;&lt;w:sz w:val=&quot;24&quot;/&gt;&lt;w:sz-cs w:val=&quot;24&quot;/&gt;&lt;/w:rPr&gt;&lt;m:t&gt;2&lt;/m:t&gt;&lt;/m:r&gt;&lt;/m:sub&gt;&lt;/m:sSub&gt;&lt;m:r&gt;&lt;m:rPr&gt;&lt;m:nor/&gt;&lt;/m:rPr&gt;&lt;w:rPr&gt;&lt;w:rFonts w:ascii=&quot;Times New Roman&quot; w:h-ansi=&quot;Times New Roman&quot;/&gt;&lt;wx:font wx:val=&quot;Times New Roman&quot;/&gt;&lt;w:kern w:val=&quot;0&quot;/&gt;&lt;w:sz w:val=&quot;24&quot;/&gt;&lt;w:sz-cs w:val=&quot;24&quot;/&gt;&lt;/w:rPr&gt;&lt;m:t&gt;-20lg&lt;/m:t&gt;&lt;/m:r&gt;&lt;m:d&gt;&lt;m:dPr&gt;&lt;m:ctrlPr&gt;&lt;w:rPr&gt;&lt;w:rFonts w:ascii=&quot;Cambria Math&quot; w:h-ansi=&quot;Cambria Math&quot;/&gt;&lt;wx:font wx:val=&quot;Cambria Math&quot;/&gt;&lt;w:i/&gt;&lt;w:kern w:val=&quot;0&quot;/&gt;&lt;w:sz w:val=&quot;24&quot;/&gt;&lt;w:sz-cs w:val=&quot;24&quot;/&gt;&lt;/w:rPr&gt;&lt;/m:ctrlPr&gt;&lt;/m:dPr&gt;&lt;m:e&gt;&lt;m:f&gt;&lt;m:fPr&gt;&lt;m:type m:val=&quot;lin&quot;/&gt;&lt;m:ctrlPr&gt;&lt;w:rPr&gt;&lt;w:rFonts w:ascii=&quot;Cambria Math&quot; w:h-ansi=&quot;Cambria Math&quot;/&gt;&lt;wx:font wx:val=&quot;Cambria Math&quot;/&gt;&lt;w:i/&gt;&lt;w:kern w:val=&quot;0&quot;/&gt;&lt;w:sz w:val=&quot;24&quot;/&gt;&lt;w:sz-cs w:val=&quot;24&quot;/&gt;&lt;/w:rPr&gt;&lt;/m:ctrlPr&gt;&lt;/m:fPr&gt;&lt;m:num&gt;&lt;m:sSub&gt;&lt;m:sSubPr&gt;&lt;m:ctrlPr&gt;&lt;w:rPr&gt;&lt;w:rFonts w:ascii=&quot;Cambria Math&quot; w:h-ansi=&quot;Cambria Math&quot;/&gt;&lt;wx:font wx:val=&quot;Cambria Math&quot;/&gt;&lt;w:i/&gt;&lt;w:kern w:val=&quot;0&quot;/&gt;&lt;w:sz w:val=&quot;24&quot;/&gt;&lt;w:sz-cs w:val=&quot;24&quot;/&gt;&lt;/w:rPr&gt;&lt;/m:ctrlPr&gt;&lt;/m:sSubPr&gt;&lt;m:e&gt;&lt;m:r&gt;&lt;m:rPr&gt;&lt;m:nor/&gt;&lt;/m:rPr&gt;&lt;w:rPr&gt;&lt;w:rFonts w:ascii=&quot;Times New Roman&quot; w:h-ansi=&quot;Times New Roman&quot;/&gt;&lt;wx:font wx:val=&quot;Times New Roman&quot;/&gt;&lt;w:kern w:val=&quot;0&quot;/&gt;&lt;w:sz w:val=&quot;24&quot;/&gt;&lt;w:sz-cs w:val=&quot;24&quot;/&gt;&lt;/w:rPr&gt;&lt;m:t&gt;r&lt;/m:t&gt;&lt;/m:r&gt;&lt;/m:e&gt;&lt;m:sub&gt;&lt;m:r&gt;&lt;m:rPr&gt;&lt;m:nor/&gt;&lt;/m:rPr&gt;&lt;w:rPr&gt;&lt;w:rFonts w:ascii=&quot;Times New Roman&quot; w:h-ansi=&quot;Times New Roman&quot;/&gt;&lt;wx:font wx:val=&quot;Times New Roman&quot;/&gt;&lt;w:kern w:val=&quot;0&quot;/&gt;&lt;w:sz w:val=&quot;24&quot;/&gt;&lt;w:sz-cs w:val=&quot;24&quot;/&gt;&lt;/w:rPr&gt;&lt;m:t&gt;2&lt;/m:t&gt;&lt;/m:r&gt;&lt;/m:sub&gt;&lt;/m:sSub&gt;&lt;/m:num&gt;&lt;m:den&gt;&lt;m:sSub&gt;&lt;m:sSubPr&gt;&lt;m:ctrlPr&gt;&lt;w:rPr&gt;&lt;w:rFonts w:ascii=&quot;Cambria Math&quot; w:h-ansi=&quot;Cambria Math&quot;/&gt;&lt;wx:font wx:val=&quot;Cambria Math&quot;/&gt;&lt;w:i/&gt;&lt;w:kern w:val=&quot;0&quot;/&gt;&lt;w:sz w:val=&quot;24&quot;/&gt;&lt;w:sz-cs w:val=&quot;24&quot;/&gt;&lt;/w:rPr&gt;&lt;/m:ctrlPr&gt;&lt;/m:sSubPr&gt;&lt;m:e&gt;&lt;m:r&gt;&lt;m:rPr&gt;&lt;m:nor/&gt;&lt;/m:rPr&gt;&lt;w:rPr&gt;&lt;w:rFonts w:ascii=&quot;Times New Roman&quot; w:h-ansi=&quot;Times New Roman&quot;/&gt;&lt;wx:font wx:val=&quot;Times New Roman&quot;/&gt;&lt;w:kern w:val=&quot;0&quot;/&gt;&lt;w:sz w:val=&quot;24&quot;/&gt;&lt;w:sz-cs w:val=&quot;24&quot;/&gt;&lt;/w:rPr&gt;&lt;m:t&gt;r&lt;/m:t&gt;&lt;/m:r&gt;&lt;/m:e&gt;&lt;m:sub&gt;&lt;m:r&gt;&lt;m:rPr&gt;&lt;m:nor/&gt;&lt;/m:rPr&gt;&lt;w:rPr&gt;&lt;w:rFonts w:ascii=&quot;Times New Roman&quot; w:h-ansi=&quot;Times New Roman&quot;/&gt;&lt;wx:font wx:val=&quot;Times New Roman&quot;/&gt;&lt;w:kern w:val=&quot;0&quot;/&gt;&lt;w:sz w:val=&quot;24&quot;/&gt;&lt;w:sz-cs w:val=&quot;24&quot;/&gt;&lt;/w:rPr&gt;&lt;m:t&gt;1&lt;/m:t&gt;&lt;/m:r&gt;&lt;/m:sub&gt;&lt;/m:sSub&gt;&lt;/m:den&gt;&lt;/m:f&gt;&lt;/m:e&gt;&lt;/m:d&gt;&lt;/m:oMath&gt;&lt;/m:oMathPara&gt;&lt;/w:p&gt;&lt;w:sectPr wsp:rsidR=&quot;00000000&quot; wsp:rsidRPr=&quot;00031E66&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64" chromakey="#FFFFFF" o:title=""/>
                  <o:lock v:ext="edit" aspectratio="t"/>
                  <w10:wrap type="none"/>
                  <w10:anchorlock/>
                </v:shape>
              </w:pict>
            </w:r>
          </w:p>
          <w:p>
            <w:pPr>
              <w:autoSpaceDE w:val="0"/>
              <w:autoSpaceDN w:val="0"/>
              <w:adjustRightIn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式中</w:t>
            </w:r>
            <w:r>
              <w:rPr>
                <w:rFonts w:ascii="Times New Roman" w:hAnsi="Times New Roman"/>
                <w:kern w:val="0"/>
                <w:sz w:val="24"/>
                <w:szCs w:val="24"/>
              </w:rPr>
              <w:t>：L</w:t>
            </w:r>
            <w:r>
              <w:rPr>
                <w:rFonts w:ascii="Times New Roman" w:hAnsi="Times New Roman"/>
                <w:kern w:val="0"/>
                <w:sz w:val="24"/>
                <w:szCs w:val="24"/>
                <w:vertAlign w:val="subscript"/>
              </w:rPr>
              <w:t>1</w:t>
            </w:r>
            <w:r>
              <w:rPr>
                <w:rFonts w:ascii="Times New Roman" w:hAnsi="Times New Roman"/>
                <w:kern w:val="0"/>
                <w:sz w:val="24"/>
                <w:szCs w:val="24"/>
              </w:rPr>
              <w:t>、L</w:t>
            </w:r>
            <w:r>
              <w:rPr>
                <w:rFonts w:ascii="Times New Roman" w:hAnsi="Times New Roman"/>
                <w:kern w:val="0"/>
                <w:sz w:val="24"/>
                <w:szCs w:val="24"/>
                <w:vertAlign w:val="subscript"/>
              </w:rPr>
              <w:t>2</w:t>
            </w:r>
            <w:r>
              <w:rPr>
                <w:rFonts w:ascii="Times New Roman" w:hAnsi="Times New Roman"/>
                <w:kern w:val="0"/>
                <w:sz w:val="24"/>
                <w:szCs w:val="24"/>
              </w:rPr>
              <w:t>——距声源r</w:t>
            </w:r>
            <w:r>
              <w:rPr>
                <w:rFonts w:ascii="Times New Roman" w:hAnsi="Times New Roman"/>
                <w:kern w:val="0"/>
                <w:sz w:val="24"/>
                <w:szCs w:val="24"/>
                <w:vertAlign w:val="subscript"/>
              </w:rPr>
              <w:t>1</w:t>
            </w:r>
            <w:r>
              <w:rPr>
                <w:rFonts w:ascii="Times New Roman" w:hAnsi="Times New Roman"/>
                <w:kern w:val="0"/>
                <w:sz w:val="24"/>
                <w:szCs w:val="24"/>
              </w:rPr>
              <w:t>、r</w:t>
            </w:r>
            <w:r>
              <w:rPr>
                <w:rFonts w:ascii="Times New Roman" w:hAnsi="Times New Roman"/>
                <w:kern w:val="0"/>
                <w:sz w:val="24"/>
                <w:szCs w:val="24"/>
                <w:vertAlign w:val="subscript"/>
              </w:rPr>
              <w:t>2</w:t>
            </w:r>
            <w:r>
              <w:rPr>
                <w:rFonts w:ascii="Times New Roman" w:hAnsi="Times New Roman"/>
                <w:kern w:val="0"/>
                <w:sz w:val="24"/>
                <w:szCs w:val="24"/>
              </w:rPr>
              <w:t>处的等效A声级，dB（A）；</w:t>
            </w:r>
          </w:p>
          <w:p>
            <w:pPr>
              <w:autoSpaceDE w:val="0"/>
              <w:autoSpaceDN w:val="0"/>
              <w:adjustRightInd w:val="0"/>
              <w:spacing w:line="360" w:lineRule="auto"/>
              <w:ind w:firstLine="1200" w:firstLineChars="500"/>
              <w:rPr>
                <w:rFonts w:ascii="Times New Roman" w:hAnsi="Times New Roman"/>
                <w:kern w:val="0"/>
                <w:sz w:val="24"/>
                <w:szCs w:val="24"/>
              </w:rPr>
            </w:pPr>
            <w:r>
              <w:rPr>
                <w:rFonts w:ascii="Times New Roman" w:hAnsi="Times New Roman"/>
                <w:kern w:val="0"/>
                <w:sz w:val="24"/>
                <w:szCs w:val="24"/>
              </w:rPr>
              <w:t>r</w:t>
            </w:r>
            <w:r>
              <w:rPr>
                <w:rFonts w:ascii="Times New Roman" w:hAnsi="Times New Roman"/>
                <w:kern w:val="0"/>
                <w:sz w:val="24"/>
                <w:szCs w:val="24"/>
                <w:vertAlign w:val="subscript"/>
              </w:rPr>
              <w:t>1</w:t>
            </w:r>
            <w:r>
              <w:rPr>
                <w:rFonts w:ascii="Times New Roman" w:hAnsi="Times New Roman"/>
                <w:kern w:val="0"/>
                <w:sz w:val="24"/>
                <w:szCs w:val="24"/>
              </w:rPr>
              <w:t>、r</w:t>
            </w:r>
            <w:r>
              <w:rPr>
                <w:rFonts w:ascii="Times New Roman" w:hAnsi="Times New Roman"/>
                <w:kern w:val="0"/>
                <w:sz w:val="24"/>
                <w:szCs w:val="24"/>
                <w:vertAlign w:val="subscript"/>
              </w:rPr>
              <w:t>2</w:t>
            </w:r>
            <w:r>
              <w:rPr>
                <w:rFonts w:ascii="Times New Roman" w:hAnsi="Times New Roman"/>
                <w:kern w:val="0"/>
                <w:sz w:val="24"/>
                <w:szCs w:val="24"/>
              </w:rPr>
              <w:t>——接受点距声源的距离，m。</w:t>
            </w:r>
          </w:p>
          <w:p>
            <w:pPr>
              <w:spacing w:line="360" w:lineRule="auto"/>
              <w:ind w:firstLine="480" w:firstLineChars="200"/>
              <w:rPr>
                <w:rFonts w:ascii="Times New Roman" w:hAnsi="Times New Roman"/>
                <w:bCs/>
                <w:sz w:val="24"/>
                <w:szCs w:val="28"/>
              </w:rPr>
            </w:pPr>
            <w:r>
              <w:rPr>
                <w:rFonts w:hint="eastAsia" w:ascii="Times New Roman" w:hAnsi="Times New Roman"/>
                <w:bCs/>
                <w:sz w:val="24"/>
                <w:szCs w:val="28"/>
              </w:rPr>
              <w:t>（2）</w:t>
            </w:r>
            <w:r>
              <w:rPr>
                <w:rFonts w:ascii="Times New Roman" w:hAnsi="Times New Roman"/>
                <w:bCs/>
                <w:sz w:val="24"/>
                <w:szCs w:val="28"/>
              </w:rPr>
              <w:t>多个声源噪声级叠加公式</w:t>
            </w:r>
          </w:p>
          <w:p>
            <w:pPr>
              <w:autoSpaceDE w:val="0"/>
              <w:autoSpaceDN w:val="0"/>
              <w:adjustRightInd w:val="0"/>
              <w:spacing w:line="360" w:lineRule="auto"/>
              <w:ind w:firstLine="420" w:firstLineChars="200"/>
              <w:jc w:val="center"/>
              <w:rPr>
                <w:rFonts w:ascii="Times New Roman" w:hAnsi="Times New Roman"/>
                <w:kern w:val="0"/>
                <w:sz w:val="24"/>
                <w:szCs w:val="24"/>
              </w:rPr>
            </w:pPr>
            <w:r>
              <w:pict>
                <v:shape id="_x0000_i1060" o:spt="75" alt="" type="#_x0000_t75" style="height:46.5pt;width:98.25pt;" filled="f" o:preferrelative="t" stroked="f" coordsize="21600,21600" equationxml="&lt;?xml version=&quot;1.0&quot; encoding=&quot;UTF-8&quot; standalone=&quot;yes&quot;?&gt;&#10;&#10;&#10;&lt;?mso-application progid=&quot;Word.Document&quot;?&gt;&#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defaultTabStop w:val=&quot;420&quot;/&gt;&lt;w:drawingGridHorizontalSpacing w:val=&quot;105&quot;/&gt;&lt;w:drawingGridVerticalSpacing w:val=&quot;156&quot;/&gt;&lt;w:characterSpacingControl w:val=&quot;CompressPunctuation&quot;/&gt;&lt;w:noLineBreaksAfter w:lang=&quot;ZH-CN&quot; w:val=&quot;$([{拢?&gt;&gt;&gt;&gt;ヂ穇w:b__borborderdeborde__________________锕__锛__锛_蓟锝_俊锟?/&gt;&lt;w:noLineBreaksBefore w:lang=&quot;ZH-CN&quot; w:val=&quot;!%),.:;&amp;gt;?]}垄篓掳路___________︹_扳_测_斥_衡__躲______________________付锔猴妇锕_锕__锕__锛__锛__锛__锛__锛__锛?CompressPunctuation&quot;/&gt;&lt;w:noer w:lang=&quot;ZH-CN&quot; w:val=&quot;$([{拢?&gt;Ler w:lang=&quot;ZH-CN&quot; w:val=&quot;$([{拢?&gt;ier w:lang=&quot;ZH-CN&quot; w:val=&quot;$([{拢?&gt;ner w:lang=&quot;ZH-CN&quot; w:val=&quot;$([{拢?&gt;eBreaksang=&quot;ZH-CN&quot; w:val=&quot;$([{拢楼路_w:bAfterg=&quot;ZH-CN&quot; w:val=&quot;$([{拢楼路___bor w:la&quot;ZH-CN&quot; w:val=&quot;$([{拢楼路___bordeng=&quot;ZH-CN&quot; w:val=&quot;$([{拢楼路___borde? w:val=&quot;$([{拢?&gt;絖?l=&quot;CompressPunctuation&quot;/&gt;&lt;w:noL w:val=&quot;$([{拢?&gt;ineBreaksAfter w:lang=&quot;ZH-CN&quot; w:vaw:val=&quot;$([{拢?&gt;l=&quot;$([{拢楼路___borde_锝__锟?/&gt;&lt;w:CN&quot; w:val=&quot;$([{拢?&gt;optimizeForBrowser/&gt;&lt;w:validateAgainstScal=&quot;$([{拢楼路_w:bhema/&gt;&lt;w:saveInvalidXML w:val=&quot;off&quot;/&gt;&lt;([{拢楼w:val=&quot;$([{拢?&gt;路___borw:ignoreMixedContent w:val=&quot;off&quot;/&gt;&lt;w:a路__w:val=&quot;$([{拢?&gt;_bordelwaysShowPlaceholderText w:val=拢楼路___borvaw:val=&quot;$([{拢?&gt;de&quot;off&quot;/&gt;&lt;w:compat&gt;&lt;w:spaceForUL/&gt;&lt;w:balanceSingleBytl=&quot;$([{拢?&gt;eDoubleByteWidth/&gt;&lt;w:doNotLeaveBackslash_bordeAlone/&gt;&lt;w:ul拢=&quot;$([{拢?&gt;楼路_w:bTrailSpace/&gt;&lt;w:doNotExpandShiftReturn/&gt;&lt;w:adjustLineH_bor&quot;$([{拢?&gt;eightInTable/&gt;&lt;w:breakWrappedTables/&gt;&lt;w:snapToGrrdeidInCell/&gt;&lt;w:wr{拢?&gt;apTextWithPunct/&gt;&lt;w:useAsianBreakRules/&gt;&lt;w:dontGrowAutofit/&gt;&lt;w:u拢?&gt;seFELayout/&gt;&lt;/w:compat&gt;&lt;wsp:rsids&gt;&lt;wsp:rsi[{拢?&gt;dRoot wsp:val=&quot;00D94249&quot;/&gt;&lt;wsp:rsid wsp:val=&quot;00000767&quot;/&gt;&lt;wsp:rsid wsp:val=?&gt;&quot;0000169A&quot;/&gt;&lt;wsp:rsid wsp:val=&quot;000029DD&quot;/&gt;&lt;wsp:rsid wsp:val=&quot;00002C87&quot;/&gt;&gt;&lt;wsp:rsid wsp:val=&quot;000030D0&quot;/&gt;&lt;wsp:rsid wsp:val=&quot;00006043&quot;/&gt;&lt;wsp:rsid wsp:val=&quot;000068BF&quot;/&gt;&lt;wsp:rsid wsp:val=&quot;00007BD0&quot;/&gt;&lt;wsp:rsid wsp:val=&quot;00010225&quot;/&gt;&lt;wsp:rsid wsp:val=&quot;00017772&quot;/&gt;&lt;wsp:rsid wsp:val=&quot;000200B6&quot;/&gt;&lt;wsp:rsid wsp:val=&quot;00020D8F&quot;/&gt;&lt;wsp:rsid wsp:val=&quot;00021C8C&quot;/&gt;&lt;wsp:rsid wsp:val=&quot;00022BA7&quot;/&gt;&lt;wsp:rsid wsp:val=&quot;0002300C&quot;/&gt;&lt;wsp:rsid wsp:val=&quot;0002331E&quot;/&gt;&lt;wsp:rsid wsp:val=&quot;00023594&quot;/&gt;&lt;wsp:rsid wsp:val=&quot;000235E2&quot;/&gt;&lt;wsp:rsid wsp:val=&quot;00023A15&quot;/&gt;&lt;wsp:rsid wsp:val=&quot;000242A4&quot;/&gt;&lt;wsp:rsid wsp:val=&quot;000254DB&quot;/&gt;&lt;wsp:rsid wsp:val=&quot;0002734A&quot;/&gt;&lt;wsp:rsid wsp:val=&quot;000308A2&quot;/&gt;&lt;wsp:rsid wsp:val=&quot;0003289B&quot;/&gt;&lt;wsp:rsid wsp:val=&quot;00032BB3&quot;/&gt;&lt;wsp:rsid wsp:val=&quot;00033A02&quot;/&gt;&lt;wsp:rsid wsp:val=&quot;0003755B&quot;/&gt;&lt;wsp:rsid wsp:val=&quot;00037F88&quot;/&gt;&lt;wsp:rsid wsp:val=&quot;00041C07&quot;/&gt;&lt;wsp:rsid wsp:val=&quot;00041E31&quot;/&gt;&lt;wsp:rsid wsp:val=&quot;000438E5&quot;/&gt;&lt;wsp:rsid wsp:val=&quot;00043978&quot;/&gt;&lt;wsp:rsid wsp:val=&quot;00043D91&quot;/&gt;&lt;wsp:rsid wsp:val=&quot;00045292&quot;/&gt;&lt;wsp:rsid wsp:val=&quot;00045734&quot;/&gt;&lt;wsp:rsid wsp:val=&quot;00046A6A&quot;/&gt;&lt;wsp:rsid wsp:val=&quot;00046ADA&quot;/&gt;&lt;wsp:rsid wsp:val=&quot;0005149C&quot;/&gt;&lt;wsp:rsid wsp:val=&quot;00051787&quot;/&gt;&lt;wsp:rsid wsp:val=&quot;00053168&quot;/&gt;&lt;wsp:rsid wsp:val=&quot;000539A1&quot;/&gt;&lt;wsp:rsid wsp:val=&quot;00053EFB&quot;/&gt;&lt;wsp:rsid wsp:val=&quot;00055565&quot;/&gt;&lt;wsp:rsid wsp:val=&quot;00056524&quot;/&gt;&lt;wsp:rsid wsp:val=&quot;000568AF&quot;/&gt;&lt;wsp:rsid wsp:val=&quot;00057261&quot;/&gt;&lt;wsp:rsid wsp:val=&quot;00060BA8&quot;/&gt;&lt;wsp:rsid wsp:val=&quot;00061DE6&quot;/&gt;&lt;wsp:rsid wsp:val=&quot;00062590&quot;/&gt;&lt;wsp:rsid wsp:val=&quot;000634A5&quot;/&gt;&lt;wsp:rsid wsp:val=&quot;000644B0&quot;/&gt;&lt;wsp:rsid wsp:val=&quot;0006552D&quot;/&gt;&lt;wsp:rsid wsp:val=&quot;00065BB3&quot;/&gt;&lt;wsp:rsid wsp:val=&quot;000663EB&quot;/&gt;&lt;wsp:rsid wsp:val=&quot;000703A8&quot;/&gt;&lt;wsp:rsid wsp:val=&quot;00072883&quot;/&gt;&lt;wsp:rsid wsp:val=&quot;00073617&quot;/&gt;&lt;wsp:rsid wsp:val=&quot;00074918&quot;/&gt;&lt;wsp:rsid wsp:val=&quot;00074E0F&quot;/&gt;&lt;wsp:rsid wsp:val=&quot;000753A1&quot;/&gt;&lt;wsp:rsid wsp:val=&quot;00076255&quot;/&gt;&lt;wsp:rsid wsp:val=&quot;00080BD8&quot;/&gt;&lt;wsp:rsid wsp:val=&quot;00082E32&quot;/&gt;&lt;wsp:rsid wsp:val=&quot;00082F98&quot;/&gt;&lt;wsp:rsid wsp:val=&quot;000830C9&quot;/&gt;&lt;wsp:rsid wsp:val=&quot;0008470C&quot;/&gt;&lt;wsp:rsid wsp:val=&quot;0008503B&quot;/&gt;&lt;wsp:rsid wsp:val=&quot;000860C6&quot;/&gt;&lt;wsp:rsid wsp:val=&quot;0009092A&quot;/&gt;&lt;wsp:rsid wsp:val=&quot;000910BE&quot;/&gt;&lt;wsp:rsid wsp:val=&quot;00091773&quot;/&gt;&lt;wsp:rsid wsp:val=&quot;00093564&quot;/&gt;&lt;wsp:rsid wsp:val=&quot;00093A26&quot;/&gt;&lt;wsp:rsid wsp:val=&quot;00093B9D&quot;/&gt;&lt;wsp:rsid wsp:val=&quot;00093DAE&quot;/&gt;&lt;wsp:rsid wsp:val=&quot;00094270&quot;/&gt;&lt;wsp:rsid wsp:val=&quot;0009455C&quot;/&gt;&lt;wsp:rsid wsp:val=&quot;000949C9&quot;/&gt;&lt;wsp:rsid wsp:val=&quot;000A1078&quot;/&gt;&lt;wsp:rsid wsp:val=&quot;000A227D&quot;/&gt;&lt;wsp:rsid wsp:val=&quot;000A3458&quot;/&gt;&lt;wsp:rsid wsp:val=&quot;000A5C34&quot;/&gt;&lt;wsp:rsid wsp:val=&quot;000A5DD5&quot;/&gt;&lt;wsp:rsid wsp:val=&quot;000A5EC1&quot;/&gt;&lt;wsp:rsid wsp:val=&quot;000A7341&quot;/&gt;&lt;wsp:rsid wsp:val=&quot;000A7563&quot;/&gt;&lt;wsp:rsid wsp:val=&quot;000B1362&quot;/&gt;&lt;wsp:rsid wsp:val=&quot;000B1DA3&quot;/&gt;&lt;wsp:rsid wsp:val=&quot;000B2226&quot;/&gt;&lt;wsp:rsid wsp:val=&quot;000B4B7A&quot;/&gt;&lt;wsp:rsid wsp:val=&quot;000B643E&quot;/&gt;&lt;wsp:rsid wsp:val=&quot;000C23A4&quot;/&gt;&lt;wsp:rsid wsp:val=&quot;000C25E2&quot;/&gt;&lt;wsp:rsid wsp:val=&quot;000C2ADD&quot;/&gt;&lt;wsp:rsid wsp:val=&quot;000C30DC&quot;/&gt;&lt;wsp:rsid wsp:val=&quot;000C376B&quot;/&gt;&lt;wsp:rsid wsp:val=&quot;000C3FB3&quot;/&gt;&lt;wsp:rsid wsp:val=&quot;000C4707&quot;/&gt;&lt;wsp:rsid wsp:val=&quot;000C47B0&quot;/&gt;&lt;wsp:rsid wsp:val=&quot;000C4A52&quot;/&gt;&lt;wsp:rsid wsp:val=&quot;000C4CDF&quot;/&gt;&lt;wsp:rsid wsp:val=&quot;000C64E9&quot;/&gt;&lt;wsp:rsid wsp:val=&quot;000C77C6&quot;/&gt;&lt;wsp:rsid wsp:val=&quot;000C7DAE&quot;/&gt;&lt;wsp:rsid wsp:val=&quot;000C7DBA&quot;/&gt;&lt;wsp:rsid wsp:val=&quot;000C7F38&quot;/&gt;&lt;wsp:rsid wsp:val=&quot;000D1198&quot;/&gt;&lt;wsp:rsid wsp:val=&quot;000D1D4E&quot;/&gt;&lt;wsp:rsid wsp:val=&quot;000D2D8E&quot;/&gt;&lt;wsp:rsid wsp:val=&quot;000D33ED&quot;/&gt;&lt;wsp:rsid wsp:val=&quot;000D4CC7&quot;/&gt;&lt;wsp:rsid wsp:val=&quot;000D50B1&quot;/&gt;&lt;wsp:rsid wsp:val=&quot;000D5CDD&quot;/&gt;&lt;wsp:rsid wsp:val=&quot;000D7078&quot;/&gt;&lt;wsp:rsid wsp:val=&quot;000D733B&quot;/&gt;&lt;wsp:rsid wsp:val=&quot;000D74D1&quot;/&gt;&lt;wsp:rsid wsp:val=&quot;000E0F4C&quot;/&gt;&lt;wsp:rsid wsp:val=&quot;000E1AF1&quot;/&gt;&lt;wsp:rsid wsp:val=&quot;000E1B2E&quot;/&gt;&lt;wsp:rsid wsp:val=&quot;000E1EEC&quot;/&gt;&lt;wsp:rsid wsp:val=&quot;000E2C40&quot;/&gt;&lt;wsp:rsid wsp:val=&quot;000E2CDC&quot;/&gt;&lt;wsp:rsid wsp:val=&quot;000E38AE&quot;/&gt;&lt;wsp:rsid wsp:val=&quot;000E3A5E&quot;/&gt;&lt;wsp:rsid wsp:val=&quot;000E4D29&quot;/&gt;&lt;wsp:rsid wsp:val=&quot;000E5C52&quot;/&gt;&lt;wsp:rsid wsp:val=&quot;000E5D51&quot;/&gt;&lt;wsp:rsid wsp:val=&quot;000E60B8&quot;/&gt;&lt;wsp:rsid wsp:val=&quot;000E76A9&quot;/&gt;&lt;wsp:rsid wsp:val=&quot;000F0764&quot;/&gt;&lt;wsp:rsid wsp:val=&quot;000F1738&quot;/&gt;&lt;wsp:rsid wsp:val=&quot;000F41CD&quot;/&gt;&lt;wsp:rsid wsp:val=&quot;000F48F8&quot;/&gt;&lt;wsp:rsid wsp:val=&quot;000F4ECA&quot;/&gt;&lt;wsp:rsid wsp:val=&quot;000F50B0&quot;/&gt;&lt;wsp:rsid wsp:val=&quot;000F7686&quot;/&gt;&lt;wsp:rsid wsp:val=&quot;000F796D&quot;/&gt;&lt;wsp:rsid wsp:val=&quot;00100046&quot;/&gt;&lt;wsp:rsid wsp:val=&quot;00101174&quot;/&gt;&lt;wsp:rsid wsp:val=&quot;00103601&quot;/&gt;&lt;wsp:rsid wsp:val=&quot;00103A05&quot;/&gt;&lt;wsp:rsid wsp:val=&quot;00103D1D&quot;/&gt;&lt;wsp:rsid wsp:val=&quot;00104399&quot;/&gt;&lt;wsp:rsid wsp:val=&quot;00104D58&quot;/&gt;&lt;wsp:rsid wsp:val=&quot;00106386&quot;/&gt;&lt;wsp:rsid wsp:val=&quot;001063C5&quot;/&gt;&lt;wsp:rsid wsp:val=&quot;00106E56&quot;/&gt;&lt;wsp:rsid wsp:val=&quot;00106F22&quot;/&gt;&lt;wsp:rsid wsp:val=&quot;00110642&quot;/&gt;&lt;wsp:rsid wsp:val=&quot;00111A7B&quot;/&gt;&lt;wsp:rsid wsp:val=&quot;00111D67&quot;/&gt;&lt;wsp:rsid wsp:val=&quot;00113487&quot;/&gt;&lt;wsp:rsid wsp:val=&quot;00113F6B&quot;/&gt;&lt;wsp:rsid wsp:val=&quot;00114134&quot;/&gt;&lt;wsp:rsid wsp:val=&quot;00114C8B&quot;/&gt;&lt;wsp:rsid wsp:val=&quot;001160AD&quot;/&gt;&lt;wsp:rsid wsp:val=&quot;001168A2&quot;/&gt;&lt;wsp:rsid wsp:val=&quot;001201F7&quot;/&gt;&lt;wsp:rsid wsp:val=&quot;00120BB1&quot;/&gt;&lt;wsp:rsid wsp:val=&quot;001218E5&quot;/&gt;&lt;wsp:rsid wsp:val=&quot;00121C28&quot;/&gt;&lt;wsp:rsid wsp:val=&quot;00122054&quot;/&gt;&lt;wsp:rsid wsp:val=&quot;0012210A&quot;/&gt;&lt;wsp:rsid wsp:val=&quot;0012355B&quot;/&gt;&lt;wsp:rsid wsp:val=&quot;00124D70&quot;/&gt;&lt;wsp:rsid wsp:val=&quot;00125571&quot;/&gt;&lt;wsp:rsid wsp:val=&quot;00125866&quot;/&gt;&lt;wsp:rsid wsp:val=&quot;00126731&quot;/&gt;&lt;wsp:rsid wsp:val=&quot;001301A3&quot;/&gt;&lt;wsp:rsid wsp:val=&quot;0013040F&quot;/&gt;&lt;wsp:rsid wsp:val=&quot;00130795&quot;/&gt;&lt;wsp:rsid wsp:val=&quot;00131E54&quot;/&gt;&lt;wsp:rsid wsp:val=&quot;001348CF&quot;/&gt;&lt;wsp:rsid wsp:val=&quot;00135FDA&quot;/&gt;&lt;wsp:rsid wsp:val=&quot;00136C9E&quot;/&gt;&lt;wsp:rsid wsp:val=&quot;0014326D&quot;/&gt;&lt;wsp:rsid wsp:val=&quot;001432EE&quot;/&gt;&lt;wsp:rsid wsp:val=&quot;001440E4&quot;/&gt;&lt;wsp:rsid wsp:val=&quot;001463C6&quot;/&gt;&lt;wsp:rsid wsp:val=&quot;0015034F&quot;/&gt;&lt;wsp:rsid wsp:val=&quot;001505E7&quot;/&gt;&lt;wsp:rsid wsp:val=&quot;00150FFB&quot;/&gt;&lt;wsp:rsid wsp:val=&quot;001519D4&quot;/&gt;&lt;wsp:rsid wsp:val=&quot;0015281C&quot;/&gt;&lt;wsp:rsid wsp:val=&quot;001544A6&quot;/&gt;&lt;wsp:rsid wsp:val=&quot;00154F7F&quot;/&gt;&lt;wsp:rsid wsp:val=&quot;0016128D&quot;/&gt;&lt;wsp:rsid wsp:val=&quot;00161464&quot;/&gt;&lt;wsp:rsid wsp:val=&quot;00161A41&quot;/&gt;&lt;wsp:rsid wsp:val=&quot;00161C70&quot;/&gt;&lt;wsp:rsid wsp:val=&quot;001623AF&quot;/&gt;&lt;wsp:rsid wsp:val=&quot;00163C07&quot;/&gt;&lt;wsp:rsid wsp:val=&quot;0016545B&quot;/&gt;&lt;wsp:rsid wsp:val=&quot;00166638&quot;/&gt;&lt;wsp:rsid wsp:val=&quot;00172E9E&quot;/&gt;&lt;wsp:rsid wsp:val=&quot;00174EAC&quot;/&gt;&lt;wsp:rsid wsp:val=&quot;00181596&quot;/&gt;&lt;wsp:rsid wsp:val=&quot;00184743&quot;/&gt;&lt;wsp:rsid wsp:val=&quot;00184D8B&quot;/&gt;&lt;wsp:rsid wsp:val=&quot;001875BA&quot;/&gt;&lt;wsp:rsid wsp:val=&quot;001875ED&quot;/&gt;&lt;wsp:rsid wsp:val=&quot;00190003&quot;/&gt;&lt;wsp:rsid wsp:val=&quot;00190E9B&quot;/&gt;&lt;wsp:rsid wsp:val=&quot;0019168F&quot;/&gt;&lt;wsp:rsid wsp:val=&quot;00192229&quot;/&gt;&lt;wsp:rsid wsp:val=&quot;00193446&quot;/&gt;&lt;wsp:rsid wsp:val=&quot;00193C6E&quot;/&gt;&lt;wsp:rsid wsp:val=&quot;00194D65&quot;/&gt;&lt;wsp:rsid wsp:val=&quot;00195068&quot;/&gt;&lt;wsp:rsid wsp:val=&quot;00195C63&quot;/&gt;&lt;wsp:rsid wsp:val=&quot;00196F51&quot;/&gt;&lt;wsp:rsid wsp:val=&quot;0019764D&quot;/&gt;&lt;wsp:rsid wsp:val=&quot;0019795D&quot;/&gt;&lt;wsp:rsid wsp:val=&quot;001A1092&quot;/&gt;&lt;wsp:rsid wsp:val=&quot;001A18F6&quot;/&gt;&lt;wsp:rsid wsp:val=&quot;001A2427&quot;/&gt;&lt;wsp:rsid wsp:val=&quot;001A28AF&quot;/&gt;&lt;wsp:rsid wsp:val=&quot;001A2BC3&quot;/&gt;&lt;wsp:rsid wsp:val=&quot;001A5C42&quot;/&gt;&lt;wsp:rsid wsp:val=&quot;001A6623&quot;/&gt;&lt;wsp:rsid wsp:val=&quot;001A6A14&quot;/&gt;&lt;wsp:rsid wsp:val=&quot;001A7E28&quot;/&gt;&lt;wsp:rsid wsp:val=&quot;001B2456&quot;/&gt;&lt;wsp:rsid wsp:val=&quot;001B4A0E&quot;/&gt;&lt;wsp:rsid wsp:val=&quot;001B50FA&quot;/&gt;&lt;wsp:rsid wsp:val=&quot;001B5746&quot;/&gt;&lt;wsp:rsid wsp:val=&quot;001B6602&quot;/&gt;&lt;wsp:rsid wsp:val=&quot;001B7BA9&quot;/&gt;&lt;wsp:rsid wsp:val=&quot;001C055D&quot;/&gt;&lt;wsp:rsid wsp:val=&quot;001C16E5&quot;/&gt;&lt;wsp:rsid wsp:val=&quot;001C3D29&quot;/&gt;&lt;wsp:rsid wsp:val=&quot;001C65FD&quot;/&gt;&lt;wsp:rsid wsp:val=&quot;001C7A9F&quot;/&gt;&lt;wsp:rsid wsp:val=&quot;001D078C&quot;/&gt;&lt;wsp:rsid wsp:val=&quot;001D0FAB&quot;/&gt;&lt;wsp:rsid wsp:val=&quot;001D1699&quot;/&gt;&lt;wsp:rsid wsp:val=&quot;001D21D7&quot;/&gt;&lt;wsp:rsid wsp:val=&quot;001D33BA&quot;/&gt;&lt;wsp:rsid wsp:val=&quot;001D3642&quot;/&gt;&lt;wsp:rsid wsp:val=&quot;001D472E&quot;/&gt;&lt;wsp:rsid wsp:val=&quot;001D660E&quot;/&gt;&lt;wsp:rsid wsp:val=&quot;001D6BE3&quot;/&gt;&lt;wsp:rsid wsp:val=&quot;001D6FF4&quot;/&gt;&lt;wsp:rsid wsp:val=&quot;001D7398&quot;/&gt;&lt;wsp:rsid wsp:val=&quot;001E11E0&quot;/&gt;&lt;wsp:rsid wsp:val=&quot;001E158E&quot;/&gt;&lt;wsp:rsid wsp:val=&quot;001E3362&quot;/&gt;&lt;wsp:rsid wsp:val=&quot;001E3A91&quot;/&gt;&lt;wsp:rsid wsp:val=&quot;001E44CE&quot;/&gt;&lt;wsp:rsid wsp:val=&quot;001E59FF&quot;/&gt;&lt;wsp:rsid wsp:val=&quot;001E7210&quot;/&gt;&lt;wsp:rsid wsp:val=&quot;001F04BE&quot;/&gt;&lt;wsp:rsid wsp:val=&quot;001F0F9B&quot;/&gt;&lt;wsp:rsid wsp:val=&quot;001F13E2&quot;/&gt;&lt;wsp:rsid wsp:val=&quot;001F23D0&quot;/&gt;&lt;wsp:rsid wsp:val=&quot;001F24AD&quot;/&gt;&lt;wsp:rsid wsp:val=&quot;001F4CC1&quot;/&gt;&lt;wsp:rsid wsp:val=&quot;001F5C06&quot;/&gt;&lt;wsp:rsid wsp:val=&quot;001F7EA3&quot;/&gt;&lt;wsp:rsid wsp:val=&quot;00201903&quot;/&gt;&lt;wsp:rsid wsp:val=&quot;00203701&quot;/&gt;&lt;wsp:rsid wsp:val=&quot;00205C73&quot;/&gt;&lt;wsp:rsid wsp:val=&quot;00206149&quot;/&gt;&lt;wsp:rsid wsp:val=&quot;00207CCF&quot;/&gt;&lt;wsp:rsid wsp:val=&quot;0021103C&quot;/&gt;&lt;wsp:rsid wsp:val=&quot;002111ED&quot;/&gt;&lt;wsp:rsid wsp:val=&quot;00211972&quot;/&gt;&lt;wsp:rsid wsp:val=&quot;00213C05&quot;/&gt;&lt;wsp:rsid wsp:val=&quot;00215062&quot;/&gt;&lt;wsp:rsid wsp:val=&quot;002165A2&quot;/&gt;&lt;wsp:rsid wsp:val=&quot;00217958&quot;/&gt;&lt;wsp:rsid wsp:val=&quot;002209FD&quot;/&gt;&lt;wsp:rsid wsp:val=&quot;00222127&quot;/&gt;&lt;wsp:rsid wsp:val=&quot;00226047&quot;/&gt;&lt;wsp:rsid wsp:val=&quot;0022673B&quot;/&gt;&lt;wsp:rsid wsp:val=&quot;002271E0&quot;/&gt;&lt;wsp:rsid wsp:val=&quot;0023103C&quot;/&gt;&lt;wsp:rsid wsp:val=&quot;002317E3&quot;/&gt;&lt;wsp:rsid wsp:val=&quot;002331B5&quot;/&gt;&lt;wsp:rsid wsp:val=&quot;002338FC&quot;/&gt;&lt;wsp:rsid wsp:val=&quot;002342AF&quot;/&gt;&lt;wsp:rsid wsp:val=&quot;00234BDE&quot;/&gt;&lt;wsp:rsid wsp:val=&quot;0023648C&quot;/&gt;&lt;wsp:rsid wsp:val=&quot;002366A5&quot;/&gt;&lt;wsp:rsid wsp:val=&quot;002374A2&quot;/&gt;&lt;wsp:rsid wsp:val=&quot;0024057C&quot;/&gt;&lt;wsp:rsid wsp:val=&quot;00241371&quot;/&gt;&lt;wsp:rsid wsp:val=&quot;002420FB&quot;/&gt;&lt;wsp:rsid wsp:val=&quot;00243FA2&quot;/&gt;&lt;wsp:rsid wsp:val=&quot;00244462&quot;/&gt;&lt;wsp:rsid wsp:val=&quot;0025067A&quot;/&gt;&lt;wsp:rsid wsp:val=&quot;00250E1F&quot;/&gt;&lt;wsp:rsid wsp:val=&quot;002527D7&quot;/&gt;&lt;wsp:rsid wsp:val=&quot;00252D6A&quot;/&gt;&lt;wsp:rsid wsp:val=&quot;00252E9E&quot;/&gt;&lt;wsp:rsid wsp:val=&quot;00253470&quot;/&gt;&lt;wsp:rsid wsp:val=&quot;0025505D&quot;/&gt;&lt;wsp:rsid wsp:val=&quot;00255AE9&quot;/&gt;&lt;wsp:rsid wsp:val=&quot;00260162&quot;/&gt;&lt;wsp:rsid wsp:val=&quot;0026075C&quot;/&gt;&lt;wsp:rsid wsp:val=&quot;00262745&quot;/&gt;&lt;wsp:rsid wsp:val=&quot;00262D4C&quot;/&gt;&lt;wsp:rsid wsp:val=&quot;00263479&quot;/&gt;&lt;wsp:rsid wsp:val=&quot;00266736&quot;/&gt;&lt;wsp:rsid wsp:val=&quot;00271736&quot;/&gt;&lt;wsp:rsid wsp:val=&quot;002717C5&quot;/&gt;&lt;wsp:rsid wsp:val=&quot;0027277B&quot;/&gt;&lt;wsp:rsid wsp:val=&quot;00280336&quot;/&gt;&lt;wsp:rsid wsp:val=&quot;002823D7&quot;/&gt;&lt;wsp:rsid wsp:val=&quot;00283E9F&quot;/&gt;&lt;wsp:rsid wsp:val=&quot;00284093&quot;/&gt;&lt;wsp:rsid wsp:val=&quot;00284C10&quot;/&gt;&lt;wsp:rsid wsp:val=&quot;00284F11&quot;/&gt;&lt;wsp:rsid wsp:val=&quot;00285342&quot;/&gt;&lt;wsp:rsid wsp:val=&quot;00290E0D&quot;/&gt;&lt;wsp:rsid wsp:val=&quot;00291307&quot;/&gt;&lt;wsp:rsid wsp:val=&quot;00291979&quot;/&gt;&lt;wsp:rsid wsp:val=&quot;00291A7E&quot;/&gt;&lt;wsp:rsid wsp:val=&quot;002935E0&quot;/&gt;&lt;wsp:rsid wsp:val=&quot;00294B3C&quot;/&gt;&lt;wsp:rsid wsp:val=&quot;002952D3&quot;/&gt;&lt;wsp:rsid wsp:val=&quot;002A0125&quot;/&gt;&lt;wsp:rsid wsp:val=&quot;002A08E0&quot;/&gt;&lt;wsp:rsid wsp:val=&quot;002A16C0&quot;/&gt;&lt;wsp:rsid wsp:val=&quot;002A39B0&quot;/&gt;&lt;wsp:rsid wsp:val=&quot;002A7EBF&quot;/&gt;&lt;wsp:rsid wsp:val=&quot;002B0F49&quot;/&gt;&lt;wsp:rsid wsp:val=&quot;002B117E&quot;/&gt;&lt;wsp:rsid wsp:val=&quot;002B2DAC&quot;/&gt;&lt;wsp:rsid wsp:val=&quot;002B315A&quot;/&gt;&lt;wsp:rsid wsp:val=&quot;002B3254&quot;/&gt;&lt;wsp:rsid wsp:val=&quot;002B3565&quot;/&gt;&lt;wsp:rsid wsp:val=&quot;002B3C4F&quot;/&gt;&lt;wsp:rsid wsp:val=&quot;002B406A&quot;/&gt;&lt;wsp:rsid wsp:val=&quot;002B4199&quot;/&gt;&lt;wsp:rsid wsp:val=&quot;002B4E66&quot;/&gt;&lt;wsp:rsid wsp:val=&quot;002B5146&quot;/&gt;&lt;wsp:rsid wsp:val=&quot;002B6012&quot;/&gt;&lt;wsp:rsid wsp:val=&quot;002C0F33&quot;/&gt;&lt;wsp:rsid wsp:val=&quot;002C4128&quot;/&gt;&lt;wsp:rsid wsp:val=&quot;002C45A7&quot;/&gt;&lt;wsp:rsid wsp:val=&quot;002C566F&quot;/&gt;&lt;wsp:rsid wsp:val=&quot;002C5C02&quot;/&gt;&lt;wsp:rsid wsp:val=&quot;002C7406&quot;/&gt;&lt;wsp:rsid wsp:val=&quot;002D15EF&quot;/&gt;&lt;wsp:rsid wsp:val=&quot;002D2DCA&quot;/&gt;&lt;wsp:rsid wsp:val=&quot;002D30AA&quot;/&gt;&lt;wsp:rsid wsp:val=&quot;002D32B6&quot;/&gt;&lt;wsp:rsid wsp:val=&quot;002D3706&quot;/&gt;&lt;wsp:rsid wsp:val=&quot;002D40C0&quot;/&gt;&lt;wsp:rsid wsp:val=&quot;002D4A93&quot;/&gt;&lt;wsp:rsid wsp:val=&quot;002D6380&quot;/&gt;&lt;wsp:rsid wsp:val=&quot;002D6698&quot;/&gt;&lt;wsp:rsid wsp:val=&quot;002D6E31&quot;/&gt;&lt;wsp:rsid wsp:val=&quot;002E041F&quot;/&gt;&lt;wsp:rsid wsp:val=&quot;002E2061&quot;/&gt;&lt;wsp:rsid wsp:val=&quot;002E2B10&quot;/&gt;&lt;wsp:rsid wsp:val=&quot;002E68AF&quot;/&gt;&lt;wsp:rsid wsp:val=&quot;002F19BF&quot;/&gt;&lt;wsp:rsid wsp:val=&quot;002F2065&quot;/&gt;&lt;wsp:rsid wsp:val=&quot;002F4D00&quot;/&gt;&lt;wsp:rsid wsp:val=&quot;002F5EA2&quot;/&gt;&lt;wsp:rsid wsp:val=&quot;002F7F41&quot;/&gt;&lt;wsp:rsid wsp:val=&quot;00300B56&quot;/&gt;&lt;wsp:rsid wsp:val=&quot;00302415&quot;/&gt;&lt;wsp:rsid wsp:val=&quot;00303110&quot;/&gt;&lt;wsp:rsid wsp:val=&quot;003037ED&quot;/&gt;&lt;wsp:rsid wsp:val=&quot;003039A2&quot;/&gt;&lt;wsp:rsid wsp:val=&quot;0030480F&quot;/&gt;&lt;wsp:rsid wsp:val=&quot;00310373&quot;/&gt;&lt;wsp:rsid wsp:val=&quot;003110DE&quot;/&gt;&lt;wsp:rsid wsp:val=&quot;00311164&quot;/&gt;&lt;wsp:rsid wsp:val=&quot;00312CDE&quot;/&gt;&lt;wsp:rsid wsp:val=&quot;00313643&quot;/&gt;&lt;wsp:rsid wsp:val=&quot;003138DD&quot;/&gt;&lt;wsp:rsid wsp:val=&quot;00315E4F&quot;/&gt;&lt;wsp:rsid wsp:val=&quot;0031608B&quot;/&gt;&lt;wsp:rsid wsp:val=&quot;00316EF5&quot;/&gt;&lt;wsp:rsid wsp:val=&quot;00317FBE&quot;/&gt;&lt;wsp:rsid wsp:val=&quot;00320AC1&quot;/&gt;&lt;wsp:rsid wsp:val=&quot;003218A1&quot;/&gt;&lt;wsp:rsid wsp:val=&quot;00321C82&quot;/&gt;&lt;wsp:rsid wsp:val=&quot;00322A37&quot;/&gt;&lt;wsp:rsid wsp:val=&quot;00322DD0&quot;/&gt;&lt;wsp:rsid wsp:val=&quot;00323541&quot;/&gt;&lt;wsp:rsid wsp:val=&quot;0032532D&quot;/&gt;&lt;wsp:rsid wsp:val=&quot;00326757&quot;/&gt;&lt;wsp:rsid wsp:val=&quot;003301E1&quot;/&gt;&lt;wsp:rsid wsp:val=&quot;00330842&quot;/&gt;&lt;wsp:rsid wsp:val=&quot;00331890&quot;/&gt;&lt;wsp:rsid wsp:val=&quot;003323BB&quot;/&gt;&lt;wsp:rsid wsp:val=&quot;00333835&quot;/&gt;&lt;wsp:rsid wsp:val=&quot;0033499A&quot;/&gt;&lt;wsp:rsid wsp:val=&quot;00335C0F&quot;/&gt;&lt;wsp:rsid wsp:val=&quot;00337D15&quot;/&gt;&lt;wsp:rsid wsp:val=&quot;00337F33&quot;/&gt;&lt;wsp:rsid wsp:val=&quot;00337FAD&quot;/&gt;&lt;wsp:rsid wsp:val=&quot;0034002D&quot;/&gt;&lt;wsp:rsid wsp:val=&quot;00340CE3&quot;/&gt;&lt;wsp:rsid wsp:val=&quot;00343FFC&quot;/&gt;&lt;wsp:rsid wsp:val=&quot;003447E6&quot;/&gt;&lt;wsp:rsid wsp:val=&quot;00344B01&quot;/&gt;&lt;wsp:rsid wsp:val=&quot;00346625&quot;/&gt;&lt;wsp:rsid wsp:val=&quot;003507A1&quot;/&gt;&lt;wsp:rsid wsp:val=&quot;00350931&quot;/&gt;&lt;wsp:rsid wsp:val=&quot;00352654&quot;/&gt;&lt;wsp:rsid wsp:val=&quot;00352C3B&quot;/&gt;&lt;wsp:rsid wsp:val=&quot;00354172&quot;/&gt;&lt;wsp:rsid wsp:val=&quot;003552EB&quot;/&gt;&lt;wsp:rsid wsp:val=&quot;00356E2B&quot;/&gt;&lt;wsp:rsid wsp:val=&quot;00361620&quot;/&gt;&lt;wsp:rsid wsp:val=&quot;00361BA9&quot;/&gt;&lt;wsp:rsid wsp:val=&quot;0036212B&quot;/&gt;&lt;wsp:rsid wsp:val=&quot;003622FD&quot;/&gt;&lt;wsp:rsid wsp:val=&quot;003631EC&quot;/&gt;&lt;wsp:rsid wsp:val=&quot;0036386C&quot;/&gt;&lt;wsp:rsid wsp:val=&quot;003647CD&quot;/&gt;&lt;wsp:rsid wsp:val=&quot;00364953&quot;/&gt;&lt;wsp:rsid wsp:val=&quot;00364DF5&quot;/&gt;&lt;wsp:rsid wsp:val=&quot;00366208&quot;/&gt;&lt;wsp:rsid wsp:val=&quot;003675C0&quot;/&gt;&lt;wsp:rsid wsp:val=&quot;00367EAA&quot;/&gt;&lt;wsp:rsid wsp:val=&quot;003716A8&quot;/&gt;&lt;wsp:rsid wsp:val=&quot;00374180&quot;/&gt;&lt;wsp:rsid wsp:val=&quot;00374501&quot;/&gt;&lt;wsp:rsid wsp:val=&quot;00375092&quot;/&gt;&lt;wsp:rsid wsp:val=&quot;003766CA&quot;/&gt;&lt;wsp:rsid wsp:val=&quot;0038014A&quot;/&gt;&lt;wsp:rsid wsp:val=&quot;00380576&quot;/&gt;&lt;wsp:rsid wsp:val=&quot;00382899&quot;/&gt;&lt;wsp:rsid wsp:val=&quot;00383A6D&quot;/&gt;&lt;wsp:rsid wsp:val=&quot;0038746F&quot;/&gt;&lt;wsp:rsid wsp:val=&quot;00387710&quot;/&gt;&lt;wsp:rsid wsp:val=&quot;003900C9&quot;/&gt;&lt;wsp:rsid wsp:val=&quot;0039271C&quot;/&gt;&lt;wsp:rsid wsp:val=&quot;003933C1&quot;/&gt;&lt;wsp:rsid wsp:val=&quot;00393D9E&quot;/&gt;&lt;wsp:rsid wsp:val=&quot;00394AE4&quot;/&gt;&lt;wsp:rsid wsp:val=&quot;0039506D&quot;/&gt;&lt;wsp:rsid wsp:val=&quot;00396582&quot;/&gt;&lt;wsp:rsid wsp:val=&quot;003978CF&quot;/&gt;&lt;wsp:rsid wsp:val=&quot;003A28F9&quot;/&gt;&lt;wsp:rsid wsp:val=&quot;003A36EA&quot;/&gt;&lt;wsp:rsid wsp:val=&quot;003A417B&quot;/&gt;&lt;wsp:rsid wsp:val=&quot;003A5D44&quot;/&gt;&lt;wsp:rsid wsp:val=&quot;003B01FD&quot;/&gt;&lt;wsp:rsid wsp:val=&quot;003B1490&quot;/&gt;&lt;wsp:rsid wsp:val=&quot;003B1B3A&quot;/&gt;&lt;wsp:rsid wsp:val=&quot;003B2483&quot;/&gt;&lt;wsp:rsid wsp:val=&quot;003B3BFE&quot;/&gt;&lt;wsp:rsid wsp:val=&quot;003B3E6C&quot;/&gt;&lt;wsp:rsid wsp:val=&quot;003B40D1&quot;/&gt;&lt;wsp:rsid wsp:val=&quot;003B456B&quot;/&gt;&lt;wsp:rsid wsp:val=&quot;003B55D1&quot;/&gt;&lt;wsp:rsid wsp:val=&quot;003B6482&quot;/&gt;&lt;wsp:rsid wsp:val=&quot;003C0484&quot;/&gt;&lt;wsp:rsid wsp:val=&quot;003C129F&quot;/&gt;&lt;wsp:rsid wsp:val=&quot;003C1310&quot;/&gt;&lt;wsp:rsid wsp:val=&quot;003C15B0&quot;/&gt;&lt;wsp:rsid wsp:val=&quot;003C1B52&quot;/&gt;&lt;wsp:rsid wsp:val=&quot;003C334A&quot;/&gt;&lt;wsp:rsid wsp:val=&quot;003C34D9&quot;/&gt;&lt;wsp:rsid wsp:val=&quot;003C3BB7&quot;/&gt;&lt;wsp:rsid wsp:val=&quot;003C3E27&quot;/&gt;&lt;wsp:rsid wsp:val=&quot;003C5292&quot;/&gt;&lt;wsp:rsid wsp:val=&quot;003C53DF&quot;/&gt;&lt;wsp:rsid wsp:val=&quot;003C6DB3&quot;/&gt;&lt;wsp:rsid wsp:val=&quot;003C77DB&quot;/&gt;&lt;wsp:rsid wsp:val=&quot;003D02C4&quot;/&gt;&lt;wsp:rsid wsp:val=&quot;003D0D67&quot;/&gt;&lt;wsp:rsid wsp:val=&quot;003D1298&quot;/&gt;&lt;wsp:rsid wsp:val=&quot;003D2AAC&quot;/&gt;&lt;wsp:rsid wsp:val=&quot;003D3AAC&quot;/&gt;&lt;wsp:rsid wsp:val=&quot;003D3AF7&quot;/&gt;&lt;wsp:rsid wsp:val=&quot;003D774D&quot;/&gt;&lt;wsp:rsid wsp:val=&quot;003D7A45&quot;/&gt;&lt;wsp:rsid wsp:val=&quot;003D7A76&quot;/&gt;&lt;wsp:rsid wsp:val=&quot;003E1AB9&quot;/&gt;&lt;wsp:rsid wsp:val=&quot;003E3378&quot;/&gt;&lt;wsp:rsid wsp:val=&quot;003E49C9&quot;/&gt;&lt;wsp:rsid wsp:val=&quot;003E65C3&quot;/&gt;&lt;wsp:rsid wsp:val=&quot;003F01BE&quot;/&gt;&lt;wsp:rsid wsp:val=&quot;003F1434&quot;/&gt;&lt;wsp:rsid wsp:val=&quot;003F252C&quot;/&gt;&lt;wsp:rsid wsp:val=&quot;003F59E3&quot;/&gt;&lt;wsp:rsid wsp:val=&quot;003F6BE6&quot;/&gt;&lt;wsp:rsid wsp:val=&quot;00400C15&quot;/&gt;&lt;wsp:rsid wsp:val=&quot;00403ACE&quot;/&gt;&lt;wsp:rsid wsp:val=&quot;00403EFA&quot;/&gt;&lt;wsp:rsid wsp:val=&quot;00412710&quot;/&gt;&lt;wsp:rsid wsp:val=&quot;004145F3&quot;/&gt;&lt;wsp:rsid wsp:val=&quot;00414A96&quot;/&gt;&lt;wsp:rsid wsp:val=&quot;00415204&quot;/&gt;&lt;wsp:rsid wsp:val=&quot;00415227&quot;/&gt;&lt;wsp:rsid wsp:val=&quot;0041547B&quot;/&gt;&lt;wsp:rsid wsp:val=&quot;00415C6C&quot;/&gt;&lt;wsp:rsid wsp:val=&quot;004165F1&quot;/&gt;&lt;wsp:rsid wsp:val=&quot;00416882&quot;/&gt;&lt;wsp:rsid wsp:val=&quot;00416F85&quot;/&gt;&lt;wsp:rsid wsp:val=&quot;00420C56&quot;/&gt;&lt;wsp:rsid wsp:val=&quot;00420EF5&quot;/&gt;&lt;wsp:rsid wsp:val=&quot;00421B06&quot;/&gt;&lt;wsp:rsid wsp:val=&quot;004229C1&quot;/&gt;&lt;wsp:rsid wsp:val=&quot;00423318&quot;/&gt;&lt;wsp:rsid wsp:val=&quot;00423E3D&quot;/&gt;&lt;wsp:rsid wsp:val=&quot;00424543&quot;/&gt;&lt;wsp:rsid wsp:val=&quot;004248CD&quot;/&gt;&lt;wsp:rsid wsp:val=&quot;00424EF5&quot;/&gt;&lt;wsp:rsid wsp:val=&quot;00424FA0&quot;/&gt;&lt;wsp:rsid wsp:val=&quot;00425BEF&quot;/&gt;&lt;wsp:rsid wsp:val=&quot;004320C0&quot;/&gt;&lt;wsp:rsid wsp:val=&quot;00432BE9&quot;/&gt;&lt;wsp:rsid wsp:val=&quot;00432EDC&quot;/&gt;&lt;wsp:rsid wsp:val=&quot;004335BF&quot;/&gt;&lt;wsp:rsid wsp:val=&quot;00433973&quot;/&gt;&lt;wsp:rsid wsp:val=&quot;004348E4&quot;/&gt;&lt;wsp:rsid wsp:val=&quot;0043544A&quot;/&gt;&lt;wsp:rsid wsp:val=&quot;0044009B&quot;/&gt;&lt;wsp:rsid wsp:val=&quot;00443D8E&quot;/&gt;&lt;wsp:rsid wsp:val=&quot;004462E4&quot;/&gt;&lt;wsp:rsid wsp:val=&quot;004477F2&quot;/&gt;&lt;wsp:rsid wsp:val=&quot;00447BA1&quot;/&gt;&lt;wsp:rsid wsp:val=&quot;004508C4&quot;/&gt;&lt;wsp:rsid wsp:val=&quot;004516AA&quot;/&gt;&lt;wsp:rsid wsp:val=&quot;004517E2&quot;/&gt;&lt;wsp:rsid wsp:val=&quot;004522AF&quot;/&gt;&lt;wsp:rsid wsp:val=&quot;004535D4&quot;/&gt;&lt;wsp:rsid wsp:val=&quot;00454508&quot;/&gt;&lt;wsp:rsid wsp:val=&quot;00456070&quot;/&gt;&lt;wsp:rsid wsp:val=&quot;00456F7B&quot;/&gt;&lt;wsp:rsid wsp:val=&quot;00457F25&quot;/&gt;&lt;wsp:rsid wsp:val=&quot;0046135C&quot;/&gt;&lt;wsp:rsid wsp:val=&quot;004634BC&quot;/&gt;&lt;wsp:rsid wsp:val=&quot;00464E90&quot;/&gt;&lt;wsp:rsid wsp:val=&quot;0046601E&quot;/&gt;&lt;wsp:rsid wsp:val=&quot;00467DAD&quot;/&gt;&lt;wsp:rsid wsp:val=&quot;00470A5A&quot;/&gt;&lt;wsp:rsid wsp:val=&quot;00470FA5&quot;/&gt;&lt;wsp:rsid wsp:val=&quot;004713AE&quot;/&gt;&lt;wsp:rsid wsp:val=&quot;0047276A&quot;/&gt;&lt;wsp:rsid wsp:val=&quot;00475C96&quot;/&gt;&lt;wsp:rsid wsp:val=&quot;00483D67&quot;/&gt;&lt;wsp:rsid wsp:val=&quot;00483F08&quot;/&gt;&lt;wsp:rsid wsp:val=&quot;00484ADA&quot;/&gt;&lt;wsp:rsid wsp:val=&quot;004850EC&quot;/&gt;&lt;wsp:rsid wsp:val=&quot;00486A32&quot;/&gt;&lt;wsp:rsid wsp:val=&quot;00486FAE&quot;/&gt;&lt;wsp:rsid wsp:val=&quot;004925BC&quot;/&gt;&lt;wsp:rsid wsp:val=&quot;00493296&quot;/&gt;&lt;wsp:rsid wsp:val=&quot;00493C9B&quot;/&gt;&lt;wsp:rsid wsp:val=&quot;00493D70&quot;/&gt;&lt;wsp:rsid wsp:val=&quot;004953BD&quot;/&gt;&lt;wsp:rsid wsp:val=&quot;00495501&quot;/&gt;&lt;wsp:rsid wsp:val=&quot;00495D6A&quot;/&gt;&lt;wsp:rsid wsp:val=&quot;004964B2&quot;/&gt;&lt;wsp:rsid wsp:val=&quot;004964E8&quot;/&gt;&lt;wsp:rsid wsp:val=&quot;004A163B&quot;/&gt;&lt;wsp:rsid wsp:val=&quot;004A2D2F&quot;/&gt;&lt;wsp:rsid wsp:val=&quot;004A48A9&quot;/&gt;&lt;wsp:rsid wsp:val=&quot;004B1280&quot;/&gt;&lt;wsp:rsid wsp:val=&quot;004B19E8&quot;/&gt;&lt;wsp:rsid wsp:val=&quot;004B1DDA&quot;/&gt;&lt;wsp:rsid wsp:val=&quot;004B2B9C&quot;/&gt;&lt;wsp:rsid wsp:val=&quot;004B5263&quot;/&gt;&lt;wsp:rsid wsp:val=&quot;004C007E&quot;/&gt;&lt;wsp:rsid wsp:val=&quot;004C0443&quot;/&gt;&lt;wsp:rsid wsp:val=&quot;004C0D60&quot;/&gt;&lt;wsp:rsid wsp:val=&quot;004C17D4&quot;/&gt;&lt;wsp:rsid wsp:val=&quot;004C1E79&quot;/&gt;&lt;wsp:rsid wsp:val=&quot;004C23A9&quot;/&gt;&lt;wsp:rsid wsp:val=&quot;004D0982&quot;/&gt;&lt;wsp:rsid wsp:val=&quot;004D0B6F&quot;/&gt;&lt;wsp:rsid wsp:val=&quot;004D4055&quot;/&gt;&lt;wsp:rsid wsp:val=&quot;004D5467&quot;/&gt;&lt;wsp:rsid wsp:val=&quot;004D7D8F&quot;/&gt;&lt;wsp:rsid wsp:val=&quot;004E331D&quot;/&gt;&lt;wsp:rsid wsp:val=&quot;004E346A&quot;/&gt;&lt;wsp:rsid wsp:val=&quot;004E4924&quot;/&gt;&lt;wsp:rsid wsp:val=&quot;004E64E5&quot;/&gt;&lt;wsp:rsid wsp:val=&quot;004E7D10&quot;/&gt;&lt;wsp:rsid wsp:val=&quot;004F1CC1&quot;/&gt;&lt;wsp:rsid wsp:val=&quot;004F2E90&quot;/&gt;&lt;wsp:rsid wsp:val=&quot;004F46E6&quot;/&gt;&lt;wsp:rsid wsp:val=&quot;005005C6&quot;/&gt;&lt;wsp:rsid wsp:val=&quot;00501854&quot;/&gt;&lt;wsp:rsid wsp:val=&quot;00501BC8&quot;/&gt;&lt;wsp:rsid wsp:val=&quot;005050E6&quot;/&gt;&lt;wsp:rsid wsp:val=&quot;00506282&quot;/&gt;&lt;wsp:rsid wsp:val=&quot;0050629D&quot;/&gt;&lt;wsp:rsid wsp:val=&quot;005064B6&quot;/&gt;&lt;wsp:rsid wsp:val=&quot;005071DD&quot;/&gt;&lt;wsp:rsid wsp:val=&quot;00512F83&quot;/&gt;&lt;wsp:rsid wsp:val=&quot;0051485A&quot;/&gt;&lt;wsp:rsid wsp:val=&quot;00516A01&quot;/&gt;&lt;wsp:rsid wsp:val=&quot;00516AD5&quot;/&gt;&lt;wsp:rsid wsp:val=&quot;005174EB&quot;/&gt;&lt;wsp:rsid wsp:val=&quot;00521231&quot;/&gt;&lt;wsp:rsid wsp:val=&quot;0052200D&quot;/&gt;&lt;wsp:rsid wsp:val=&quot;00523BDB&quot;/&gt;&lt;wsp:rsid wsp:val=&quot;00523C8C&quot;/&gt;&lt;wsp:rsid wsp:val=&quot;00523ED6&quot;/&gt;&lt;wsp:rsid wsp:val=&quot;005244EB&quot;/&gt;&lt;wsp:rsid wsp:val=&quot;00526D8E&quot;/&gt;&lt;wsp:rsid wsp:val=&quot;00527DEC&quot;/&gt;&lt;wsp:rsid wsp:val=&quot;00527E28&quot;/&gt;&lt;wsp:rsid wsp:val=&quot;0053086C&quot;/&gt;&lt;wsp:rsid wsp:val=&quot;00531181&quot;/&gt;&lt;wsp:rsid wsp:val=&quot;00533965&quot;/&gt;&lt;wsp:rsid wsp:val=&quot;00534447&quot;/&gt;&lt;wsp:rsid wsp:val=&quot;0053550C&quot;/&gt;&lt;wsp:rsid wsp:val=&quot;00536664&quot;/&gt;&lt;wsp:rsid wsp:val=&quot;0053700A&quot;/&gt;&lt;wsp:rsid wsp:val=&quot;005379BC&quot;/&gt;&lt;wsp:rsid wsp:val=&quot;00537EF3&quot;/&gt;&lt;wsp:rsid wsp:val=&quot;00540E34&quot;/&gt;&lt;wsp:rsid wsp:val=&quot;005417BF&quot;/&gt;&lt;wsp:rsid wsp:val=&quot;005423D1&quot;/&gt;&lt;wsp:rsid wsp:val=&quot;00543798&quot;/&gt;&lt;wsp:rsid wsp:val=&quot;00543E3D&quot;/&gt;&lt;wsp:rsid wsp:val=&quot;00544CB4&quot;/&gt;&lt;wsp:rsid wsp:val=&quot;00545471&quot;/&gt;&lt;wsp:rsid wsp:val=&quot;00550182&quot;/&gt;&lt;wsp:rsid wsp:val=&quot;00551A7F&quot;/&gt;&lt;wsp:rsid wsp:val=&quot;00551C54&quot;/&gt;&lt;wsp:rsid wsp:val=&quot;0055519F&quot;/&gt;&lt;wsp:rsid wsp:val=&quot;00556F5F&quot;/&gt;&lt;wsp:rsid wsp:val=&quot;00557E2E&quot;/&gt;&lt;wsp:rsid wsp:val=&quot;00557E9F&quot;/&gt;&lt;wsp:rsid wsp:val=&quot;00557FCE&quot;/&gt;&lt;wsp:rsid wsp:val=&quot;005604F1&quot;/&gt;&lt;wsp:rsid wsp:val=&quot;00560FDC&quot;/&gt;&lt;wsp:rsid wsp:val=&quot;0056293F&quot;/&gt;&lt;wsp:rsid wsp:val=&quot;00562972&quot;/&gt;&lt;wsp:rsid wsp:val=&quot;005646A7&quot;/&gt;&lt;wsp:rsid wsp:val=&quot;005662D3&quot;/&gt;&lt;wsp:rsid wsp:val=&quot;00567CD5&quot;/&gt;&lt;wsp:rsid wsp:val=&quot;00571DEC&quot;/&gt;&lt;wsp:rsid wsp:val=&quot;005751FA&quot;/&gt;&lt;wsp:rsid wsp:val=&quot;0057582C&quot;/&gt;&lt;wsp:rsid wsp:val=&quot;0057664D&quot;/&gt;&lt;wsp:rsid wsp:val=&quot;00577FA3&quot;/&gt;&lt;wsp:rsid wsp:val=&quot;00581D33&quot;/&gt;&lt;wsp:rsid wsp:val=&quot;00583984&quot;/&gt;&lt;wsp:rsid wsp:val=&quot;00584040&quot;/&gt;&lt;wsp:rsid wsp:val=&quot;005866C3&quot;/&gt;&lt;wsp:rsid wsp:val=&quot;00586FE5&quot;/&gt;&lt;wsp:rsid wsp:val=&quot;00590CAB&quot;/&gt;&lt;wsp:rsid wsp:val=&quot;00591463&quot;/&gt;&lt;wsp:rsid wsp:val=&quot;00591AB0&quot;/&gt;&lt;wsp:rsid wsp:val=&quot;00592226&quot;/&gt;&lt;wsp:rsid wsp:val=&quot;005937D7&quot;/&gt;&lt;wsp:rsid wsp:val=&quot;005950DF&quot;/&gt;&lt;wsp:rsid wsp:val=&quot;00596C04&quot;/&gt;&lt;wsp:rsid wsp:val=&quot;00597190&quot;/&gt;&lt;wsp:rsid wsp:val=&quot;005975FF&quot;/&gt;&lt;wsp:rsid wsp:val=&quot;005A0F06&quot;/&gt;&lt;wsp:rsid wsp:val=&quot;005A118C&quot;/&gt;&lt;wsp:rsid wsp:val=&quot;005A25FE&quot;/&gt;&lt;wsp:rsid wsp:val=&quot;005A6BFB&quot;/&gt;&lt;wsp:rsid wsp:val=&quot;005A6CD2&quot;/&gt;&lt;wsp:rsid wsp:val=&quot;005A769E&quot;/&gt;&lt;wsp:rsid wsp:val=&quot;005A783B&quot;/&gt;&lt;wsp:rsid wsp:val=&quot;005B13A1&quot;/&gt;&lt;wsp:rsid wsp:val=&quot;005B1ECF&quot;/&gt;&lt;wsp:rsid wsp:val=&quot;005B79DD&quot;/&gt;&lt;wsp:rsid wsp:val=&quot;005C0E3F&quot;/&gt;&lt;wsp:rsid wsp:val=&quot;005C1801&quot;/&gt;&lt;wsp:rsid wsp:val=&quot;005C1903&quot;/&gt;&lt;wsp:rsid wsp:val=&quot;005C221F&quot;/&gt;&lt;wsp:rsid wsp:val=&quot;005C404C&quot;/&gt;&lt;wsp:rsid wsp:val=&quot;005C4156&quot;/&gt;&lt;wsp:rsid wsp:val=&quot;005C51BA&quot;/&gt;&lt;wsp:rsid wsp:val=&quot;005C6AAF&quot;/&gt;&lt;wsp:rsid wsp:val=&quot;005C74DF&quot;/&gt;&lt;wsp:rsid wsp:val=&quot;005C753D&quot;/&gt;&lt;wsp:rsid wsp:val=&quot;005C7B2E&quot;/&gt;&lt;wsp:rsid wsp:val=&quot;005D02FD&quot;/&gt;&lt;wsp:rsid wsp:val=&quot;005D047B&quot;/&gt;&lt;wsp:rsid wsp:val=&quot;005D2AF6&quot;/&gt;&lt;wsp:rsid wsp:val=&quot;005D34AE&quot;/&gt;&lt;wsp:rsid wsp:val=&quot;005D4DBA&quot;/&gt;&lt;wsp:rsid wsp:val=&quot;005D5A38&quot;/&gt;&lt;wsp:rsid wsp:val=&quot;005D60EA&quot;/&gt;&lt;wsp:rsid wsp:val=&quot;005D7D35&quot;/&gt;&lt;wsp:rsid wsp:val=&quot;005E1235&quot;/&gt;&lt;wsp:rsid wsp:val=&quot;005E1771&quot;/&gt;&lt;wsp:rsid wsp:val=&quot;005E33D9&quot;/&gt;&lt;wsp:rsid wsp:val=&quot;005E39C8&quot;/&gt;&lt;wsp:rsid wsp:val=&quot;005E49C7&quot;/&gt;&lt;wsp:rsid wsp:val=&quot;005E4FFF&quot;/&gt;&lt;wsp:rsid wsp:val=&quot;005E5442&quot;/&gt;&lt;wsp:rsid wsp:val=&quot;005E7C4C&quot;/&gt;&lt;wsp:rsid wsp:val=&quot;005F0FA8&quot;/&gt;&lt;wsp:rsid wsp:val=&quot;005F11F1&quot;/&gt;&lt;wsp:rsid wsp:val=&quot;005F364C&quot;/&gt;&lt;wsp:rsid wsp:val=&quot;005F373F&quot;/&gt;&lt;wsp:rsid wsp:val=&quot;005F3A3A&quot;/&gt;&lt;wsp:rsid wsp:val=&quot;005F3BA4&quot;/&gt;&lt;wsp:rsid wsp:val=&quot;005F3D40&quot;/&gt;&lt;wsp:rsid wsp:val=&quot;005F40D9&quot;/&gt;&lt;wsp:rsid wsp:val=&quot;005F434E&quot;/&gt;&lt;wsp:rsid wsp:val=&quot;005F64A4&quot;/&gt;&lt;wsp:rsid wsp:val=&quot;005F6C66&quot;/&gt;&lt;wsp:rsid wsp:val=&quot;005F7B39&quot;/&gt;&lt;wsp:rsid wsp:val=&quot;005F7C61&quot;/&gt;&lt;wsp:rsid wsp:val=&quot;00600560&quot;/&gt;&lt;wsp:rsid wsp:val=&quot;006029AD&quot;/&gt;&lt;wsp:rsid wsp:val=&quot;006032A0&quot;/&gt;&lt;wsp:rsid wsp:val=&quot;00603442&quot;/&gt;&lt;wsp:rsid wsp:val=&quot;006035BE&quot;/&gt;&lt;wsp:rsid wsp:val=&quot;006040BA&quot;/&gt;&lt;wsp:rsid wsp:val=&quot;006048C4&quot;/&gt;&lt;wsp:rsid wsp:val=&quot;00604B08&quot;/&gt;&lt;wsp:rsid wsp:val=&quot;00605673&quot;/&gt;&lt;wsp:rsid wsp:val=&quot;00607A35&quot;/&gt;&lt;wsp:rsid wsp:val=&quot;006109A5&quot;/&gt;&lt;wsp:rsid wsp:val=&quot;006155B2&quot;/&gt;&lt;wsp:rsid wsp:val=&quot;0061659D&quot;/&gt;&lt;wsp:rsid wsp:val=&quot;0061738F&quot;/&gt;&lt;wsp:rsid wsp:val=&quot;006202A2&quot;/&gt;&lt;wsp:rsid wsp:val=&quot;00620A80&quot;/&gt;&lt;wsp:rsid wsp:val=&quot;006218C1&quot;/&gt;&lt;wsp:rsid wsp:val=&quot;0062190B&quot;/&gt;&lt;wsp:rsid wsp:val=&quot;00626272&quot;/&gt;&lt;wsp:rsid wsp:val=&quot;006275F3&quot;/&gt;&lt;wsp:rsid wsp:val=&quot;006315A0&quot;/&gt;&lt;wsp:rsid wsp:val=&quot;0063203A&quot;/&gt;&lt;wsp:rsid wsp:val=&quot;00632E3A&quot;/&gt;&lt;wsp:rsid wsp:val=&quot;006349A8&quot;/&gt;&lt;wsp:rsid wsp:val=&quot;006378EF&quot;/&gt;&lt;wsp:rsid wsp:val=&quot;006402EB&quot;/&gt;&lt;wsp:rsid wsp:val=&quot;006440B8&quot;/&gt;&lt;wsp:rsid wsp:val=&quot;00645748&quot;/&gt;&lt;wsp:rsid wsp:val=&quot;00646277&quot;/&gt;&lt;wsp:rsid wsp:val=&quot;00646599&quot;/&gt;&lt;wsp:rsid wsp:val=&quot;00646DB7&quot;/&gt;&lt;wsp:rsid wsp:val=&quot;00646E7E&quot;/&gt;&lt;wsp:rsid wsp:val=&quot;00650CBC&quot;/&gt;&lt;wsp:rsid wsp:val=&quot;00651515&quot;/&gt;&lt;wsp:rsid wsp:val=&quot;006522E2&quot;/&gt;&lt;wsp:rsid wsp:val=&quot;00652D6C&quot;/&gt;&lt;wsp:rsid wsp:val=&quot;00653FA9&quot;/&gt;&lt;wsp:rsid wsp:val=&quot;00654B76&quot;/&gt;&lt;wsp:rsid wsp:val=&quot;006569BE&quot;/&gt;&lt;wsp:rsid wsp:val=&quot;006572C7&quot;/&gt;&lt;wsp:rsid wsp:val=&quot;00660928&quot;/&gt;&lt;wsp:rsid wsp:val=&quot;00661D8B&quot;/&gt;&lt;wsp:rsid wsp:val=&quot;0066215C&quot;/&gt;&lt;wsp:rsid wsp:val=&quot;00663E56&quot;/&gt;&lt;wsp:rsid wsp:val=&quot;00666DB7&quot;/&gt;&lt;wsp:rsid wsp:val=&quot;006715F2&quot;/&gt;&lt;wsp:rsid wsp:val=&quot;00671E1F&quot;/&gt;&lt;wsp:rsid wsp:val=&quot;0067421B&quot;/&gt;&lt;wsp:rsid wsp:val=&quot;006755C4&quot;/&gt;&lt;wsp:rsid wsp:val=&quot;00677AEE&quot;/&gt;&lt;wsp:rsid wsp:val=&quot;00677C1F&quot;/&gt;&lt;wsp:rsid wsp:val=&quot;00677F2D&quot;/&gt;&lt;wsp:rsid wsp:val=&quot;00681788&quot;/&gt;&lt;wsp:rsid wsp:val=&quot;0068225F&quot;/&gt;&lt;wsp:rsid wsp:val=&quot;00682F07&quot;/&gt;&lt;wsp:rsid wsp:val=&quot;00687823&quot;/&gt;&lt;wsp:rsid wsp:val=&quot;00687A60&quot;/&gt;&lt;wsp:rsid wsp:val=&quot;006916B1&quot;/&gt;&lt;wsp:rsid wsp:val=&quot;006922FC&quot;/&gt;&lt;wsp:rsid wsp:val=&quot;006924FD&quot;/&gt;&lt;wsp:rsid wsp:val=&quot;00692A6F&quot;/&gt;&lt;wsp:rsid wsp:val=&quot;006936D7&quot;/&gt;&lt;wsp:rsid wsp:val=&quot;00693F23&quot;/&gt;&lt;wsp:rsid wsp:val=&quot;00694881&quot;/&gt;&lt;wsp:rsid wsp:val=&quot;006960F5&quot;/&gt;&lt;wsp:rsid wsp:val=&quot;0069709A&quot;/&gt;&lt;wsp:rsid wsp:val=&quot;00697398&quot;/&gt;&lt;wsp:rsid wsp:val=&quot;006A0F47&quot;/&gt;&lt;wsp:rsid wsp:val=&quot;006A1532&quot;/&gt;&lt;wsp:rsid wsp:val=&quot;006A3145&quot;/&gt;&lt;wsp:rsid wsp:val=&quot;006A3901&quot;/&gt;&lt;wsp:rsid wsp:val=&quot;006A3EEF&quot;/&gt;&lt;wsp:rsid wsp:val=&quot;006A4318&quot;/&gt;&lt;wsp:rsid wsp:val=&quot;006A4B4A&quot;/&gt;&lt;wsp:rsid wsp:val=&quot;006A5840&quot;/&gt;&lt;wsp:rsid wsp:val=&quot;006A69FD&quot;/&gt;&lt;wsp:rsid wsp:val=&quot;006A7D91&quot;/&gt;&lt;wsp:rsid wsp:val=&quot;006B1E86&quot;/&gt;&lt;wsp:rsid wsp:val=&quot;006B27A6&quot;/&gt;&lt;wsp:rsid wsp:val=&quot;006B2E04&quot;/&gt;&lt;wsp:rsid wsp:val=&quot;006B324F&quot;/&gt;&lt;wsp:rsid wsp:val=&quot;006B3DA1&quot;/&gt;&lt;wsp:rsid wsp:val=&quot;006C2C3F&quot;/&gt;&lt;wsp:rsid wsp:val=&quot;006C351D&quot;/&gt;&lt;wsp:rsid wsp:val=&quot;006C3D75&quot;/&gt;&lt;wsp:rsid wsp:val=&quot;006C5449&quot;/&gt;&lt;wsp:rsid wsp:val=&quot;006C5722&quot;/&gt;&lt;wsp:rsid wsp:val=&quot;006C6698&quot;/&gt;&lt;wsp:rsid wsp:val=&quot;006D2FB9&quot;/&gt;&lt;wsp:rsid wsp:val=&quot;006D364A&quot;/&gt;&lt;wsp:rsid wsp:val=&quot;006D4FF3&quot;/&gt;&lt;wsp:rsid wsp:val=&quot;006D50EC&quot;/&gt;&lt;wsp:rsid wsp:val=&quot;006D55EC&quot;/&gt;&lt;wsp:rsid wsp:val=&quot;006D6DEF&quot;/&gt;&lt;wsp:rsid wsp:val=&quot;006E1E68&quot;/&gt;&lt;wsp:rsid wsp:val=&quot;006E2585&quot;/&gt;&lt;wsp:rsid wsp:val=&quot;006E2C07&quot;/&gt;&lt;wsp:rsid wsp:val=&quot;006E5766&quot;/&gt;&lt;wsp:rsid wsp:val=&quot;006E6F54&quot;/&gt;&lt;wsp:rsid wsp:val=&quot;006F0808&quot;/&gt;&lt;wsp:rsid wsp:val=&quot;006F3746&quot;/&gt;&lt;wsp:rsid wsp:val=&quot;006F381A&quot;/&gt;&lt;wsp:rsid wsp:val=&quot;006F447A&quot;/&gt;&lt;wsp:rsid wsp:val=&quot;006F6CFA&quot;/&gt;&lt;wsp:rsid wsp:val=&quot;006F6E38&quot;/&gt;&lt;wsp:rsid wsp:val=&quot;006F6F40&quot;/&gt;&lt;wsp:rsid wsp:val=&quot;006F7210&quot;/&gt;&lt;wsp:rsid wsp:val=&quot;00702C8E&quot;/&gt;&lt;wsp:rsid wsp:val=&quot;00704513&quot;/&gt;&lt;wsp:rsid wsp:val=&quot;00705CC0&quot;/&gt;&lt;wsp:rsid wsp:val=&quot;00706E99&quot;/&gt;&lt;wsp:rsid wsp:val=&quot;00710B54&quot;/&gt;&lt;wsp:rsid wsp:val=&quot;00711548&quot;/&gt;&lt;wsp:rsid wsp:val=&quot;007115EB&quot;/&gt;&lt;wsp:rsid wsp:val=&quot;00711A6E&quot;/&gt;&lt;wsp:rsid wsp:val=&quot;00711C39&quot;/&gt;&lt;wsp:rsid wsp:val=&quot;00712909&quot;/&gt;&lt;wsp:rsid wsp:val=&quot;00712DE6&quot;/&gt;&lt;wsp:rsid wsp:val=&quot;00714D1B&quot;/&gt;&lt;wsp:rsid wsp:val=&quot;007156E5&quot;/&gt;&lt;wsp:rsid wsp:val=&quot;00716A64&quot;/&gt;&lt;wsp:rsid wsp:val=&quot;00721F5E&quot;/&gt;&lt;wsp:rsid wsp:val=&quot;0072270A&quot;/&gt;&lt;wsp:rsid wsp:val=&quot;007255FD&quot;/&gt;&lt;wsp:rsid wsp:val=&quot;00733780&quot;/&gt;&lt;wsp:rsid wsp:val=&quot;007337F9&quot;/&gt;&lt;wsp:rsid wsp:val=&quot;00733966&quot;/&gt;&lt;wsp:rsid wsp:val=&quot;00734370&quot;/&gt;&lt;wsp:rsid wsp:val=&quot;007347E9&quot;/&gt;&lt;wsp:rsid wsp:val=&quot;007348D3&quot;/&gt;&lt;wsp:rsid wsp:val=&quot;0073547A&quot;/&gt;&lt;wsp:rsid wsp:val=&quot;007363B0&quot;/&gt;&lt;wsp:rsid wsp:val=&quot;0073660C&quot;/&gt;&lt;wsp:rsid wsp:val=&quot;0074016D&quot;/&gt;&lt;wsp:rsid wsp:val=&quot;0074126C&quot;/&gt;&lt;wsp:rsid wsp:val=&quot;0074142D&quot;/&gt;&lt;wsp:rsid wsp:val=&quot;00741E7E&quot;/&gt;&lt;wsp:rsid wsp:val=&quot;0074386C&quot;/&gt;&lt;wsp:rsid wsp:val=&quot;00744C01&quot;/&gt;&lt;wsp:rsid wsp:val=&quot;007454BA&quot;/&gt;&lt;wsp:rsid wsp:val=&quot;00745599&quot;/&gt;&lt;wsp:rsid wsp:val=&quot;00746551&quot;/&gt;&lt;wsp:rsid wsp:val=&quot;007522B1&quot;/&gt;&lt;wsp:rsid wsp:val=&quot;00752915&quot;/&gt;&lt;wsp:rsid wsp:val=&quot;00752F33&quot;/&gt;&lt;wsp:rsid wsp:val=&quot;00760B25&quot;/&gt;&lt;wsp:rsid wsp:val=&quot;00762CB8&quot;/&gt;&lt;wsp:rsid wsp:val=&quot;00763194&quot;/&gt;&lt;wsp:rsid wsp:val=&quot;007640B2&quot;/&gt;&lt;wsp:rsid wsp:val=&quot;00765B02&quot;/&gt;&lt;wsp:rsid wsp:val=&quot;00766725&quot;/&gt;&lt;wsp:rsid wsp:val=&quot;007709C5&quot;/&gt;&lt;wsp:rsid wsp:val=&quot;0077549D&quot;/&gt;&lt;wsp:rsid wsp:val=&quot;00775AF0&quot;/&gt;&lt;wsp:rsid wsp:val=&quot;00776351&quot;/&gt;&lt;wsp:rsid wsp:val=&quot;00777F58&quot;/&gt;&lt;wsp:rsid wsp:val=&quot;00780565&quot;/&gt;&lt;wsp:rsid wsp:val=&quot;007830C0&quot;/&gt;&lt;wsp:rsid wsp:val=&quot;0078442B&quot;/&gt;&lt;wsp:rsid wsp:val=&quot;00784539&quot;/&gt;&lt;wsp:rsid wsp:val=&quot;007846C6&quot;/&gt;&lt;wsp:rsid wsp:val=&quot;00787CA3&quot;/&gt;&lt;wsp:rsid wsp:val=&quot;0079034C&quot;/&gt;&lt;wsp:rsid wsp:val=&quot;0079039E&quot;/&gt;&lt;wsp:rsid wsp:val=&quot;00791470&quot;/&gt;&lt;wsp:rsid wsp:val=&quot;00791F16&quot;/&gt;&lt;wsp:rsid wsp:val=&quot;007928FD&quot;/&gt;&lt;wsp:rsid wsp:val=&quot;00793F1D&quot;/&gt;&lt;wsp:rsid wsp:val=&quot;00795273&quot;/&gt;&lt;wsp:rsid wsp:val=&quot;00795D7E&quot;/&gt;&lt;wsp:rsid wsp:val=&quot;00795E7A&quot;/&gt;&lt;wsp:rsid wsp:val=&quot;007967A3&quot;/&gt;&lt;wsp:rsid wsp:val=&quot;00797991&quot;/&gt;&lt;wsp:rsid wsp:val=&quot;007A1085&quot;/&gt;&lt;wsp:rsid wsp:val=&quot;007A296B&quot;/&gt;&lt;wsp:rsid wsp:val=&quot;007A297C&quot;/&gt;&lt;wsp:rsid wsp:val=&quot;007A49DA&quot;/&gt;&lt;wsp:rsid wsp:val=&quot;007A60E6&quot;/&gt;&lt;wsp:rsid wsp:val=&quot;007A7097&quot;/&gt;&lt;wsp:rsid wsp:val=&quot;007B032E&quot;/&gt;&lt;wsp:rsid wsp:val=&quot;007B17A7&quot;/&gt;&lt;wsp:rsid wsp:val=&quot;007B1C14&quot;/&gt;&lt;wsp:rsid wsp:val=&quot;007B2A89&quot;/&gt;&lt;wsp:rsid wsp:val=&quot;007B2DAA&quot;/&gt;&lt;wsp:rsid wsp:val=&quot;007B34EC&quot;/&gt;&lt;wsp:rsid wsp:val=&quot;007B3902&quot;/&gt;&lt;wsp:rsid wsp:val=&quot;007B5261&quot;/&gt;&lt;wsp:rsid wsp:val=&quot;007B71CE&quot;/&gt;&lt;wsp:rsid wsp:val=&quot;007C0B94&quot;/&gt;&lt;wsp:rsid wsp:val=&quot;007C1729&quot;/&gt;&lt;wsp:rsid wsp:val=&quot;007C18D3&quot;/&gt;&lt;wsp:rsid wsp:val=&quot;007C19C2&quot;/&gt;&lt;wsp:rsid wsp:val=&quot;007C2915&quot;/&gt;&lt;wsp:rsid wsp:val=&quot;007C3769&quot;/&gt;&lt;wsp:rsid wsp:val=&quot;007C409B&quot;/&gt;&lt;wsp:rsid wsp:val=&quot;007C72B0&quot;/&gt;&lt;wsp:rsid wsp:val=&quot;007D0F0C&quot;/&gt;&lt;wsp:rsid wsp:val=&quot;007D1B15&quot;/&gt;&lt;wsp:rsid wsp:val=&quot;007D2729&quot;/&gt;&lt;wsp:rsid wsp:val=&quot;007D2B9F&quot;/&gt;&lt;wsp:rsid wsp:val=&quot;007D35A6&quot;/&gt;&lt;wsp:rsid wsp:val=&quot;007D53F3&quot;/&gt;&lt;wsp:rsid wsp:val=&quot;007D6417&quot;/&gt;&lt;wsp:rsid wsp:val=&quot;007D7FF4&quot;/&gt;&lt;wsp:rsid wsp:val=&quot;007E07C9&quot;/&gt;&lt;wsp:rsid wsp:val=&quot;007E1BB0&quot;/&gt;&lt;wsp:rsid wsp:val=&quot;007E22FC&quot;/&gt;&lt;wsp:rsid wsp:val=&quot;007E2EFA&quot;/&gt;&lt;wsp:rsid wsp:val=&quot;007E33A9&quot;/&gt;&lt;wsp:rsid wsp:val=&quot;007E61BC&quot;/&gt;&lt;wsp:rsid wsp:val=&quot;007E7625&quot;/&gt;&lt;wsp:rsid wsp:val=&quot;007E7F1F&quot;/&gt;&lt;wsp:rsid wsp:val=&quot;007F0420&quot;/&gt;&lt;wsp:rsid wsp:val=&quot;007F0970&quot;/&gt;&lt;wsp:rsid wsp:val=&quot;007F3ED6&quot;/&gt;&lt;wsp:rsid wsp:val=&quot;007F485F&quot;/&gt;&lt;wsp:rsid wsp:val=&quot;007F5390&quot;/&gt;&lt;wsp:rsid wsp:val=&quot;007F59BA&quot;/&gt;&lt;wsp:rsid wsp:val=&quot;007F678D&quot;/&gt;&lt;wsp:rsid wsp:val=&quot;007F7D8C&quot;/&gt;&lt;wsp:rsid wsp:val=&quot;008028ED&quot;/&gt;&lt;wsp:rsid wsp:val=&quot;0081006E&quot;/&gt;&lt;wsp:rsid wsp:val=&quot;00810FBC&quot;/&gt;&lt;wsp:rsid wsp:val=&quot;0081118D&quot;/&gt;&lt;wsp:rsid wsp:val=&quot;0081212F&quot;/&gt;&lt;wsp:rsid wsp:val=&quot;0081316F&quot;/&gt;&lt;wsp:rsid wsp:val=&quot;0081484F&quot;/&gt;&lt;wsp:rsid wsp:val=&quot;00814CDA&quot;/&gt;&lt;wsp:rsid wsp:val=&quot;00815157&quot;/&gt;&lt;wsp:rsid wsp:val=&quot;0081545F&quot;/&gt;&lt;wsp:rsid wsp:val=&quot;008157E4&quot;/&gt;&lt;wsp:rsid wsp:val=&quot;00817791&quot;/&gt;&lt;wsp:rsid wsp:val=&quot;008211BB&quot;/&gt;&lt;wsp:rsid wsp:val=&quot;00823EBB&quot;/&gt;&lt;wsp:rsid wsp:val=&quot;00823F04&quot;/&gt;&lt;wsp:rsid wsp:val=&quot;00824457&quot;/&gt;&lt;wsp:rsid wsp:val=&quot;00824E6D&quot;/&gt;&lt;wsp:rsid wsp:val=&quot;00825250&quot;/&gt;&lt;wsp:rsid wsp:val=&quot;00826149&quot;/&gt;&lt;wsp:rsid wsp:val=&quot;0082746C&quot;/&gt;&lt;wsp:rsid wsp:val=&quot;0083089F&quot;/&gt;&lt;wsp:rsid wsp:val=&quot;00832912&quot;/&gt;&lt;wsp:rsid wsp:val=&quot;00834B56&quot;/&gt;&lt;wsp:rsid wsp:val=&quot;0083516A&quot;/&gt;&lt;wsp:rsid wsp:val=&quot;00835623&quot;/&gt;&lt;wsp:rsid wsp:val=&quot;00835851&quot;/&gt;&lt;wsp:rsid wsp:val=&quot;00835A81&quot;/&gt;&lt;wsp:rsid wsp:val=&quot;0083785B&quot;/&gt;&lt;wsp:rsid wsp:val=&quot;00840108&quot;/&gt;&lt;wsp:rsid wsp:val=&quot;00840AAE&quot;/&gt;&lt;wsp:rsid wsp:val=&quot;008418C8&quot;/&gt;&lt;wsp:rsid wsp:val=&quot;008440D4&quot;/&gt;&lt;wsp:rsid wsp:val=&quot;00850892&quot;/&gt;&lt;wsp:rsid wsp:val=&quot;00851F83&quot;/&gt;&lt;wsp:rsid wsp:val=&quot;00854813&quot;/&gt;&lt;wsp:rsid wsp:val=&quot;00854A12&quot;/&gt;&lt;wsp:rsid wsp:val=&quot;00857C85&quot;/&gt;&lt;wsp:rsid wsp:val=&quot;00860293&quot;/&gt;&lt;wsp:rsid wsp:val=&quot;00860837&quot;/&gt;&lt;wsp:rsid wsp:val=&quot;008612EB&quot;/&gt;&lt;wsp:rsid wsp:val=&quot;00861E19&quot;/&gt;&lt;wsp:rsid wsp:val=&quot;00862540&quot;/&gt;&lt;wsp:rsid wsp:val=&quot;008639D1&quot;/&gt;&lt;wsp:rsid wsp:val=&quot;008644EE&quot;/&gt;&lt;wsp:rsid wsp:val=&quot;0086493A&quot;/&gt;&lt;wsp:rsid wsp:val=&quot;008668E3&quot;/&gt;&lt;wsp:rsid wsp:val=&quot;0086691B&quot;/&gt;&lt;wsp:rsid wsp:val=&quot;00866A09&quot;/&gt;&lt;wsp:rsid wsp:val=&quot;00866A66&quot;/&gt;&lt;wsp:rsid wsp:val=&quot;00870A6B&quot;/&gt;&lt;wsp:rsid wsp:val=&quot;00872479&quot;/&gt;&lt;wsp:rsid wsp:val=&quot;00874437&quot;/&gt;&lt;wsp:rsid wsp:val=&quot;00880CB1&quot;/&gt;&lt;wsp:rsid wsp:val=&quot;00882388&quot;/&gt;&lt;wsp:rsid wsp:val=&quot;008829AF&quot;/&gt;&lt;wsp:rsid wsp:val=&quot;00885109&quot;/&gt;&lt;wsp:rsid wsp:val=&quot;00885DE5&quot;/&gt;&lt;wsp:rsid wsp:val=&quot;00886C70&quot;/&gt;&lt;wsp:rsid wsp:val=&quot;00887DD7&quot;/&gt;&lt;wsp:rsid wsp:val=&quot;008939FF&quot;/&gt;&lt;wsp:rsid wsp:val=&quot;00894335&quot;/&gt;&lt;wsp:rsid wsp:val=&quot;00894832&quot;/&gt;&lt;wsp:rsid wsp:val=&quot;008A0B66&quot;/&gt;&lt;wsp:rsid wsp:val=&quot;008A235E&quot;/&gt;&lt;wsp:rsid wsp:val=&quot;008A3211&quot;/&gt;&lt;wsp:rsid wsp:val=&quot;008A350E&quot;/&gt;&lt;wsp:rsid wsp:val=&quot;008A7A9F&quot;/&gt;&lt;wsp:rsid wsp:val=&quot;008B0D4D&quot;/&gt;&lt;wsp:rsid wsp:val=&quot;008B194D&quot;/&gt;&lt;wsp:rsid wsp:val=&quot;008B239F&quot;/&gt;&lt;wsp:rsid wsp:val=&quot;008B36F6&quot;/&gt;&lt;wsp:rsid wsp:val=&quot;008B37DF&quot;/&gt;&lt;wsp:rsid wsp:val=&quot;008B3984&quot;/&gt;&lt;wsp:rsid wsp:val=&quot;008B61CA&quot;/&gt;&lt;wsp:rsid wsp:val=&quot;008C3EA6&quot;/&gt;&lt;wsp:rsid wsp:val=&quot;008C501C&quot;/&gt;&lt;wsp:rsid wsp:val=&quot;008D02B9&quot;/&gt;&lt;wsp:rsid wsp:val=&quot;008D1EB0&quot;/&gt;&lt;wsp:rsid wsp:val=&quot;008D21FC&quot;/&gt;&lt;wsp:rsid wsp:val=&quot;008D484D&quot;/&gt;&lt;wsp:rsid wsp:val=&quot;008D4C84&quot;/&gt;&lt;wsp:rsid wsp:val=&quot;008D7C4E&quot;/&gt;&lt;wsp:rsid wsp:val=&quot;008D7DBB&quot;/&gt;&lt;wsp:rsid wsp:val=&quot;008E0E53&quot;/&gt;&lt;wsp:rsid wsp:val=&quot;008E2892&quot;/&gt;&lt;wsp:rsid wsp:val=&quot;008E3A8C&quot;/&gt;&lt;wsp:rsid wsp:val=&quot;008E7A80&quot;/&gt;&lt;wsp:rsid wsp:val=&quot;008F07BB&quot;/&gt;&lt;wsp:rsid wsp:val=&quot;008F0FDC&quot;/&gt;&lt;wsp:rsid wsp:val=&quot;008F380C&quot;/&gt;&lt;wsp:rsid wsp:val=&quot;008F3F6E&quot;/&gt;&lt;wsp:rsid wsp:val=&quot;008F4541&quot;/&gt;&lt;wsp:rsid wsp:val=&quot;008F7BB4&quot;/&gt;&lt;wsp:rsid wsp:val=&quot;008F7BE6&quot;/&gt;&lt;wsp:rsid wsp:val=&quot;00900336&quot;/&gt;&lt;wsp:rsid wsp:val=&quot;00900C94&quot;/&gt;&lt;wsp:rsid wsp:val=&quot;009016AE&quot;/&gt;&lt;wsp:rsid wsp:val=&quot;009020CB&quot;/&gt;&lt;wsp:rsid wsp:val=&quot;009020F4&quot;/&gt;&lt;wsp:rsid wsp:val=&quot;00902FDE&quot;/&gt;&lt;wsp:rsid wsp:val=&quot;00905B5B&quot;/&gt;&lt;wsp:rsid wsp:val=&quot;0090617E&quot;/&gt;&lt;wsp:rsid wsp:val=&quot;00906C3C&quot;/&gt;&lt;wsp:rsid wsp:val=&quot;00906EC3&quot;/&gt;&lt;wsp:rsid wsp:val=&quot;00907585&quot;/&gt;&lt;wsp:rsid wsp:val=&quot;00910FD4&quot;/&gt;&lt;wsp:rsid wsp:val=&quot;009124F8&quot;/&gt;&lt;wsp:rsid wsp:val=&quot;00914C47&quot;/&gt;&lt;wsp:rsid wsp:val=&quot;00915132&quot;/&gt;&lt;wsp:rsid wsp:val=&quot;00915E07&quot;/&gt;&lt;wsp:rsid wsp:val=&quot;00917AA4&quot;/&gt;&lt;wsp:rsid wsp:val=&quot;0092054D&quot;/&gt;&lt;wsp:rsid wsp:val=&quot;00920CFE&quot;/&gt;&lt;wsp:rsid wsp:val=&quot;0092162A&quot;/&gt;&lt;wsp:rsid wsp:val=&quot;00921B0A&quot;/&gt;&lt;wsp:rsid wsp:val=&quot;00921D92&quot;/&gt;&lt;wsp:rsid wsp:val=&quot;00922E6B&quot;/&gt;&lt;wsp:rsid wsp:val=&quot;00922E80&quot;/&gt;&lt;wsp:rsid wsp:val=&quot;00925929&quot;/&gt;&lt;wsp:rsid wsp:val=&quot;00926A70&quot;/&gt;&lt;wsp:rsid wsp:val=&quot;00926A73&quot;/&gt;&lt;wsp:rsid wsp:val=&quot;00926F83&quot;/&gt;&lt;wsp:rsid wsp:val=&quot;00927039&quot;/&gt;&lt;wsp:rsid wsp:val=&quot;00930052&quot;/&gt;&lt;wsp:rsid wsp:val=&quot;00930751&quot;/&gt;&lt;wsp:rsid wsp:val=&quot;009318C1&quot;/&gt;&lt;wsp:rsid wsp:val=&quot;00932CBE&quot;/&gt;&lt;wsp:rsid wsp:val=&quot;009360B9&quot;/&gt;&lt;wsp:rsid wsp:val=&quot;009408B3&quot;/&gt;&lt;wsp:rsid wsp:val=&quot;00941412&quot;/&gt;&lt;wsp:rsid wsp:val=&quot;00941875&quot;/&gt;&lt;wsp:rsid wsp:val=&quot;009455E2&quot;/&gt;&lt;wsp:rsid wsp:val=&quot;009461E3&quot;/&gt;&lt;wsp:rsid wsp:val=&quot;00950EBB&quot;/&gt;&lt;wsp:rsid wsp:val=&quot;00955289&quot;/&gt;&lt;wsp:rsid wsp:val=&quot;00955B41&quot;/&gt;&lt;wsp:rsid wsp:val=&quot;00955C28&quot;/&gt;&lt;wsp:rsid wsp:val=&quot;00956C0A&quot;/&gt;&lt;wsp:rsid wsp:val=&quot;00956D26&quot;/&gt;&lt;wsp:rsid wsp:val=&quot;00957184&quot;/&gt;&lt;wsp:rsid wsp:val=&quot;00957396&quot;/&gt;&lt;wsp:rsid wsp:val=&quot;009573A3&quot;/&gt;&lt;wsp:rsid wsp:val=&quot;009606D9&quot;/&gt;&lt;wsp:rsid wsp:val=&quot;009625EE&quot;/&gt;&lt;wsp:rsid wsp:val=&quot;009626DE&quot;/&gt;&lt;wsp:rsid wsp:val=&quot;00965370&quot;/&gt;&lt;wsp:rsid wsp:val=&quot;00965540&quot;/&gt;&lt;wsp:rsid wsp:val=&quot;00965E94&quot;/&gt;&lt;wsp:rsid wsp:val=&quot;00967108&quot;/&gt;&lt;wsp:rsid wsp:val=&quot;00970203&quot;/&gt;&lt;wsp:rsid wsp:val=&quot;0097552D&quot;/&gt;&lt;wsp:rsid wsp:val=&quot;00977911&quot;/&gt;&lt;wsp:rsid wsp:val=&quot;0098002C&quot;/&gt;&lt;wsp:rsid wsp:val=&quot;00983609&quot;/&gt;&lt;wsp:rsid wsp:val=&quot;009840DD&quot;/&gt;&lt;wsp:rsid wsp:val=&quot;00984344&quot;/&gt;&lt;wsp:rsid wsp:val=&quot;00984CFA&quot;/&gt;&lt;wsp:rsid wsp:val=&quot;00984D39&quot;/&gt;&lt;wsp:rsid wsp:val=&quot;009858DC&quot;/&gt;&lt;wsp:rsid wsp:val=&quot;00985BEE&quot;/&gt;&lt;wsp:rsid wsp:val=&quot;00987210&quot;/&gt;&lt;wsp:rsid wsp:val=&quot;00987598&quot;/&gt;&lt;wsp:rsid wsp:val=&quot;00987E63&quot;/&gt;&lt;wsp:rsid wsp:val=&quot;0099166E&quot;/&gt;&lt;wsp:rsid wsp:val=&quot;009935A3&quot;/&gt;&lt;wsp:rsid wsp:val=&quot;009935EC&quot;/&gt;&lt;wsp:rsid wsp:val=&quot;00995CE5&quot;/&gt;&lt;wsp:rsid wsp:val=&quot;00997263&quot;/&gt;&lt;wsp:rsid wsp:val=&quot;00997678&quot;/&gt;&lt;wsp:rsid wsp:val=&quot;009A0DE3&quot;/&gt;&lt;wsp:rsid wsp:val=&quot;009A16C8&quot;/&gt;&lt;wsp:rsid wsp:val=&quot;009A18DD&quot;/&gt;&lt;wsp:rsid wsp:val=&quot;009A375D&quot;/&gt;&lt;wsp:rsid wsp:val=&quot;009A47F3&quot;/&gt;&lt;wsp:rsid wsp:val=&quot;009A4A63&quot;/&gt;&lt;wsp:rsid wsp:val=&quot;009A57E4&quot;/&gt;&lt;wsp:rsid wsp:val=&quot;009A5DA9&quot;/&gt;&lt;wsp:rsid wsp:val=&quot;009B00E5&quot;/&gt;&lt;wsp:rsid wsp:val=&quot;009B0185&quot;/&gt;&lt;wsp:rsid wsp:val=&quot;009B08F5&quot;/&gt;&lt;wsp:rsid wsp:val=&quot;009B090B&quot;/&gt;&lt;wsp:rsid wsp:val=&quot;009B14D2&quot;/&gt;&lt;wsp:rsid wsp:val=&quot;009B27A9&quot;/&gt;&lt;wsp:rsid wsp:val=&quot;009B6DF4&quot;/&gt;&lt;wsp:rsid wsp:val=&quot;009B7BD8&quot;/&gt;&lt;wsp:rsid wsp:val=&quot;009C0053&quot;/&gt;&lt;wsp:rsid wsp:val=&quot;009C1BDA&quot;/&gt;&lt;wsp:rsid wsp:val=&quot;009C3146&quot;/&gt;&lt;wsp:rsid wsp:val=&quot;009C4093&quot;/&gt;&lt;wsp:rsid wsp:val=&quot;009C5CB7&quot;/&gt;&lt;wsp:rsid wsp:val=&quot;009C68D5&quot;/&gt;&lt;wsp:rsid wsp:val=&quot;009C735C&quot;/&gt;&lt;wsp:rsid wsp:val=&quot;009C78A8&quot;/&gt;&lt;wsp:rsid wsp:val=&quot;009C7B4F&quot;/&gt;&lt;wsp:rsid wsp:val=&quot;009D0DE7&quot;/&gt;&lt;wsp:rsid wsp:val=&quot;009D0F8A&quot;/&gt;&lt;wsp:rsid wsp:val=&quot;009D19A5&quot;/&gt;&lt;wsp:rsid wsp:val=&quot;009D1D4F&quot;/&gt;&lt;wsp:rsid wsp:val=&quot;009D4766&quot;/&gt;&lt;wsp:rsid wsp:val=&quot;009D5CE3&quot;/&gt;&lt;wsp:rsid wsp:val=&quot;009E19FD&quot;/&gt;&lt;wsp:rsid wsp:val=&quot;009E1FBB&quot;/&gt;&lt;wsp:rsid wsp:val=&quot;009E29B4&quot;/&gt;&lt;wsp:rsid wsp:val=&quot;009E2D3E&quot;/&gt;&lt;wsp:rsid wsp:val=&quot;009E446C&quot;/&gt;&lt;wsp:rsid wsp:val=&quot;009E4593&quot;/&gt;&lt;wsp:rsid wsp:val=&quot;009E59EF&quot;/&gt;&lt;wsp:rsid wsp:val=&quot;009E5E31&quot;/&gt;&lt;wsp:rsid wsp:val=&quot;009E6EBD&quot;/&gt;&lt;wsp:rsid wsp:val=&quot;009F070F&quot;/&gt;&lt;wsp:rsid wsp:val=&quot;009F19D8&quot;/&gt;&lt;wsp:rsid wsp:val=&quot;009F1F8C&quot;/&gt;&lt;wsp:rsid wsp:val=&quot;009F2F3F&quot;/&gt;&lt;wsp:rsid wsp:val=&quot;009F3DAE&quot;/&gt;&lt;wsp:rsid wsp:val=&quot;009F41C7&quot;/&gt;&lt;wsp:rsid wsp:val=&quot;009F5A31&quot;/&gt;&lt;wsp:rsid wsp:val=&quot;009F7E42&quot;/&gt;&lt;wsp:rsid wsp:val=&quot;00A00611&quot;/&gt;&lt;wsp:rsid wsp:val=&quot;00A00DDD&quot;/&gt;&lt;wsp:rsid wsp:val=&quot;00A037A9&quot;/&gt;&lt;wsp:rsid wsp:val=&quot;00A03CB5&quot;/&gt;&lt;wsp:rsid wsp:val=&quot;00A03DC8&quot;/&gt;&lt;wsp:rsid wsp:val=&quot;00A0637B&quot;/&gt;&lt;wsp:rsid wsp:val=&quot;00A07196&quot;/&gt;&lt;wsp:rsid wsp:val=&quot;00A07B2B&quot;/&gt;&lt;wsp:rsid wsp:val=&quot;00A07DF4&quot;/&gt;&lt;wsp:rsid wsp:val=&quot;00A119DF&quot;/&gt;&lt;wsp:rsid wsp:val=&quot;00A11C0C&quot;/&gt;&lt;wsp:rsid wsp:val=&quot;00A1316D&quot;/&gt;&lt;wsp:rsid wsp:val=&quot;00A13CD5&quot;/&gt;&lt;wsp:rsid wsp:val=&quot;00A17DA8&quot;/&gt;&lt;wsp:rsid wsp:val=&quot;00A204F3&quot;/&gt;&lt;wsp:rsid wsp:val=&quot;00A21402&quot;/&gt;&lt;wsp:rsid wsp:val=&quot;00A21410&quot;/&gt;&lt;wsp:rsid wsp:val=&quot;00A218A3&quot;/&gt;&lt;wsp:rsid wsp:val=&quot;00A239AB&quot;/&gt;&lt;wsp:rsid wsp:val=&quot;00A271BA&quot;/&gt;&lt;wsp:rsid wsp:val=&quot;00A30845&quot;/&gt;&lt;wsp:rsid wsp:val=&quot;00A30D1C&quot;/&gt;&lt;wsp:rsid wsp:val=&quot;00A311E9&quot;/&gt;&lt;wsp:rsid wsp:val=&quot;00A3461B&quot;/&gt;&lt;wsp:rsid wsp:val=&quot;00A35313&quot;/&gt;&lt;wsp:rsid wsp:val=&quot;00A360F3&quot;/&gt;&lt;wsp:rsid wsp:val=&quot;00A363AD&quot;/&gt;&lt;wsp:rsid wsp:val=&quot;00A36BF5&quot;/&gt;&lt;wsp:rsid wsp:val=&quot;00A3712E&quot;/&gt;&lt;wsp:rsid wsp:val=&quot;00A372C1&quot;/&gt;&lt;wsp:rsid wsp:val=&quot;00A4066B&quot;/&gt;&lt;wsp:rsid wsp:val=&quot;00A4096F&quot;/&gt;&lt;wsp:rsid wsp:val=&quot;00A4117F&quot;/&gt;&lt;wsp:rsid wsp:val=&quot;00A41AFE&quot;/&gt;&lt;wsp:rsid wsp:val=&quot;00A42B80&quot;/&gt;&lt;wsp:rsid wsp:val=&quot;00A42D34&quot;/&gt;&lt;wsp:rsid wsp:val=&quot;00A4401F&quot;/&gt;&lt;wsp:rsid wsp:val=&quot;00A45018&quot;/&gt;&lt;wsp:rsid wsp:val=&quot;00A46281&quot;/&gt;&lt;wsp:rsid wsp:val=&quot;00A5039E&quot;/&gt;&lt;wsp:rsid wsp:val=&quot;00A50A9E&quot;/&gt;&lt;wsp:rsid wsp:val=&quot;00A50DBE&quot;/&gt;&lt;wsp:rsid wsp:val=&quot;00A514A5&quot;/&gt;&lt;wsp:rsid wsp:val=&quot;00A52BF6&quot;/&gt;&lt;wsp:rsid wsp:val=&quot;00A53D0C&quot;/&gt;&lt;wsp:rsid wsp:val=&quot;00A54BDB&quot;/&gt;&lt;wsp:rsid wsp:val=&quot;00A55745&quot;/&gt;&lt;wsp:rsid wsp:val=&quot;00A55C87&quot;/&gt;&lt;wsp:rsid wsp:val=&quot;00A56B65&quot;/&gt;&lt;wsp:rsid wsp:val=&quot;00A57B75&quot;/&gt;&lt;wsp:rsid wsp:val=&quot;00A60A3C&quot;/&gt;&lt;wsp:rsid wsp:val=&quot;00A60E41&quot;/&gt;&lt;wsp:rsid wsp:val=&quot;00A61823&quot;/&gt;&lt;wsp:rsid wsp:val=&quot;00A620E7&quot;/&gt;&lt;wsp:rsid wsp:val=&quot;00A65817&quot;/&gt;&lt;wsp:rsid wsp:val=&quot;00A70266&quot;/&gt;&lt;wsp:rsid wsp:val=&quot;00A703BD&quot;/&gt;&lt;wsp:rsid wsp:val=&quot;00A71C54&quot;/&gt;&lt;wsp:rsid wsp:val=&quot;00A72D04&quot;/&gt;&lt;wsp:rsid wsp:val=&quot;00A739C6&quot;/&gt;&lt;wsp:rsid wsp:val=&quot;00A764B5&quot;/&gt;&lt;wsp:rsid wsp:val=&quot;00A7682C&quot;/&gt;&lt;wsp:rsid wsp:val=&quot;00A77E99&quot;/&gt;&lt;wsp:rsid wsp:val=&quot;00A80286&quot;/&gt;&lt;wsp:rsid wsp:val=&quot;00A805CA&quot;/&gt;&lt;wsp:rsid wsp:val=&quot;00A80F17&quot;/&gt;&lt;wsp:rsid wsp:val=&quot;00A8274A&quot;/&gt;&lt;wsp:rsid wsp:val=&quot;00A82968&quot;/&gt;&lt;wsp:rsid wsp:val=&quot;00A8441F&quot;/&gt;&lt;wsp:rsid wsp:val=&quot;00A850D4&quot;/&gt;&lt;wsp:rsid wsp:val=&quot;00A91C9E&quot;/&gt;&lt;wsp:rsid wsp:val=&quot;00A91ECF&quot;/&gt;&lt;wsp:rsid wsp:val=&quot;00A920B9&quot;/&gt;&lt;wsp:rsid wsp:val=&quot;00A92AAD&quot;/&gt;&lt;wsp:rsid wsp:val=&quot;00A94679&quot;/&gt;&lt;wsp:rsid wsp:val=&quot;00A949FE&quot;/&gt;&lt;wsp:rsid wsp:val=&quot;00A94A85&quot;/&gt;&lt;wsp:rsid wsp:val=&quot;00A9716E&quot;/&gt;&lt;wsp:rsid wsp:val=&quot;00AA29B1&quot;/&gt;&lt;wsp:rsid wsp:val=&quot;00AA39F6&quot;/&gt;&lt;wsp:rsid wsp:val=&quot;00AA3BDA&quot;/&gt;&lt;wsp:rsid wsp:val=&quot;00AA4650&quot;/&gt;&lt;wsp:rsid wsp:val=&quot;00AA504E&quot;/&gt;&lt;wsp:rsid wsp:val=&quot;00AA5421&quot;/&gt;&lt;wsp:rsid wsp:val=&quot;00AA5EF6&quot;/&gt;&lt;wsp:rsid wsp:val=&quot;00AA60D4&quot;/&gt;&lt;wsp:rsid wsp:val=&quot;00AA61DF&quot;/&gt;&lt;wsp:rsid wsp:val=&quot;00AA7021&quot;/&gt;&lt;wsp:rsid wsp:val=&quot;00AA74C2&quot;/&gt;&lt;wsp:rsid wsp:val=&quot;00AB0EEC&quot;/&gt;&lt;wsp:rsid wsp:val=&quot;00AB25DC&quot;/&gt;&lt;wsp:rsid wsp:val=&quot;00AB5D03&quot;/&gt;&lt;wsp:rsid wsp:val=&quot;00AB6DA0&quot;/&gt;&lt;wsp:rsid wsp:val=&quot;00AB7868&quot;/&gt;&lt;wsp:rsid wsp:val=&quot;00AC0E06&quot;/&gt;&lt;wsp:rsid wsp:val=&quot;00AC220E&quot;/&gt;&lt;wsp:rsid wsp:val=&quot;00AC2B3C&quot;/&gt;&lt;wsp:rsid wsp:val=&quot;00AC31CC&quot;/&gt;&lt;wsp:rsid wsp:val=&quot;00AC4A0B&quot;/&gt;&lt;wsp:rsid wsp:val=&quot;00AC4BB9&quot;/&gt;&lt;wsp:rsid wsp:val=&quot;00AC56E2&quot;/&gt;&lt;wsp:rsid wsp:val=&quot;00AC758A&quot;/&gt;&lt;wsp:rsid wsp:val=&quot;00AC759A&quot;/&gt;&lt;wsp:rsid wsp:val=&quot;00AC7DEA&quot;/&gt;&lt;wsp:rsid wsp:val=&quot;00AD0EFA&quot;/&gt;&lt;wsp:rsid wsp:val=&quot;00AD14C3&quot;/&gt;&lt;wsp:rsid wsp:val=&quot;00AD341C&quot;/&gt;&lt;wsp:rsid wsp:val=&quot;00AD45A6&quot;/&gt;&lt;wsp:rsid wsp:val=&quot;00AE0D15&quot;/&gt;&lt;wsp:rsid wsp:val=&quot;00AE19A5&quot;/&gt;&lt;wsp:rsid wsp:val=&quot;00AE1CFD&quot;/&gt;&lt;wsp:rsid wsp:val=&quot;00AE2BEF&quot;/&gt;&lt;wsp:rsid wsp:val=&quot;00AE35B7&quot;/&gt;&lt;wsp:rsid wsp:val=&quot;00AE5051&quot;/&gt;&lt;wsp:rsid wsp:val=&quot;00AE6E37&quot;/&gt;&lt;wsp:rsid wsp:val=&quot;00AF02FF&quot;/&gt;&lt;wsp:rsid wsp:val=&quot;00AF0D72&quot;/&gt;&lt;wsp:rsid wsp:val=&quot;00AF234A&quot;/&gt;&lt;wsp:rsid wsp:val=&quot;00AF4677&quot;/&gt;&lt;wsp:rsid wsp:val=&quot;00AF5720&quot;/&gt;&lt;wsp:rsid wsp:val=&quot;00AF70B5&quot;/&gt;&lt;wsp:rsid wsp:val=&quot;00AF739F&quot;/&gt;&lt;wsp:rsid wsp:val=&quot;00B0151A&quot;/&gt;&lt;wsp:rsid wsp:val=&quot;00B01BBA&quot;/&gt;&lt;wsp:rsid wsp:val=&quot;00B033ED&quot;/&gt;&lt;wsp:rsid wsp:val=&quot;00B03ADC&quot;/&gt;&lt;wsp:rsid wsp:val=&quot;00B048EE&quot;/&gt;&lt;wsp:rsid wsp:val=&quot;00B05A22&quot;/&gt;&lt;wsp:rsid wsp:val=&quot;00B11470&quot;/&gt;&lt;wsp:rsid wsp:val=&quot;00B118D0&quot;/&gt;&lt;wsp:rsid wsp:val=&quot;00B12AFA&quot;/&gt;&lt;wsp:rsid wsp:val=&quot;00B13858&quot;/&gt;&lt;wsp:rsid wsp:val=&quot;00B140F8&quot;/&gt;&lt;wsp:rsid wsp:val=&quot;00B212DC&quot;/&gt;&lt;wsp:rsid wsp:val=&quot;00B22D0E&quot;/&gt;&lt;wsp:rsid wsp:val=&quot;00B23B30&quot;/&gt;&lt;wsp:rsid wsp:val=&quot;00B24C60&quot;/&gt;&lt;wsp:rsid wsp:val=&quot;00B26985&quot;/&gt;&lt;wsp:rsid wsp:val=&quot;00B30F06&quot;/&gt;&lt;wsp:rsid wsp:val=&quot;00B3206F&quot;/&gt;&lt;wsp:rsid wsp:val=&quot;00B32A61&quot;/&gt;&lt;wsp:rsid wsp:val=&quot;00B34CC4&quot;/&gt;&lt;wsp:rsid wsp:val=&quot;00B37E5D&quot;/&gt;&lt;wsp:rsid wsp:val=&quot;00B4071F&quot;/&gt;&lt;wsp:rsid wsp:val=&quot;00B41C85&quot;/&gt;&lt;wsp:rsid wsp:val=&quot;00B420B8&quot;/&gt;&lt;wsp:rsid wsp:val=&quot;00B43941&quot;/&gt;&lt;wsp:rsid wsp:val=&quot;00B439CC&quot;/&gt;&lt;wsp:rsid wsp:val=&quot;00B4552C&quot;/&gt;&lt;wsp:rsid wsp:val=&quot;00B45EBE&quot;/&gt;&lt;wsp:rsid wsp:val=&quot;00B46B7B&quot;/&gt;&lt;wsp:rsid wsp:val=&quot;00B5085C&quot;/&gt;&lt;wsp:rsid wsp:val=&quot;00B51136&quot;/&gt;&lt;wsp:rsid wsp:val=&quot;00B512FC&quot;/&gt;&lt;wsp:rsid wsp:val=&quot;00B51BC2&quot;/&gt;&lt;wsp:rsid wsp:val=&quot;00B5210A&quot;/&gt;&lt;wsp:rsid wsp:val=&quot;00B52581&quot;/&gt;&lt;wsp:rsid wsp:val=&quot;00B556CD&quot;/&gt;&lt;wsp:rsid wsp:val=&quot;00B56E6B&quot;/&gt;&lt;wsp:rsid wsp:val=&quot;00B57024&quot;/&gt;&lt;wsp:rsid wsp:val=&quot;00B60EB7&quot;/&gt;&lt;wsp:rsid wsp:val=&quot;00B61FED&quot;/&gt;&lt;wsp:rsid wsp:val=&quot;00B624E2&quot;/&gt;&lt;wsp:rsid wsp:val=&quot;00B66B29&quot;/&gt;&lt;wsp:rsid wsp:val=&quot;00B67C42&quot;/&gt;&lt;wsp:rsid wsp:val=&quot;00B704DC&quot;/&gt;&lt;wsp:rsid wsp:val=&quot;00B706EB&quot;/&gt;&lt;wsp:rsid wsp:val=&quot;00B715F5&quot;/&gt;&lt;wsp:rsid wsp:val=&quot;00B72448&quot;/&gt;&lt;wsp:rsid wsp:val=&quot;00B73CE1&quot;/&gt;&lt;wsp:rsid wsp:val=&quot;00B743FA&quot;/&gt;&lt;wsp:rsid wsp:val=&quot;00B766EA&quot;/&gt;&lt;wsp:rsid wsp:val=&quot;00B802C3&quot;/&gt;&lt;wsp:rsid wsp:val=&quot;00B81579&quot;/&gt;&lt;wsp:rsid wsp:val=&quot;00B8187D&quot;/&gt;&lt;wsp:rsid wsp:val=&quot;00B81A00&quot;/&gt;&lt;wsp:rsid wsp:val=&quot;00B81B48&quot;/&gt;&lt;wsp:rsid wsp:val=&quot;00B81DDD&quot;/&gt;&lt;wsp:rsid wsp:val=&quot;00B869C3&quot;/&gt;&lt;wsp:rsid wsp:val=&quot;00B87A3B&quot;/&gt;&lt;wsp:rsid wsp:val=&quot;00B90C51&quot;/&gt;&lt;wsp:rsid wsp:val=&quot;00B90F7D&quot;/&gt;&lt;wsp:rsid wsp:val=&quot;00B91466&quot;/&gt;&lt;wsp:rsid wsp:val=&quot;00B928BD&quot;/&gt;&lt;wsp:rsid wsp:val=&quot;00B944BC&quot;/&gt;&lt;wsp:rsid wsp:val=&quot;00B9465E&quot;/&gt;&lt;wsp:rsid wsp:val=&quot;00B949F5&quot;/&gt;&lt;wsp:rsid wsp:val=&quot;00B96685&quot;/&gt;&lt;wsp:rsid wsp:val=&quot;00B96780&quot;/&gt;&lt;wsp:rsid wsp:val=&quot;00BA0004&quot;/&gt;&lt;wsp:rsid wsp:val=&quot;00BA0023&quot;/&gt;&lt;wsp:rsid wsp:val=&quot;00BA0BB4&quot;/&gt;&lt;wsp:rsid wsp:val=&quot;00BA1FC1&quot;/&gt;&lt;wsp:rsid wsp:val=&quot;00BA2AD5&quot;/&gt;&lt;wsp:rsid wsp:val=&quot;00BA588C&quot;/&gt;&lt;wsp:rsid wsp:val=&quot;00BA59F5&quot;/&gt;&lt;wsp:rsid wsp:val=&quot;00BA7854&quot;/&gt;&lt;wsp:rsid wsp:val=&quot;00BB06CA&quot;/&gt;&lt;wsp:rsid wsp:val=&quot;00BB115D&quot;/&gt;&lt;wsp:rsid wsp:val=&quot;00BB1252&quot;/&gt;&lt;wsp:rsid wsp:val=&quot;00BB4AE4&quot;/&gt;&lt;wsp:rsid wsp:val=&quot;00BB4C77&quot;/&gt;&lt;wsp:rsid wsp:val=&quot;00BB6392&quot;/&gt;&lt;wsp:rsid wsp:val=&quot;00BB681C&quot;/&gt;&lt;wsp:rsid wsp:val=&quot;00BB7A90&quot;/&gt;&lt;wsp:rsid wsp:val=&quot;00BB7F50&quot;/&gt;&lt;wsp:rsid wsp:val=&quot;00BC04DD&quot;/&gt;&lt;wsp:rsid wsp:val=&quot;00BC1361&quot;/&gt;&lt;wsp:rsid wsp:val=&quot;00BC212D&quot;/&gt;&lt;wsp:rsid wsp:val=&quot;00BC3058&quot;/&gt;&lt;wsp:rsid wsp:val=&quot;00BC3344&quot;/&gt;&lt;wsp:rsid wsp:val=&quot;00BC3ADB&quot;/&gt;&lt;wsp:rsid wsp:val=&quot;00BC5272&quot;/&gt;&lt;wsp:rsid wsp:val=&quot;00BD30BE&quot;/&gt;&lt;wsp:rsid wsp:val=&quot;00BD44CA&quot;/&gt;&lt;wsp:rsid wsp:val=&quot;00BD4AC9&quot;/&gt;&lt;wsp:rsid wsp:val=&quot;00BE067E&quot;/&gt;&lt;wsp:rsid wsp:val=&quot;00BE0C3C&quot;/&gt;&lt;wsp:rsid wsp:val=&quot;00BE2925&quot;/&gt;&lt;wsp:rsid wsp:val=&quot;00BE3690&quot;/&gt;&lt;wsp:rsid wsp:val=&quot;00BE3AAA&quot;/&gt;&lt;wsp:rsid wsp:val=&quot;00BE711A&quot;/&gt;&lt;wsp:rsid wsp:val=&quot;00BE7199&quot;/&gt;&lt;wsp:rsid wsp:val=&quot;00BE7F63&quot;/&gt;&lt;wsp:rsid wsp:val=&quot;00BF2CAC&quot;/&gt;&lt;wsp:rsid wsp:val=&quot;00BF3346&quot;/&gt;&lt;wsp:rsid wsp:val=&quot;00BF792D&quot;/&gt;&lt;wsp:rsid wsp:val=&quot;00C00203&quot;/&gt;&lt;wsp:rsid wsp:val=&quot;00C004A9&quot;/&gt;&lt;wsp:rsid wsp:val=&quot;00C0184B&quot;/&gt;&lt;wsp:rsid wsp:val=&quot;00C01ACC&quot;/&gt;&lt;wsp:rsid wsp:val=&quot;00C02CF8&quot;/&gt;&lt;wsp:rsid wsp:val=&quot;00C0347F&quot;/&gt;&lt;wsp:rsid wsp:val=&quot;00C04594&quot;/&gt;&lt;wsp:rsid wsp:val=&quot;00C0515D&quot;/&gt;&lt;wsp:rsid wsp:val=&quot;00C05E81&quot;/&gt;&lt;wsp:rsid wsp:val=&quot;00C06840&quot;/&gt;&lt;wsp:rsid wsp:val=&quot;00C1192C&quot;/&gt;&lt;wsp:rsid wsp:val=&quot;00C121B3&quot;/&gt;&lt;wsp:rsid wsp:val=&quot;00C124E4&quot;/&gt;&lt;wsp:rsid wsp:val=&quot;00C13A34&quot;/&gt;&lt;wsp:rsid wsp:val=&quot;00C14184&quot;/&gt;&lt;wsp:rsid wsp:val=&quot;00C14270&quot;/&gt;&lt;wsp:rsid wsp:val=&quot;00C14BB2&quot;/&gt;&lt;wsp:rsid wsp:val=&quot;00C160A0&quot;/&gt;&lt;wsp:rsid wsp:val=&quot;00C17E32&quot;/&gt;&lt;wsp:rsid wsp:val=&quot;00C20F61&quot;/&gt;&lt;wsp:rsid wsp:val=&quot;00C2220E&quot;/&gt;&lt;wsp:rsid wsp:val=&quot;00C23059&quot;/&gt;&lt;wsp:rsid wsp:val=&quot;00C2364E&quot;/&gt;&lt;wsp:rsid wsp:val=&quot;00C25F06&quot;/&gt;&lt;wsp:rsid wsp:val=&quot;00C31EFC&quot;/&gt;&lt;wsp:rsid wsp:val=&quot;00C34102&quot;/&gt;&lt;wsp:rsid wsp:val=&quot;00C343A5&quot;/&gt;&lt;wsp:rsid wsp:val=&quot;00C345B3&quot;/&gt;&lt;wsp:rsid wsp:val=&quot;00C34DA1&quot;/&gt;&lt;wsp:rsid wsp:val=&quot;00C370CC&quot;/&gt;&lt;wsp:rsid wsp:val=&quot;00C37FD8&quot;/&gt;&lt;wsp:rsid wsp:val=&quot;00C40DDC&quot;/&gt;&lt;wsp:rsid wsp:val=&quot;00C422AB&quot;/&gt;&lt;wsp:rsid wsp:val=&quot;00C427F0&quot;/&gt;&lt;wsp:rsid wsp:val=&quot;00C434D6&quot;/&gt;&lt;wsp:rsid wsp:val=&quot;00C43CFE&quot;/&gt;&lt;wsp:rsid wsp:val=&quot;00C45003&quot;/&gt;&lt;wsp:rsid wsp:val=&quot;00C46AC4&quot;/&gt;&lt;wsp:rsid wsp:val=&quot;00C46BDD&quot;/&gt;&lt;wsp:rsid wsp:val=&quot;00C47934&quot;/&gt;&lt;wsp:rsid wsp:val=&quot;00C505C4&quot;/&gt;&lt;wsp:rsid wsp:val=&quot;00C50BB8&quot;/&gt;&lt;wsp:rsid wsp:val=&quot;00C50DD0&quot;/&gt;&lt;wsp:rsid wsp:val=&quot;00C51096&quot;/&gt;&lt;wsp:rsid wsp:val=&quot;00C51504&quot;/&gt;&lt;wsp:rsid wsp:val=&quot;00C534AB&quot;/&gt;&lt;wsp:rsid wsp:val=&quot;00C54E06&quot;/&gt;&lt;wsp:rsid wsp:val=&quot;00C55300&quot;/&gt;&lt;wsp:rsid wsp:val=&quot;00C574A1&quot;/&gt;&lt;wsp:rsid wsp:val=&quot;00C627C7&quot;/&gt;&lt;wsp:rsid wsp:val=&quot;00C62A73&quot;/&gt;&lt;wsp:rsid wsp:val=&quot;00C62BC5&quot;/&gt;&lt;wsp:rsid wsp:val=&quot;00C63C73&quot;/&gt;&lt;wsp:rsid wsp:val=&quot;00C640B3&quot;/&gt;&lt;wsp:rsid wsp:val=&quot;00C65C4D&quot;/&gt;&lt;wsp:rsid wsp:val=&quot;00C70F19&quot;/&gt;&lt;wsp:rsid wsp:val=&quot;00C71E43&quot;/&gt;&lt;wsp:rsid wsp:val=&quot;00C729AF&quot;/&gt;&lt;wsp:rsid wsp:val=&quot;00C72FF3&quot;/&gt;&lt;wsp:rsid wsp:val=&quot;00C73670&quot;/&gt;&lt;wsp:rsid wsp:val=&quot;00C7443E&quot;/&gt;&lt;wsp:rsid wsp:val=&quot;00C7537F&quot;/&gt;&lt;wsp:rsid wsp:val=&quot;00C76A83&quot;/&gt;&lt;wsp:rsid wsp:val=&quot;00C77537&quot;/&gt;&lt;wsp:rsid wsp:val=&quot;00C81229&quot;/&gt;&lt;wsp:rsid wsp:val=&quot;00C8131F&quot;/&gt;&lt;wsp:rsid wsp:val=&quot;00C81A68&quot;/&gt;&lt;wsp:rsid wsp:val=&quot;00C83888&quot;/&gt;&lt;wsp:rsid wsp:val=&quot;00C83D6F&quot;/&gt;&lt;wsp:rsid wsp:val=&quot;00C8442A&quot;/&gt;&lt;wsp:rsid wsp:val=&quot;00C84690&quot;/&gt;&lt;wsp:rsid wsp:val=&quot;00C85186&quot;/&gt;&lt;wsp:rsid wsp:val=&quot;00C9081B&quot;/&gt;&lt;wsp:rsid wsp:val=&quot;00C90E18&quot;/&gt;&lt;wsp:rsid wsp:val=&quot;00C91C25&quot;/&gt;&lt;wsp:rsid wsp:val=&quot;00C947E2&quot;/&gt;&lt;wsp:rsid wsp:val=&quot;00C94E92&quot;/&gt;&lt;wsp:rsid wsp:val=&quot;00C94EBB&quot;/&gt;&lt;wsp:rsid wsp:val=&quot;00C95904&quot;/&gt;&lt;wsp:rsid wsp:val=&quot;00C97ACC&quot;/&gt;&lt;wsp:rsid wsp:val=&quot;00CA08C1&quot;/&gt;&lt;wsp:rsid wsp:val=&quot;00CA23D0&quot;/&gt;&lt;wsp:rsid wsp:val=&quot;00CA31F0&quot;/&gt;&lt;wsp:rsid wsp:val=&quot;00CA327B&quot;/&gt;&lt;wsp:rsid wsp:val=&quot;00CA4962&quot;/&gt;&lt;wsp:rsid wsp:val=&quot;00CA54AA&quot;/&gt;&lt;wsp:rsid wsp:val=&quot;00CA57DF&quot;/&gt;&lt;wsp:rsid wsp:val=&quot;00CB041E&quot;/&gt;&lt;wsp:rsid wsp:val=&quot;00CB0650&quot;/&gt;&lt;wsp:rsid wsp:val=&quot;00CB1118&quot;/&gt;&lt;wsp:rsid wsp:val=&quot;00CB4292&quot;/&gt;&lt;wsp:rsid wsp:val=&quot;00CB58D9&quot;/&gt;&lt;wsp:rsid wsp:val=&quot;00CB5B32&quot;/&gt;&lt;wsp:rsid wsp:val=&quot;00CB76F1&quot;/&gt;&lt;wsp:rsid wsp:val=&quot;00CB7D72&quot;/&gt;&lt;wsp:rsid wsp:val=&quot;00CC1725&quot;/&gt;&lt;wsp:rsid wsp:val=&quot;00CC177D&quot;/&gt;&lt;wsp:rsid wsp:val=&quot;00CC1E93&quot;/&gt;&lt;wsp:rsid wsp:val=&quot;00CC2D4F&quot;/&gt;&lt;wsp:rsid wsp:val=&quot;00CC4986&quot;/&gt;&lt;wsp:rsid wsp:val=&quot;00CD0AA7&quot;/&gt;&lt;wsp:rsid wsp:val=&quot;00CD28F9&quot;/&gt;&lt;wsp:rsid wsp:val=&quot;00CD2EC2&quot;/&gt;&lt;wsp:rsid wsp:val=&quot;00CD5397&quot;/&gt;&lt;wsp:rsid wsp:val=&quot;00CE1165&quot;/&gt;&lt;wsp:rsid wsp:val=&quot;00CE23B8&quot;/&gt;&lt;wsp:rsid wsp:val=&quot;00CE3BF6&quot;/&gt;&lt;wsp:rsid wsp:val=&quot;00CE3DC2&quot;/&gt;&lt;wsp:rsid wsp:val=&quot;00CE4B1B&quot;/&gt;&lt;wsp:rsid wsp:val=&quot;00CE5BAB&quot;/&gt;&lt;wsp:rsid wsp:val=&quot;00CF11DA&quot;/&gt;&lt;wsp:rsid wsp:val=&quot;00CF14C3&quot;/&gt;&lt;wsp:rsid wsp:val=&quot;00CF3F89&quot;/&gt;&lt;wsp:rsid wsp:val=&quot;00CF649D&quot;/&gt;&lt;wsp:rsid wsp:val=&quot;00CF6B38&quot;/&gt;&lt;wsp:rsid wsp:val=&quot;00CF7B97&quot;/&gt;&lt;wsp:rsid wsp:val=&quot;00D00052&quot;/&gt;&lt;wsp:rsid wsp:val=&quot;00D00681&quot;/&gt;&lt;wsp:rsid wsp:val=&quot;00D044B4&quot;/&gt;&lt;wsp:rsid wsp:val=&quot;00D048E6&quot;/&gt;&lt;wsp:rsid wsp:val=&quot;00D0581F&quot;/&gt;&lt;wsp:rsid wsp:val=&quot;00D059AF&quot;/&gt;&lt;wsp:rsid wsp:val=&quot;00D07A9F&quot;/&gt;&lt;wsp:rsid wsp:val=&quot;00D117FC&quot;/&gt;&lt;wsp:rsid wsp:val=&quot;00D135AB&quot;/&gt;&lt;wsp:rsid wsp:val=&quot;00D14238&quot;/&gt;&lt;wsp:rsid wsp:val=&quot;00D14400&quot;/&gt;&lt;wsp:rsid wsp:val=&quot;00D16724&quot;/&gt;&lt;wsp:rsid wsp:val=&quot;00D17B46&quot;/&gt;&lt;wsp:rsid wsp:val=&quot;00D17FBA&quot;/&gt;&lt;wsp:rsid wsp:val=&quot;00D20141&quot;/&gt;&lt;wsp:rsid wsp:val=&quot;00D20949&quot;/&gt;&lt;wsp:rsid wsp:val=&quot;00D20EF1&quot;/&gt;&lt;wsp:rsid wsp:val=&quot;00D22006&quot;/&gt;&lt;wsp:rsid wsp:val=&quot;00D22689&quot;/&gt;&lt;wsp:rsid wsp:val=&quot;00D22846&quot;/&gt;&lt;wsp:rsid wsp:val=&quot;00D2417F&quot;/&gt;&lt;wsp:rsid wsp:val=&quot;00D25CFB&quot;/&gt;&lt;wsp:rsid wsp:val=&quot;00D2628A&quot;/&gt;&lt;wsp:rsid wsp:val=&quot;00D274A0&quot;/&gt;&lt;wsp:rsid wsp:val=&quot;00D27E23&quot;/&gt;&lt;wsp:rsid wsp:val=&quot;00D30273&quot;/&gt;&lt;wsp:rsid wsp:val=&quot;00D3129D&quot;/&gt;&lt;wsp:rsid wsp:val=&quot;00D31B53&quot;/&gt;&lt;wsp:rsid wsp:val=&quot;00D35F59&quot;/&gt;&lt;wsp:rsid wsp:val=&quot;00D371C0&quot;/&gt;&lt;wsp:rsid wsp:val=&quot;00D4044F&quot;/&gt;&lt;wsp:rsid wsp:val=&quot;00D40D44&quot;/&gt;&lt;wsp:rsid wsp:val=&quot;00D41207&quot;/&gt;&lt;wsp:rsid wsp:val=&quot;00D416AD&quot;/&gt;&lt;wsp:rsid wsp:val=&quot;00D4243B&quot;/&gt;&lt;wsp:rsid wsp:val=&quot;00D43160&quot;/&gt;&lt;wsp:rsid wsp:val=&quot;00D45984&quot;/&gt;&lt;wsp:rsid wsp:val=&quot;00D46542&quot;/&gt;&lt;wsp:rsid wsp:val=&quot;00D46EBA&quot;/&gt;&lt;wsp:rsid wsp:val=&quot;00D51CD8&quot;/&gt;&lt;wsp:rsid wsp:val=&quot;00D5253D&quot;/&gt;&lt;wsp:rsid wsp:val=&quot;00D528F0&quot;/&gt;&lt;wsp:rsid wsp:val=&quot;00D53C68&quot;/&gt;&lt;wsp:rsid wsp:val=&quot;00D5459B&quot;/&gt;&lt;wsp:rsid wsp:val=&quot;00D54BF7&quot;/&gt;&lt;wsp:rsid wsp:val=&quot;00D558D0&quot;/&gt;&lt;wsp:rsid wsp:val=&quot;00D561F2&quot;/&gt;&lt;wsp:rsid wsp:val=&quot;00D56655&quot;/&gt;&lt;wsp:rsid wsp:val=&quot;00D57E02&quot;/&gt;&lt;wsp:rsid wsp:val=&quot;00D60138&quot;/&gt;&lt;wsp:rsid wsp:val=&quot;00D601AD&quot;/&gt;&lt;wsp:rsid wsp:val=&quot;00D60D78&quot;/&gt;&lt;wsp:rsid wsp:val=&quot;00D641A4&quot;/&gt;&lt;wsp:rsid wsp:val=&quot;00D6524B&quot;/&gt;&lt;wsp:rsid wsp:val=&quot;00D657D7&quot;/&gt;&lt;wsp:rsid wsp:val=&quot;00D72273&quot;/&gt;&lt;wsp:rsid wsp:val=&quot;00D744E0&quot;/&gt;&lt;wsp:rsid wsp:val=&quot;00D76385&quot;/&gt;&lt;wsp:rsid wsp:val=&quot;00D801E5&quot;/&gt;&lt;wsp:rsid wsp:val=&quot;00D80B7A&quot;/&gt;&lt;wsp:rsid wsp:val=&quot;00D80DA8&quot;/&gt;&lt;wsp:rsid wsp:val=&quot;00D81D08&quot;/&gt;&lt;wsp:rsid wsp:val=&quot;00D81E68&quot;/&gt;&lt;wsp:rsid wsp:val=&quot;00D832D5&quot;/&gt;&lt;wsp:rsid wsp:val=&quot;00D8330A&quot;/&gt;&lt;wsp:rsid wsp:val=&quot;00D838ED&quot;/&gt;&lt;wsp:rsid wsp:val=&quot;00D90D96&quot;/&gt;&lt;wsp:rsid wsp:val=&quot;00D90F13&quot;/&gt;&lt;wsp:rsid wsp:val=&quot;00D91008&quot;/&gt;&lt;wsp:rsid wsp:val=&quot;00D91129&quot;/&gt;&lt;wsp:rsid wsp:val=&quot;00D91CC6&quot;/&gt;&lt;wsp:rsid wsp:val=&quot;00D92B33&quot;/&gt;&lt;wsp:rsid wsp:val=&quot;00D94249&quot;/&gt;&lt;wsp:rsid wsp:val=&quot;00D9521B&quot;/&gt;&lt;wsp:rsid wsp:val=&quot;00D952C0&quot;/&gt;&lt;wsp:rsid wsp:val=&quot;00D9535D&quot;/&gt;&lt;wsp:rsid wsp:val=&quot;00D95AE0&quot;/&gt;&lt;wsp:rsid wsp:val=&quot;00D95BF2&quot;/&gt;&lt;wsp:rsid wsp:val=&quot;00D96910&quot;/&gt;&lt;wsp:rsid wsp:val=&quot;00DA02C9&quot;/&gt;&lt;wsp:rsid wsp:val=&quot;00DA062A&quot;/&gt;&lt;wsp:rsid wsp:val=&quot;00DA2208&quot;/&gt;&lt;wsp:rsid wsp:val=&quot;00DA35D1&quot;/&gt;&lt;wsp:rsid wsp:val=&quot;00DA400D&quot;/&gt;&lt;wsp:rsid wsp:val=&quot;00DA6010&quot;/&gt;&lt;wsp:rsid wsp:val=&quot;00DB0FFB&quot;/&gt;&lt;wsp:rsid wsp:val=&quot;00DB2AC3&quot;/&gt;&lt;wsp:rsid wsp:val=&quot;00DB2C5E&quot;/&gt;&lt;wsp:rsid wsp:val=&quot;00DB30B1&quot;/&gt;&lt;wsp:rsid wsp:val=&quot;00DC02BE&quot;/&gt;&lt;wsp:rsid wsp:val=&quot;00DC4871&quot;/&gt;&lt;wsp:rsid wsp:val=&quot;00DC7389&quot;/&gt;&lt;wsp:rsid wsp:val=&quot;00DD08EA&quot;/&gt;&lt;wsp:rsid wsp:val=&quot;00DD16D0&quot;/&gt;&lt;wsp:rsid wsp:val=&quot;00DD21F2&quot;/&gt;&lt;wsp:rsid wsp:val=&quot;00DD231F&quot;/&gt;&lt;wsp:rsid wsp:val=&quot;00DD30DE&quot;/&gt;&lt;wsp:rsid wsp:val=&quot;00DD50FB&quot;/&gt;&lt;wsp:rsid wsp:val=&quot;00DD5240&quot;/&gt;&lt;wsp:rsid wsp:val=&quot;00DD6C8F&quot;/&gt;&lt;wsp:rsid wsp:val=&quot;00DD7A09&quot;/&gt;&lt;wsp:rsid wsp:val=&quot;00DD7E2D&quot;/&gt;&lt;wsp:rsid wsp:val=&quot;00DE0AB6&quot;/&gt;&lt;wsp:rsid wsp:val=&quot;00DE63CE&quot;/&gt;&lt;wsp:rsid wsp:val=&quot;00DF14C4&quot;/&gt;&lt;wsp:rsid wsp:val=&quot;00DF24FA&quot;/&gt;&lt;wsp:rsid wsp:val=&quot;00DF45D2&quot;/&gt;&lt;wsp:rsid wsp:val=&quot;00DF48FE&quot;/&gt;&lt;wsp:rsid wsp:val=&quot;00DF5DB9&quot;/&gt;&lt;wsp:rsid wsp:val=&quot;00DF5DEB&quot;/&gt;&lt;wsp:rsid wsp:val=&quot;00DF6A92&quot;/&gt;&lt;wsp:rsid wsp:val=&quot;00DF7C97&quot;/&gt;&lt;wsp:rsid wsp:val=&quot;00E01A3A&quot;/&gt;&lt;wsp:rsid wsp:val=&quot;00E03A60&quot;/&gt;&lt;wsp:rsid wsp:val=&quot;00E051A5&quot;/&gt;&lt;wsp:rsid wsp:val=&quot;00E076FE&quot;/&gt;&lt;wsp:rsid wsp:val=&quot;00E10A5C&quot;/&gt;&lt;wsp:rsid wsp:val=&quot;00E13509&quot;/&gt;&lt;wsp:rsid wsp:val=&quot;00E14032&quot;/&gt;&lt;wsp:rsid wsp:val=&quot;00E24379&quot;/&gt;&lt;wsp:rsid wsp:val=&quot;00E2628B&quot;/&gt;&lt;wsp:rsid wsp:val=&quot;00E2670E&quot;/&gt;&lt;wsp:rsid wsp:val=&quot;00E276E6&quot;/&gt;&lt;wsp:rsid wsp:val=&quot;00E27C2B&quot;/&gt;&lt;wsp:rsid wsp:val=&quot;00E27F14&quot;/&gt;&lt;wsp:rsid wsp:val=&quot;00E30AB2&quot;/&gt;&lt;wsp:rsid wsp:val=&quot;00E33237&quot;/&gt;&lt;wsp:rsid wsp:val=&quot;00E346B3&quot;/&gt;&lt;wsp:rsid wsp:val=&quot;00E35716&quot;/&gt;&lt;wsp:rsid wsp:val=&quot;00E36160&quot;/&gt;&lt;wsp:rsid wsp:val=&quot;00E432E2&quot;/&gt;&lt;wsp:rsid wsp:val=&quot;00E4437F&quot;/&gt;&lt;wsp:rsid wsp:val=&quot;00E44C87&quot;/&gt;&lt;wsp:rsid wsp:val=&quot;00E459EA&quot;/&gt;&lt;wsp:rsid wsp:val=&quot;00E473EE&quot;/&gt;&lt;wsp:rsid wsp:val=&quot;00E50C2E&quot;/&gt;&lt;wsp:rsid wsp:val=&quot;00E518C9&quot;/&gt;&lt;wsp:rsid wsp:val=&quot;00E53A22&quot;/&gt;&lt;wsp:rsid wsp:val=&quot;00E53AC7&quot;/&gt;&lt;wsp:rsid wsp:val=&quot;00E549C7&quot;/&gt;&lt;wsp:rsid wsp:val=&quot;00E60102&quot;/&gt;&lt;wsp:rsid wsp:val=&quot;00E61307&quot;/&gt;&lt;wsp:rsid wsp:val=&quot;00E663DC&quot;/&gt;&lt;wsp:rsid wsp:val=&quot;00E66421&quot;/&gt;&lt;wsp:rsid wsp:val=&quot;00E72D2F&quot;/&gt;&lt;wsp:rsid wsp:val=&quot;00E76028&quot;/&gt;&lt;wsp:rsid wsp:val=&quot;00E7722E&quot;/&gt;&lt;wsp:rsid wsp:val=&quot;00E80237&quot;/&gt;&lt;wsp:rsid wsp:val=&quot;00E8083C&quot;/&gt;&lt;wsp:rsid wsp:val=&quot;00E82E23&quot;/&gt;&lt;wsp:rsid wsp:val=&quot;00E83DB4&quot;/&gt;&lt;wsp:rsid wsp:val=&quot;00E83FFA&quot;/&gt;&lt;wsp:rsid wsp:val=&quot;00E85AB4&quot;/&gt;&lt;wsp:rsid wsp:val=&quot;00E87E13&quot;/&gt;&lt;wsp:rsid wsp:val=&quot;00E908BF&quot;/&gt;&lt;wsp:rsid wsp:val=&quot;00E91C40&quot;/&gt;&lt;wsp:rsid wsp:val=&quot;00E93AB9&quot;/&gt;&lt;wsp:rsid wsp:val=&quot;00E961E7&quot;/&gt;&lt;wsp:rsid wsp:val=&quot;00E973D0&quot;/&gt;&lt;wsp:rsid wsp:val=&quot;00EA1109&quot;/&gt;&lt;wsp:rsid wsp:val=&quot;00EA164A&quot;/&gt;&lt;wsp:rsid wsp:val=&quot;00EA230D&quot;/&gt;&lt;wsp:rsid wsp:val=&quot;00EA2E1C&quot;/&gt;&lt;wsp:rsid wsp:val=&quot;00EA3158&quot;/&gt;&lt;wsp:rsid wsp:val=&quot;00EA31D3&quot;/&gt;&lt;wsp:rsid wsp:val=&quot;00EA4CB9&quot;/&gt;&lt;wsp:rsid wsp:val=&quot;00EA57BE&quot;/&gt;&lt;wsp:rsid wsp:val=&quot;00EA5CC8&quot;/&gt;&lt;wsp:rsid wsp:val=&quot;00EA738C&quot;/&gt;&lt;wsp:rsid wsp:val=&quot;00EA77B4&quot;/&gt;&lt;wsp:rsid wsp:val=&quot;00EA7BBA&quot;/&gt;&lt;wsp:rsid wsp:val=&quot;00EB0AB5&quot;/&gt;&lt;wsp:rsid wsp:val=&quot;00EB19BD&quot;/&gt;&lt;wsp:rsid wsp:val=&quot;00EB1DBC&quot;/&gt;&lt;wsp:rsid wsp:val=&quot;00EB2137&quot;/&gt;&lt;wsp:rsid wsp:val=&quot;00EB28C0&quot;/&gt;&lt;wsp:rsid wsp:val=&quot;00EB43AE&quot;/&gt;&lt;wsp:rsid wsp:val=&quot;00EC0561&quot;/&gt;&lt;wsp:rsid wsp:val=&quot;00EC0F8A&quot;/&gt;&lt;wsp:rsid wsp:val=&quot;00EC12F5&quot;/&gt;&lt;wsp:rsid wsp:val=&quot;00EC22C1&quot;/&gt;&lt;wsp:rsid wsp:val=&quot;00EC3DFE&quot;/&gt;&lt;wsp:rsid wsp:val=&quot;00EC6AFC&quot;/&gt;&lt;wsp:rsid wsp:val=&quot;00EC6DED&quot;/&gt;&lt;wsp:rsid wsp:val=&quot;00EC76C3&quot;/&gt;&lt;wsp:rsid wsp:val=&quot;00ED2E08&quot;/&gt;&lt;wsp:rsid wsp:val=&quot;00ED337B&quot;/&gt;&lt;wsp:rsid wsp:val=&quot;00ED4640&quot;/&gt;&lt;wsp:rsid wsp:val=&quot;00ED4A30&quot;/&gt;&lt;wsp:rsid wsp:val=&quot;00ED4E0E&quot;/&gt;&lt;wsp:rsid wsp:val=&quot;00ED53E2&quot;/&gt;&lt;wsp:rsid wsp:val=&quot;00ED61D7&quot;/&gt;&lt;wsp:rsid wsp:val=&quot;00ED659F&quot;/&gt;&lt;wsp:rsid wsp:val=&quot;00ED6902&quot;/&gt;&lt;wsp:rsid wsp:val=&quot;00ED7EF6&quot;/&gt;&lt;wsp:rsid wsp:val=&quot;00EE2D97&quot;/&gt;&lt;wsp:rsid wsp:val=&quot;00EE3508&quot;/&gt;&lt;wsp:rsid wsp:val=&quot;00EE49F9&quot;/&gt;&lt;wsp:rsid wsp:val=&quot;00EE6199&quot;/&gt;&lt;wsp:rsid wsp:val=&quot;00EE6275&quot;/&gt;&lt;wsp:rsid wsp:val=&quot;00EE68EF&quot;/&gt;&lt;wsp:rsid wsp:val=&quot;00EE7C9B&quot;/&gt;&lt;wsp:rsid wsp:val=&quot;00EF6505&quot;/&gt;&lt;wsp:rsid wsp:val=&quot;00F01CBF&quot;/&gt;&lt;wsp:rsid wsp:val=&quot;00F020D5&quot;/&gt;&lt;wsp:rsid wsp:val=&quot;00F04954&quot;/&gt;&lt;wsp:rsid wsp:val=&quot;00F0535B&quot;/&gt;&lt;wsp:rsid wsp:val=&quot;00F055BF&quot;/&gt;&lt;wsp:rsid wsp:val=&quot;00F0693A&quot;/&gt;&lt;wsp:rsid wsp:val=&quot;00F07D9E&quot;/&gt;&lt;wsp:rsid wsp:val=&quot;00F11E71&quot;/&gt;&lt;wsp:rsid wsp:val=&quot;00F12104&quot;/&gt;&lt;wsp:rsid wsp:val=&quot;00F121C4&quot;/&gt;&lt;wsp:rsid wsp:val=&quot;00F12FF8&quot;/&gt;&lt;wsp:rsid wsp:val=&quot;00F13330&quot;/&gt;&lt;wsp:rsid wsp:val=&quot;00F1613A&quot;/&gt;&lt;wsp:rsid wsp:val=&quot;00F20116&quot;/&gt;&lt;wsp:rsid wsp:val=&quot;00F2072F&quot;/&gt;&lt;wsp:rsid wsp:val=&quot;00F23320&quot;/&gt;&lt;wsp:rsid wsp:val=&quot;00F24AD1&quot;/&gt;&lt;wsp:rsid wsp:val=&quot;00F2543D&quot;/&gt;&lt;wsp:rsid wsp:val=&quot;00F304CE&quot;/&gt;&lt;wsp:rsid wsp:val=&quot;00F316F3&quot;/&gt;&lt;wsp:rsid wsp:val=&quot;00F32A4D&quot;/&gt;&lt;wsp:rsid wsp:val=&quot;00F3340E&quot;/&gt;&lt;wsp:rsid wsp:val=&quot;00F33A0B&quot;/&gt;&lt;wsp:rsid wsp:val=&quot;00F34244&quot;/&gt;&lt;wsp:rsid wsp:val=&quot;00F34686&quot;/&gt;&lt;wsp:rsid wsp:val=&quot;00F35AA2&quot;/&gt;&lt;wsp:rsid wsp:val=&quot;00F36EA6&quot;/&gt;&lt;wsp:rsid wsp:val=&quot;00F43B2A&quot;/&gt;&lt;wsp:rsid wsp:val=&quot;00F43F28&quot;/&gt;&lt;wsp:rsid wsp:val=&quot;00F44A46&quot;/&gt;&lt;wsp:rsid wsp:val=&quot;00F45469&quot;/&gt;&lt;wsp:rsid wsp:val=&quot;00F504A3&quot;/&gt;&lt;wsp:rsid wsp:val=&quot;00F51C7E&quot;/&gt;&lt;wsp:rsid wsp:val=&quot;00F51F04&quot;/&gt;&lt;wsp:rsid wsp:val=&quot;00F53EF1&quot;/&gt;&lt;wsp:rsid wsp:val=&quot;00F547D2&quot;/&gt;&lt;wsp:rsid wsp:val=&quot;00F54CD5&quot;/&gt;&lt;wsp:rsid wsp:val=&quot;00F5518A&quot;/&gt;&lt;wsp:rsid wsp:val=&quot;00F554DE&quot;/&gt;&lt;wsp:rsid wsp:val=&quot;00F5606D&quot;/&gt;&lt;wsp:rsid wsp:val=&quot;00F60FAA&quot;/&gt;&lt;wsp:rsid wsp:val=&quot;00F62664&quot;/&gt;&lt;wsp:rsid wsp:val=&quot;00F65DE3&quot;/&gt;&lt;wsp:rsid wsp:val=&quot;00F66847&quot;/&gt;&lt;wsp:rsid wsp:val=&quot;00F67139&quot;/&gt;&lt;wsp:rsid wsp:val=&quot;00F67F0C&quot;/&gt;&lt;wsp:rsid wsp:val=&quot;00F7025B&quot;/&gt;&lt;wsp:rsid wsp:val=&quot;00F7042C&quot;/&gt;&lt;wsp:rsid wsp:val=&quot;00F70628&quot;/&gt;&lt;wsp:rsid wsp:val=&quot;00F71A7D&quot;/&gt;&lt;wsp:rsid wsp:val=&quot;00F720EB&quot;/&gt;&lt;wsp:rsid wsp:val=&quot;00F728C6&quot;/&gt;&lt;wsp:rsid wsp:val=&quot;00F7518A&quot;/&gt;&lt;wsp:rsid wsp:val=&quot;00F77AFD&quot;/&gt;&lt;wsp:rsid wsp:val=&quot;00F80080&quot;/&gt;&lt;wsp:rsid wsp:val=&quot;00F8125B&quot;/&gt;&lt;wsp:rsid wsp:val=&quot;00F81736&quot;/&gt;&lt;wsp:rsid wsp:val=&quot;00F81E2B&quot;/&gt;&lt;wsp:rsid wsp:val=&quot;00F8252A&quot;/&gt;&lt;wsp:rsid wsp:val=&quot;00F8520D&quot;/&gt;&lt;wsp:rsid wsp:val=&quot;00F86C80&quot;/&gt;&lt;wsp:rsid wsp:val=&quot;00F876EC&quot;/&gt;&lt;wsp:rsid wsp:val=&quot;00F87DB0&quot;/&gt;&lt;wsp:rsid wsp:val=&quot;00F91413&quot;/&gt;&lt;wsp:rsid wsp:val=&quot;00F91CEA&quot;/&gt;&lt;wsp:rsid wsp:val=&quot;00F92BDE&quot;/&gt;&lt;wsp:rsid wsp:val=&quot;00F92EFB&quot;/&gt;&lt;wsp:rsid wsp:val=&quot;00F931AB&quot;/&gt;&lt;wsp:rsid wsp:val=&quot;00F9322D&quot;/&gt;&lt;wsp:rsid wsp:val=&quot;00F940D6&quot;/&gt;&lt;wsp:rsid wsp:val=&quot;00F94B8D&quot;/&gt;&lt;wsp:rsid wsp:val=&quot;00F94BF2&quot;/&gt;&lt;wsp:rsid wsp:val=&quot;00F956ED&quot;/&gt;&lt;wsp:rsid wsp:val=&quot;00F95EC2&quot;/&gt;&lt;wsp:rsid wsp:val=&quot;00F96F1E&quot;/&gt;&lt;wsp:rsid wsp:val=&quot;00F97631&quot;/&gt;&lt;wsp:rsid wsp:val=&quot;00F97829&quot;/&gt;&lt;wsp:rsid wsp:val=&quot;00FA0FF6&quot;/&gt;&lt;wsp:rsid wsp:val=&quot;00FA1C18&quot;/&gt;&lt;wsp:rsid wsp:val=&quot;00FA26E4&quot;/&gt;&lt;wsp:rsid wsp:val=&quot;00FA5DED&quot;/&gt;&lt;wsp:rsid wsp:val=&quot;00FA6CFE&quot;/&gt;&lt;wsp:rsid wsp:val=&quot;00FB14A6&quot;/&gt;&lt;wsp:rsid wsp:val=&quot;00FB3530&quot;/&gt;&lt;wsp:rsid wsp:val=&quot;00FB39A1&quot;/&gt;&lt;wsp:rsid wsp:val=&quot;00FB3BD4&quot;/&gt;&lt;wsp:rsid wsp:val=&quot;00FB6086&quot;/&gt;&lt;wsp:rsid wsp:val=&quot;00FB6A83&quot;/&gt;&lt;wsp:rsid wsp:val=&quot;00FC0F1D&quot;/&gt;&lt;wsp:rsid wsp:val=&quot;00FC101E&quot;/&gt;&lt;wsp:rsid wsp:val=&quot;00FC1396&quot;/&gt;&lt;wsp:rsid wsp:val=&quot;00FD0FD1&quot;/&gt;&lt;wsp:rsid wsp:val=&quot;00FD2C26&quot;/&gt;&lt;wsp:rsid wsp:val=&quot;00FD3E33&quot;/&gt;&lt;wsp:rsid wsp:val=&quot;00FD47D3&quot;/&gt;&lt;wsp:rsid wsp:val=&quot;00FD4AF2&quot;/&gt;&lt;wsp:rsid wsp:val=&quot;00FD4B1D&quot;/&gt;&lt;wsp:rsid wsp:val=&quot;00FD4CFB&quot;/&gt;&lt;wsp:rsid wsp:val=&quot;00FD4DE2&quot;/&gt;&lt;wsp:rsid wsp:val=&quot;00FD5302&quot;/&gt;&lt;wsp:rsid wsp:val=&quot;00FD65CB&quot;/&gt;&lt;wsp:rsid wsp:val=&quot;00FD65F3&quot;/&gt;&lt;wsp:rsid wsp:val=&quot;00FE1B6D&quot;/&gt;&lt;wsp:rsid wsp:val=&quot;00FE4B47&quot;/&gt;&lt;wsp:rsid wsp:val=&quot;00FE7635&quot;/&gt;&lt;wsp:rsid wsp:val=&quot;00FF003A&quot;/&gt;&lt;wsp:rsid wsp:val=&quot;00FF0745&quot;/&gt;&lt;wsp:rsid wsp:val=&quot;00FF12FF&quot;/&gt;&lt;wsp:rsid wsp:val=&quot;00FF606A&quot;/&gt;&lt;wsp:rsid wsp:val=&quot;00FF6432&quot;/&gt;&lt;wsp:rsid wsp:val=&quot;00FF672F&quot;/&gt;&lt;wsp:rsid wsp:val=&quot;01143C53&quot;/&gt;&lt;wsp:rsid wsp:val=&quot;01202F47&quot;/&gt;&lt;wsp:rsid wsp:val=&quot;03552EBF&quot;/&gt;&lt;wsp:rsid wsp:val=&quot;057040C1&quot;/&gt;&lt;wsp:rsid wsp:val=&quot;124B040B&quot;/&gt;&lt;wsp:rsid wsp:val=&quot;16B7691D&quot;/&gt;&lt;wsp:rsid wsp:val=&quot;1BD028CB&quot;/&gt;&lt;wsp:rsid wsp:val=&quot;1FEB0CC5&quot;/&gt;&lt;wsp:rsid wsp:val=&quot;20C51323&quot;/&gt;&lt;wsp:rsid wsp:val=&quot;230F3079&quot;/&gt;&lt;wsp:rsid wsp:val=&quot;2BB81DC8&quot;/&gt;&lt;wsp:rsid wsp:val=&quot;2FCC6657&quot;/&gt;&lt;wsp:rsid wsp:val=&quot;324A7B05&quot;/&gt;&lt;wsp:rsid wsp:val=&quot;35325D7A&quot;/&gt;&lt;wsp:rsid wsp:val=&quot;379D1C38&quot;/&gt;&lt;wsp:rsid wsp:val=&quot;37D84432&quot;/&gt;&lt;wsp:rsid wsp:val=&quot;3C605B4C&quot;/&gt;&lt;wsp:rsid wsp:val=&quot;4186226A&quot;/&gt;&lt;wsp:rsid wsp:val=&quot;422A5803&quot;/&gt;&lt;wsp:rsid wsp:val=&quot;493C5710&quot;/&gt;&lt;wsp:rsid wsp:val=&quot;494F113F&quot;/&gt;&lt;wsp:rsid wsp:val=&quot;501A567B&quot;/&gt;&lt;wsp:rsid wsp:val=&quot;5DE20868&quot;/&gt;&lt;wsp:rsid wsp:val=&quot;5F503E2B&quot;/&gt;&lt;wsp:rsid wsp:val=&quot;607C4126&quot;/&gt;&lt;wsp:rsid wsp:val=&quot;616B40A8&quot;/&gt;&lt;wsp:rsid wsp:val=&quot;62430459&quot;/&gt;&lt;wsp:rsid wsp:val=&quot;66815090&quot;/&gt;&lt;wsp:rsid wsp:val=&quot;789B1EF0&quot;/&gt;&lt;/wsp:rsids&gt;&lt;/w:docPr&gt;&lt;w:body&gt;&lt;wx:sect&gt;&lt;w:p wsp:rsidR=&quot;00000000&quot; wsp:rsidRPr=&quot;00263479&quot; wsp:rsidRDefault=&quot;00263479&quot; wsp:rsidP=&quot;00263479&quot;&gt;&lt;m:oMathPara&gt;&lt;m:oMath&gt;&lt;m:sSub&gt;&lt;m:sSubPr&gt;&lt;m:ctrlPr&gt;&lt;w:rPr&gt;&lt;w:rFonts w:ascii=&quot;Cambria Math&quot; w:h-ansi=&quot;Cambria Math&quot;/&gt;&lt;wx:font wx:val=&quot;Cambria Math&quot;/&gt;&lt;w:kern w:val=&quot;0&quot;/&gt;&lt;w:sz w:val=&quot;24&quot;/&gt;&lt;w:sz-cs w:val=&quot;24&quot;/&gt;&lt;/w:rPr&gt;&lt;/m:ctrlPr&gt;&lt;/m:sSubPr&gt;&lt;m:e&gt;&lt;m:r&gt;&lt;m:rPr&gt;&lt;m:nor/&gt;&lt;/m:rPr&gt;&lt;w:rPr&gt;&lt;w:rFonts w:ascii=&quot;Times New Roman&quot; w:h-ansi=&quot;Times New Roman&quot;/&gt;&lt;wx:font wx:val=&quot;Times New Roman&quot;/&gt;&lt;w:kern w:val=&quot;0&quot;/&gt;&lt;w:sz w:val=&quot;24&quot;/&gt;&lt;w:sz-cs w:val=&quot;24&quot;/&gt;&lt;/w:rPr&gt;&lt;m:t&gt;Lp&lt;/m:t&gt;&lt;/m:r&gt;&lt;/m:e&gt;&lt;m:sub&gt;&lt;m:r&gt;&lt;m:rPr&gt;&lt;m:nor/&gt;&lt;/m:rPr&gt;&lt;w:rPr&gt;&lt;w:rFonts w:ascii=&quot;Times New Roman&quot; w:h-ansi=&quot;Times New Roman&quot;/&gt;&lt;wx:font wx:val=&quot;Times New Roman&quot;/&gt;&lt;w:kern w:val=&quot;0&quot;/&gt;&lt;w:sz w:val=&quot;24&quot;/&gt;&lt;w:sz-cs w:val=&quot;24&quot;/&gt;&lt;/w:rPr&gt;&lt;m:t&gt;r&lt;/m:t&gt;&lt;/m:r&gt;&lt;/m:sub&gt;&lt;/m:sSub&gt;&lt;m:r&gt;&lt;m:rPr&gt;&lt;m:nor/&gt;&lt;/m:rPr&gt;&lt;w:rPr&gt;&lt;w:rFonts w:ascii=&quot;Times New Roman&quot; w:h-ansi=&quot;Times New Roman&quot;/&gt;&lt;wx:font wx:val=&quot;Times New Roman&quot;/&gt;&lt;w:kern w:val=&quot;0&quot;/&gt;&lt;w:sz w:val=&quot;24&quot;/&gt;&lt;w:sz-cs w:val=&quot;24&quot;/&gt;&lt;/w:rPr&gt;&lt;m:t&gt;=10lg&lt;/m:t&gt;&lt;/m:r&gt;&lt;m:d&gt;&lt;m:dPr&gt;&lt;m:begChr m:val=&quot;[&quot;/&gt;&lt;m:endChr m:val=&quot;]&quot;/&gt;&lt;m:ctrlPr&gt;&lt;w:rPr&gt;&lt;w:rFonts w:ascii=&quot;Cambria Math&quot; w:h-ansi=&quot;Cambria Math&quot;/&gt;&lt;wx:font wx:val=&quot;Cambria Math&quot;/&gt;&lt;w:kern w:val=&quot;0&quot;/&gt;&lt;w:sz w:val=&quot;24&quot;/&gt;&lt;w:sz-cs w:val=&quot;24&quot;/&gt;&lt;/w:rPr&gt;&lt;/m:ctrlPr&gt;&lt;/m:dPr&gt;&lt;m:e&gt;&lt;m:nary&gt;&lt;m:naryPr&gt;&lt;m:chr m:val=&quot;_?/&gt;&lt;m:limLoc m:val=&quot;undOvr&quot;/&gt;&lt;m:ctrlPr&gt;&lt;w:rPr&gt;&lt;w:rFonts w:asciai=&quot;Cambria Math&quot; w:h-ansi=&quot;Cambria Math&quot;/&gt;&lt;wx:font wx:val=&quot;Cambria Math&quot;/&gt;&lt;w:kern w:val=&quot;0&quot;/&gt;&lt;w::vsz w:val=&quot;24&quot;/&gt;&lt;w:sz-cs w:val=&quot;24&quot;/&gt;&lt;/w:rPr&gt;&lt;/m:ctrlPr&gt;&lt;/m:naryPr&gt;&lt;m:sub&gt;&lt;m:r&gt;&lt;m:rPr&gt;&lt;m:nor/&gt;&lt;/m:rPr&gt;&lt;w:rPr&gt;&lt;w:rFonts w:ascii=&quot;Times New Roman&quot; w:h-ansi=&quot;Times New Roman&quot;/&gt;&lt;wx:font wx:val=&quot;Times New Roman&quot;/&gt;&lt;w:kern w:val=&quot;0&quot;/&gt;&lt;w:sz w:val=&quot;24&quot;/&gt;&lt;w:sz-cs w:val=&quot;24&quot;/&gt;&lt;/w:rPr&gt;&lt;m:t&gt;i=1&lt;/m:t&gt;&lt;/m:r&gt;&lt;/m:sub&gt;&lt;m:sup&gt;&lt;m:r&gt;&lt;m:rPr&gt;&lt;m:nor/&gt;&lt;/m:rPr&gt;&lt;w:rPr&gt;&lt;w:rFonts w:ascii=&quot;Times New Roman&quot; w:h-ansi=&quot;Times New Roman&quot;/&gt;&lt;wx:font wx:val=&quot;Times New Roman&quot;/&gt;&lt;w:kern w:val=&quot;0&quot;/&gt;&lt;w:sz w:val=&quot;24&quot;/&gt;&lt;w:sz-cs w:val=&quot;24&quot;/&gt;&lt;/w:rPr&gt;&lt;m:t&gt;n&lt;/m:t&gt;&lt;/m:r&gt;&lt;/m:sup&gt;&lt;m:e&gt;&lt;m:sSup&gt;&lt;m:sSupPr&gt;&lt;m:ctrlPr&gt;&lt;w:rPr&gt;&lt;w:rFonts w:ascii=&quot;Cambria Math&quot; w:h-ansi=&quot;Cambria Math&quot;/&gt;&lt;wx:font wx:val=&quot;Cambria Math&quot;/&gt;&lt;w:i/&gt;&lt;w:kern w:val=&quot;0&quot;/&gt;&lt;w:sz w:val=&quot;24&quot;/&gt;&lt;w:sz-cs w:val=&quot;24&quot;/&gt;&lt;/w:rPr&gt;&lt;/m:ctrlPr&gt;&lt;/m:sSupPr&gt;&lt;m:e&gt;&lt;m:r&gt;&lt;m:rPr&gt;&lt;m:nor/&gt;&lt;/m:rPr&gt;&lt;w:rPr&gt;&lt;w:rFonts w:ascii=&quot;Times New Roman&quot; w:h-ansi=&quot;Times New Roman&quot;/&gt;&lt;wx:font wx:val=&quot;Times New Roman&quot;/&gt;&lt;w:kern w:val=&quot;0&quot;/&gt;&lt;w:sz w:val=&quot;24&quot;/&gt;&lt;w:sz-cs w:val=&quot;24&quot;/&gt;&lt;/w:rPr&gt;&lt;m:t&gt;10&lt;/m:t&gt;&lt;/m:r&gt;&lt;/m:e&gt;&lt;m:sup&gt;&lt;m:f&gt;&lt;m:fPr&gt;&lt;m:ctrlPr&gt;&lt;w:rPr&gt;&lt;w:rFonts w:ascii=&quot;Cambria Math&quot; w:h-ansi=&quot;Cambria Math&quot;/&gt;&lt;wx:font wx:val=&quot;Cambria Math&quot;/&gt;&lt;w:i/&gt;&lt;w:kern w:val=&quot;0&quot;/&gt;&lt;w:sz w:val=&quot;24&quot;/&gt;&lt;w:sz-cs w:val=&quot;24&quot;/&gt;&lt;/w:rPr&gt;&lt;/m:ctrlPr&gt;&lt;/m:fPr&gt;&lt;m:num&gt;&lt;m:sSub&gt;&lt;m:sSubPr&gt;&lt;m:ctrlPr&gt;&lt;w:rPr&gt;&lt;w:rFonts w:ascii=&quot;Cambria Math&quot; w:h-ansi=&quot;Cambria Math&quot;/&gt;&lt;wx:font wx:val=&quot;Cambria Math&quot;/&gt;&lt;w:i/&gt;&lt;w:kern w:val=&quot;0&quot;/&gt;&lt;w:sz w:val=&quot;24&quot;/&gt;&lt;w:sz-cs w:val=&quot;24&quot;/&gt;&lt;/w:rPr&gt;&lt;/m:ctrlPr&gt;&lt;/m:sSubPr&gt;&lt;m:e&gt;&lt;m:r&gt;&lt;m:rPr&gt;&lt;m:nor/&gt;&lt;/m:rPr&gt;&lt;w:rPr&gt;&lt;w:rFonts w:ascii=&quot;Times New Roman&quot; w:h-ansi=&quot;Times New Roman&quot;/&gt;&lt;wx:font wx:val=&quot;Times New Roman&quot;/&gt;&lt;w:kern w:val=&quot;0&quot;/&gt;&lt;w:sz w:val=&quot;24&quot;/&gt;&lt;w:sz-cs w:val=&quot;24&quot;/&gt;&lt;/w:rPr&gt;&lt;m:t&gt;Lp&lt;/m:t&gt;&lt;/m:r&gt;&lt;/m:e&gt;&lt;m:sub&gt;&lt;m:r&gt;&lt;m:rPr&gt;&lt;m:nor/&gt;&lt;/m:rPr&gt;&lt;w:rPr&gt;&lt;w:rFonts w:ascii=&quot;Times New Roman&quot; w:h-ansi=&quot;Times New Roman&quot;/&gt;&lt;wx:font wx:val=&quot;Times New Roman&quot;/&gt;&lt;w:kern w:val=&quot;0&quot;/&gt;&lt;w:sz w:val=&quot;24&quot;/&gt;&lt;w:sz-cs w:val=&quot;24&quot;/&gt;&lt;/w:rPr&gt;&lt;m:t&gt;i&lt;/m:t&gt;&lt;/m:r&gt;&lt;/m:sub&gt;&lt;/m:sSub&gt;&lt;/m:num&gt;&lt;m:den&gt;&lt;m:r&gt;&lt;m:rPr&gt;&lt;m:nor/&gt;&lt;/m:rPr&gt;&lt;w:rPr&gt;&lt;w:rFonts w:ascii=&quot;Times New Roman&quot; w:h-ansi=&quot;Times New Roman&quot;/&gt;&lt;wx:font wx:val=&quot;Times New Roman&quot;/&gt;&lt;w:kern w:val=&quot;0&quot;/&gt;&lt;w:sz w:val=&quot;24&quot;/&gt;&lt;w:sz-cs w:val=&quot;24&quot;/&gt;&lt;/w:rPr&gt;&lt;m:t&gt;10&lt;/m:t&gt;&lt;/m:r&gt;&lt;/m:den&gt;&lt;/m:f&gt;&lt;/m:sup&gt;&lt;/m:sSup&gt;&lt;/m:e&gt;&lt;/m:nary&gt;&lt;/m:e&gt;&lt;/m:d&gt;&lt;/m:oMath&gt;&lt;/m:oMathPara&gt;&lt;/w:p&gt;&lt;w:sectPr wsp:rsidR=&quot;00000000&quot; wsp:rsidRPr=&quot;00263479&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65" chromakey="#FFFFFF" o:title=""/>
                  <o:lock v:ext="edit" aspectratio="t"/>
                  <w10:wrap type="none"/>
                  <w10:anchorlock/>
                </v:shape>
              </w:pict>
            </w:r>
          </w:p>
          <w:p>
            <w:pPr>
              <w:autoSpaceDE w:val="0"/>
              <w:autoSpaceDN w:val="0"/>
              <w:adjustRightInd w:val="0"/>
              <w:spacing w:line="360" w:lineRule="auto"/>
              <w:ind w:firstLine="480" w:firstLineChars="200"/>
              <w:rPr>
                <w:rFonts w:ascii="Times New Roman" w:hAnsi="Times New Roman"/>
                <w:kern w:val="0"/>
                <w:sz w:val="24"/>
                <w:szCs w:val="24"/>
              </w:rPr>
            </w:pPr>
            <w:r>
              <w:rPr>
                <w:rFonts w:hint="eastAsia" w:ascii="Times New Roman" w:hAnsi="Times New Roman"/>
                <w:kern w:val="0"/>
                <w:sz w:val="24"/>
                <w:szCs w:val="24"/>
              </w:rPr>
              <w:t>式中</w:t>
            </w:r>
            <w:r>
              <w:rPr>
                <w:rFonts w:ascii="Times New Roman" w:hAnsi="Times New Roman"/>
                <w:kern w:val="0"/>
                <w:sz w:val="24"/>
                <w:szCs w:val="24"/>
              </w:rPr>
              <w:t>：</w:t>
            </w:r>
            <w:r>
              <w:rPr>
                <w:rFonts w:hint="eastAsia" w:ascii="Times New Roman" w:hAnsi="Times New Roman"/>
                <w:kern w:val="0"/>
                <w:sz w:val="24"/>
                <w:szCs w:val="24"/>
              </w:rPr>
              <w:t>L</w:t>
            </w:r>
            <w:r>
              <w:rPr>
                <w:rFonts w:ascii="Times New Roman" w:hAnsi="Times New Roman"/>
                <w:kern w:val="0"/>
                <w:sz w:val="24"/>
                <w:szCs w:val="24"/>
              </w:rPr>
              <w:t>p</w:t>
            </w:r>
            <w:r>
              <w:rPr>
                <w:rFonts w:ascii="Times New Roman" w:hAnsi="Times New Roman"/>
                <w:kern w:val="0"/>
                <w:sz w:val="24"/>
                <w:szCs w:val="24"/>
                <w:vertAlign w:val="subscript"/>
              </w:rPr>
              <w:t>r</w:t>
            </w:r>
            <w:r>
              <w:rPr>
                <w:rFonts w:ascii="Times New Roman" w:hAnsi="Times New Roman"/>
                <w:kern w:val="0"/>
                <w:sz w:val="24"/>
                <w:szCs w:val="24"/>
              </w:rPr>
              <w:t>——叠加后总声级，dB（</w:t>
            </w:r>
            <w:r>
              <w:rPr>
                <w:rFonts w:hint="eastAsia" w:ascii="Times New Roman" w:hAnsi="Times New Roman"/>
                <w:kern w:val="0"/>
                <w:sz w:val="24"/>
                <w:szCs w:val="24"/>
              </w:rPr>
              <w:t>A</w:t>
            </w:r>
            <w:r>
              <w:rPr>
                <w:rFonts w:ascii="Times New Roman" w:hAnsi="Times New Roman"/>
                <w:kern w:val="0"/>
                <w:sz w:val="24"/>
                <w:szCs w:val="24"/>
              </w:rPr>
              <w:t>）</w:t>
            </w:r>
            <w:r>
              <w:rPr>
                <w:rFonts w:hint="eastAsia" w:ascii="Times New Roman" w:hAnsi="Times New Roman"/>
                <w:kern w:val="0"/>
                <w:sz w:val="24"/>
                <w:szCs w:val="24"/>
              </w:rPr>
              <w:t>；</w:t>
            </w:r>
          </w:p>
          <w:p>
            <w:pPr>
              <w:autoSpaceDE w:val="0"/>
              <w:autoSpaceDN w:val="0"/>
              <w:adjustRightInd w:val="0"/>
              <w:spacing w:line="360" w:lineRule="auto"/>
              <w:ind w:firstLine="1200" w:firstLineChars="500"/>
              <w:rPr>
                <w:rFonts w:ascii="Times New Roman" w:hAnsi="Times New Roman"/>
                <w:kern w:val="0"/>
                <w:sz w:val="24"/>
                <w:szCs w:val="24"/>
              </w:rPr>
            </w:pPr>
            <w:r>
              <w:rPr>
                <w:rFonts w:hint="eastAsia" w:ascii="Times New Roman" w:hAnsi="Times New Roman"/>
                <w:kern w:val="0"/>
                <w:sz w:val="24"/>
                <w:szCs w:val="24"/>
              </w:rPr>
              <w:t>L</w:t>
            </w:r>
            <w:r>
              <w:rPr>
                <w:rFonts w:ascii="Times New Roman" w:hAnsi="Times New Roman"/>
                <w:kern w:val="0"/>
                <w:sz w:val="24"/>
                <w:szCs w:val="24"/>
              </w:rPr>
              <w:t>p</w:t>
            </w:r>
            <w:r>
              <w:rPr>
                <w:rFonts w:ascii="Times New Roman" w:hAnsi="Times New Roman"/>
                <w:kern w:val="0"/>
                <w:sz w:val="24"/>
                <w:szCs w:val="24"/>
                <w:vertAlign w:val="subscript"/>
              </w:rPr>
              <w:t>i</w:t>
            </w:r>
            <w:r>
              <w:rPr>
                <w:rFonts w:ascii="Times New Roman" w:hAnsi="Times New Roman"/>
                <w:kern w:val="0"/>
                <w:sz w:val="24"/>
                <w:szCs w:val="24"/>
              </w:rPr>
              <w:t>——i声源至基准预测点的声源，dB（</w:t>
            </w:r>
            <w:r>
              <w:rPr>
                <w:rFonts w:hint="eastAsia" w:ascii="Times New Roman" w:hAnsi="Times New Roman"/>
                <w:kern w:val="0"/>
                <w:sz w:val="24"/>
                <w:szCs w:val="24"/>
              </w:rPr>
              <w:t>A</w:t>
            </w:r>
            <w:r>
              <w:rPr>
                <w:rFonts w:ascii="Times New Roman" w:hAnsi="Times New Roman"/>
                <w:kern w:val="0"/>
                <w:sz w:val="24"/>
                <w:szCs w:val="24"/>
              </w:rPr>
              <w:t>）</w:t>
            </w:r>
            <w:r>
              <w:rPr>
                <w:rFonts w:hint="eastAsia" w:ascii="Times New Roman" w:hAnsi="Times New Roman"/>
                <w:kern w:val="0"/>
                <w:sz w:val="24"/>
                <w:szCs w:val="24"/>
              </w:rPr>
              <w:t>；</w:t>
            </w:r>
          </w:p>
          <w:p>
            <w:pPr>
              <w:autoSpaceDE w:val="0"/>
              <w:autoSpaceDN w:val="0"/>
              <w:adjustRightInd w:val="0"/>
              <w:spacing w:line="360" w:lineRule="auto"/>
              <w:ind w:firstLine="1320" w:firstLineChars="550"/>
              <w:rPr>
                <w:rFonts w:ascii="Times New Roman" w:hAnsi="Times New Roman"/>
                <w:kern w:val="0"/>
                <w:sz w:val="24"/>
                <w:szCs w:val="24"/>
              </w:rPr>
            </w:pPr>
            <w:r>
              <w:rPr>
                <w:rFonts w:hint="eastAsia" w:ascii="Times New Roman" w:hAnsi="Times New Roman"/>
                <w:kern w:val="0"/>
                <w:sz w:val="24"/>
                <w:szCs w:val="24"/>
              </w:rPr>
              <w:t>m</w:t>
            </w:r>
            <w:r>
              <w:rPr>
                <w:rFonts w:ascii="Times New Roman" w:hAnsi="Times New Roman"/>
                <w:kern w:val="0"/>
                <w:sz w:val="24"/>
                <w:szCs w:val="24"/>
              </w:rPr>
              <w:t>——噪声源数目</w:t>
            </w:r>
            <w:r>
              <w:rPr>
                <w:rFonts w:hint="eastAsia" w:ascii="Times New Roman" w:hAnsi="Times New Roman"/>
                <w:kern w:val="0"/>
                <w:sz w:val="24"/>
                <w:szCs w:val="24"/>
              </w:rPr>
              <w:t>。</w:t>
            </w:r>
          </w:p>
          <w:p>
            <w:pPr>
              <w:pStyle w:val="114"/>
            </w:pPr>
            <w:r>
              <w:t>3</w:t>
            </w:r>
            <w:r>
              <w:rPr>
                <w:rFonts w:hint="eastAsia"/>
              </w:rPr>
              <w:t>、预测参数与结果</w:t>
            </w:r>
          </w:p>
          <w:p>
            <w:pPr>
              <w:pStyle w:val="114"/>
            </w:pPr>
            <w:r>
              <w:rPr>
                <w:rFonts w:hint="eastAsia" w:hAnsi="宋体"/>
                <w:szCs w:val="21"/>
              </w:rPr>
              <w:t>根据现场勘察和厂区平面布置图，本项目新增主要噪声源距厂界四个噪声监测点的距离估算，</w:t>
            </w:r>
            <w:r>
              <w:rPr>
                <w:rFonts w:hint="eastAsia"/>
              </w:rPr>
              <w:t>项目噪声源对厂界四周声环境的贡献值详见表</w:t>
            </w:r>
            <w:r>
              <w:t>6-22</w:t>
            </w:r>
            <w:r>
              <w:rPr>
                <w:rFonts w:hint="eastAsia"/>
              </w:rPr>
              <w:t>，本项目运行后厂界噪声预测结果详见表</w:t>
            </w:r>
            <w:r>
              <w:t>6-23</w:t>
            </w:r>
            <w:r>
              <w:rPr>
                <w:rFonts w:hint="eastAsia"/>
              </w:rPr>
              <w:t>。</w:t>
            </w:r>
          </w:p>
          <w:p>
            <w:pPr>
              <w:pStyle w:val="111"/>
            </w:pPr>
            <w:r>
              <w:rPr>
                <w:rFonts w:hint="eastAsia"/>
              </w:rPr>
              <w:t>表</w:t>
            </w:r>
            <w:r>
              <w:t xml:space="preserve">6-22 </w:t>
            </w:r>
            <w:r>
              <w:rPr>
                <w:rFonts w:hint="eastAsia"/>
              </w:rPr>
              <w:t>项目噪声源对厂界四周声环境的贡献值</w:t>
            </w:r>
          </w:p>
          <w:tbl>
            <w:tblPr>
              <w:tblStyle w:val="37"/>
              <w:tblW w:w="936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4"/>
              <w:gridCol w:w="886"/>
              <w:gridCol w:w="588"/>
              <w:gridCol w:w="890"/>
              <w:gridCol w:w="697"/>
              <w:gridCol w:w="1073"/>
              <w:gridCol w:w="800"/>
              <w:gridCol w:w="1264"/>
              <w:gridCol w:w="738"/>
              <w:gridCol w:w="8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24" w:type="dxa"/>
                  <w:vMerge w:val="restart"/>
                  <w:tcBorders>
                    <w:top w:val="single" w:color="auto" w:sz="12" w:space="0"/>
                    <w:left w:val="single" w:color="auto" w:sz="12" w:space="0"/>
                    <w:bottom w:val="single" w:color="auto" w:sz="6" w:space="0"/>
                    <w:right w:val="single" w:color="auto" w:sz="6" w:space="0"/>
                  </w:tcBorders>
                  <w:shd w:val="clear" w:color="auto" w:fill="FFFFFF"/>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rPr>
                    <w:t>建构筑物</w:t>
                  </w:r>
                </w:p>
              </w:tc>
              <w:tc>
                <w:tcPr>
                  <w:tcW w:w="886" w:type="dxa"/>
                  <w:vMerge w:val="restart"/>
                  <w:tcBorders>
                    <w:top w:val="single" w:color="auto" w:sz="12" w:space="0"/>
                    <w:left w:val="single" w:color="auto" w:sz="6" w:space="0"/>
                    <w:bottom w:val="single" w:color="auto" w:sz="6" w:space="0"/>
                    <w:right w:val="single" w:color="auto" w:sz="6" w:space="0"/>
                  </w:tcBorders>
                  <w:shd w:val="clear" w:color="auto" w:fill="FFFFFF"/>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rPr>
                    <w:t>治理后</w:t>
                  </w:r>
                </w:p>
                <w:p>
                  <w:pPr>
                    <w:spacing w:line="240" w:lineRule="atLeast"/>
                    <w:ind w:left="-105" w:leftChars="-50" w:right="-105" w:rightChars="-50"/>
                    <w:jc w:val="center"/>
                    <w:rPr>
                      <w:rFonts w:ascii="Times New Roman" w:hAnsi="Times New Roman"/>
                      <w:b/>
                    </w:rPr>
                  </w:pPr>
                  <w:r>
                    <w:rPr>
                      <w:rFonts w:hint="eastAsia" w:ascii="Times New Roman" w:hAnsi="Times New Roman"/>
                      <w:b/>
                    </w:rPr>
                    <w:t>噪声源</w:t>
                  </w:r>
                </w:p>
                <w:p>
                  <w:pPr>
                    <w:spacing w:line="240" w:lineRule="atLeast"/>
                    <w:ind w:left="-105" w:leftChars="-50" w:right="-105" w:rightChars="-50"/>
                    <w:jc w:val="center"/>
                    <w:rPr>
                      <w:rFonts w:ascii="Times New Roman" w:hAnsi="Times New Roman"/>
                      <w:b/>
                    </w:rPr>
                  </w:pPr>
                  <w:r>
                    <w:rPr>
                      <w:rFonts w:hint="eastAsia" w:ascii="Times New Roman" w:hAnsi="Times New Roman"/>
                      <w:b/>
                    </w:rPr>
                    <w:t>叠加值</w:t>
                  </w:r>
                </w:p>
              </w:tc>
              <w:tc>
                <w:tcPr>
                  <w:tcW w:w="1478" w:type="dxa"/>
                  <w:gridSpan w:val="2"/>
                  <w:tcBorders>
                    <w:top w:val="single" w:color="auto" w:sz="12"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东厂界</w:t>
                  </w:r>
                </w:p>
              </w:tc>
              <w:tc>
                <w:tcPr>
                  <w:tcW w:w="1770" w:type="dxa"/>
                  <w:gridSpan w:val="2"/>
                  <w:tcBorders>
                    <w:top w:val="single" w:color="auto" w:sz="12"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南厂界</w:t>
                  </w:r>
                </w:p>
              </w:tc>
              <w:tc>
                <w:tcPr>
                  <w:tcW w:w="2064" w:type="dxa"/>
                  <w:gridSpan w:val="2"/>
                  <w:tcBorders>
                    <w:top w:val="single" w:color="auto" w:sz="12"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西厂界</w:t>
                  </w:r>
                </w:p>
              </w:tc>
              <w:tc>
                <w:tcPr>
                  <w:tcW w:w="1543" w:type="dxa"/>
                  <w:gridSpan w:val="2"/>
                  <w:tcBorders>
                    <w:top w:val="single" w:color="auto" w:sz="12" w:space="0"/>
                    <w:left w:val="single" w:color="auto" w:sz="6" w:space="0"/>
                    <w:bottom w:val="single" w:color="auto" w:sz="6" w:space="0"/>
                    <w:right w:val="single" w:color="auto" w:sz="12"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北厂界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24" w:type="dxa"/>
                  <w:vMerge w:val="continue"/>
                  <w:tcBorders>
                    <w:top w:val="single" w:color="auto" w:sz="6" w:space="0"/>
                    <w:left w:val="single" w:color="auto" w:sz="12"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p>
              </w:tc>
              <w:tc>
                <w:tcPr>
                  <w:tcW w:w="886" w:type="dxa"/>
                  <w:vMerge w:val="continue"/>
                  <w:tcBorders>
                    <w:top w:val="single" w:color="auto" w:sz="6"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p>
              </w:tc>
              <w:tc>
                <w:tcPr>
                  <w:tcW w:w="588" w:type="dxa"/>
                  <w:tcBorders>
                    <w:top w:val="single" w:color="auto" w:sz="6" w:space="0"/>
                    <w:left w:val="single" w:color="auto" w:sz="6" w:space="0"/>
                    <w:bottom w:val="double" w:color="auto" w:sz="4" w:space="0"/>
                    <w:right w:val="single" w:color="auto" w:sz="6" w:space="0"/>
                  </w:tcBorders>
                  <w:shd w:val="clear" w:color="auto" w:fill="FFFFFF"/>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rPr>
                    <w:t>距离</w:t>
                  </w:r>
                </w:p>
                <w:p>
                  <w:pPr>
                    <w:spacing w:line="240" w:lineRule="atLeast"/>
                    <w:jc w:val="center"/>
                    <w:rPr>
                      <w:rFonts w:ascii="Times New Roman" w:hAnsi="Times New Roman"/>
                      <w:b/>
                    </w:rPr>
                  </w:pPr>
                  <w:r>
                    <w:rPr>
                      <w:rFonts w:ascii="Times New Roman" w:hAnsi="Times New Roman"/>
                      <w:b/>
                    </w:rPr>
                    <w:t>m</w:t>
                  </w:r>
                </w:p>
              </w:tc>
              <w:tc>
                <w:tcPr>
                  <w:tcW w:w="890" w:type="dxa"/>
                  <w:tcBorders>
                    <w:top w:val="single" w:color="auto" w:sz="6" w:space="0"/>
                    <w:left w:val="single" w:color="auto" w:sz="6" w:space="0"/>
                    <w:bottom w:val="double" w:color="auto" w:sz="4" w:space="0"/>
                    <w:right w:val="single" w:color="auto" w:sz="6" w:space="0"/>
                  </w:tcBorders>
                  <w:shd w:val="clear" w:color="auto" w:fill="FFFFFF"/>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rPr>
                    <w:t>贡献值</w:t>
                  </w:r>
                </w:p>
                <w:p>
                  <w:pPr>
                    <w:spacing w:line="240" w:lineRule="atLeast"/>
                    <w:jc w:val="center"/>
                    <w:rPr>
                      <w:rFonts w:ascii="Times New Roman" w:hAnsi="Times New Roman"/>
                      <w:b/>
                    </w:rPr>
                  </w:pPr>
                  <w:r>
                    <w:rPr>
                      <w:rFonts w:ascii="Times New Roman" w:hAnsi="Times New Roman"/>
                      <w:b/>
                    </w:rPr>
                    <w:t>dB(A)</w:t>
                  </w:r>
                </w:p>
              </w:tc>
              <w:tc>
                <w:tcPr>
                  <w:tcW w:w="697" w:type="dxa"/>
                  <w:tcBorders>
                    <w:top w:val="single" w:color="auto" w:sz="6" w:space="0"/>
                    <w:left w:val="single" w:color="auto" w:sz="6" w:space="0"/>
                    <w:bottom w:val="double" w:color="auto" w:sz="4" w:space="0"/>
                    <w:right w:val="single" w:color="auto" w:sz="6" w:space="0"/>
                  </w:tcBorders>
                  <w:shd w:val="clear" w:color="auto" w:fill="FFFFFF"/>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rPr>
                    <w:t>距离</w:t>
                  </w:r>
                </w:p>
                <w:p>
                  <w:pPr>
                    <w:spacing w:line="240" w:lineRule="atLeast"/>
                    <w:jc w:val="center"/>
                    <w:rPr>
                      <w:rFonts w:ascii="Times New Roman" w:hAnsi="Times New Roman"/>
                      <w:b/>
                    </w:rPr>
                  </w:pPr>
                  <w:r>
                    <w:rPr>
                      <w:rFonts w:ascii="Times New Roman" w:hAnsi="Times New Roman"/>
                      <w:b/>
                    </w:rPr>
                    <w:t>m</w:t>
                  </w:r>
                </w:p>
              </w:tc>
              <w:tc>
                <w:tcPr>
                  <w:tcW w:w="1073" w:type="dxa"/>
                  <w:tcBorders>
                    <w:top w:val="single" w:color="auto" w:sz="6"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贡献值</w:t>
                  </w:r>
                </w:p>
                <w:p>
                  <w:pPr>
                    <w:spacing w:line="240" w:lineRule="atLeast"/>
                    <w:ind w:left="-105" w:leftChars="-50" w:right="-105" w:rightChars="-50"/>
                    <w:jc w:val="center"/>
                    <w:rPr>
                      <w:rFonts w:ascii="Times New Roman" w:hAnsi="Times New Roman"/>
                      <w:b/>
                    </w:rPr>
                  </w:pPr>
                  <w:r>
                    <w:rPr>
                      <w:rFonts w:ascii="Times New Roman" w:hAnsi="Times New Roman"/>
                      <w:b/>
                    </w:rPr>
                    <w:t>dB(A)</w:t>
                  </w:r>
                </w:p>
              </w:tc>
              <w:tc>
                <w:tcPr>
                  <w:tcW w:w="800" w:type="dxa"/>
                  <w:tcBorders>
                    <w:top w:val="single" w:color="auto" w:sz="6"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距离</w:t>
                  </w:r>
                </w:p>
                <w:p>
                  <w:pPr>
                    <w:spacing w:line="240" w:lineRule="atLeast"/>
                    <w:ind w:left="-105" w:leftChars="-50" w:right="-105" w:rightChars="-50"/>
                    <w:jc w:val="center"/>
                    <w:rPr>
                      <w:rFonts w:ascii="Times New Roman" w:hAnsi="Times New Roman"/>
                      <w:b/>
                    </w:rPr>
                  </w:pPr>
                  <w:r>
                    <w:rPr>
                      <w:rFonts w:ascii="Times New Roman" w:hAnsi="Times New Roman"/>
                      <w:b/>
                    </w:rPr>
                    <w:t>m</w:t>
                  </w:r>
                </w:p>
              </w:tc>
              <w:tc>
                <w:tcPr>
                  <w:tcW w:w="1264" w:type="dxa"/>
                  <w:tcBorders>
                    <w:top w:val="single" w:color="auto" w:sz="6"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贡献值</w:t>
                  </w:r>
                </w:p>
                <w:p>
                  <w:pPr>
                    <w:spacing w:line="240" w:lineRule="atLeast"/>
                    <w:ind w:left="-105" w:leftChars="-50" w:right="-105" w:rightChars="-50"/>
                    <w:jc w:val="center"/>
                    <w:rPr>
                      <w:rFonts w:ascii="Times New Roman" w:hAnsi="Times New Roman"/>
                      <w:b/>
                    </w:rPr>
                  </w:pPr>
                  <w:r>
                    <w:rPr>
                      <w:rFonts w:ascii="Times New Roman" w:hAnsi="Times New Roman"/>
                      <w:b/>
                    </w:rPr>
                    <w:t>dB(A)</w:t>
                  </w:r>
                </w:p>
              </w:tc>
              <w:tc>
                <w:tcPr>
                  <w:tcW w:w="738" w:type="dxa"/>
                  <w:tcBorders>
                    <w:top w:val="single" w:color="auto" w:sz="6"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距离</w:t>
                  </w:r>
                </w:p>
                <w:p>
                  <w:pPr>
                    <w:spacing w:line="240" w:lineRule="atLeast"/>
                    <w:ind w:left="-105" w:leftChars="-50" w:right="-105" w:rightChars="-50"/>
                    <w:jc w:val="center"/>
                    <w:rPr>
                      <w:rFonts w:ascii="Times New Roman" w:hAnsi="Times New Roman"/>
                      <w:b/>
                    </w:rPr>
                  </w:pPr>
                  <w:r>
                    <w:rPr>
                      <w:rFonts w:ascii="Times New Roman" w:hAnsi="Times New Roman"/>
                      <w:b/>
                    </w:rPr>
                    <w:t>m</w:t>
                  </w:r>
                </w:p>
              </w:tc>
              <w:tc>
                <w:tcPr>
                  <w:tcW w:w="805" w:type="dxa"/>
                  <w:tcBorders>
                    <w:top w:val="single" w:color="auto" w:sz="6" w:space="0"/>
                    <w:left w:val="single" w:color="auto" w:sz="6" w:space="0"/>
                    <w:bottom w:val="double" w:color="auto" w:sz="4" w:space="0"/>
                    <w:right w:val="single" w:color="auto" w:sz="12" w:space="0"/>
                  </w:tcBorders>
                  <w:shd w:val="clear" w:color="auto" w:fill="FFFFFF"/>
                  <w:vAlign w:val="center"/>
                </w:tcPr>
                <w:p>
                  <w:pPr>
                    <w:spacing w:line="240" w:lineRule="atLeast"/>
                    <w:ind w:left="-105" w:leftChars="-50" w:right="-105" w:rightChars="-50"/>
                    <w:jc w:val="center"/>
                    <w:rPr>
                      <w:rFonts w:ascii="Times New Roman" w:hAnsi="Times New Roman"/>
                      <w:b/>
                    </w:rPr>
                  </w:pPr>
                  <w:r>
                    <w:rPr>
                      <w:rFonts w:hint="eastAsia" w:ascii="Times New Roman" w:hAnsi="Times New Roman"/>
                      <w:b/>
                    </w:rPr>
                    <w:t>贡献值</w:t>
                  </w:r>
                </w:p>
                <w:p>
                  <w:pPr>
                    <w:spacing w:line="240" w:lineRule="atLeast"/>
                    <w:jc w:val="center"/>
                    <w:rPr>
                      <w:rFonts w:ascii="Times New Roman" w:hAnsi="Times New Roman"/>
                      <w:b/>
                    </w:rPr>
                  </w:pPr>
                  <w:r>
                    <w:rPr>
                      <w:rFonts w:ascii="Times New Roman" w:hAnsi="Times New Roman"/>
                      <w:b/>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24" w:type="dxa"/>
                  <w:tcBorders>
                    <w:top w:val="double" w:color="auto" w:sz="4"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hint="eastAsia" w:ascii="Times New Roman" w:hAnsi="Times New Roman"/>
                    </w:rPr>
                    <w:t>细格栅及旋</w:t>
                  </w:r>
                </w:p>
                <w:p>
                  <w:pPr>
                    <w:spacing w:line="320" w:lineRule="exact"/>
                    <w:jc w:val="center"/>
                    <w:rPr>
                      <w:rFonts w:ascii="Times New Roman" w:hAnsi="Times New Roman"/>
                    </w:rPr>
                  </w:pPr>
                  <w:r>
                    <w:rPr>
                      <w:rFonts w:hint="eastAsia" w:ascii="Times New Roman" w:hAnsi="Times New Roman"/>
                    </w:rPr>
                    <w:t>曝气沉砂池</w:t>
                  </w:r>
                </w:p>
              </w:tc>
              <w:tc>
                <w:tcPr>
                  <w:tcW w:w="886"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84</w:t>
                  </w:r>
                </w:p>
              </w:tc>
              <w:tc>
                <w:tcPr>
                  <w:tcW w:w="588"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220</w:t>
                  </w:r>
                </w:p>
              </w:tc>
              <w:tc>
                <w:tcPr>
                  <w:tcW w:w="890"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26</w:t>
                  </w:r>
                </w:p>
              </w:tc>
              <w:tc>
                <w:tcPr>
                  <w:tcW w:w="697"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33</w:t>
                  </w:r>
                </w:p>
              </w:tc>
              <w:tc>
                <w:tcPr>
                  <w:tcW w:w="1073"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43</w:t>
                  </w:r>
                </w:p>
              </w:tc>
              <w:tc>
                <w:tcPr>
                  <w:tcW w:w="800"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65</w:t>
                  </w:r>
                </w:p>
              </w:tc>
              <w:tc>
                <w:tcPr>
                  <w:tcW w:w="1264"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37</w:t>
                  </w:r>
                </w:p>
              </w:tc>
              <w:tc>
                <w:tcPr>
                  <w:tcW w:w="738"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20</w:t>
                  </w:r>
                </w:p>
              </w:tc>
              <w:tc>
                <w:tcPr>
                  <w:tcW w:w="805" w:type="dxa"/>
                  <w:tcBorders>
                    <w:top w:val="double" w:color="auto" w:sz="4" w:space="0"/>
                    <w:left w:val="single" w:color="auto" w:sz="6" w:space="0"/>
                    <w:bottom w:val="single" w:color="auto" w:sz="6" w:space="0"/>
                    <w:right w:val="single" w:color="auto" w:sz="12" w:space="0"/>
                  </w:tcBorders>
                  <w:shd w:val="clear" w:color="auto" w:fill="FFFFFF"/>
                  <w:vAlign w:val="center"/>
                </w:tcPr>
                <w:p>
                  <w:pPr>
                    <w:spacing w:line="320" w:lineRule="exact"/>
                    <w:jc w:val="center"/>
                    <w:rPr>
                      <w:rFonts w:ascii="Times New Roman" w:hAnsi="Times New Roman"/>
                    </w:rPr>
                  </w:pPr>
                  <w:r>
                    <w:rPr>
                      <w:rFonts w:ascii="Times New Roman" w:hAnsi="Times New Roman"/>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24" w:type="dxa"/>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hint="eastAsia" w:ascii="Times New Roman" w:hAnsi="Times New Roman"/>
                    </w:rPr>
                    <w:t>活性砂滤池</w:t>
                  </w:r>
                </w:p>
              </w:tc>
              <w:tc>
                <w:tcPr>
                  <w:tcW w:w="88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75</w:t>
                  </w:r>
                </w:p>
              </w:tc>
              <w:tc>
                <w:tcPr>
                  <w:tcW w:w="58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250</w:t>
                  </w:r>
                </w:p>
              </w:tc>
              <w:tc>
                <w:tcPr>
                  <w:tcW w:w="89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16</w:t>
                  </w:r>
                </w:p>
              </w:tc>
              <w:tc>
                <w:tcPr>
                  <w:tcW w:w="69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160</w:t>
                  </w:r>
                </w:p>
              </w:tc>
              <w:tc>
                <w:tcPr>
                  <w:tcW w:w="107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20</w:t>
                  </w:r>
                </w:p>
              </w:tc>
              <w:tc>
                <w:tcPr>
                  <w:tcW w:w="80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100</w:t>
                  </w:r>
                </w:p>
              </w:tc>
              <w:tc>
                <w:tcPr>
                  <w:tcW w:w="1264"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24</w:t>
                  </w:r>
                </w:p>
              </w:tc>
              <w:tc>
                <w:tcPr>
                  <w:tcW w:w="73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15</w:t>
                  </w:r>
                </w:p>
              </w:tc>
              <w:tc>
                <w:tcPr>
                  <w:tcW w:w="80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320" w:lineRule="exact"/>
                    <w:jc w:val="center"/>
                    <w:rPr>
                      <w:rFonts w:ascii="Times New Roman" w:hAnsi="Times New Roman"/>
                    </w:rPr>
                  </w:pPr>
                  <w:r>
                    <w:rPr>
                      <w:rFonts w:ascii="Times New Roman" w:hAnsi="Times New Roman"/>
                    </w:rPr>
                    <w:t>40.5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24" w:type="dxa"/>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PAC</w:t>
                  </w:r>
                  <w:r>
                    <w:rPr>
                      <w:rFonts w:hint="eastAsia" w:ascii="Times New Roman" w:hAnsi="Times New Roman"/>
                    </w:rPr>
                    <w:t>及碳源投加系统</w:t>
                  </w:r>
                </w:p>
              </w:tc>
              <w:tc>
                <w:tcPr>
                  <w:tcW w:w="88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60</w:t>
                  </w:r>
                </w:p>
              </w:tc>
              <w:tc>
                <w:tcPr>
                  <w:tcW w:w="58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70</w:t>
                  </w:r>
                </w:p>
              </w:tc>
              <w:tc>
                <w:tcPr>
                  <w:tcW w:w="89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12</w:t>
                  </w:r>
                </w:p>
              </w:tc>
              <w:tc>
                <w:tcPr>
                  <w:tcW w:w="69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140</w:t>
                  </w:r>
                </w:p>
              </w:tc>
              <w:tc>
                <w:tcPr>
                  <w:tcW w:w="107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6</w:t>
                  </w:r>
                </w:p>
              </w:tc>
              <w:tc>
                <w:tcPr>
                  <w:tcW w:w="80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260</w:t>
                  </w:r>
                </w:p>
              </w:tc>
              <w:tc>
                <w:tcPr>
                  <w:tcW w:w="1264"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0.72</w:t>
                  </w:r>
                </w:p>
              </w:tc>
              <w:tc>
                <w:tcPr>
                  <w:tcW w:w="73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46</w:t>
                  </w:r>
                </w:p>
              </w:tc>
              <w:tc>
                <w:tcPr>
                  <w:tcW w:w="80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320" w:lineRule="exact"/>
                    <w:jc w:val="center"/>
                    <w:rPr>
                      <w:rFonts w:ascii="Times New Roman" w:hAnsi="Times New Roman"/>
                    </w:rPr>
                  </w:pPr>
                  <w:r>
                    <w:rPr>
                      <w:rFonts w:ascii="Times New Roman" w:hAnsi="Times New Roman"/>
                    </w:rPr>
                    <w:t>15.77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24" w:type="dxa"/>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hint="eastAsia" w:ascii="Times New Roman" w:hAnsi="Times New Roman"/>
                    </w:rPr>
                    <w:t>污泥脱水车间</w:t>
                  </w:r>
                </w:p>
              </w:tc>
              <w:tc>
                <w:tcPr>
                  <w:tcW w:w="88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66</w:t>
                  </w:r>
                </w:p>
              </w:tc>
              <w:tc>
                <w:tcPr>
                  <w:tcW w:w="58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210</w:t>
                  </w:r>
                </w:p>
              </w:tc>
              <w:tc>
                <w:tcPr>
                  <w:tcW w:w="89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9</w:t>
                  </w:r>
                </w:p>
              </w:tc>
              <w:tc>
                <w:tcPr>
                  <w:tcW w:w="69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125</w:t>
                  </w:r>
                </w:p>
              </w:tc>
              <w:tc>
                <w:tcPr>
                  <w:tcW w:w="107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13</w:t>
                  </w:r>
                </w:p>
              </w:tc>
              <w:tc>
                <w:tcPr>
                  <w:tcW w:w="80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110</w:t>
                  </w:r>
                </w:p>
              </w:tc>
              <w:tc>
                <w:tcPr>
                  <w:tcW w:w="1264"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14</w:t>
                  </w:r>
                </w:p>
              </w:tc>
              <w:tc>
                <w:tcPr>
                  <w:tcW w:w="73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25</w:t>
                  </w:r>
                </w:p>
              </w:tc>
              <w:tc>
                <w:tcPr>
                  <w:tcW w:w="80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320" w:lineRule="exact"/>
                    <w:jc w:val="center"/>
                    <w:rPr>
                      <w:rFonts w:ascii="Times New Roman" w:hAnsi="Times New Roman"/>
                    </w:rPr>
                  </w:pPr>
                  <w:r>
                    <w:rPr>
                      <w:rFonts w:ascii="Times New Roman" w:hAnsi="Times New Roman"/>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24" w:type="dxa"/>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hint="eastAsia" w:ascii="Times New Roman" w:hAnsi="Times New Roman"/>
                    </w:rPr>
                    <w:t>中水泵房</w:t>
                  </w:r>
                </w:p>
              </w:tc>
              <w:tc>
                <w:tcPr>
                  <w:tcW w:w="88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65</w:t>
                  </w:r>
                </w:p>
              </w:tc>
              <w:tc>
                <w:tcPr>
                  <w:tcW w:w="58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310</w:t>
                  </w:r>
                </w:p>
              </w:tc>
              <w:tc>
                <w:tcPr>
                  <w:tcW w:w="89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4</w:t>
                  </w:r>
                </w:p>
              </w:tc>
              <w:tc>
                <w:tcPr>
                  <w:tcW w:w="69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190</w:t>
                  </w:r>
                </w:p>
              </w:tc>
              <w:tc>
                <w:tcPr>
                  <w:tcW w:w="107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8</w:t>
                  </w:r>
                </w:p>
              </w:tc>
              <w:tc>
                <w:tcPr>
                  <w:tcW w:w="80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28</w:t>
                  </w:r>
                </w:p>
              </w:tc>
              <w:tc>
                <w:tcPr>
                  <w:tcW w:w="1264"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25</w:t>
                  </w:r>
                </w:p>
              </w:tc>
              <w:tc>
                <w:tcPr>
                  <w:tcW w:w="73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17</w:t>
                  </w:r>
                </w:p>
              </w:tc>
              <w:tc>
                <w:tcPr>
                  <w:tcW w:w="80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320" w:lineRule="exact"/>
                    <w:jc w:val="center"/>
                    <w:rPr>
                      <w:rFonts w:ascii="Times New Roman" w:hAnsi="Times New Roman"/>
                    </w:rPr>
                  </w:pPr>
                  <w:r>
                    <w:rPr>
                      <w:rFonts w:ascii="Times New Roman" w:hAnsi="Times New Roman"/>
                    </w:rPr>
                    <w:t>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24" w:type="dxa"/>
                  <w:tcBorders>
                    <w:top w:val="single" w:color="auto" w:sz="6" w:space="0"/>
                    <w:left w:val="single" w:color="auto" w:sz="12"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hint="eastAsia" w:ascii="Times New Roman" w:hAnsi="Times New Roman"/>
                    </w:rPr>
                    <w:t>鼓风机房</w:t>
                  </w:r>
                </w:p>
              </w:tc>
              <w:tc>
                <w:tcPr>
                  <w:tcW w:w="88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65</w:t>
                  </w:r>
                </w:p>
              </w:tc>
              <w:tc>
                <w:tcPr>
                  <w:tcW w:w="58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200</w:t>
                  </w:r>
                </w:p>
              </w:tc>
              <w:tc>
                <w:tcPr>
                  <w:tcW w:w="89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8</w:t>
                  </w:r>
                </w:p>
              </w:tc>
              <w:tc>
                <w:tcPr>
                  <w:tcW w:w="69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95</w:t>
                  </w:r>
                </w:p>
              </w:tc>
              <w:tc>
                <w:tcPr>
                  <w:tcW w:w="107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14</w:t>
                  </w:r>
                </w:p>
              </w:tc>
              <w:tc>
                <w:tcPr>
                  <w:tcW w:w="800"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90</w:t>
                  </w:r>
                </w:p>
              </w:tc>
              <w:tc>
                <w:tcPr>
                  <w:tcW w:w="1264"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15</w:t>
                  </w:r>
                </w:p>
              </w:tc>
              <w:tc>
                <w:tcPr>
                  <w:tcW w:w="738"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45</w:t>
                  </w:r>
                </w:p>
              </w:tc>
              <w:tc>
                <w:tcPr>
                  <w:tcW w:w="80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320" w:lineRule="exact"/>
                    <w:jc w:val="center"/>
                    <w:rPr>
                      <w:rFonts w:ascii="Times New Roman" w:hAnsi="Times New Roman"/>
                    </w:rPr>
                  </w:pPr>
                  <w:r>
                    <w:rPr>
                      <w:rFonts w:ascii="Times New Roman" w:hAnsi="Times New Roman"/>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624" w:type="dxa"/>
                  <w:tcBorders>
                    <w:top w:val="single" w:color="auto" w:sz="6" w:space="0"/>
                    <w:left w:val="single" w:color="auto" w:sz="12"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hint="eastAsia" w:ascii="Times New Roman" w:hAnsi="Times New Roman"/>
                    </w:rPr>
                    <w:t>除臭系统</w:t>
                  </w:r>
                </w:p>
              </w:tc>
              <w:tc>
                <w:tcPr>
                  <w:tcW w:w="886"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69</w:t>
                  </w:r>
                </w:p>
              </w:tc>
              <w:tc>
                <w:tcPr>
                  <w:tcW w:w="588"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160</w:t>
                  </w:r>
                </w:p>
              </w:tc>
              <w:tc>
                <w:tcPr>
                  <w:tcW w:w="890"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14</w:t>
                  </w:r>
                </w:p>
              </w:tc>
              <w:tc>
                <w:tcPr>
                  <w:tcW w:w="697"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70</w:t>
                  </w:r>
                </w:p>
              </w:tc>
              <w:tc>
                <w:tcPr>
                  <w:tcW w:w="1073"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21</w:t>
                  </w:r>
                </w:p>
              </w:tc>
              <w:tc>
                <w:tcPr>
                  <w:tcW w:w="800"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115</w:t>
                  </w:r>
                </w:p>
              </w:tc>
              <w:tc>
                <w:tcPr>
                  <w:tcW w:w="1264"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17</w:t>
                  </w:r>
                </w:p>
              </w:tc>
              <w:tc>
                <w:tcPr>
                  <w:tcW w:w="738"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320" w:lineRule="exact"/>
                    <w:jc w:val="center"/>
                    <w:rPr>
                      <w:rFonts w:ascii="Times New Roman" w:hAnsi="Times New Roman"/>
                    </w:rPr>
                  </w:pPr>
                  <w:r>
                    <w:rPr>
                      <w:rFonts w:ascii="Times New Roman" w:hAnsi="Times New Roman"/>
                    </w:rPr>
                    <w:t>40</w:t>
                  </w:r>
                </w:p>
              </w:tc>
              <w:tc>
                <w:tcPr>
                  <w:tcW w:w="805" w:type="dxa"/>
                  <w:tcBorders>
                    <w:top w:val="single" w:color="auto" w:sz="6" w:space="0"/>
                    <w:left w:val="single" w:color="auto" w:sz="6" w:space="0"/>
                    <w:bottom w:val="single" w:color="auto" w:sz="12" w:space="0"/>
                    <w:right w:val="single" w:color="auto" w:sz="12" w:space="0"/>
                  </w:tcBorders>
                  <w:shd w:val="clear" w:color="auto" w:fill="FFFFFF"/>
                  <w:vAlign w:val="center"/>
                </w:tcPr>
                <w:p>
                  <w:pPr>
                    <w:spacing w:line="320" w:lineRule="exact"/>
                    <w:jc w:val="center"/>
                    <w:rPr>
                      <w:rFonts w:ascii="Times New Roman" w:hAnsi="Times New Roman"/>
                    </w:rPr>
                  </w:pPr>
                  <w:r>
                    <w:rPr>
                      <w:rFonts w:ascii="Times New Roman" w:hAnsi="Times New Roman"/>
                    </w:rPr>
                    <w:t>26</w:t>
                  </w:r>
                </w:p>
              </w:tc>
            </w:tr>
          </w:tbl>
          <w:p>
            <w:pPr>
              <w:tabs>
                <w:tab w:val="left" w:pos="0"/>
              </w:tabs>
              <w:spacing w:line="240" w:lineRule="atLeast"/>
              <w:rPr>
                <w:rFonts w:ascii="Times New Roman" w:hAnsi="Times New Roman"/>
                <w:b/>
                <w:szCs w:val="21"/>
              </w:rPr>
            </w:pPr>
            <w:r>
              <w:rPr>
                <w:rFonts w:hint="eastAsia" w:ascii="Times New Roman" w:hAnsi="Times New Roman"/>
                <w:b/>
                <w:szCs w:val="21"/>
              </w:rPr>
              <w:t>注：水下安装设备不计入噪声源强统计</w:t>
            </w:r>
          </w:p>
          <w:p>
            <w:pPr>
              <w:tabs>
                <w:tab w:val="left" w:pos="0"/>
              </w:tabs>
              <w:spacing w:before="62" w:beforeLines="20" w:line="500" w:lineRule="exact"/>
              <w:jc w:val="center"/>
              <w:rPr>
                <w:rFonts w:ascii="Times New Roman" w:hAnsi="Times New Roman"/>
                <w:b/>
                <w:sz w:val="24"/>
                <w:szCs w:val="20"/>
              </w:rPr>
            </w:pPr>
            <w:r>
              <w:rPr>
                <w:rFonts w:hint="eastAsia" w:ascii="Times New Roman" w:hAnsi="Times New Roman"/>
                <w:b/>
                <w:sz w:val="24"/>
                <w:szCs w:val="20"/>
              </w:rPr>
              <w:t>表</w:t>
            </w:r>
            <w:r>
              <w:rPr>
                <w:rFonts w:ascii="Times New Roman" w:hAnsi="Times New Roman"/>
                <w:b/>
                <w:sz w:val="24"/>
                <w:szCs w:val="20"/>
              </w:rPr>
              <w:t>6-23</w:t>
            </w:r>
            <w:r>
              <w:rPr>
                <w:rFonts w:hint="eastAsia" w:ascii="Times New Roman" w:hAnsi="Times New Roman"/>
                <w:b/>
                <w:sz w:val="24"/>
                <w:szCs w:val="20"/>
              </w:rPr>
              <w:t>厂界噪声预测结果单位：</w:t>
            </w:r>
            <w:r>
              <w:rPr>
                <w:rFonts w:ascii="Times New Roman" w:hAnsi="Times New Roman"/>
                <w:b/>
                <w:sz w:val="24"/>
                <w:szCs w:val="20"/>
              </w:rPr>
              <w:t>dB(A)</w:t>
            </w:r>
          </w:p>
          <w:tbl>
            <w:tblPr>
              <w:tblStyle w:val="37"/>
              <w:tblW w:w="941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3"/>
              <w:gridCol w:w="1343"/>
              <w:gridCol w:w="1343"/>
              <w:gridCol w:w="1343"/>
              <w:gridCol w:w="1343"/>
              <w:gridCol w:w="1556"/>
              <w:gridCol w:w="11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43" w:type="dxa"/>
                  <w:tcBorders>
                    <w:top w:val="single" w:color="auto" w:sz="12" w:space="0"/>
                    <w:left w:val="single" w:color="auto" w:sz="12"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预测点</w:t>
                  </w:r>
                </w:p>
              </w:tc>
              <w:tc>
                <w:tcPr>
                  <w:tcW w:w="1343" w:type="dxa"/>
                  <w:tcBorders>
                    <w:top w:val="single" w:color="auto" w:sz="12"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时段</w:t>
                  </w:r>
                </w:p>
              </w:tc>
              <w:tc>
                <w:tcPr>
                  <w:tcW w:w="1343" w:type="dxa"/>
                  <w:tcBorders>
                    <w:top w:val="single" w:color="auto" w:sz="12"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背景值</w:t>
                  </w:r>
                </w:p>
              </w:tc>
              <w:tc>
                <w:tcPr>
                  <w:tcW w:w="1343" w:type="dxa"/>
                  <w:tcBorders>
                    <w:top w:val="single" w:color="auto" w:sz="12"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贡献值</w:t>
                  </w:r>
                </w:p>
              </w:tc>
              <w:tc>
                <w:tcPr>
                  <w:tcW w:w="1343" w:type="dxa"/>
                  <w:tcBorders>
                    <w:top w:val="single" w:color="auto" w:sz="12"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预测值</w:t>
                  </w:r>
                </w:p>
              </w:tc>
              <w:tc>
                <w:tcPr>
                  <w:tcW w:w="1556" w:type="dxa"/>
                  <w:tcBorders>
                    <w:top w:val="single" w:color="auto" w:sz="12" w:space="0"/>
                    <w:left w:val="single" w:color="auto" w:sz="6" w:space="0"/>
                    <w:bottom w:val="double" w:color="auto" w:sz="4" w:space="0"/>
                    <w:right w:val="single" w:color="auto" w:sz="6" w:space="0"/>
                  </w:tcBorders>
                  <w:shd w:val="clear" w:color="auto" w:fill="FFFFFF"/>
                  <w:vAlign w:val="center"/>
                </w:tcPr>
                <w:p>
                  <w:pPr>
                    <w:spacing w:line="240" w:lineRule="atLeast"/>
                    <w:jc w:val="center"/>
                    <w:rPr>
                      <w:rFonts w:ascii="Times New Roman" w:hAnsi="Times New Roman"/>
                      <w:b/>
                    </w:rPr>
                  </w:pPr>
                  <w:r>
                    <w:rPr>
                      <w:rFonts w:ascii="Times New Roman" w:hAnsi="Times New Roman"/>
                      <w:b/>
                    </w:rPr>
                    <w:t>GB12348-2008</w:t>
                  </w:r>
                </w:p>
                <w:p>
                  <w:pPr>
                    <w:pStyle w:val="2"/>
                    <w:spacing w:line="240" w:lineRule="atLeast"/>
                    <w:jc w:val="center"/>
                    <w:rPr>
                      <w:b/>
                      <w:bCs/>
                    </w:rPr>
                  </w:pPr>
                  <w:r>
                    <w:rPr>
                      <w:b/>
                      <w:bCs/>
                    </w:rPr>
                    <w:t>2</w:t>
                  </w:r>
                  <w:r>
                    <w:rPr>
                      <w:rFonts w:hint="eastAsia"/>
                      <w:b/>
                      <w:bCs/>
                    </w:rPr>
                    <w:t>类标准</w:t>
                  </w:r>
                </w:p>
              </w:tc>
              <w:tc>
                <w:tcPr>
                  <w:tcW w:w="1145" w:type="dxa"/>
                  <w:tcBorders>
                    <w:top w:val="single" w:color="auto" w:sz="12" w:space="0"/>
                    <w:left w:val="single" w:color="auto" w:sz="6" w:space="0"/>
                    <w:bottom w:val="double" w:color="auto" w:sz="4" w:space="0"/>
                    <w:right w:val="single" w:color="auto" w:sz="12" w:space="0"/>
                  </w:tcBorders>
                  <w:shd w:val="clear" w:color="auto" w:fill="FFFFFF"/>
                  <w:vAlign w:val="center"/>
                </w:tcPr>
                <w:p>
                  <w:pPr>
                    <w:spacing w:line="240" w:lineRule="atLeast"/>
                    <w:jc w:val="center"/>
                    <w:rPr>
                      <w:rFonts w:ascii="Times New Roman" w:hAnsi="Times New Roman"/>
                      <w:b/>
                    </w:rPr>
                  </w:pPr>
                  <w:r>
                    <w:rPr>
                      <w:rFonts w:hint="eastAsia" w:ascii="Times New Roman" w:hAnsi="Times New Roman"/>
                      <w:b/>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43" w:type="dxa"/>
                  <w:vMerge w:val="restart"/>
                  <w:tcBorders>
                    <w:top w:val="double" w:color="auto" w:sz="4" w:space="0"/>
                    <w:left w:val="single" w:color="auto" w:sz="12"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东厂界</w:t>
                  </w:r>
                </w:p>
              </w:tc>
              <w:tc>
                <w:tcPr>
                  <w:tcW w:w="1343"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昼间</w:t>
                  </w:r>
                </w:p>
              </w:tc>
              <w:tc>
                <w:tcPr>
                  <w:tcW w:w="1343"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60</w:t>
                  </w:r>
                </w:p>
              </w:tc>
              <w:tc>
                <w:tcPr>
                  <w:tcW w:w="1343"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27</w:t>
                  </w:r>
                </w:p>
              </w:tc>
              <w:tc>
                <w:tcPr>
                  <w:tcW w:w="1343"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60</w:t>
                  </w:r>
                </w:p>
              </w:tc>
              <w:tc>
                <w:tcPr>
                  <w:tcW w:w="1556" w:type="dxa"/>
                  <w:tcBorders>
                    <w:top w:val="double" w:color="auto" w:sz="4"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60</w:t>
                  </w:r>
                </w:p>
              </w:tc>
              <w:tc>
                <w:tcPr>
                  <w:tcW w:w="1145" w:type="dxa"/>
                  <w:tcBorders>
                    <w:top w:val="double" w:color="auto" w:sz="4" w:space="0"/>
                    <w:left w:val="single" w:color="auto" w:sz="6" w:space="0"/>
                    <w:bottom w:val="single" w:color="auto" w:sz="6" w:space="0"/>
                    <w:right w:val="single" w:color="auto" w:sz="12"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43"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夜间</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49</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27</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49</w:t>
                  </w:r>
                </w:p>
              </w:tc>
              <w:tc>
                <w:tcPr>
                  <w:tcW w:w="155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50</w:t>
                  </w:r>
                </w:p>
              </w:tc>
              <w:tc>
                <w:tcPr>
                  <w:tcW w:w="114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43" w:type="dxa"/>
                  <w:vMerge w:val="restart"/>
                  <w:tcBorders>
                    <w:top w:val="single" w:color="auto" w:sz="6" w:space="0"/>
                    <w:left w:val="single" w:color="auto" w:sz="12"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南厂界</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昼间</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58</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43</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58</w:t>
                  </w:r>
                </w:p>
              </w:tc>
              <w:tc>
                <w:tcPr>
                  <w:tcW w:w="155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60</w:t>
                  </w:r>
                </w:p>
              </w:tc>
              <w:tc>
                <w:tcPr>
                  <w:tcW w:w="114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43"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夜间</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49</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43</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50</w:t>
                  </w:r>
                </w:p>
              </w:tc>
              <w:tc>
                <w:tcPr>
                  <w:tcW w:w="155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50</w:t>
                  </w:r>
                </w:p>
              </w:tc>
              <w:tc>
                <w:tcPr>
                  <w:tcW w:w="114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43" w:type="dxa"/>
                  <w:vMerge w:val="restart"/>
                  <w:tcBorders>
                    <w:top w:val="single" w:color="auto" w:sz="6" w:space="0"/>
                    <w:left w:val="single" w:color="auto" w:sz="12"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西厂界</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昼间</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59</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38</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59</w:t>
                  </w:r>
                </w:p>
              </w:tc>
              <w:tc>
                <w:tcPr>
                  <w:tcW w:w="155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70</w:t>
                  </w:r>
                </w:p>
              </w:tc>
              <w:tc>
                <w:tcPr>
                  <w:tcW w:w="114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43" w:type="dxa"/>
                  <w:vMerge w:val="continue"/>
                  <w:tcBorders>
                    <w:top w:val="single" w:color="auto" w:sz="6" w:space="0"/>
                    <w:left w:val="single" w:color="auto" w:sz="12"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夜间</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49</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38</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49</w:t>
                  </w:r>
                </w:p>
              </w:tc>
              <w:tc>
                <w:tcPr>
                  <w:tcW w:w="155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55</w:t>
                  </w:r>
                </w:p>
              </w:tc>
              <w:tc>
                <w:tcPr>
                  <w:tcW w:w="114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43" w:type="dxa"/>
                  <w:vMerge w:val="restart"/>
                  <w:tcBorders>
                    <w:top w:val="single" w:color="auto" w:sz="6" w:space="0"/>
                    <w:left w:val="single" w:color="auto" w:sz="12"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北厂界</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昼间</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56</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48</w:t>
                  </w:r>
                </w:p>
              </w:tc>
              <w:tc>
                <w:tcPr>
                  <w:tcW w:w="1343"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57</w:t>
                  </w:r>
                </w:p>
              </w:tc>
              <w:tc>
                <w:tcPr>
                  <w:tcW w:w="1556"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60</w:t>
                  </w:r>
                </w:p>
              </w:tc>
              <w:tc>
                <w:tcPr>
                  <w:tcW w:w="1145" w:type="dxa"/>
                  <w:tcBorders>
                    <w:top w:val="single" w:color="auto" w:sz="6" w:space="0"/>
                    <w:left w:val="single" w:color="auto" w:sz="6" w:space="0"/>
                    <w:bottom w:val="single" w:color="auto" w:sz="6" w:space="0"/>
                    <w:right w:val="single" w:color="auto" w:sz="12"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343" w:type="dxa"/>
                  <w:vMerge w:val="continue"/>
                  <w:tcBorders>
                    <w:top w:val="single" w:color="auto" w:sz="6" w:space="0"/>
                    <w:left w:val="single" w:color="auto" w:sz="12" w:space="0"/>
                    <w:bottom w:val="single" w:color="auto" w:sz="12" w:space="0"/>
                    <w:right w:val="single" w:color="auto" w:sz="6" w:space="0"/>
                  </w:tcBorders>
                  <w:shd w:val="clear" w:color="auto" w:fill="FFFFFF"/>
                  <w:vAlign w:val="center"/>
                </w:tcPr>
                <w:p>
                  <w:pPr>
                    <w:spacing w:line="240" w:lineRule="atLeast"/>
                    <w:jc w:val="center"/>
                    <w:rPr>
                      <w:rFonts w:ascii="Times New Roman" w:hAnsi="Times New Roman"/>
                    </w:rPr>
                  </w:pPr>
                </w:p>
              </w:tc>
              <w:tc>
                <w:tcPr>
                  <w:tcW w:w="1343"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240" w:lineRule="atLeast"/>
                    <w:jc w:val="center"/>
                    <w:rPr>
                      <w:rFonts w:ascii="Times New Roman" w:hAnsi="Times New Roman"/>
                    </w:rPr>
                  </w:pPr>
                  <w:r>
                    <w:rPr>
                      <w:rFonts w:hint="eastAsia" w:ascii="Times New Roman" w:hAnsi="Times New Roman"/>
                    </w:rPr>
                    <w:t>夜间</w:t>
                  </w:r>
                </w:p>
              </w:tc>
              <w:tc>
                <w:tcPr>
                  <w:tcW w:w="1343"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49</w:t>
                  </w:r>
                </w:p>
              </w:tc>
              <w:tc>
                <w:tcPr>
                  <w:tcW w:w="1343"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48</w:t>
                  </w:r>
                </w:p>
              </w:tc>
              <w:tc>
                <w:tcPr>
                  <w:tcW w:w="1343"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51</w:t>
                  </w:r>
                </w:p>
              </w:tc>
              <w:tc>
                <w:tcPr>
                  <w:tcW w:w="1556" w:type="dxa"/>
                  <w:tcBorders>
                    <w:top w:val="single" w:color="auto" w:sz="6" w:space="0"/>
                    <w:left w:val="single" w:color="auto" w:sz="6" w:space="0"/>
                    <w:bottom w:val="single" w:color="auto" w:sz="12" w:space="0"/>
                    <w:right w:val="single" w:color="auto" w:sz="6" w:space="0"/>
                  </w:tcBorders>
                  <w:shd w:val="clear" w:color="auto" w:fill="FFFFFF"/>
                  <w:vAlign w:val="center"/>
                </w:tcPr>
                <w:p>
                  <w:pPr>
                    <w:spacing w:line="240" w:lineRule="atLeast"/>
                    <w:jc w:val="center"/>
                    <w:rPr>
                      <w:rFonts w:ascii="Times New Roman" w:hAnsi="Times New Roman"/>
                    </w:rPr>
                  </w:pPr>
                  <w:r>
                    <w:rPr>
                      <w:rFonts w:ascii="Times New Roman" w:hAnsi="Times New Roman"/>
                    </w:rPr>
                    <w:t>50</w:t>
                  </w:r>
                </w:p>
              </w:tc>
              <w:tc>
                <w:tcPr>
                  <w:tcW w:w="1145" w:type="dxa"/>
                  <w:tcBorders>
                    <w:top w:val="single" w:color="auto" w:sz="6" w:space="0"/>
                    <w:left w:val="single" w:color="auto" w:sz="6" w:space="0"/>
                    <w:bottom w:val="single" w:color="auto" w:sz="12" w:space="0"/>
                    <w:right w:val="single" w:color="auto" w:sz="12" w:space="0"/>
                  </w:tcBorders>
                  <w:shd w:val="clear" w:color="auto" w:fill="FFFFFF"/>
                  <w:vAlign w:val="center"/>
                </w:tcPr>
                <w:p>
                  <w:pPr>
                    <w:spacing w:line="240" w:lineRule="atLeast"/>
                    <w:jc w:val="center"/>
                    <w:rPr>
                      <w:rFonts w:ascii="Times New Roman" w:hAnsi="Times New Roman"/>
                      <w:b/>
                      <w:bCs/>
                    </w:rPr>
                  </w:pPr>
                  <w:r>
                    <w:rPr>
                      <w:rFonts w:hint="eastAsia" w:ascii="Times New Roman" w:hAnsi="Times New Roman"/>
                      <w:b/>
                      <w:bCs/>
                    </w:rPr>
                    <w:t>超标</w:t>
                  </w:r>
                </w:p>
              </w:tc>
            </w:tr>
          </w:tbl>
          <w:p>
            <w:pPr>
              <w:pStyle w:val="114"/>
            </w:pPr>
            <w:r>
              <w:rPr>
                <w:rFonts w:hint="eastAsia"/>
              </w:rPr>
              <w:t>由以上预测结果可知，本项目建成后，厂界昼夜噪声贡献值均满足《工业企业厂界环境噪声排放标准》</w:t>
            </w:r>
            <w:r>
              <w:t>(GB12348-2008)</w:t>
            </w:r>
            <w:r>
              <w:rPr>
                <w:rFonts w:hint="eastAsia"/>
              </w:rPr>
              <w:t>中的</w:t>
            </w:r>
            <w:r>
              <w:t>2</w:t>
            </w:r>
            <w:r>
              <w:rPr>
                <w:rFonts w:hint="eastAsia"/>
              </w:rPr>
              <w:t>类标准要求；除北厂界夜间噪声预测值略有超标外，其他预测值均满足《工业企业厂界环境噪声排放标准》</w:t>
            </w:r>
            <w:r>
              <w:t>(GB12348-2008)</w:t>
            </w:r>
            <w:r>
              <w:rPr>
                <w:rFonts w:hint="eastAsia"/>
              </w:rPr>
              <w:t>中的</w:t>
            </w:r>
            <w:r>
              <w:t>2</w:t>
            </w:r>
            <w:r>
              <w:rPr>
                <w:rFonts w:hint="eastAsia"/>
              </w:rPr>
              <w:t>类标准要求。项目厂区北侧为绿化带、树林及潭榄溪，无声环境敏感目标，项目运营期对声环境影响可接受。</w:t>
            </w:r>
          </w:p>
          <w:p>
            <w:pPr>
              <w:autoSpaceDE w:val="0"/>
              <w:autoSpaceDN w:val="0"/>
              <w:adjustRightInd w:val="0"/>
              <w:snapToGrid w:val="0"/>
              <w:spacing w:line="360" w:lineRule="auto"/>
              <w:jc w:val="left"/>
              <w:rPr>
                <w:rFonts w:ascii="Times New Roman" w:hAnsi="Times New Roman"/>
                <w:b/>
                <w:bCs/>
                <w:sz w:val="24"/>
                <w:szCs w:val="24"/>
              </w:rPr>
            </w:pPr>
            <w:r>
              <w:rPr>
                <w:rFonts w:hint="eastAsia" w:ascii="Times New Roman" w:hAnsi="Times New Roman"/>
                <w:b/>
                <w:bCs/>
                <w:sz w:val="24"/>
                <w:szCs w:val="24"/>
              </w:rPr>
              <w:t>五、固体废物环境影响分析</w:t>
            </w:r>
          </w:p>
          <w:p>
            <w:pPr>
              <w:pStyle w:val="114"/>
            </w:pPr>
            <w:r>
              <w:rPr>
                <w:rFonts w:hint="eastAsia"/>
              </w:rPr>
              <w:t>本项目不新增员工，本项目产生的固体废物包括危险废物、一般固体废物。危险废物包括设备检修产生的废机油和废油漆桶，日常水质检测、分析产生的实验室废液；一般固体废物包括格栅栅渣、沉砂池沉砂和污泥脱水间泥饼。</w:t>
            </w:r>
          </w:p>
          <w:p>
            <w:pPr>
              <w:pStyle w:val="114"/>
            </w:pPr>
            <w:r>
              <w:rPr>
                <w:rFonts w:hint="eastAsia"/>
              </w:rPr>
              <w:t>废机油产生量约为</w:t>
            </w:r>
            <w:r>
              <w:t>0.08t/a</w:t>
            </w:r>
            <w:r>
              <w:rPr>
                <w:rFonts w:hint="eastAsia"/>
              </w:rPr>
              <w:t>，废油漆桶产生量约为</w:t>
            </w:r>
            <w:r>
              <w:t>0.02t/a</w:t>
            </w:r>
            <w:r>
              <w:rPr>
                <w:rFonts w:hint="eastAsia"/>
              </w:rPr>
              <w:t>，实验室废液产生量约为</w:t>
            </w:r>
            <w:r>
              <w:t>0.15t/a</w:t>
            </w:r>
            <w:r>
              <w:rPr>
                <w:rFonts w:hint="eastAsia"/>
              </w:rPr>
              <w:t>。均委托海南宝来工贸有限公司进行处理。</w:t>
            </w:r>
          </w:p>
          <w:p>
            <w:pPr>
              <w:pStyle w:val="114"/>
            </w:pPr>
            <w:r>
              <w:rPr>
                <w:rFonts w:hint="eastAsia"/>
              </w:rPr>
              <w:t>格栅栅渣产产生量为</w:t>
            </w:r>
            <w:r>
              <w:t>525.6t/a</w:t>
            </w:r>
            <w:r>
              <w:rPr>
                <w:rFonts w:hint="eastAsia"/>
              </w:rPr>
              <w:t>，沉砂池沉砂产生量为</w:t>
            </w:r>
            <w:r>
              <w:t>246.375t/a</w:t>
            </w:r>
            <w:r>
              <w:rPr>
                <w:rFonts w:hint="eastAsia"/>
              </w:rPr>
              <w:t>，污泥脱水间泥饼产生量</w:t>
            </w:r>
            <w:r>
              <w:t>766.5t/a</w:t>
            </w:r>
            <w:r>
              <w:rPr>
                <w:rFonts w:hint="eastAsia"/>
              </w:rPr>
              <w:t>。污泥中含有较多的有机成分，由于其颗粒较细，遇水流动性强，易流失污染环境。本项目处理的废水为生活废水，故本项目污水处理厂产生的栅渣和污泥不属于危险废物，可交由定安县生活垃圾填埋场进行卫生填埋。本项目产生的污泥和栅渣即时清运，不在场内设置暂存场所。</w:t>
            </w:r>
          </w:p>
          <w:p>
            <w:pPr>
              <w:pStyle w:val="2"/>
              <w:rPr>
                <w:b/>
                <w:bCs/>
                <w:szCs w:val="24"/>
              </w:rPr>
            </w:pPr>
            <w:r>
              <w:rPr>
                <w:rFonts w:hint="eastAsia"/>
                <w:b/>
                <w:bCs/>
                <w:szCs w:val="24"/>
              </w:rPr>
              <w:t>六、土壤环境质量影响分析</w:t>
            </w:r>
          </w:p>
          <w:p>
            <w:pPr>
              <w:pStyle w:val="114"/>
            </w:pPr>
            <w:r>
              <w:t>1</w:t>
            </w:r>
            <w:r>
              <w:rPr>
                <w:rFonts w:hint="eastAsia"/>
              </w:rPr>
              <w:t>、评价工作等级与范围</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按照《环境影响评价技术导则</w:t>
            </w:r>
            <w:r>
              <w:rPr>
                <w:rFonts w:hint="eastAsia" w:ascii="Times New Roman" w:hAnsi="Times New Roman"/>
                <w:sz w:val="24"/>
                <w:szCs w:val="24"/>
              </w:rPr>
              <w:t xml:space="preserve"> </w:t>
            </w:r>
            <w:r>
              <w:rPr>
                <w:rFonts w:ascii="Times New Roman" w:hAnsi="Times New Roman"/>
                <w:sz w:val="24"/>
                <w:szCs w:val="24"/>
              </w:rPr>
              <w:t>土壤环境（试行）》（HJ964-2018）评价工作等级划分原则与方法，本项目为</w:t>
            </w:r>
            <w:r>
              <w:rPr>
                <w:rFonts w:hint="eastAsia" w:ascii="Times New Roman" w:hAnsi="Times New Roman"/>
                <w:sz w:val="24"/>
                <w:szCs w:val="24"/>
              </w:rPr>
              <w:t>污水处理厂改扩建项目，其土壤环境影响类型为“</w:t>
            </w:r>
            <w:r>
              <w:rPr>
                <w:rFonts w:ascii="Times New Roman" w:hAnsi="Times New Roman"/>
                <w:sz w:val="24"/>
                <w:szCs w:val="24"/>
              </w:rPr>
              <w:t>污染影响型</w:t>
            </w:r>
            <w:r>
              <w:rPr>
                <w:rFonts w:hint="eastAsia" w:ascii="Times New Roman" w:hAnsi="Times New Roman"/>
                <w:sz w:val="24"/>
                <w:szCs w:val="24"/>
              </w:rPr>
              <w:t>”。根据土壤环境影响评价</w:t>
            </w:r>
            <w:r>
              <w:rPr>
                <w:rFonts w:ascii="Times New Roman" w:hAnsi="Times New Roman"/>
                <w:sz w:val="24"/>
                <w:szCs w:val="24"/>
              </w:rPr>
              <w:t>项目类别、占地规模、土壤环境敏感程度确定，</w:t>
            </w:r>
            <w:r>
              <w:rPr>
                <w:rFonts w:hint="eastAsia" w:ascii="Times New Roman" w:hAnsi="Times New Roman"/>
                <w:sz w:val="24"/>
                <w:szCs w:val="24"/>
              </w:rPr>
              <w:t>确定土壤环境影响评价工作等级</w:t>
            </w:r>
            <w:r>
              <w:rPr>
                <w:rFonts w:ascii="Times New Roman" w:hAnsi="Times New Roman"/>
                <w:sz w:val="24"/>
                <w:szCs w:val="24"/>
              </w:rPr>
              <w:t>如下：</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 1 \* GB3</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hint="eastAsia" w:ascii="Times New Roman" w:hAnsi="Times New Roman"/>
                <w:sz w:val="24"/>
                <w:szCs w:val="24"/>
              </w:rPr>
              <w:t>①</w:t>
            </w:r>
            <w:r>
              <w:rPr>
                <w:rFonts w:ascii="Times New Roman" w:hAnsi="Times New Roman"/>
                <w:sz w:val="24"/>
                <w:szCs w:val="24"/>
              </w:rPr>
              <w:fldChar w:fldCharType="end"/>
            </w:r>
            <w:r>
              <w:rPr>
                <w:rFonts w:hint="eastAsia" w:ascii="Times New Roman" w:hAnsi="Times New Roman"/>
                <w:sz w:val="24"/>
                <w:szCs w:val="24"/>
              </w:rPr>
              <w:t>建设</w:t>
            </w:r>
            <w:r>
              <w:rPr>
                <w:rFonts w:ascii="Times New Roman" w:hAnsi="Times New Roman"/>
                <w:sz w:val="24"/>
                <w:szCs w:val="24"/>
              </w:rPr>
              <w:t>项目类别</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t>根据《环境影响评价技术导则 土壤环境（试行）》（HJ964-2018）</w:t>
            </w:r>
            <w:r>
              <w:rPr>
                <w:rFonts w:hint="eastAsia" w:ascii="Times New Roman" w:hAnsi="Times New Roman"/>
                <w:sz w:val="24"/>
                <w:szCs w:val="24"/>
              </w:rPr>
              <w:t>附录</w:t>
            </w:r>
            <w:r>
              <w:rPr>
                <w:rFonts w:ascii="Times New Roman" w:hAnsi="Times New Roman"/>
                <w:sz w:val="24"/>
                <w:szCs w:val="24"/>
              </w:rPr>
              <w:t xml:space="preserve">A  </w:t>
            </w:r>
            <w:r>
              <w:rPr>
                <w:rFonts w:hint="eastAsia" w:ascii="Times New Roman" w:hAnsi="Times New Roman"/>
                <w:sz w:val="24"/>
                <w:szCs w:val="24"/>
              </w:rPr>
              <w:t>表A</w:t>
            </w:r>
            <w:r>
              <w:rPr>
                <w:rFonts w:ascii="Times New Roman" w:hAnsi="Times New Roman"/>
                <w:sz w:val="24"/>
                <w:szCs w:val="24"/>
              </w:rPr>
              <w:t xml:space="preserve">.1 </w:t>
            </w:r>
            <w:r>
              <w:rPr>
                <w:rFonts w:hint="eastAsia" w:ascii="Times New Roman" w:hAnsi="Times New Roman"/>
                <w:sz w:val="24"/>
                <w:szCs w:val="24"/>
              </w:rPr>
              <w:t>土壤环境影响评价项目类别</w:t>
            </w:r>
            <w:r>
              <w:rPr>
                <w:rFonts w:ascii="Times New Roman" w:hAnsi="Times New Roman"/>
                <w:sz w:val="24"/>
                <w:szCs w:val="24"/>
              </w:rPr>
              <w:t>，本项目属于 “</w:t>
            </w:r>
            <w:r>
              <w:rPr>
                <w:rFonts w:hint="eastAsia" w:ascii="Times New Roman" w:hAnsi="Times New Roman"/>
                <w:sz w:val="24"/>
                <w:szCs w:val="24"/>
              </w:rPr>
              <w:t>电力热力燃气及水生产和供应业</w:t>
            </w:r>
            <w:r>
              <w:rPr>
                <w:rFonts w:ascii="Times New Roman" w:hAnsi="Times New Roman"/>
                <w:sz w:val="24"/>
                <w:szCs w:val="24"/>
              </w:rPr>
              <w:t>”中的“</w:t>
            </w:r>
            <w:r>
              <w:rPr>
                <w:rFonts w:hint="eastAsia" w:ascii="Times New Roman" w:hAnsi="Times New Roman"/>
                <w:sz w:val="24"/>
                <w:szCs w:val="24"/>
              </w:rPr>
              <w:t>生活污水处理</w:t>
            </w:r>
            <w:r>
              <w:rPr>
                <w:rFonts w:ascii="Times New Roman" w:hAnsi="Times New Roman"/>
                <w:sz w:val="24"/>
                <w:szCs w:val="24"/>
              </w:rPr>
              <w:t>” 项目，属于</w:t>
            </w: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 3 \* ROMAN</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sz w:val="24"/>
                <w:szCs w:val="24"/>
              </w:rPr>
              <w:t>III</w:t>
            </w:r>
            <w:r>
              <w:rPr>
                <w:rFonts w:ascii="Times New Roman" w:hAnsi="Times New Roman"/>
                <w:sz w:val="24"/>
                <w:szCs w:val="24"/>
              </w:rPr>
              <w:fldChar w:fldCharType="end"/>
            </w:r>
            <w:r>
              <w:rPr>
                <w:rFonts w:ascii="Times New Roman" w:hAnsi="Times New Roman"/>
                <w:sz w:val="24"/>
                <w:szCs w:val="24"/>
              </w:rPr>
              <w:t>类</w:t>
            </w:r>
            <w:r>
              <w:rPr>
                <w:rFonts w:hint="eastAsia" w:ascii="Times New Roman" w:hAnsi="Times New Roman"/>
                <w:sz w:val="24"/>
                <w:szCs w:val="24"/>
              </w:rPr>
              <w:t>建设</w:t>
            </w:r>
            <w:r>
              <w:rPr>
                <w:rFonts w:ascii="Times New Roman" w:hAnsi="Times New Roman"/>
                <w:sz w:val="24"/>
                <w:szCs w:val="24"/>
              </w:rPr>
              <w:t>项目。</w:t>
            </w:r>
          </w:p>
          <w:p>
            <w:pPr>
              <w:widowControl/>
              <w:spacing w:line="360" w:lineRule="auto"/>
              <w:ind w:firstLine="480" w:firstLineChars="200"/>
              <w:jc w:val="lef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w:instrText>
            </w:r>
            <w:r>
              <w:rPr>
                <w:rFonts w:hint="eastAsia" w:ascii="Times New Roman" w:hAnsi="Times New Roman"/>
                <w:sz w:val="24"/>
                <w:szCs w:val="24"/>
              </w:rPr>
              <w:instrText xml:space="preserve">= 2 \* GB3</w:instrText>
            </w:r>
            <w:r>
              <w:rPr>
                <w:rFonts w:ascii="Times New Roman" w:hAnsi="Times New Roman"/>
                <w:sz w:val="24"/>
                <w:szCs w:val="24"/>
              </w:rPr>
              <w:instrText xml:space="preserve"> </w:instrText>
            </w:r>
            <w:r>
              <w:rPr>
                <w:rFonts w:ascii="Times New Roman" w:hAnsi="Times New Roman"/>
                <w:sz w:val="24"/>
                <w:szCs w:val="24"/>
              </w:rPr>
              <w:fldChar w:fldCharType="separate"/>
            </w:r>
            <w:r>
              <w:rPr>
                <w:rFonts w:hint="eastAsia" w:ascii="Times New Roman" w:hAnsi="Times New Roman"/>
                <w:sz w:val="24"/>
                <w:szCs w:val="24"/>
              </w:rPr>
              <w:t>②</w:t>
            </w:r>
            <w:r>
              <w:rPr>
                <w:rFonts w:ascii="Times New Roman" w:hAnsi="Times New Roman"/>
                <w:sz w:val="24"/>
                <w:szCs w:val="24"/>
              </w:rPr>
              <w:fldChar w:fldCharType="end"/>
            </w:r>
            <w:r>
              <w:rPr>
                <w:rFonts w:hint="eastAsia" w:ascii="Times New Roman" w:hAnsi="Times New Roman"/>
                <w:sz w:val="24"/>
                <w:szCs w:val="24"/>
              </w:rPr>
              <w:t>评价等级划分</w:t>
            </w:r>
          </w:p>
          <w:p>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本项目占地面积</w:t>
            </w:r>
            <w:r>
              <w:rPr>
                <w:rFonts w:ascii="Times New Roman" w:hAnsi="Times New Roman"/>
                <w:sz w:val="24"/>
                <w:szCs w:val="24"/>
              </w:rPr>
              <w:t>3.9669 hm</w:t>
            </w:r>
            <w:r>
              <w:rPr>
                <w:rFonts w:ascii="Times New Roman" w:hAnsi="Times New Roman"/>
                <w:sz w:val="24"/>
                <w:szCs w:val="24"/>
                <w:vertAlign w:val="superscript"/>
              </w:rPr>
              <w:t>2</w:t>
            </w:r>
            <w:r>
              <w:rPr>
                <w:rFonts w:hint="eastAsia" w:ascii="Times New Roman" w:hAnsi="Times New Roman"/>
                <w:sz w:val="24"/>
                <w:szCs w:val="24"/>
              </w:rPr>
              <w:t>，属于小型项目</w:t>
            </w:r>
            <w:r>
              <w:rPr>
                <w:rFonts w:ascii="Times New Roman" w:hAnsi="Times New Roman"/>
                <w:sz w:val="24"/>
                <w:szCs w:val="24"/>
              </w:rPr>
              <w:t>(≤5hm</w:t>
            </w:r>
            <w:r>
              <w:rPr>
                <w:rFonts w:ascii="Times New Roman" w:hAnsi="Times New Roman"/>
                <w:sz w:val="24"/>
                <w:szCs w:val="24"/>
                <w:vertAlign w:val="superscript"/>
              </w:rPr>
              <w:t>2</w:t>
            </w:r>
            <w:r>
              <w:rPr>
                <w:rFonts w:ascii="Times New Roman" w:hAnsi="Times New Roman"/>
                <w:sz w:val="24"/>
                <w:szCs w:val="24"/>
              </w:rPr>
              <w:t>)</w:t>
            </w:r>
            <w:r>
              <w:rPr>
                <w:rFonts w:hint="eastAsia" w:ascii="Times New Roman" w:hAnsi="Times New Roman"/>
                <w:sz w:val="24"/>
                <w:szCs w:val="24"/>
              </w:rPr>
              <w:t>；</w:t>
            </w:r>
            <w:r>
              <w:rPr>
                <w:rFonts w:ascii="Times New Roman" w:hAnsi="Times New Roman"/>
                <w:sz w:val="24"/>
                <w:szCs w:val="24"/>
              </w:rPr>
              <w:t>项目厂界</w:t>
            </w:r>
            <w:r>
              <w:rPr>
                <w:rFonts w:hint="eastAsia" w:ascii="Times New Roman" w:hAnsi="Times New Roman"/>
                <w:sz w:val="24"/>
                <w:szCs w:val="24"/>
              </w:rPr>
              <w:t>西侧、南侧紧邻农田</w:t>
            </w:r>
            <w:r>
              <w:rPr>
                <w:rFonts w:ascii="Times New Roman" w:hAnsi="Times New Roman"/>
                <w:sz w:val="24"/>
                <w:szCs w:val="24"/>
              </w:rPr>
              <w:t>，</w:t>
            </w:r>
            <w:r>
              <w:rPr>
                <w:rFonts w:hint="eastAsia" w:ascii="Times New Roman" w:hAnsi="Times New Roman"/>
                <w:sz w:val="24"/>
                <w:szCs w:val="24"/>
              </w:rPr>
              <w:t>土壤环境敏感程度为“敏感”。</w:t>
            </w:r>
          </w:p>
          <w:p>
            <w:pPr>
              <w:widowControl/>
              <w:spacing w:line="360" w:lineRule="auto"/>
              <w:ind w:firstLine="480" w:firstLineChars="200"/>
              <w:jc w:val="left"/>
              <w:rPr>
                <w:rFonts w:ascii="Times New Roman" w:hAnsi="Times New Roman"/>
                <w:sz w:val="24"/>
                <w:szCs w:val="24"/>
              </w:rPr>
            </w:pPr>
            <w:r>
              <w:rPr>
                <w:rFonts w:hint="eastAsia" w:ascii="Times New Roman" w:hAnsi="Times New Roman"/>
                <w:sz w:val="24"/>
                <w:szCs w:val="24"/>
              </w:rPr>
              <w:t>本项目土壤环境影响工作等级见表</w:t>
            </w:r>
            <w:r>
              <w:rPr>
                <w:rFonts w:ascii="Times New Roman" w:hAnsi="Times New Roman"/>
                <w:sz w:val="24"/>
                <w:szCs w:val="24"/>
              </w:rPr>
              <w:t>6-24</w:t>
            </w:r>
            <w:r>
              <w:rPr>
                <w:rFonts w:hint="eastAsia" w:ascii="Times New Roman" w:hAnsi="Times New Roman"/>
                <w:sz w:val="24"/>
                <w:szCs w:val="24"/>
              </w:rPr>
              <w:t>。</w:t>
            </w:r>
          </w:p>
          <w:p>
            <w:pPr>
              <w:pStyle w:val="2"/>
            </w:pPr>
          </w:p>
          <w:p>
            <w:pPr>
              <w:pStyle w:val="122"/>
            </w:pPr>
            <w:r>
              <w:rPr>
                <w:rFonts w:hint="eastAsia"/>
              </w:rPr>
              <w:t>表</w:t>
            </w:r>
            <w:r>
              <w:t xml:space="preserve">6-24  </w:t>
            </w:r>
            <w:r>
              <w:rPr>
                <w:rFonts w:hint="eastAsia"/>
              </w:rPr>
              <w:t>污染影响型评价工作等级划分表</w:t>
            </w:r>
          </w:p>
          <w:tbl>
            <w:tblPr>
              <w:tblStyle w:val="37"/>
              <w:tblW w:w="902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2315"/>
              <w:gridCol w:w="1743"/>
              <w:gridCol w:w="1635"/>
              <w:gridCol w:w="16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jc w:val="center"/>
              </w:trPr>
              <w:tc>
                <w:tcPr>
                  <w:tcW w:w="3969" w:type="dxa"/>
                  <w:gridSpan w:val="2"/>
                  <w:tcBorders>
                    <w:top w:val="single" w:color="auto" w:sz="12" w:space="0"/>
                    <w:left w:val="single" w:color="auto" w:sz="12" w:space="0"/>
                    <w:bottom w:val="double" w:color="auto" w:sz="4" w:space="0"/>
                    <w:right w:val="single" w:color="auto" w:sz="4" w:space="0"/>
                  </w:tcBorders>
                  <w:vAlign w:val="center"/>
                </w:tcPr>
                <w:p>
                  <w:pPr>
                    <w:autoSpaceDE w:val="0"/>
                    <w:autoSpaceDN w:val="0"/>
                    <w:spacing w:line="240" w:lineRule="atLeast"/>
                    <w:jc w:val="right"/>
                    <w:rPr>
                      <w:rFonts w:ascii="Times New Roman" w:hAnsi="Times New Roman"/>
                      <w:snapToGrid w:val="0"/>
                      <w:kern w:val="0"/>
                      <w:szCs w:val="21"/>
                    </w:rPr>
                  </w:pPr>
                  <w: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-25400</wp:posOffset>
                            </wp:positionV>
                            <wp:extent cx="1732915" cy="622300"/>
                            <wp:effectExtent l="15240" t="11430" r="13970" b="13970"/>
                            <wp:wrapNone/>
                            <wp:docPr id="29" name="自选图形 3"/>
                            <wp:cNvGraphicFramePr/>
                            <a:graphic xmlns:a="http://schemas.openxmlformats.org/drawingml/2006/main">
                              <a:graphicData uri="http://schemas.microsoft.com/office/word/2010/wordprocessingShape">
                                <wps:wsp>
                                  <wps:cNvCnPr>
                                    <a:cxnSpLocks noChangeShapeType="1"/>
                                  </wps:cNvCnPr>
                                  <wps:spPr bwMode="auto">
                                    <a:xfrm>
                                      <a:off x="0" y="0"/>
                                      <a:ext cx="1732915" cy="622300"/>
                                    </a:xfrm>
                                    <a:prstGeom prst="straightConnector1">
                                      <a:avLst/>
                                    </a:prstGeom>
                                    <a:noFill/>
                                    <a:ln w="12700">
                                      <a:solidFill>
                                        <a:srgbClr val="000000"/>
                                      </a:solidFill>
                                      <a:round/>
                                    </a:ln>
                                  </wps:spPr>
                                  <wps:bodyPr/>
                                </wps:wsp>
                              </a:graphicData>
                            </a:graphic>
                          </wp:anchor>
                        </w:drawing>
                      </mc:Choice>
                      <mc:Fallback>
                        <w:pict>
                          <v:shape id="自选图形 3" o:spid="_x0000_s1026" o:spt="32" type="#_x0000_t32" style="position:absolute;left:0pt;margin-left:-2.25pt;margin-top:-2pt;height:49pt;width:136.45pt;z-index:251659264;mso-width-relative:page;mso-height-relative:page;" filled="f" stroked="t" coordsize="21600,21600" o:gfxdata="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gZQJzUAAAACAEAAA8AAAAAAAAAAQAgAAAA&#10;IgAAAGRycy9kb3ducmV2LnhtbFBLAQIUABQAAAAIAIdO4kCrvU+L1gEAAG4DAAAOAAAAAAAAAAEA&#10;IAAAACMBAABkcnMvZTJvRG9jLnhtbFBLBQYAAAAABgAGAFkBAABrBQAAAAA=&#10;">
                            <v:fill on="f" focussize="0,0"/>
                            <v:stroke weight="1pt" color="#000000" joinstyle="round"/>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-72390</wp:posOffset>
                            </wp:positionH>
                            <wp:positionV relativeFrom="paragraph">
                              <wp:posOffset>-11430</wp:posOffset>
                            </wp:positionV>
                            <wp:extent cx="2524125" cy="285750"/>
                            <wp:effectExtent l="9525" t="6350" r="9525" b="12700"/>
                            <wp:wrapNone/>
                            <wp:docPr id="28" name="AutoShape 715"/>
                            <wp:cNvGraphicFramePr/>
                            <a:graphic xmlns:a="http://schemas.openxmlformats.org/drawingml/2006/main">
                              <a:graphicData uri="http://schemas.microsoft.com/office/word/2010/wordprocessingShape">
                                <wps:wsp>
                                  <wps:cNvCnPr>
                                    <a:cxnSpLocks noChangeShapeType="1"/>
                                  </wps:cNvCnPr>
                                  <wps:spPr bwMode="auto">
                                    <a:xfrm>
                                      <a:off x="0" y="0"/>
                                      <a:ext cx="2524125" cy="285750"/>
                                    </a:xfrm>
                                    <a:prstGeom prst="straightConnector1">
                                      <a:avLst/>
                                    </a:prstGeom>
                                    <a:noFill/>
                                    <a:ln w="9525">
                                      <a:solidFill>
                                        <a:srgbClr val="000000"/>
                                      </a:solidFill>
                                      <a:round/>
                                    </a:ln>
                                  </wps:spPr>
                                  <wps:bodyPr/>
                                </wps:wsp>
                              </a:graphicData>
                            </a:graphic>
                          </wp:anchor>
                        </w:drawing>
                      </mc:Choice>
                      <mc:Fallback>
                        <w:pict>
                          <v:shape id="AutoShape 715" o:spid="_x0000_s1026" o:spt="32" type="#_x0000_t32" style="position:absolute;left:0pt;margin-left:-5.7pt;margin-top:-0.9pt;height:22.5pt;width:198.75pt;z-index:251660288;mso-width-relative:page;mso-height-relative:page;" filled="f" stroked="t" coordsize="21600,21600" o:gfxdata="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pwwPLYAAAACQEAAA8AAAAAAAAAAQAgAAAAIgAAAGRycy9kb3ducmV2Lnht&#10;bFBLAQIUABQAAAAIAIdO4kBG4hbQwAEAAGwDAAAOAAAAAAAAAAEAIAAAACcBAABkcnMvZTJvRG9j&#10;LnhtbFBLBQYAAAAABgAGAFkBAABZBQAAAAA=&#10;">
                            <v:fill on="f" focussize="0,0"/>
                            <v:stroke color="#000000" joinstyle="round"/>
                            <v:imagedata o:title=""/>
                            <o:lock v:ext="edit" aspectratio="f"/>
                          </v:shape>
                        </w:pict>
                      </mc:Fallback>
                    </mc:AlternateContent>
                  </w:r>
                  <w:r>
                    <w:rPr>
                      <w:rFonts w:hint="eastAsia" w:ascii="Times New Roman" w:hAnsi="Times New Roman"/>
                      <w:snapToGrid w:val="0"/>
                      <w:kern w:val="0"/>
                      <w:szCs w:val="21"/>
                    </w:rPr>
                    <w:t>敏感程度</w:t>
                  </w:r>
                </w:p>
                <w:p>
                  <w:pPr>
                    <w:autoSpaceDE w:val="0"/>
                    <w:autoSpaceDN w:val="0"/>
                    <w:spacing w:line="240" w:lineRule="atLeast"/>
                    <w:jc w:val="center"/>
                    <w:rPr>
                      <w:rFonts w:ascii="Times New Roman" w:hAnsi="Times New Roman"/>
                      <w:snapToGrid w:val="0"/>
                      <w:kern w:val="0"/>
                      <w:szCs w:val="21"/>
                    </w:rPr>
                  </w:pPr>
                  <w:r>
                    <w:rPr>
                      <w:rFonts w:ascii="Times New Roman" w:hAnsi="Times New Roman"/>
                      <w:snapToGrid w:val="0"/>
                      <w:kern w:val="0"/>
                      <w:szCs w:val="21"/>
                    </w:rPr>
                    <w:t xml:space="preserve">       </w:t>
                  </w:r>
                  <w:r>
                    <w:rPr>
                      <w:rFonts w:hint="eastAsia" w:ascii="Times New Roman" w:hAnsi="Times New Roman"/>
                      <w:snapToGrid w:val="0"/>
                      <w:kern w:val="0"/>
                      <w:szCs w:val="21"/>
                    </w:rPr>
                    <w:t>项目类别</w:t>
                  </w:r>
                  <w:r>
                    <w:rPr>
                      <w:rFonts w:ascii="Times New Roman" w:hAnsi="Times New Roman"/>
                      <w:snapToGrid w:val="0"/>
                      <w:kern w:val="0"/>
                      <w:szCs w:val="21"/>
                    </w:rPr>
                    <w:t xml:space="preserve">       </w:t>
                  </w:r>
                </w:p>
                <w:p>
                  <w:pPr>
                    <w:autoSpaceDE w:val="0"/>
                    <w:autoSpaceDN w:val="0"/>
                    <w:spacing w:line="240" w:lineRule="atLeast"/>
                    <w:jc w:val="left"/>
                    <w:rPr>
                      <w:rFonts w:ascii="Times New Roman" w:hAnsi="Times New Roman"/>
                      <w:snapToGrid w:val="0"/>
                      <w:kern w:val="0"/>
                      <w:szCs w:val="21"/>
                    </w:rPr>
                  </w:pPr>
                  <w:r>
                    <w:rPr>
                      <w:rFonts w:hint="eastAsia" w:ascii="Times New Roman" w:hAnsi="Times New Roman"/>
                      <w:snapToGrid w:val="0"/>
                      <w:kern w:val="0"/>
                      <w:szCs w:val="21"/>
                    </w:rPr>
                    <w:t>占地规模</w:t>
                  </w:r>
                </w:p>
              </w:tc>
              <w:tc>
                <w:tcPr>
                  <w:tcW w:w="1743" w:type="dxa"/>
                  <w:tcBorders>
                    <w:top w:val="single" w:color="auto" w:sz="12" w:space="0"/>
                    <w:left w:val="single" w:color="auto" w:sz="4" w:space="0"/>
                    <w:bottom w:val="double" w:color="auto" w:sz="4" w:space="0"/>
                    <w:right w:val="single" w:color="auto" w:sz="4" w:space="0"/>
                  </w:tcBorders>
                  <w:vAlign w:val="center"/>
                </w:tcPr>
                <w:p>
                  <w:pPr>
                    <w:autoSpaceDE w:val="0"/>
                    <w:autoSpaceDN w:val="0"/>
                    <w:spacing w:line="240" w:lineRule="atLeast"/>
                    <w:jc w:val="center"/>
                    <w:rPr>
                      <w:rFonts w:ascii="Times New Roman" w:hAnsi="Times New Roman"/>
                      <w:b/>
                      <w:bCs/>
                      <w:snapToGrid w:val="0"/>
                      <w:kern w:val="0"/>
                      <w:szCs w:val="21"/>
                    </w:rPr>
                  </w:pPr>
                  <w:r>
                    <w:rPr>
                      <w:rFonts w:hint="eastAsia" w:ascii="Times New Roman" w:hAnsi="Times New Roman"/>
                      <w:b/>
                      <w:bCs/>
                      <w:snapToGrid w:val="0"/>
                      <w:kern w:val="0"/>
                      <w:szCs w:val="21"/>
                    </w:rPr>
                    <w:t>敏感</w:t>
                  </w:r>
                </w:p>
              </w:tc>
              <w:tc>
                <w:tcPr>
                  <w:tcW w:w="1635" w:type="dxa"/>
                  <w:tcBorders>
                    <w:top w:val="single" w:color="auto" w:sz="12" w:space="0"/>
                    <w:left w:val="single" w:color="auto" w:sz="4" w:space="0"/>
                    <w:bottom w:val="double" w:color="auto" w:sz="4" w:space="0"/>
                    <w:right w:val="single" w:color="auto" w:sz="4" w:space="0"/>
                  </w:tcBorders>
                  <w:vAlign w:val="center"/>
                </w:tcPr>
                <w:p>
                  <w:pPr>
                    <w:autoSpaceDE w:val="0"/>
                    <w:autoSpaceDN w:val="0"/>
                    <w:spacing w:line="240" w:lineRule="atLeast"/>
                    <w:jc w:val="center"/>
                    <w:rPr>
                      <w:rFonts w:ascii="Times New Roman" w:hAnsi="Times New Roman"/>
                      <w:snapToGrid w:val="0"/>
                      <w:kern w:val="0"/>
                      <w:szCs w:val="21"/>
                    </w:rPr>
                  </w:pPr>
                  <w:r>
                    <w:rPr>
                      <w:rFonts w:hint="eastAsia" w:ascii="Times New Roman" w:hAnsi="Times New Roman"/>
                      <w:snapToGrid w:val="0"/>
                      <w:kern w:val="0"/>
                      <w:szCs w:val="21"/>
                    </w:rPr>
                    <w:t>较敏感</w:t>
                  </w:r>
                </w:p>
              </w:tc>
              <w:tc>
                <w:tcPr>
                  <w:tcW w:w="1681" w:type="dxa"/>
                  <w:tcBorders>
                    <w:top w:val="single" w:color="auto" w:sz="12" w:space="0"/>
                    <w:left w:val="single" w:color="auto" w:sz="4" w:space="0"/>
                    <w:bottom w:val="double" w:color="auto" w:sz="4" w:space="0"/>
                    <w:right w:val="single" w:color="auto" w:sz="12" w:space="0"/>
                  </w:tcBorders>
                  <w:vAlign w:val="center"/>
                </w:tcPr>
                <w:p>
                  <w:pPr>
                    <w:autoSpaceDE w:val="0"/>
                    <w:autoSpaceDN w:val="0"/>
                    <w:spacing w:line="240" w:lineRule="atLeast"/>
                    <w:jc w:val="center"/>
                    <w:rPr>
                      <w:rFonts w:ascii="Times New Roman" w:hAnsi="Times New Roman"/>
                      <w:snapToGrid w:val="0"/>
                      <w:kern w:val="0"/>
                      <w:szCs w:val="21"/>
                    </w:rPr>
                  </w:pPr>
                  <w:r>
                    <w:rPr>
                      <w:rFonts w:hint="eastAsia" w:ascii="Times New Roman" w:hAnsi="Times New Roman"/>
                      <w:snapToGrid w:val="0"/>
                      <w:kern w:val="0"/>
                      <w:szCs w:val="21"/>
                    </w:rPr>
                    <w:t>不敏感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4" w:type="dxa"/>
                  <w:vMerge w:val="restart"/>
                  <w:tcBorders>
                    <w:top w:val="double" w:color="auto" w:sz="4" w:space="0"/>
                    <w:left w:val="single" w:color="auto" w:sz="12" w:space="0"/>
                    <w:bottom w:val="single" w:color="auto" w:sz="4" w:space="0"/>
                    <w:right w:val="single" w:color="auto" w:sz="4" w:space="0"/>
                  </w:tcBorders>
                  <w:vAlign w:val="center"/>
                </w:tcPr>
                <w:p>
                  <w:pPr>
                    <w:pStyle w:val="77"/>
                    <w:rPr>
                      <w:snapToGrid w:val="0"/>
                    </w:rPr>
                  </w:pPr>
                  <w:r>
                    <w:t>I</w:t>
                  </w:r>
                  <w:r>
                    <w:rPr>
                      <w:rFonts w:hint="eastAsia"/>
                      <w:snapToGrid w:val="0"/>
                    </w:rPr>
                    <w:t>类</w:t>
                  </w:r>
                </w:p>
              </w:tc>
              <w:tc>
                <w:tcPr>
                  <w:tcW w:w="2315" w:type="dxa"/>
                  <w:tcBorders>
                    <w:top w:val="doub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大</w:t>
                  </w:r>
                </w:p>
              </w:tc>
              <w:tc>
                <w:tcPr>
                  <w:tcW w:w="1743" w:type="dxa"/>
                  <w:tcBorders>
                    <w:top w:val="doub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一级</w:t>
                  </w:r>
                </w:p>
              </w:tc>
              <w:tc>
                <w:tcPr>
                  <w:tcW w:w="1635" w:type="dxa"/>
                  <w:tcBorders>
                    <w:top w:val="doub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一级</w:t>
                  </w:r>
                </w:p>
              </w:tc>
              <w:tc>
                <w:tcPr>
                  <w:tcW w:w="1681" w:type="dxa"/>
                  <w:tcBorders>
                    <w:top w:val="double" w:color="auto" w:sz="4" w:space="0"/>
                    <w:left w:val="single" w:color="auto" w:sz="4" w:space="0"/>
                    <w:bottom w:val="single" w:color="auto" w:sz="4" w:space="0"/>
                    <w:right w:val="single" w:color="auto" w:sz="12" w:space="0"/>
                  </w:tcBorders>
                  <w:vAlign w:val="center"/>
                </w:tcPr>
                <w:p>
                  <w:pPr>
                    <w:pStyle w:val="77"/>
                    <w:rPr>
                      <w:snapToGrid w:val="0"/>
                    </w:rPr>
                  </w:pPr>
                  <w:r>
                    <w:rPr>
                      <w:rFonts w:hint="eastAsia"/>
                      <w:snapToGrid w:val="0"/>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4" w:type="dxa"/>
                  <w:vMerge w:val="continue"/>
                  <w:tcBorders>
                    <w:top w:val="single" w:color="auto" w:sz="4" w:space="0"/>
                    <w:left w:val="single" w:color="auto" w:sz="12" w:space="0"/>
                    <w:bottom w:val="single" w:color="auto" w:sz="4" w:space="0"/>
                    <w:right w:val="single" w:color="auto" w:sz="4" w:space="0"/>
                  </w:tcBorders>
                  <w:vAlign w:val="center"/>
                </w:tcPr>
                <w:p>
                  <w:pPr>
                    <w:pStyle w:val="77"/>
                    <w:rPr>
                      <w:snapToGrid w:val="0"/>
                    </w:rPr>
                  </w:pPr>
                </w:p>
              </w:tc>
              <w:tc>
                <w:tcPr>
                  <w:tcW w:w="231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中</w:t>
                  </w:r>
                </w:p>
              </w:tc>
              <w:tc>
                <w:tcPr>
                  <w:tcW w:w="1743"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一级</w:t>
                  </w:r>
                </w:p>
              </w:tc>
              <w:tc>
                <w:tcPr>
                  <w:tcW w:w="163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一级</w:t>
                  </w:r>
                </w:p>
              </w:tc>
              <w:tc>
                <w:tcPr>
                  <w:tcW w:w="1681" w:type="dxa"/>
                  <w:tcBorders>
                    <w:top w:val="single" w:color="auto" w:sz="4" w:space="0"/>
                    <w:left w:val="single" w:color="auto" w:sz="4" w:space="0"/>
                    <w:bottom w:val="single" w:color="auto" w:sz="4" w:space="0"/>
                    <w:right w:val="single" w:color="auto" w:sz="12" w:space="0"/>
                  </w:tcBorders>
                  <w:vAlign w:val="center"/>
                </w:tcPr>
                <w:p>
                  <w:pPr>
                    <w:pStyle w:val="77"/>
                    <w:rPr>
                      <w:snapToGrid w:val="0"/>
                    </w:rPr>
                  </w:pPr>
                  <w:r>
                    <w:rPr>
                      <w:rFonts w:hint="eastAsia"/>
                      <w:snapToGrid w:val="0"/>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4" w:type="dxa"/>
                  <w:vMerge w:val="continue"/>
                  <w:tcBorders>
                    <w:top w:val="single" w:color="auto" w:sz="4" w:space="0"/>
                    <w:left w:val="single" w:color="auto" w:sz="12" w:space="0"/>
                    <w:bottom w:val="single" w:color="auto" w:sz="4" w:space="0"/>
                    <w:right w:val="single" w:color="auto" w:sz="4" w:space="0"/>
                  </w:tcBorders>
                  <w:vAlign w:val="center"/>
                </w:tcPr>
                <w:p>
                  <w:pPr>
                    <w:pStyle w:val="77"/>
                    <w:rPr>
                      <w:snapToGrid w:val="0"/>
                    </w:rPr>
                  </w:pPr>
                </w:p>
              </w:tc>
              <w:tc>
                <w:tcPr>
                  <w:tcW w:w="231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小</w:t>
                  </w:r>
                </w:p>
              </w:tc>
              <w:tc>
                <w:tcPr>
                  <w:tcW w:w="1743"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一级</w:t>
                  </w:r>
                </w:p>
              </w:tc>
              <w:tc>
                <w:tcPr>
                  <w:tcW w:w="163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二级</w:t>
                  </w:r>
                </w:p>
              </w:tc>
              <w:tc>
                <w:tcPr>
                  <w:tcW w:w="1681" w:type="dxa"/>
                  <w:tcBorders>
                    <w:top w:val="single" w:color="auto" w:sz="4" w:space="0"/>
                    <w:left w:val="single" w:color="auto" w:sz="4" w:space="0"/>
                    <w:bottom w:val="single" w:color="auto" w:sz="4" w:space="0"/>
                    <w:right w:val="single" w:color="auto" w:sz="12" w:space="0"/>
                  </w:tcBorders>
                  <w:vAlign w:val="center"/>
                </w:tcPr>
                <w:p>
                  <w:pPr>
                    <w:pStyle w:val="77"/>
                    <w:rPr>
                      <w:snapToGrid w:val="0"/>
                    </w:rPr>
                  </w:pPr>
                  <w:r>
                    <w:rPr>
                      <w:rFonts w:hint="eastAsia"/>
                      <w:snapToGrid w:val="0"/>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4" w:type="dxa"/>
                  <w:vMerge w:val="restart"/>
                  <w:tcBorders>
                    <w:top w:val="single" w:color="auto" w:sz="4" w:space="0"/>
                    <w:left w:val="single" w:color="auto" w:sz="12" w:space="0"/>
                    <w:bottom w:val="single" w:color="auto" w:sz="4" w:space="0"/>
                    <w:right w:val="single" w:color="auto" w:sz="4" w:space="0"/>
                  </w:tcBorders>
                  <w:vAlign w:val="center"/>
                </w:tcPr>
                <w:p>
                  <w:pPr>
                    <w:pStyle w:val="77"/>
                    <w:rPr>
                      <w:snapToGrid w:val="0"/>
                    </w:rPr>
                  </w:pPr>
                  <w:r>
                    <w:t>II</w:t>
                  </w:r>
                  <w:r>
                    <w:rPr>
                      <w:rFonts w:hint="eastAsia"/>
                      <w:snapToGrid w:val="0"/>
                    </w:rPr>
                    <w:t>类</w:t>
                  </w:r>
                </w:p>
              </w:tc>
              <w:tc>
                <w:tcPr>
                  <w:tcW w:w="231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大</w:t>
                  </w:r>
                </w:p>
              </w:tc>
              <w:tc>
                <w:tcPr>
                  <w:tcW w:w="1743"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二级</w:t>
                  </w:r>
                </w:p>
              </w:tc>
              <w:tc>
                <w:tcPr>
                  <w:tcW w:w="163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二级</w:t>
                  </w:r>
                </w:p>
              </w:tc>
              <w:tc>
                <w:tcPr>
                  <w:tcW w:w="1681" w:type="dxa"/>
                  <w:tcBorders>
                    <w:top w:val="single" w:color="auto" w:sz="4" w:space="0"/>
                    <w:left w:val="single" w:color="auto" w:sz="4" w:space="0"/>
                    <w:bottom w:val="single" w:color="auto" w:sz="4" w:space="0"/>
                    <w:right w:val="single" w:color="auto" w:sz="12" w:space="0"/>
                  </w:tcBorders>
                  <w:vAlign w:val="center"/>
                </w:tcPr>
                <w:p>
                  <w:pPr>
                    <w:pStyle w:val="77"/>
                    <w:rPr>
                      <w:snapToGrid w:val="0"/>
                    </w:rPr>
                  </w:pPr>
                  <w:r>
                    <w:rPr>
                      <w:rFonts w:hint="eastAsia"/>
                      <w:snapToGrid w:val="0"/>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4" w:type="dxa"/>
                  <w:vMerge w:val="continue"/>
                  <w:tcBorders>
                    <w:top w:val="single" w:color="auto" w:sz="4" w:space="0"/>
                    <w:left w:val="single" w:color="auto" w:sz="12" w:space="0"/>
                    <w:bottom w:val="single" w:color="auto" w:sz="4" w:space="0"/>
                    <w:right w:val="single" w:color="auto" w:sz="4" w:space="0"/>
                  </w:tcBorders>
                  <w:vAlign w:val="center"/>
                </w:tcPr>
                <w:p>
                  <w:pPr>
                    <w:pStyle w:val="77"/>
                    <w:rPr>
                      <w:snapToGrid w:val="0"/>
                    </w:rPr>
                  </w:pPr>
                </w:p>
              </w:tc>
              <w:tc>
                <w:tcPr>
                  <w:tcW w:w="231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中</w:t>
                  </w:r>
                </w:p>
              </w:tc>
              <w:tc>
                <w:tcPr>
                  <w:tcW w:w="1743"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二级</w:t>
                  </w:r>
                </w:p>
              </w:tc>
              <w:tc>
                <w:tcPr>
                  <w:tcW w:w="163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二级</w:t>
                  </w:r>
                </w:p>
              </w:tc>
              <w:tc>
                <w:tcPr>
                  <w:tcW w:w="1681" w:type="dxa"/>
                  <w:tcBorders>
                    <w:top w:val="single" w:color="auto" w:sz="4" w:space="0"/>
                    <w:left w:val="single" w:color="auto" w:sz="4" w:space="0"/>
                    <w:bottom w:val="single" w:color="auto" w:sz="4" w:space="0"/>
                    <w:right w:val="single" w:color="auto" w:sz="12" w:space="0"/>
                  </w:tcBorders>
                  <w:vAlign w:val="center"/>
                </w:tcPr>
                <w:p>
                  <w:pPr>
                    <w:pStyle w:val="77"/>
                    <w:rPr>
                      <w:snapToGrid w:val="0"/>
                    </w:rPr>
                  </w:pPr>
                  <w:r>
                    <w:rPr>
                      <w:rFonts w:hint="eastAsia"/>
                      <w:snapToGrid w:val="0"/>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4" w:type="dxa"/>
                  <w:vMerge w:val="continue"/>
                  <w:tcBorders>
                    <w:top w:val="single" w:color="auto" w:sz="4" w:space="0"/>
                    <w:left w:val="single" w:color="auto" w:sz="12" w:space="0"/>
                    <w:bottom w:val="single" w:color="auto" w:sz="4" w:space="0"/>
                    <w:right w:val="single" w:color="auto" w:sz="4" w:space="0"/>
                  </w:tcBorders>
                  <w:vAlign w:val="center"/>
                </w:tcPr>
                <w:p>
                  <w:pPr>
                    <w:pStyle w:val="77"/>
                    <w:rPr>
                      <w:snapToGrid w:val="0"/>
                    </w:rPr>
                  </w:pPr>
                </w:p>
              </w:tc>
              <w:tc>
                <w:tcPr>
                  <w:tcW w:w="231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小</w:t>
                  </w:r>
                </w:p>
              </w:tc>
              <w:tc>
                <w:tcPr>
                  <w:tcW w:w="1743"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二级</w:t>
                  </w:r>
                </w:p>
              </w:tc>
              <w:tc>
                <w:tcPr>
                  <w:tcW w:w="163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三级</w:t>
                  </w:r>
                </w:p>
              </w:tc>
              <w:tc>
                <w:tcPr>
                  <w:tcW w:w="1681" w:type="dxa"/>
                  <w:tcBorders>
                    <w:top w:val="single" w:color="auto" w:sz="4" w:space="0"/>
                    <w:left w:val="single" w:color="auto" w:sz="4" w:space="0"/>
                    <w:bottom w:val="single" w:color="auto" w:sz="4" w:space="0"/>
                    <w:right w:val="single" w:color="auto" w:sz="12" w:space="0"/>
                  </w:tcBorders>
                  <w:vAlign w:val="center"/>
                </w:tcPr>
                <w:p>
                  <w:pPr>
                    <w:pStyle w:val="77"/>
                    <w:rPr>
                      <w:snapToGrid w:val="0"/>
                    </w:rPr>
                  </w:pPr>
                  <w:r>
                    <w:rPr>
                      <w:rFonts w:hint="eastAsia"/>
                      <w:snapToGrid w:val="0"/>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4" w:type="dxa"/>
                  <w:vMerge w:val="restart"/>
                  <w:tcBorders>
                    <w:top w:val="single" w:color="auto" w:sz="4" w:space="0"/>
                    <w:left w:val="single" w:color="auto" w:sz="12" w:space="0"/>
                    <w:bottom w:val="single" w:color="auto" w:sz="4" w:space="0"/>
                    <w:right w:val="single" w:color="auto" w:sz="4" w:space="0"/>
                  </w:tcBorders>
                  <w:vAlign w:val="center"/>
                </w:tcPr>
                <w:p>
                  <w:pPr>
                    <w:pStyle w:val="77"/>
                    <w:rPr>
                      <w:b/>
                      <w:bCs/>
                      <w:snapToGrid w:val="0"/>
                    </w:rPr>
                  </w:pPr>
                  <w:r>
                    <w:rPr>
                      <w:b/>
                      <w:bCs/>
                    </w:rPr>
                    <w:t>III</w:t>
                  </w:r>
                  <w:r>
                    <w:rPr>
                      <w:rFonts w:hint="eastAsia"/>
                      <w:b/>
                      <w:bCs/>
                      <w:snapToGrid w:val="0"/>
                    </w:rPr>
                    <w:t>类</w:t>
                  </w:r>
                </w:p>
              </w:tc>
              <w:tc>
                <w:tcPr>
                  <w:tcW w:w="231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大</w:t>
                  </w:r>
                </w:p>
              </w:tc>
              <w:tc>
                <w:tcPr>
                  <w:tcW w:w="1743"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三级</w:t>
                  </w:r>
                </w:p>
              </w:tc>
              <w:tc>
                <w:tcPr>
                  <w:tcW w:w="163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三级</w:t>
                  </w:r>
                </w:p>
              </w:tc>
              <w:tc>
                <w:tcPr>
                  <w:tcW w:w="1681" w:type="dxa"/>
                  <w:tcBorders>
                    <w:top w:val="single" w:color="auto" w:sz="4" w:space="0"/>
                    <w:left w:val="single" w:color="auto" w:sz="4" w:space="0"/>
                    <w:bottom w:val="single" w:color="auto" w:sz="4" w:space="0"/>
                    <w:right w:val="single" w:color="auto" w:sz="12" w:space="0"/>
                  </w:tcBorders>
                  <w:vAlign w:val="center"/>
                </w:tcPr>
                <w:p>
                  <w:pPr>
                    <w:pStyle w:val="77"/>
                    <w:rPr>
                      <w:snapToGrid w:val="0"/>
                    </w:rPr>
                  </w:pPr>
                  <w:r>
                    <w:rPr>
                      <w:rFonts w:hint="eastAsia"/>
                      <w:snapToGrid w:val="0"/>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4" w:type="dxa"/>
                  <w:vMerge w:val="continue"/>
                  <w:tcBorders>
                    <w:top w:val="single" w:color="auto" w:sz="4" w:space="0"/>
                    <w:left w:val="single" w:color="auto" w:sz="12" w:space="0"/>
                    <w:bottom w:val="single" w:color="auto" w:sz="4" w:space="0"/>
                    <w:right w:val="single" w:color="auto" w:sz="4" w:space="0"/>
                  </w:tcBorders>
                  <w:vAlign w:val="center"/>
                </w:tcPr>
                <w:p>
                  <w:pPr>
                    <w:pStyle w:val="77"/>
                    <w:rPr>
                      <w:snapToGrid w:val="0"/>
                    </w:rPr>
                  </w:pPr>
                </w:p>
              </w:tc>
              <w:tc>
                <w:tcPr>
                  <w:tcW w:w="231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中</w:t>
                  </w:r>
                </w:p>
              </w:tc>
              <w:tc>
                <w:tcPr>
                  <w:tcW w:w="1743"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三级</w:t>
                  </w:r>
                </w:p>
              </w:tc>
              <w:tc>
                <w:tcPr>
                  <w:tcW w:w="1635" w:type="dxa"/>
                  <w:tcBorders>
                    <w:top w:val="single" w:color="auto" w:sz="4" w:space="0"/>
                    <w:left w:val="single" w:color="auto" w:sz="4" w:space="0"/>
                    <w:bottom w:val="single" w:color="auto" w:sz="4" w:space="0"/>
                    <w:right w:val="single" w:color="auto" w:sz="4" w:space="0"/>
                  </w:tcBorders>
                  <w:vAlign w:val="center"/>
                </w:tcPr>
                <w:p>
                  <w:pPr>
                    <w:pStyle w:val="77"/>
                    <w:rPr>
                      <w:snapToGrid w:val="0"/>
                    </w:rPr>
                  </w:pPr>
                  <w:r>
                    <w:rPr>
                      <w:rFonts w:hint="eastAsia"/>
                      <w:snapToGrid w:val="0"/>
                    </w:rPr>
                    <w:t>三级</w:t>
                  </w:r>
                </w:p>
              </w:tc>
              <w:tc>
                <w:tcPr>
                  <w:tcW w:w="1681" w:type="dxa"/>
                  <w:tcBorders>
                    <w:top w:val="single" w:color="auto" w:sz="4" w:space="0"/>
                    <w:left w:val="single" w:color="auto" w:sz="4" w:space="0"/>
                    <w:bottom w:val="single" w:color="auto" w:sz="4" w:space="0"/>
                    <w:right w:val="single" w:color="auto" w:sz="12" w:space="0"/>
                  </w:tcBorders>
                  <w:vAlign w:val="center"/>
                </w:tcPr>
                <w:p>
                  <w:pPr>
                    <w:pStyle w:val="77"/>
                    <w:rPr>
                      <w:snapToGrid w:val="0"/>
                    </w:rPr>
                  </w:pPr>
                  <w:r>
                    <w:rPr>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54" w:type="dxa"/>
                  <w:vMerge w:val="continue"/>
                  <w:tcBorders>
                    <w:top w:val="single" w:color="auto" w:sz="4" w:space="0"/>
                    <w:left w:val="single" w:color="auto" w:sz="12" w:space="0"/>
                    <w:bottom w:val="single" w:color="auto" w:sz="12" w:space="0"/>
                    <w:right w:val="single" w:color="auto" w:sz="4" w:space="0"/>
                  </w:tcBorders>
                  <w:vAlign w:val="center"/>
                </w:tcPr>
                <w:p>
                  <w:pPr>
                    <w:pStyle w:val="77"/>
                    <w:rPr>
                      <w:snapToGrid w:val="0"/>
                    </w:rPr>
                  </w:pPr>
                </w:p>
              </w:tc>
              <w:tc>
                <w:tcPr>
                  <w:tcW w:w="2315" w:type="dxa"/>
                  <w:tcBorders>
                    <w:top w:val="single" w:color="auto" w:sz="4" w:space="0"/>
                    <w:left w:val="single" w:color="auto" w:sz="4" w:space="0"/>
                    <w:bottom w:val="single" w:color="auto" w:sz="12" w:space="0"/>
                    <w:right w:val="single" w:color="auto" w:sz="4" w:space="0"/>
                  </w:tcBorders>
                  <w:vAlign w:val="center"/>
                </w:tcPr>
                <w:p>
                  <w:pPr>
                    <w:pStyle w:val="77"/>
                    <w:rPr>
                      <w:b/>
                      <w:bCs/>
                      <w:snapToGrid w:val="0"/>
                    </w:rPr>
                  </w:pPr>
                  <w:r>
                    <w:rPr>
                      <w:rFonts w:hint="eastAsia"/>
                      <w:b/>
                      <w:bCs/>
                      <w:snapToGrid w:val="0"/>
                    </w:rPr>
                    <w:t>小</w:t>
                  </w:r>
                </w:p>
              </w:tc>
              <w:tc>
                <w:tcPr>
                  <w:tcW w:w="1743" w:type="dxa"/>
                  <w:tcBorders>
                    <w:top w:val="single" w:color="auto" w:sz="4" w:space="0"/>
                    <w:left w:val="single" w:color="auto" w:sz="4" w:space="0"/>
                    <w:bottom w:val="single" w:color="auto" w:sz="12" w:space="0"/>
                    <w:right w:val="single" w:color="auto" w:sz="4" w:space="0"/>
                  </w:tcBorders>
                  <w:vAlign w:val="center"/>
                </w:tcPr>
                <w:p>
                  <w:pPr>
                    <w:pStyle w:val="77"/>
                    <w:rPr>
                      <w:b/>
                      <w:bCs/>
                      <w:snapToGrid w:val="0"/>
                    </w:rPr>
                  </w:pPr>
                  <w:r>
                    <w:rPr>
                      <w:rFonts w:hint="eastAsia"/>
                      <w:b/>
                      <w:bCs/>
                      <w:snapToGrid w:val="0"/>
                    </w:rPr>
                    <w:t>三级</w:t>
                  </w:r>
                </w:p>
              </w:tc>
              <w:tc>
                <w:tcPr>
                  <w:tcW w:w="1635" w:type="dxa"/>
                  <w:tcBorders>
                    <w:top w:val="single" w:color="auto" w:sz="4" w:space="0"/>
                    <w:left w:val="single" w:color="auto" w:sz="4" w:space="0"/>
                    <w:bottom w:val="single" w:color="auto" w:sz="12" w:space="0"/>
                    <w:right w:val="single" w:color="auto" w:sz="4" w:space="0"/>
                  </w:tcBorders>
                  <w:vAlign w:val="center"/>
                </w:tcPr>
                <w:p>
                  <w:pPr>
                    <w:pStyle w:val="77"/>
                    <w:rPr>
                      <w:snapToGrid w:val="0"/>
                    </w:rPr>
                  </w:pPr>
                  <w:r>
                    <w:rPr>
                      <w:snapToGrid w:val="0"/>
                    </w:rPr>
                    <w:t>-</w:t>
                  </w:r>
                </w:p>
              </w:tc>
              <w:tc>
                <w:tcPr>
                  <w:tcW w:w="1681" w:type="dxa"/>
                  <w:tcBorders>
                    <w:top w:val="single" w:color="auto" w:sz="4" w:space="0"/>
                    <w:left w:val="single" w:color="auto" w:sz="4" w:space="0"/>
                    <w:bottom w:val="single" w:color="auto" w:sz="12" w:space="0"/>
                    <w:right w:val="single" w:color="auto" w:sz="12" w:space="0"/>
                  </w:tcBorders>
                  <w:vAlign w:val="center"/>
                </w:tcPr>
                <w:p>
                  <w:pPr>
                    <w:pStyle w:val="77"/>
                    <w:rPr>
                      <w:snapToGrid w:val="0"/>
                    </w:rPr>
                  </w:pPr>
                  <w:r>
                    <w:rPr>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28" w:type="dxa"/>
                  <w:gridSpan w:val="5"/>
                  <w:tcBorders>
                    <w:top w:val="single" w:color="auto" w:sz="12" w:space="0"/>
                    <w:left w:val="single" w:color="auto" w:sz="12" w:space="0"/>
                    <w:bottom w:val="single" w:color="auto" w:sz="12" w:space="0"/>
                    <w:right w:val="single" w:color="auto" w:sz="12" w:space="0"/>
                  </w:tcBorders>
                  <w:vAlign w:val="center"/>
                </w:tcPr>
                <w:p>
                  <w:pPr>
                    <w:pStyle w:val="77"/>
                    <w:rPr>
                      <w:snapToGrid w:val="0"/>
                    </w:rPr>
                  </w:pPr>
                  <w:r>
                    <w:rPr>
                      <w:rFonts w:hint="eastAsia"/>
                      <w:snapToGrid w:val="0"/>
                    </w:rPr>
                    <w:t>注：</w:t>
                  </w:r>
                  <w:r>
                    <w:rPr>
                      <w:snapToGrid w:val="0"/>
                    </w:rPr>
                    <w:t>“-”</w:t>
                  </w:r>
                  <w:r>
                    <w:rPr>
                      <w:rFonts w:hint="eastAsia"/>
                      <w:snapToGrid w:val="0"/>
                    </w:rPr>
                    <w:t>表示可不开展土壤环境影响评价工作</w:t>
                  </w:r>
                </w:p>
              </w:tc>
            </w:tr>
          </w:tbl>
          <w:p>
            <w:pPr>
              <w:pStyle w:val="21"/>
              <w:ind w:firstLine="480" w:firstLineChars="200"/>
              <w:rPr>
                <w:rFonts w:ascii="Times New Roman" w:hAnsi="Times New Roman"/>
                <w:sz w:val="24"/>
                <w:szCs w:val="24"/>
              </w:rPr>
            </w:pPr>
            <w:r>
              <w:rPr>
                <w:rFonts w:ascii="Times New Roman" w:hAnsi="Times New Roman"/>
                <w:sz w:val="24"/>
                <w:szCs w:val="24"/>
              </w:rPr>
              <w:t>根据表6-24可知，二期工程土壤环境影响评价工作等级为三级。</w:t>
            </w:r>
          </w:p>
          <w:p>
            <w:pPr>
              <w:pStyle w:val="21"/>
              <w:ind w:firstLine="480" w:firstLineChars="200"/>
              <w:rPr>
                <w:rFonts w:ascii="Times New Roman" w:hAnsi="Times New Roman"/>
                <w:sz w:val="24"/>
                <w:szCs w:val="24"/>
              </w:rPr>
            </w:pPr>
            <w:r>
              <w:rPr>
                <w:rFonts w:hint="eastAsia" w:ascii="Times New Roman" w:hAnsi="Times New Roman"/>
                <w:sz w:val="24"/>
                <w:szCs w:val="24"/>
              </w:rPr>
              <w:t>依据《环境影响评价技术导则 土壤环境（试行）》（HJ 964-2018）要求，评价工作等级为三级的污染影响型项目，评价范围为占地范围及占地范围外0</w:t>
            </w:r>
            <w:r>
              <w:rPr>
                <w:rFonts w:ascii="Times New Roman" w:hAnsi="Times New Roman"/>
                <w:sz w:val="24"/>
                <w:szCs w:val="24"/>
              </w:rPr>
              <w:t>.05km</w:t>
            </w:r>
            <w:r>
              <w:rPr>
                <w:rFonts w:hint="eastAsia" w:ascii="Times New Roman" w:hAnsi="Times New Roman"/>
                <w:sz w:val="24"/>
                <w:szCs w:val="24"/>
              </w:rPr>
              <w:t>范围内的区域。因此，本项目土壤环境影响评价范围为：以本项目占地范围为边界向外拓展0</w:t>
            </w:r>
            <w:r>
              <w:rPr>
                <w:rFonts w:ascii="Times New Roman" w:hAnsi="Times New Roman"/>
                <w:sz w:val="24"/>
                <w:szCs w:val="24"/>
              </w:rPr>
              <w:t>.05km</w:t>
            </w:r>
            <w:r>
              <w:rPr>
                <w:rFonts w:hint="eastAsia" w:ascii="Times New Roman" w:hAnsi="Times New Roman"/>
                <w:sz w:val="24"/>
                <w:szCs w:val="24"/>
              </w:rPr>
              <w:t>，但本项目下游紧邻潭榄溪，故下游边界仅外扩至地表水体。评价范围见图</w:t>
            </w:r>
            <w:r>
              <w:rPr>
                <w:rFonts w:ascii="Times New Roman" w:hAnsi="Times New Roman"/>
                <w:sz w:val="24"/>
                <w:szCs w:val="24"/>
              </w:rPr>
              <w:t>6-11</w:t>
            </w:r>
            <w:r>
              <w:rPr>
                <w:rFonts w:hint="eastAsia" w:ascii="Times New Roman" w:hAnsi="Times New Roman"/>
                <w:sz w:val="24"/>
                <w:szCs w:val="24"/>
              </w:rPr>
              <w:t>。</w:t>
            </w:r>
          </w:p>
          <w:p>
            <w:pPr>
              <w:pStyle w:val="111"/>
            </w:pPr>
            <w:r>
              <w:drawing>
                <wp:inline distT="0" distB="0" distL="0" distR="0">
                  <wp:extent cx="5922645" cy="3594100"/>
                  <wp:effectExtent l="19050" t="19050" r="1905" b="6350"/>
                  <wp:docPr id="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pic:cNvPicPr>
                            <a:picLocks noChangeAspect="1" noChangeArrowheads="1"/>
                          </pic:cNvPicPr>
                        </pic:nvPicPr>
                        <pic:blipFill>
                          <a:blip r:embed="rId66"/>
                          <a:srcRect/>
                          <a:stretch>
                            <a:fillRect/>
                          </a:stretch>
                        </pic:blipFill>
                        <pic:spPr>
                          <a:xfrm>
                            <a:off x="0" y="0"/>
                            <a:ext cx="5922645" cy="3594100"/>
                          </a:xfrm>
                          <a:prstGeom prst="rect">
                            <a:avLst/>
                          </a:prstGeom>
                          <a:noFill/>
                          <a:ln w="19050" cmpd="sng">
                            <a:solidFill>
                              <a:srgbClr val="000000"/>
                            </a:solidFill>
                            <a:miter lim="800000"/>
                            <a:headEnd/>
                            <a:tailEnd/>
                          </a:ln>
                          <a:effectLst/>
                        </pic:spPr>
                      </pic:pic>
                    </a:graphicData>
                  </a:graphic>
                </wp:inline>
              </w:drawing>
            </w:r>
          </w:p>
          <w:p>
            <w:pPr>
              <w:pStyle w:val="111"/>
            </w:pPr>
            <w:r>
              <w:rPr>
                <w:rFonts w:hint="eastAsia"/>
              </w:rPr>
              <w:t>图</w:t>
            </w:r>
            <w:r>
              <w:t xml:space="preserve">6-11 </w:t>
            </w:r>
            <w:r>
              <w:rPr>
                <w:rFonts w:hint="eastAsia"/>
              </w:rPr>
              <w:t>土壤评价范围</w:t>
            </w:r>
          </w:p>
          <w:p>
            <w:pPr>
              <w:pStyle w:val="114"/>
            </w:pPr>
            <w:r>
              <w:t>2</w:t>
            </w:r>
            <w:r>
              <w:rPr>
                <w:rFonts w:hint="eastAsia"/>
              </w:rPr>
              <w:t>、土地利用现状调查</w:t>
            </w:r>
          </w:p>
          <w:p>
            <w:pPr>
              <w:pStyle w:val="114"/>
              <w:rPr>
                <w:lang w:val="zh-CN"/>
              </w:rPr>
            </w:pPr>
            <w:r>
              <w:rPr>
                <w:rFonts w:hint="eastAsia"/>
                <w:lang w:val="zh-CN"/>
              </w:rPr>
              <w:t>据现场踏勘，厂界周边</w:t>
            </w:r>
            <w:r>
              <w:rPr>
                <w:lang w:val="zh-CN"/>
              </w:rPr>
              <w:t>200</w:t>
            </w:r>
            <w:r>
              <w:rPr>
                <w:rFonts w:hint="eastAsia"/>
                <w:lang w:val="zh-CN"/>
              </w:rPr>
              <w:t>米范围内无其他建筑物及工程，土地利用现状为林地以及农田。厂界周边土地利用现状汇总情况见表</w:t>
            </w:r>
            <w:r>
              <w:rPr>
                <w:lang w:val="zh-CN"/>
              </w:rPr>
              <w:t>6-25</w:t>
            </w:r>
            <w:r>
              <w:rPr>
                <w:rFonts w:hint="eastAsia"/>
                <w:lang w:val="zh-CN"/>
              </w:rPr>
              <w:t>。土地利用现状图见图</w:t>
            </w:r>
            <w:r>
              <w:rPr>
                <w:lang w:val="zh-CN"/>
              </w:rPr>
              <w:t>6-12</w:t>
            </w:r>
            <w:r>
              <w:rPr>
                <w:rFonts w:hint="eastAsia"/>
                <w:lang w:val="zh-CN"/>
              </w:rPr>
              <w:t>。</w:t>
            </w:r>
          </w:p>
          <w:p>
            <w:pPr>
              <w:pStyle w:val="122"/>
            </w:pPr>
            <w:r>
              <w:rPr>
                <w:rFonts w:hint="eastAsia"/>
              </w:rPr>
              <w:t>表</w:t>
            </w:r>
            <w:r>
              <w:t xml:space="preserve">6-25  </w:t>
            </w:r>
            <w:r>
              <w:rPr>
                <w:rFonts w:hint="eastAsia"/>
              </w:rPr>
              <w:t>厂界周边土壤环境敏感目标</w:t>
            </w:r>
          </w:p>
          <w:tbl>
            <w:tblPr>
              <w:tblStyle w:val="37"/>
              <w:tblW w:w="941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4"/>
              <w:gridCol w:w="2770"/>
              <w:gridCol w:w="2375"/>
              <w:gridCol w:w="30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1194" w:type="dxa"/>
                  <w:tcBorders>
                    <w:top w:val="single" w:color="auto" w:sz="12" w:space="0"/>
                    <w:left w:val="single" w:color="auto" w:sz="12" w:space="0"/>
                    <w:bottom w:val="double" w:color="auto" w:sz="4" w:space="0"/>
                    <w:right w:val="single" w:color="auto" w:sz="6" w:space="0"/>
                  </w:tcBorders>
                  <w:vAlign w:val="center"/>
                </w:tcPr>
                <w:p>
                  <w:pPr>
                    <w:pStyle w:val="77"/>
                  </w:pPr>
                  <w:r>
                    <w:rPr>
                      <w:rFonts w:hint="eastAsia"/>
                    </w:rPr>
                    <w:t>序号</w:t>
                  </w:r>
                </w:p>
              </w:tc>
              <w:tc>
                <w:tcPr>
                  <w:tcW w:w="2770" w:type="dxa"/>
                  <w:tcBorders>
                    <w:top w:val="single" w:color="auto" w:sz="12" w:space="0"/>
                    <w:left w:val="single" w:color="auto" w:sz="6" w:space="0"/>
                    <w:bottom w:val="double" w:color="auto" w:sz="4" w:space="0"/>
                    <w:right w:val="single" w:color="auto" w:sz="6" w:space="0"/>
                  </w:tcBorders>
                  <w:vAlign w:val="center"/>
                </w:tcPr>
                <w:p>
                  <w:pPr>
                    <w:pStyle w:val="77"/>
                  </w:pPr>
                  <w:r>
                    <w:rPr>
                      <w:rFonts w:hint="eastAsia"/>
                    </w:rPr>
                    <w:t>土地利用现状</w:t>
                  </w:r>
                </w:p>
              </w:tc>
              <w:tc>
                <w:tcPr>
                  <w:tcW w:w="2375" w:type="dxa"/>
                  <w:tcBorders>
                    <w:top w:val="single" w:color="auto" w:sz="12" w:space="0"/>
                    <w:left w:val="single" w:color="auto" w:sz="6" w:space="0"/>
                    <w:bottom w:val="double" w:color="auto" w:sz="4" w:space="0"/>
                    <w:right w:val="single" w:color="auto" w:sz="6" w:space="0"/>
                  </w:tcBorders>
                  <w:vAlign w:val="center"/>
                </w:tcPr>
                <w:p>
                  <w:pPr>
                    <w:pStyle w:val="77"/>
                  </w:pPr>
                  <w:r>
                    <w:rPr>
                      <w:rFonts w:hint="eastAsia"/>
                    </w:rPr>
                    <w:t>方位</w:t>
                  </w:r>
                </w:p>
              </w:tc>
              <w:tc>
                <w:tcPr>
                  <w:tcW w:w="3077" w:type="dxa"/>
                  <w:tcBorders>
                    <w:top w:val="single" w:color="auto" w:sz="12" w:space="0"/>
                    <w:left w:val="single" w:color="auto" w:sz="6" w:space="0"/>
                    <w:bottom w:val="double" w:color="auto" w:sz="4" w:space="0"/>
                    <w:right w:val="single" w:color="auto" w:sz="12" w:space="0"/>
                  </w:tcBorders>
                  <w:vAlign w:val="center"/>
                </w:tcPr>
                <w:p>
                  <w:pPr>
                    <w:pStyle w:val="77"/>
                  </w:pPr>
                  <w:r>
                    <w:rPr>
                      <w:rFonts w:hint="eastAsia"/>
                    </w:rPr>
                    <w:t>最近距离（</w:t>
                  </w:r>
                  <w:r>
                    <w:t>m</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94" w:type="dxa"/>
                  <w:tcBorders>
                    <w:top w:val="double" w:color="auto" w:sz="4" w:space="0"/>
                    <w:left w:val="single" w:color="auto" w:sz="12" w:space="0"/>
                    <w:bottom w:val="single" w:color="auto" w:sz="6" w:space="0"/>
                    <w:right w:val="single" w:color="auto" w:sz="6" w:space="0"/>
                  </w:tcBorders>
                  <w:vAlign w:val="center"/>
                </w:tcPr>
                <w:p>
                  <w:pPr>
                    <w:pStyle w:val="77"/>
                  </w:pPr>
                  <w:r>
                    <w:t>1</w:t>
                  </w:r>
                </w:p>
              </w:tc>
              <w:tc>
                <w:tcPr>
                  <w:tcW w:w="2770" w:type="dxa"/>
                  <w:tcBorders>
                    <w:top w:val="double" w:color="auto" w:sz="4" w:space="0"/>
                    <w:left w:val="single" w:color="auto" w:sz="6" w:space="0"/>
                    <w:bottom w:val="single" w:color="auto" w:sz="6" w:space="0"/>
                    <w:right w:val="single" w:color="auto" w:sz="6" w:space="0"/>
                  </w:tcBorders>
                  <w:vAlign w:val="center"/>
                </w:tcPr>
                <w:p>
                  <w:pPr>
                    <w:pStyle w:val="77"/>
                  </w:pPr>
                  <w:r>
                    <w:rPr>
                      <w:rFonts w:hint="eastAsia"/>
                    </w:rPr>
                    <w:t>林地</w:t>
                  </w:r>
                </w:p>
              </w:tc>
              <w:tc>
                <w:tcPr>
                  <w:tcW w:w="2375" w:type="dxa"/>
                  <w:tcBorders>
                    <w:top w:val="double" w:color="auto" w:sz="4" w:space="0"/>
                    <w:left w:val="single" w:color="auto" w:sz="6" w:space="0"/>
                    <w:bottom w:val="single" w:color="auto" w:sz="6" w:space="0"/>
                    <w:right w:val="single" w:color="auto" w:sz="6" w:space="0"/>
                  </w:tcBorders>
                  <w:vAlign w:val="center"/>
                </w:tcPr>
                <w:p>
                  <w:pPr>
                    <w:pStyle w:val="77"/>
                  </w:pPr>
                  <w:r>
                    <w:rPr>
                      <w:rFonts w:hint="eastAsia"/>
                    </w:rPr>
                    <w:t>北侧、东侧</w:t>
                  </w:r>
                </w:p>
              </w:tc>
              <w:tc>
                <w:tcPr>
                  <w:tcW w:w="3077" w:type="dxa"/>
                  <w:tcBorders>
                    <w:top w:val="double" w:color="auto" w:sz="4" w:space="0"/>
                    <w:left w:val="single" w:color="auto" w:sz="6" w:space="0"/>
                    <w:bottom w:val="single" w:color="auto" w:sz="6" w:space="0"/>
                    <w:right w:val="single" w:color="auto" w:sz="12" w:space="0"/>
                  </w:tcBorders>
                  <w:vAlign w:val="center"/>
                </w:tcPr>
                <w:p>
                  <w:pPr>
                    <w:pStyle w:val="77"/>
                  </w:pPr>
                  <w:r>
                    <w:rPr>
                      <w:rFonts w:hint="eastAsia"/>
                    </w:rPr>
                    <w:t>紧邻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94" w:type="dxa"/>
                  <w:tcBorders>
                    <w:top w:val="single" w:color="auto" w:sz="6" w:space="0"/>
                    <w:left w:val="single" w:color="auto" w:sz="12" w:space="0"/>
                    <w:bottom w:val="single" w:color="auto" w:sz="12" w:space="0"/>
                    <w:right w:val="single" w:color="auto" w:sz="6" w:space="0"/>
                  </w:tcBorders>
                  <w:vAlign w:val="center"/>
                </w:tcPr>
                <w:p>
                  <w:pPr>
                    <w:pStyle w:val="77"/>
                  </w:pPr>
                  <w:r>
                    <w:t>2</w:t>
                  </w:r>
                </w:p>
              </w:tc>
              <w:tc>
                <w:tcPr>
                  <w:tcW w:w="2770"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农田</w:t>
                  </w:r>
                </w:p>
              </w:tc>
              <w:tc>
                <w:tcPr>
                  <w:tcW w:w="2375" w:type="dxa"/>
                  <w:tcBorders>
                    <w:top w:val="single" w:color="auto" w:sz="6" w:space="0"/>
                    <w:left w:val="single" w:color="auto" w:sz="6" w:space="0"/>
                    <w:bottom w:val="single" w:color="auto" w:sz="12" w:space="0"/>
                    <w:right w:val="single" w:color="auto" w:sz="6" w:space="0"/>
                  </w:tcBorders>
                  <w:vAlign w:val="center"/>
                </w:tcPr>
                <w:p>
                  <w:pPr>
                    <w:pStyle w:val="77"/>
                  </w:pPr>
                  <w:r>
                    <w:rPr>
                      <w:rFonts w:hint="eastAsia"/>
                    </w:rPr>
                    <w:t>南侧、西侧</w:t>
                  </w:r>
                </w:p>
              </w:tc>
              <w:tc>
                <w:tcPr>
                  <w:tcW w:w="3077" w:type="dxa"/>
                  <w:tcBorders>
                    <w:top w:val="single" w:color="auto" w:sz="6" w:space="0"/>
                    <w:left w:val="single" w:color="auto" w:sz="6" w:space="0"/>
                    <w:bottom w:val="single" w:color="auto" w:sz="12" w:space="0"/>
                    <w:right w:val="single" w:color="auto" w:sz="12" w:space="0"/>
                  </w:tcBorders>
                  <w:vAlign w:val="center"/>
                </w:tcPr>
                <w:p>
                  <w:pPr>
                    <w:pStyle w:val="77"/>
                  </w:pPr>
                  <w:r>
                    <w:rPr>
                      <w:rFonts w:hint="eastAsia"/>
                    </w:rPr>
                    <w:t>紧邻</w:t>
                  </w:r>
                </w:p>
              </w:tc>
            </w:tr>
          </w:tbl>
          <w:p>
            <w:pPr>
              <w:pStyle w:val="111"/>
              <w:rPr>
                <w:bCs/>
                <w:szCs w:val="21"/>
              </w:rPr>
            </w:pPr>
            <w:r>
              <w:rPr>
                <w:bdr w:val="single" w:color="auto" w:sz="4" w:space="0"/>
              </w:rPr>
              <w:drawing>
                <wp:inline distT="0" distB="0" distL="0" distR="0">
                  <wp:extent cx="5943600" cy="3615055"/>
                  <wp:effectExtent l="19050" t="19050" r="0" b="4445"/>
                  <wp:docPr id="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pic:cNvPicPr>
                            <a:picLocks noChangeAspect="1" noChangeArrowheads="1"/>
                          </pic:cNvPicPr>
                        </pic:nvPicPr>
                        <pic:blipFill>
                          <a:blip r:embed="rId67"/>
                          <a:srcRect/>
                          <a:stretch>
                            <a:fillRect/>
                          </a:stretch>
                        </pic:blipFill>
                        <pic:spPr>
                          <a:xfrm>
                            <a:off x="0" y="0"/>
                            <a:ext cx="5943600" cy="3615055"/>
                          </a:xfrm>
                          <a:prstGeom prst="rect">
                            <a:avLst/>
                          </a:prstGeom>
                          <a:noFill/>
                          <a:ln w="12700" cmpd="sng">
                            <a:solidFill>
                              <a:srgbClr val="000000"/>
                            </a:solidFill>
                            <a:miter lim="800000"/>
                            <a:headEnd/>
                            <a:tailEnd/>
                          </a:ln>
                          <a:effectLst/>
                        </pic:spPr>
                      </pic:pic>
                    </a:graphicData>
                  </a:graphic>
                </wp:inline>
              </w:drawing>
            </w:r>
            <w:r>
              <w:rPr>
                <w:rFonts w:hint="eastAsia"/>
                <w:bCs/>
                <w:szCs w:val="21"/>
              </w:rPr>
              <w:t>图</w:t>
            </w:r>
            <w:r>
              <w:rPr>
                <w:bCs/>
                <w:szCs w:val="21"/>
              </w:rPr>
              <w:t xml:space="preserve">6-12   </w:t>
            </w:r>
            <w:r>
              <w:rPr>
                <w:rFonts w:hint="eastAsia"/>
                <w:bCs/>
                <w:szCs w:val="21"/>
              </w:rPr>
              <w:t>土地利用现状图</w:t>
            </w:r>
          </w:p>
          <w:p>
            <w:pPr>
              <w:pStyle w:val="114"/>
            </w:pPr>
            <w:r>
              <w:t>3</w:t>
            </w:r>
            <w:r>
              <w:rPr>
                <w:rFonts w:hint="eastAsia"/>
              </w:rPr>
              <w:t>、土壤概况</w:t>
            </w:r>
          </w:p>
          <w:p>
            <w:pPr>
              <w:adjustRightInd w:val="0"/>
              <w:spacing w:line="360" w:lineRule="auto"/>
              <w:ind w:firstLine="480" w:firstLineChars="200"/>
              <w:textAlignment w:val="baseline"/>
              <w:rPr>
                <w:rFonts w:ascii="Times New Roman" w:hAnsi="Times New Roman"/>
                <w:kern w:val="0"/>
                <w:sz w:val="24"/>
                <w:lang w:val="zh-CN"/>
              </w:rPr>
            </w:pPr>
            <w:r>
              <w:rPr>
                <w:rFonts w:ascii="Times New Roman" w:hAnsi="Times New Roman"/>
                <w:kern w:val="0"/>
                <w:sz w:val="24"/>
                <w:lang w:val="zh-CN"/>
              </w:rPr>
              <w:t>根据查阅《海南省定安县地方志》，定安县地处热带，地貌多样，低丘台地面积占全县三分之二。土壤由东北至西南依次分为浅海沉积物发育而成的黄赤土(硅质砖红壤)、砂页岩发育而成的黄红赤土(黄色砖红壤)、玄武岩发育而成的赤土(铁质砖红壤)、火山岩发育而成的幼龄赤土(砖红壤性土)和花岗岩发育而成的红赤土(砖红壤)。</w:t>
            </w:r>
            <w:r>
              <w:rPr>
                <w:rFonts w:hint="eastAsia" w:ascii="Times New Roman" w:hAnsi="Times New Roman"/>
                <w:kern w:val="0"/>
                <w:sz w:val="24"/>
                <w:lang w:val="zh-CN"/>
              </w:rPr>
              <w:t>本项目评价范围内的土壤类型为黄红赤土。</w:t>
            </w:r>
            <w:r>
              <w:rPr>
                <w:rFonts w:ascii="Times New Roman" w:hAnsi="Times New Roman"/>
                <w:kern w:val="0"/>
                <w:sz w:val="24"/>
                <w:lang w:val="zh-CN"/>
              </w:rPr>
              <w:t>各类土壤分布情况详见表6-26。</w:t>
            </w:r>
          </w:p>
          <w:p>
            <w:pPr>
              <w:pStyle w:val="122"/>
            </w:pPr>
            <w:r>
              <w:rPr>
                <w:rFonts w:hint="eastAsia"/>
              </w:rPr>
              <w:t>表</w:t>
            </w:r>
            <w:r>
              <w:t xml:space="preserve">6-26  </w:t>
            </w:r>
            <w:r>
              <w:rPr>
                <w:rFonts w:hint="eastAsia"/>
              </w:rPr>
              <w:t>定安县土壤种类分布表</w:t>
            </w:r>
          </w:p>
          <w:tbl>
            <w:tblPr>
              <w:tblStyle w:val="37"/>
              <w:tblW w:w="941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9"/>
              <w:gridCol w:w="1141"/>
              <w:gridCol w:w="63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949" w:type="dxa"/>
                  <w:tcBorders>
                    <w:top w:val="single" w:color="auto" w:sz="12" w:space="0"/>
                    <w:left w:val="single" w:color="auto" w:sz="12" w:space="0"/>
                    <w:bottom w:val="double" w:color="auto" w:sz="2" w:space="0"/>
                    <w:right w:val="single" w:color="auto" w:sz="6" w:space="0"/>
                  </w:tcBorders>
                  <w:vAlign w:val="center"/>
                </w:tcPr>
                <w:p>
                  <w:pPr>
                    <w:pStyle w:val="124"/>
                    <w:rPr>
                      <w:szCs w:val="21"/>
                    </w:rPr>
                  </w:pPr>
                  <w:r>
                    <w:rPr>
                      <w:rFonts w:hint="eastAsia"/>
                      <w:szCs w:val="21"/>
                    </w:rPr>
                    <w:t>土类</w:t>
                  </w:r>
                </w:p>
              </w:tc>
              <w:tc>
                <w:tcPr>
                  <w:tcW w:w="1141" w:type="dxa"/>
                  <w:tcBorders>
                    <w:top w:val="single" w:color="auto" w:sz="12" w:space="0"/>
                    <w:left w:val="single" w:color="auto" w:sz="6" w:space="0"/>
                    <w:bottom w:val="double" w:color="auto" w:sz="2" w:space="0"/>
                    <w:right w:val="single" w:color="auto" w:sz="6" w:space="0"/>
                  </w:tcBorders>
                  <w:vAlign w:val="center"/>
                </w:tcPr>
                <w:p>
                  <w:pPr>
                    <w:pStyle w:val="124"/>
                    <w:rPr>
                      <w:szCs w:val="21"/>
                    </w:rPr>
                  </w:pPr>
                  <w:r>
                    <w:rPr>
                      <w:rFonts w:hint="eastAsia"/>
                      <w:szCs w:val="21"/>
                    </w:rPr>
                    <w:t>占比（</w:t>
                  </w:r>
                  <w:r>
                    <w:rPr>
                      <w:szCs w:val="21"/>
                    </w:rPr>
                    <w:t>%</w:t>
                  </w:r>
                  <w:r>
                    <w:rPr>
                      <w:rFonts w:hint="eastAsia"/>
                      <w:szCs w:val="21"/>
                    </w:rPr>
                    <w:t>）</w:t>
                  </w:r>
                </w:p>
              </w:tc>
              <w:tc>
                <w:tcPr>
                  <w:tcW w:w="6326" w:type="dxa"/>
                  <w:tcBorders>
                    <w:top w:val="single" w:color="auto" w:sz="12" w:space="0"/>
                    <w:left w:val="single" w:color="auto" w:sz="6" w:space="0"/>
                    <w:bottom w:val="double" w:color="auto" w:sz="2" w:space="0"/>
                    <w:right w:val="single" w:color="auto" w:sz="12" w:space="0"/>
                  </w:tcBorders>
                  <w:vAlign w:val="center"/>
                </w:tcPr>
                <w:p>
                  <w:pPr>
                    <w:pStyle w:val="124"/>
                    <w:rPr>
                      <w:szCs w:val="21"/>
                    </w:rPr>
                  </w:pPr>
                  <w:r>
                    <w:rPr>
                      <w:rFonts w:hint="eastAsia"/>
                      <w:szCs w:val="21"/>
                    </w:rPr>
                    <w:t>分布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949" w:type="dxa"/>
                  <w:tcBorders>
                    <w:top w:val="double" w:color="auto" w:sz="2" w:space="0"/>
                    <w:left w:val="single" w:color="auto" w:sz="12" w:space="0"/>
                    <w:bottom w:val="single" w:color="auto" w:sz="6" w:space="0"/>
                    <w:right w:val="single" w:color="auto" w:sz="6" w:space="0"/>
                  </w:tcBorders>
                  <w:vAlign w:val="center"/>
                </w:tcPr>
                <w:p>
                  <w:pPr>
                    <w:pStyle w:val="77"/>
                  </w:pPr>
                  <w:r>
                    <w:rPr>
                      <w:rFonts w:hint="eastAsia"/>
                    </w:rPr>
                    <w:t>黄赤土</w:t>
                  </w:r>
                </w:p>
                <w:p>
                  <w:pPr>
                    <w:pStyle w:val="77"/>
                  </w:pPr>
                  <w:r>
                    <w:rPr>
                      <w:rFonts w:hint="eastAsia"/>
                    </w:rPr>
                    <w:t>（砂壤土）</w:t>
                  </w:r>
                </w:p>
              </w:tc>
              <w:tc>
                <w:tcPr>
                  <w:tcW w:w="1141" w:type="dxa"/>
                  <w:tcBorders>
                    <w:top w:val="double" w:color="auto" w:sz="2" w:space="0"/>
                    <w:left w:val="single" w:color="auto" w:sz="6" w:space="0"/>
                    <w:bottom w:val="single" w:color="auto" w:sz="6" w:space="0"/>
                    <w:right w:val="single" w:color="auto" w:sz="6" w:space="0"/>
                  </w:tcBorders>
                  <w:vAlign w:val="center"/>
                </w:tcPr>
                <w:p>
                  <w:pPr>
                    <w:pStyle w:val="77"/>
                  </w:pPr>
                  <w:r>
                    <w:t>3.4</w:t>
                  </w:r>
                </w:p>
              </w:tc>
              <w:tc>
                <w:tcPr>
                  <w:tcW w:w="6326" w:type="dxa"/>
                  <w:tcBorders>
                    <w:top w:val="double" w:color="auto" w:sz="2" w:space="0"/>
                    <w:left w:val="single" w:color="auto" w:sz="6" w:space="0"/>
                    <w:bottom w:val="single" w:color="auto" w:sz="6" w:space="0"/>
                    <w:right w:val="single" w:color="auto" w:sz="12" w:space="0"/>
                  </w:tcBorders>
                  <w:vAlign w:val="center"/>
                </w:tcPr>
                <w:p>
                  <w:pPr>
                    <w:pStyle w:val="77"/>
                  </w:pPr>
                  <w:r>
                    <w:rPr>
                      <w:rFonts w:hint="eastAsia"/>
                    </w:rPr>
                    <w:t>龙州、定城、仙沟、居丁和龙塘等南渡江沿岸乡镇地带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949" w:type="dxa"/>
                  <w:tcBorders>
                    <w:top w:val="single" w:color="auto" w:sz="6" w:space="0"/>
                    <w:left w:val="single" w:color="auto" w:sz="12" w:space="0"/>
                    <w:bottom w:val="single" w:color="auto" w:sz="6" w:space="0"/>
                    <w:right w:val="single" w:color="auto" w:sz="6" w:space="0"/>
                  </w:tcBorders>
                  <w:vAlign w:val="center"/>
                </w:tcPr>
                <w:p>
                  <w:pPr>
                    <w:pStyle w:val="77"/>
                  </w:pPr>
                  <w:r>
                    <w:rPr>
                      <w:rFonts w:hint="eastAsia"/>
                      <w:kern w:val="0"/>
                      <w:lang w:val="zh-CN"/>
                    </w:rPr>
                    <w:t>黄红赤土</w:t>
                  </w:r>
                </w:p>
              </w:tc>
              <w:tc>
                <w:tcPr>
                  <w:tcW w:w="1141" w:type="dxa"/>
                  <w:tcBorders>
                    <w:top w:val="single" w:color="auto" w:sz="6" w:space="0"/>
                    <w:left w:val="single" w:color="auto" w:sz="6" w:space="0"/>
                    <w:bottom w:val="single" w:color="auto" w:sz="6" w:space="0"/>
                    <w:right w:val="single" w:color="auto" w:sz="6" w:space="0"/>
                  </w:tcBorders>
                  <w:vAlign w:val="center"/>
                </w:tcPr>
                <w:p>
                  <w:pPr>
                    <w:pStyle w:val="77"/>
                  </w:pPr>
                  <w:r>
                    <w:t>46.7</w:t>
                  </w:r>
                </w:p>
              </w:tc>
              <w:tc>
                <w:tcPr>
                  <w:tcW w:w="6326" w:type="dxa"/>
                  <w:tcBorders>
                    <w:top w:val="single" w:color="auto" w:sz="6" w:space="0"/>
                    <w:left w:val="single" w:color="auto" w:sz="6" w:space="0"/>
                    <w:bottom w:val="single" w:color="auto" w:sz="6" w:space="0"/>
                    <w:right w:val="single" w:color="auto" w:sz="12" w:space="0"/>
                  </w:tcBorders>
                  <w:vAlign w:val="center"/>
                </w:tcPr>
                <w:p>
                  <w:pPr>
                    <w:pStyle w:val="77"/>
                  </w:pPr>
                  <w:r>
                    <w:rPr>
                      <w:rFonts w:hint="eastAsia"/>
                      <w:kern w:val="0"/>
                      <w:lang w:val="zh-CN"/>
                    </w:rPr>
                    <w:t>雷鸣、富文、坡寨、新竹、居丁乡镇的绝大部分地区和龙州、定城、仙沟、永丰的大部分地区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949" w:type="dxa"/>
                  <w:tcBorders>
                    <w:top w:val="single" w:color="auto" w:sz="6" w:space="0"/>
                    <w:left w:val="single" w:color="auto" w:sz="12" w:space="0"/>
                    <w:bottom w:val="single" w:color="auto" w:sz="6" w:space="0"/>
                    <w:right w:val="single" w:color="auto" w:sz="6" w:space="0"/>
                  </w:tcBorders>
                  <w:vAlign w:val="center"/>
                </w:tcPr>
                <w:p>
                  <w:pPr>
                    <w:pStyle w:val="77"/>
                  </w:pPr>
                  <w:r>
                    <w:rPr>
                      <w:rFonts w:hint="eastAsia"/>
                      <w:kern w:val="0"/>
                      <w:lang w:val="zh-CN"/>
                    </w:rPr>
                    <w:t>赤土</w:t>
                  </w:r>
                </w:p>
              </w:tc>
              <w:tc>
                <w:tcPr>
                  <w:tcW w:w="1141" w:type="dxa"/>
                  <w:tcBorders>
                    <w:top w:val="single" w:color="auto" w:sz="6" w:space="0"/>
                    <w:left w:val="single" w:color="auto" w:sz="6" w:space="0"/>
                    <w:bottom w:val="single" w:color="auto" w:sz="6" w:space="0"/>
                    <w:right w:val="single" w:color="auto" w:sz="6" w:space="0"/>
                  </w:tcBorders>
                  <w:vAlign w:val="center"/>
                </w:tcPr>
                <w:p>
                  <w:pPr>
                    <w:pStyle w:val="77"/>
                  </w:pPr>
                  <w:r>
                    <w:t>22.2</w:t>
                  </w:r>
                </w:p>
              </w:tc>
              <w:tc>
                <w:tcPr>
                  <w:tcW w:w="6326" w:type="dxa"/>
                  <w:tcBorders>
                    <w:top w:val="single" w:color="auto" w:sz="6" w:space="0"/>
                    <w:left w:val="single" w:color="auto" w:sz="6" w:space="0"/>
                    <w:bottom w:val="single" w:color="auto" w:sz="6" w:space="0"/>
                    <w:right w:val="single" w:color="auto" w:sz="12" w:space="0"/>
                  </w:tcBorders>
                  <w:vAlign w:val="center"/>
                </w:tcPr>
                <w:p>
                  <w:pPr>
                    <w:pStyle w:val="77"/>
                  </w:pPr>
                  <w:r>
                    <w:rPr>
                      <w:rFonts w:hint="eastAsia"/>
                      <w:kern w:val="0"/>
                      <w:lang w:val="zh-CN"/>
                    </w:rPr>
                    <w:t>主要分布在金鸡岭一带，包括龙门、黄竹镇大部分，岭口、翰林镇部分和金鸡岭农场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949" w:type="dxa"/>
                  <w:tcBorders>
                    <w:top w:val="single" w:color="auto" w:sz="6" w:space="0"/>
                    <w:left w:val="single" w:color="auto" w:sz="12" w:space="0"/>
                    <w:bottom w:val="single" w:color="auto" w:sz="12" w:space="0"/>
                    <w:right w:val="single" w:color="auto" w:sz="6" w:space="0"/>
                  </w:tcBorders>
                  <w:vAlign w:val="center"/>
                </w:tcPr>
                <w:p>
                  <w:pPr>
                    <w:pStyle w:val="77"/>
                  </w:pPr>
                  <w:r>
                    <w:rPr>
                      <w:rFonts w:hint="eastAsia"/>
                      <w:kern w:val="0"/>
                      <w:lang w:val="zh-CN"/>
                    </w:rPr>
                    <w:t>幼龄赤土和花岗岩红赤土</w:t>
                  </w:r>
                </w:p>
              </w:tc>
              <w:tc>
                <w:tcPr>
                  <w:tcW w:w="1141" w:type="dxa"/>
                  <w:tcBorders>
                    <w:top w:val="single" w:color="auto" w:sz="6" w:space="0"/>
                    <w:left w:val="single" w:color="auto" w:sz="6" w:space="0"/>
                    <w:bottom w:val="single" w:color="auto" w:sz="12" w:space="0"/>
                    <w:right w:val="single" w:color="auto" w:sz="6" w:space="0"/>
                  </w:tcBorders>
                  <w:vAlign w:val="center"/>
                </w:tcPr>
                <w:p>
                  <w:pPr>
                    <w:pStyle w:val="77"/>
                  </w:pPr>
                  <w:r>
                    <w:t>27.7</w:t>
                  </w:r>
                </w:p>
              </w:tc>
              <w:tc>
                <w:tcPr>
                  <w:tcW w:w="6326" w:type="dxa"/>
                  <w:tcBorders>
                    <w:top w:val="single" w:color="auto" w:sz="6" w:space="0"/>
                    <w:left w:val="single" w:color="auto" w:sz="6" w:space="0"/>
                    <w:bottom w:val="single" w:color="auto" w:sz="12" w:space="0"/>
                    <w:right w:val="single" w:color="auto" w:sz="12" w:space="0"/>
                  </w:tcBorders>
                  <w:vAlign w:val="center"/>
                </w:tcPr>
                <w:p>
                  <w:pPr>
                    <w:pStyle w:val="77"/>
                  </w:pPr>
                  <w:r>
                    <w:rPr>
                      <w:rFonts w:hint="eastAsia"/>
                      <w:kern w:val="0"/>
                      <w:lang w:val="zh-CN"/>
                    </w:rPr>
                    <w:t>主要分布在岭口、翰林、龙塘、龙门、坡寨乡镇和中瑞农场</w:t>
                  </w:r>
                </w:p>
              </w:tc>
            </w:tr>
          </w:tbl>
          <w:p>
            <w:pPr>
              <w:pStyle w:val="114"/>
            </w:pPr>
            <w:r>
              <w:t>4</w:t>
            </w:r>
            <w:r>
              <w:rPr>
                <w:rFonts w:hint="eastAsia"/>
              </w:rPr>
              <w:t>、土壤影响分析</w:t>
            </w:r>
          </w:p>
          <w:p>
            <w:pPr>
              <w:spacing w:line="360" w:lineRule="auto"/>
              <w:ind w:firstLine="480" w:firstLineChars="200"/>
              <w:rPr>
                <w:rFonts w:ascii="Times New Roman" w:hAnsi="Times New Roman"/>
                <w:sz w:val="24"/>
                <w:szCs w:val="24"/>
              </w:rPr>
            </w:pPr>
            <w:r>
              <w:rPr>
                <w:rFonts w:ascii="Times New Roman" w:hAnsi="Times New Roman"/>
                <w:sz w:val="24"/>
                <w:szCs w:val="24"/>
              </w:rPr>
              <w:t>根据《环境影响评价技术导则 土壤环境（试行）》（HJ 964-2018）：评价工作等级为三级的建设项目，可采用定性描述或类比分析法进行预测。该项目土壤环境影响预测采用定性描述进行预测分析。</w:t>
            </w:r>
          </w:p>
          <w:p>
            <w:pPr>
              <w:pStyle w:val="114"/>
            </w:pPr>
            <w:r>
              <w:t>项目建设期对土壤的影响主要为土层扰动，无有毒有害污染物进入土壤环境，因此建设期对土壤环境的影响可忽略。本次土壤环境影响分析仅针对运营期土壤环境的影响进行分析。</w:t>
            </w:r>
          </w:p>
          <w:p>
            <w:pPr>
              <w:pStyle w:val="114"/>
              <w:rPr>
                <w:shd w:val="clear" w:color="auto" w:fill="FFFFFF"/>
              </w:rPr>
            </w:pPr>
            <w:r>
              <w:rPr>
                <w:rFonts w:hint="eastAsia"/>
              </w:rPr>
              <w:t>二期工程</w:t>
            </w:r>
            <w:r>
              <w:t>运营期接收的</w:t>
            </w:r>
            <w:r>
              <w:rPr>
                <w:rFonts w:hint="eastAsia"/>
              </w:rPr>
              <w:t>生活</w:t>
            </w:r>
            <w:r>
              <w:t>污水中含有重金属等土壤污染物</w:t>
            </w:r>
            <w:r>
              <w:rPr>
                <w:rFonts w:hint="eastAsia"/>
              </w:rPr>
              <w:t>。由于本项目为入渗影响型，污染物主要通过废污水入渗的方式，进入土壤层，从而对土壤产生一定的污染。根据土壤环境影响识别，本项目对土壤环境存在潜在影响的污染源主要有</w:t>
            </w:r>
            <w:r>
              <w:rPr>
                <w:rFonts w:hint="eastAsia"/>
                <w:shd w:val="clear" w:color="auto" w:fill="FFFFFF"/>
              </w:rPr>
              <w:t>细格栅及曝气沉砂池</w:t>
            </w:r>
            <w:r>
              <w:rPr>
                <w:rFonts w:hint="eastAsia"/>
              </w:rPr>
              <w:t>、改良型合建式</w:t>
            </w:r>
            <w:r>
              <w:t>AAO</w:t>
            </w:r>
            <w:r>
              <w:rPr>
                <w:rFonts w:hint="eastAsia"/>
              </w:rPr>
              <w:t>、贮泥池，但</w:t>
            </w:r>
            <w:r>
              <w:rPr>
                <w:rFonts w:hint="eastAsia"/>
                <w:shd w:val="clear" w:color="auto" w:fill="FFFFFF"/>
              </w:rPr>
              <w:t>各构筑物均按设计要求进行了防渗处理。</w:t>
            </w:r>
          </w:p>
          <w:p>
            <w:pPr>
              <w:pStyle w:val="114"/>
              <w:rPr>
                <w:shd w:val="clear" w:color="auto" w:fill="FFFFFF"/>
              </w:rPr>
            </w:pPr>
            <w:r>
              <w:rPr>
                <w:rFonts w:hint="eastAsia"/>
              </w:rPr>
              <w:t>根据场地地勘资料，</w:t>
            </w:r>
            <w:r>
              <w:rPr>
                <w:rFonts w:hint="eastAsia"/>
                <w:shd w:val="clear" w:color="auto" w:fill="FFFFFF"/>
              </w:rPr>
              <w:t>场地地层属于第四系全新统冲洪积土（Q</w:t>
            </w:r>
            <w:r>
              <w:rPr>
                <w:shd w:val="clear" w:color="auto" w:fill="FFFFFF"/>
                <w:vertAlign w:val="subscript"/>
              </w:rPr>
              <w:t>4</w:t>
            </w:r>
            <w:r>
              <w:rPr>
                <w:rFonts w:hint="eastAsia"/>
                <w:shd w:val="clear" w:color="auto" w:fill="FFFFFF"/>
                <w:vertAlign w:val="superscript"/>
              </w:rPr>
              <w:t>al</w:t>
            </w:r>
            <w:r>
              <w:rPr>
                <w:shd w:val="clear" w:color="auto" w:fill="FFFFFF"/>
                <w:vertAlign w:val="superscript"/>
              </w:rPr>
              <w:t>+pl</w:t>
            </w:r>
            <w:r>
              <w:rPr>
                <w:rFonts w:hint="eastAsia"/>
                <w:shd w:val="clear" w:color="auto" w:fill="FFFFFF"/>
              </w:rPr>
              <w:t>）、下更新统冲洪积土（Q</w:t>
            </w:r>
            <w:r>
              <w:rPr>
                <w:shd w:val="clear" w:color="auto" w:fill="FFFFFF"/>
                <w:vertAlign w:val="subscript"/>
              </w:rPr>
              <w:t>1</w:t>
            </w:r>
            <w:r>
              <w:rPr>
                <w:rFonts w:hint="eastAsia"/>
                <w:shd w:val="clear" w:color="auto" w:fill="FFFFFF"/>
                <w:vertAlign w:val="superscript"/>
              </w:rPr>
              <w:t>al</w:t>
            </w:r>
            <w:r>
              <w:rPr>
                <w:shd w:val="clear" w:color="auto" w:fill="FFFFFF"/>
                <w:vertAlign w:val="superscript"/>
              </w:rPr>
              <w:t>+pl</w:t>
            </w:r>
            <w:r>
              <w:rPr>
                <w:rFonts w:hint="eastAsia"/>
                <w:shd w:val="clear" w:color="auto" w:fill="FFFFFF"/>
              </w:rPr>
              <w:t>），从地表往下依次为粉土、中砂、粉质粘土、粉砂、砾砂、粉质粘土，其中部和最底部粉质粘土层均较厚，平均厚度超过1</w:t>
            </w:r>
            <w:r>
              <w:rPr>
                <w:shd w:val="clear" w:color="auto" w:fill="FFFFFF"/>
              </w:rPr>
              <w:t>0m</w:t>
            </w:r>
            <w:r>
              <w:rPr>
                <w:rFonts w:hint="eastAsia"/>
                <w:shd w:val="clear" w:color="auto" w:fill="FFFFFF"/>
              </w:rPr>
              <w:t>。粉质粘土层多以粘粒为主，干强度高，韧性高，渗透性较差，是较好的天然防渗层，具有一定的防渗能力。</w:t>
            </w:r>
          </w:p>
          <w:p>
            <w:pPr>
              <w:pStyle w:val="114"/>
            </w:pPr>
            <w:r>
              <w:t>综上所述，</w:t>
            </w:r>
            <w:r>
              <w:rPr>
                <w:rFonts w:hint="eastAsia"/>
              </w:rPr>
              <w:t>项目处理的生活污水中的重金属污染物会对场地土壤环境质量产生一定影响</w:t>
            </w:r>
            <w:r>
              <w:t>。但</w:t>
            </w:r>
            <w:r>
              <w:rPr>
                <w:rFonts w:hint="eastAsia"/>
              </w:rPr>
              <w:t>生活污水中重金属含量较低，且</w:t>
            </w:r>
            <w:r>
              <w:t>场区底部存在具有一定防渗能力的</w:t>
            </w:r>
            <w:r>
              <w:rPr>
                <w:rFonts w:hint="eastAsia"/>
              </w:rPr>
              <w:t>粘土</w:t>
            </w:r>
            <w:r>
              <w:t>层。因此，在项目场地按照相关规定做好防渗的情况下，项目对土壤环境的影响较小。</w:t>
            </w:r>
          </w:p>
          <w:p>
            <w:pPr>
              <w:pStyle w:val="114"/>
            </w:pPr>
            <w:r>
              <w:rPr>
                <w:rFonts w:hint="eastAsia"/>
              </w:rPr>
              <w:t>5</w:t>
            </w:r>
            <w:r>
              <w:t>、土壤环境保护措施</w:t>
            </w:r>
          </w:p>
          <w:p>
            <w:pPr>
              <w:pStyle w:val="114"/>
            </w:pPr>
            <w:r>
              <w:rPr>
                <w:rFonts w:hint="eastAsia"/>
              </w:rPr>
              <w:t>（1）保护对象及目标</w:t>
            </w:r>
          </w:p>
          <w:p>
            <w:pPr>
              <w:pStyle w:val="114"/>
            </w:pPr>
            <w:r>
              <w:rPr>
                <w:rFonts w:hint="eastAsia"/>
              </w:rPr>
              <w:t>本项目保护对象为拟建项目土壤评价范围的建设用地、耕地、林地；保护目标为项目在运营期间，土壤评价范围内的工业用地满足《土壤环境质量 建设用地土壤污染风险管控标准（试行）》（G</w:t>
            </w:r>
            <w:r>
              <w:t>B36600-2018</w:t>
            </w:r>
            <w:r>
              <w:rPr>
                <w:rFonts w:hint="eastAsia"/>
              </w:rPr>
              <w:t>）中规定的第二类用地筛选值标准要求；评价范围内的耕地、林地满足《土壤环境质量 农用地土壤污染风险管控标准（试行）》（G</w:t>
            </w:r>
            <w:r>
              <w:t>B15618-2018</w:t>
            </w:r>
            <w:r>
              <w:rPr>
                <w:rFonts w:hint="eastAsia"/>
              </w:rPr>
              <w:t>）中规定的筛选值标准要求。</w:t>
            </w:r>
          </w:p>
          <w:p>
            <w:pPr>
              <w:pStyle w:val="114"/>
            </w:pPr>
            <w:r>
              <w:rPr>
                <w:rFonts w:hint="eastAsia"/>
              </w:rPr>
              <w:t>（2）保护措施</w:t>
            </w:r>
          </w:p>
          <w:p>
            <w:pPr>
              <w:pStyle w:val="114"/>
            </w:pPr>
            <w:r>
              <w:rPr>
                <w:rFonts w:hint="eastAsia"/>
              </w:rPr>
              <w:t>针对可能产生土壤污染的污染源、污染物的迁移途径，按照“源头控制、过程防控”相结合的原则，从污染物的源、途径、受体等方面制定土壤环境保护措施。</w:t>
            </w:r>
          </w:p>
          <w:p>
            <w:pPr>
              <w:pStyle w:val="114"/>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源头控制</w:t>
            </w:r>
          </w:p>
          <w:p>
            <w:pPr>
              <w:pStyle w:val="114"/>
            </w:pPr>
            <w:r>
              <w:rPr>
                <w:rFonts w:hint="eastAsia"/>
              </w:rPr>
              <w:t>做好雨污分流工作，从源头上减少废污水的排放量，将污染物的渗漏风险降至最低。</w:t>
            </w:r>
          </w:p>
          <w:p>
            <w:pPr>
              <w:pStyle w:val="114"/>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过程防控措施</w:t>
            </w:r>
          </w:p>
          <w:p>
            <w:pPr>
              <w:pStyle w:val="114"/>
            </w:pPr>
            <w:r>
              <w:rPr>
                <w:rFonts w:hint="eastAsia"/>
              </w:rPr>
              <w:t>严格按照规范要求做好管道防腐、池体防渗，在项目运营期严格控制来水水质。</w:t>
            </w:r>
          </w:p>
          <w:p>
            <w:pPr>
              <w:autoSpaceDE w:val="0"/>
              <w:autoSpaceDN w:val="0"/>
              <w:spacing w:line="360" w:lineRule="auto"/>
              <w:jc w:val="left"/>
              <w:rPr>
                <w:rFonts w:ascii="Times New Roman" w:hAnsi="Times New Roman"/>
                <w:b/>
                <w:bCs/>
                <w:sz w:val="24"/>
                <w:szCs w:val="24"/>
              </w:rPr>
            </w:pPr>
            <w:r>
              <w:rPr>
                <w:rFonts w:hint="eastAsia"/>
                <w:b/>
                <w:bCs/>
                <w:sz w:val="24"/>
                <w:szCs w:val="24"/>
              </w:rPr>
              <w:t>七</w:t>
            </w:r>
            <w:r>
              <w:rPr>
                <w:rFonts w:hint="eastAsia" w:ascii="Times New Roman" w:hAnsi="Times New Roman"/>
                <w:b/>
                <w:bCs/>
                <w:sz w:val="24"/>
                <w:szCs w:val="24"/>
              </w:rPr>
              <w:t>、风险分析</w:t>
            </w:r>
          </w:p>
          <w:p>
            <w:pPr>
              <w:pStyle w:val="134"/>
              <w:ind w:firstLine="480"/>
            </w:pPr>
            <w:r>
              <w:t>1</w:t>
            </w:r>
            <w:r>
              <w:rPr>
                <w:rFonts w:hint="eastAsia" w:ascii="宋体" w:hAnsi="宋体"/>
              </w:rPr>
              <w:t>、评价依据</w:t>
            </w:r>
          </w:p>
          <w:p>
            <w:pPr>
              <w:spacing w:line="360" w:lineRule="auto"/>
              <w:ind w:firstLine="480" w:firstLineChars="200"/>
              <w:rPr>
                <w:sz w:val="24"/>
                <w:szCs w:val="24"/>
              </w:rPr>
            </w:pPr>
            <w:r>
              <w:rPr>
                <w:rFonts w:hint="eastAsia" w:ascii="宋体" w:hAnsi="宋体"/>
                <w:sz w:val="24"/>
                <w:szCs w:val="24"/>
              </w:rPr>
              <w:t>（</w:t>
            </w:r>
            <w:r>
              <w:rPr>
                <w:sz w:val="24"/>
                <w:szCs w:val="24"/>
              </w:rPr>
              <w:t>1</w:t>
            </w:r>
            <w:r>
              <w:rPr>
                <w:rFonts w:hint="eastAsia" w:ascii="宋体" w:hAnsi="宋体"/>
                <w:sz w:val="24"/>
                <w:szCs w:val="24"/>
              </w:rPr>
              <w:t>）风险调查</w:t>
            </w:r>
          </w:p>
          <w:p>
            <w:pPr>
              <w:snapToGrid w:val="0"/>
              <w:spacing w:line="360" w:lineRule="auto"/>
              <w:ind w:firstLine="480" w:firstLineChars="200"/>
              <w:rPr>
                <w:sz w:val="24"/>
                <w:szCs w:val="24"/>
              </w:rPr>
            </w:pPr>
            <w:r>
              <w:rPr>
                <w:rFonts w:hint="eastAsia" w:ascii="宋体" w:hAnsi="宋体"/>
                <w:sz w:val="24"/>
                <w:szCs w:val="24"/>
              </w:rPr>
              <w:t>通过对本项目的生产过程中原辅材料、产品以及工艺进行分析，对比《建设项目环境风险评价技术导则》</w:t>
            </w:r>
            <w:r>
              <w:rPr>
                <w:sz w:val="24"/>
                <w:szCs w:val="24"/>
              </w:rPr>
              <w:t>(HJ169-2018)</w:t>
            </w:r>
            <w:r>
              <w:rPr>
                <w:rFonts w:hint="eastAsia" w:ascii="宋体" w:hAnsi="宋体"/>
                <w:sz w:val="24"/>
                <w:szCs w:val="24"/>
              </w:rPr>
              <w:t>附录</w:t>
            </w:r>
            <w:r>
              <w:rPr>
                <w:sz w:val="24"/>
                <w:szCs w:val="24"/>
              </w:rPr>
              <w:t>B</w:t>
            </w:r>
            <w:r>
              <w:rPr>
                <w:rFonts w:hint="eastAsia" w:ascii="宋体" w:hAnsi="宋体"/>
                <w:sz w:val="24"/>
                <w:szCs w:val="24"/>
              </w:rPr>
              <w:t>，本项目涉及其中危险物质为次氯酸钠，临界量为</w:t>
            </w:r>
            <w:r>
              <w:rPr>
                <w:sz w:val="24"/>
                <w:szCs w:val="24"/>
              </w:rPr>
              <w:t>5t</w:t>
            </w:r>
            <w:r>
              <w:rPr>
                <w:rFonts w:hint="eastAsia" w:ascii="宋体" w:hAnsi="宋体"/>
                <w:sz w:val="24"/>
                <w:szCs w:val="24"/>
              </w:rPr>
              <w:t>。</w:t>
            </w:r>
          </w:p>
          <w:p>
            <w:pPr>
              <w:pStyle w:val="134"/>
              <w:ind w:firstLine="480"/>
            </w:pPr>
            <w:r>
              <w:rPr>
                <w:rFonts w:hint="eastAsia" w:ascii="宋体" w:hAnsi="宋体"/>
              </w:rPr>
              <w:t>（</w:t>
            </w:r>
            <w:r>
              <w:t>2</w:t>
            </w:r>
            <w:r>
              <w:rPr>
                <w:rFonts w:hint="eastAsia" w:ascii="宋体" w:hAnsi="宋体"/>
              </w:rPr>
              <w:t>）风险潜势初判</w:t>
            </w:r>
          </w:p>
          <w:p>
            <w:pPr>
              <w:pStyle w:val="2"/>
              <w:spacing w:line="360" w:lineRule="auto"/>
              <w:ind w:firstLine="480" w:firstLineChars="200"/>
            </w:pPr>
            <w:r>
              <w:rPr>
                <w:rFonts w:hint="eastAsia"/>
              </w:rPr>
              <w:t>①危险物质数量与临界量比值（</w:t>
            </w:r>
            <w:r>
              <w:t>Q</w:t>
            </w:r>
            <w:r>
              <w:rPr>
                <w:rFonts w:hint="eastAsia" w:ascii="宋体" w:hAnsi="宋体"/>
              </w:rPr>
              <w:t>）</w:t>
            </w:r>
          </w:p>
          <w:p>
            <w:pPr>
              <w:pStyle w:val="2"/>
              <w:spacing w:line="360" w:lineRule="auto"/>
              <w:ind w:firstLine="480" w:firstLineChars="200"/>
            </w:pPr>
            <w:r>
              <w:rPr>
                <w:rFonts w:hint="eastAsia" w:ascii="宋体" w:hAnsi="宋体"/>
              </w:rPr>
              <w:t>当只涉及一种危险物质时，计算该物质的总量与其临界量比值，即为</w:t>
            </w:r>
            <w:r>
              <w:t xml:space="preserve"> </w:t>
            </w:r>
            <w:r>
              <w:rPr>
                <w:i/>
                <w:iCs/>
              </w:rPr>
              <w:t>Q</w:t>
            </w:r>
            <w:r>
              <w:rPr>
                <w:rFonts w:hint="eastAsia" w:ascii="宋体" w:hAnsi="宋体"/>
              </w:rPr>
              <w:t>；</w:t>
            </w:r>
          </w:p>
          <w:p>
            <w:pPr>
              <w:pStyle w:val="2"/>
              <w:spacing w:line="360" w:lineRule="auto"/>
              <w:ind w:firstLine="508" w:firstLineChars="200"/>
              <w:rPr>
                <w:spacing w:val="7"/>
              </w:rPr>
            </w:pPr>
            <w:r>
              <w:rPr>
                <w:rFonts w:hint="eastAsia" w:ascii="宋体" w:hAnsi="宋体"/>
                <w:spacing w:val="7"/>
              </w:rPr>
              <w:t>当存在多种危险物质时，则按下式计算物质总量与其临界量比值（</w:t>
            </w:r>
            <w:r>
              <w:rPr>
                <w:i/>
                <w:iCs/>
              </w:rPr>
              <w:t>Q</w:t>
            </w:r>
            <w:r>
              <w:rPr>
                <w:rFonts w:hint="eastAsia" w:ascii="宋体" w:hAnsi="宋体"/>
                <w:spacing w:val="7"/>
              </w:rPr>
              <w:t>）：</w:t>
            </w:r>
          </w:p>
          <w:p>
            <w:pPr>
              <w:pStyle w:val="2"/>
              <w:spacing w:line="360" w:lineRule="auto"/>
              <w:ind w:firstLine="480" w:firstLineChars="200"/>
              <w:rPr>
                <w:spacing w:val="7"/>
              </w:rPr>
            </w:pPr>
            <w:r>
              <w:drawing>
                <wp:inline distT="0" distB="0" distL="0" distR="0">
                  <wp:extent cx="1839595" cy="46799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839595" cy="467995"/>
                          </a:xfrm>
                          <a:prstGeom prst="rect">
                            <a:avLst/>
                          </a:prstGeom>
                          <a:noFill/>
                          <a:ln>
                            <a:noFill/>
                          </a:ln>
                        </pic:spPr>
                      </pic:pic>
                    </a:graphicData>
                  </a:graphic>
                </wp:inline>
              </w:drawing>
            </w:r>
            <w:r>
              <w:rPr>
                <w:spacing w:val="7"/>
              </w:rPr>
              <w:t xml:space="preserve"> </w:t>
            </w:r>
          </w:p>
          <w:p>
            <w:pPr>
              <w:pStyle w:val="2"/>
              <w:spacing w:line="360" w:lineRule="auto"/>
              <w:ind w:firstLine="480" w:firstLineChars="200"/>
            </w:pPr>
            <w:r>
              <w:rPr>
                <w:rFonts w:hint="eastAsia" w:hAnsi="宋体"/>
              </w:rPr>
              <w:t>式中：</w:t>
            </w:r>
            <w:r>
              <w:rPr>
                <w:i/>
                <w:iCs/>
              </w:rPr>
              <w:t>q</w:t>
            </w:r>
            <w:r>
              <w:rPr>
                <w:vertAlign w:val="subscript"/>
              </w:rPr>
              <w:t>1</w:t>
            </w:r>
            <w:r>
              <w:rPr>
                <w:rFonts w:hint="eastAsia" w:hAnsi="宋体"/>
              </w:rPr>
              <w:t>，</w:t>
            </w:r>
            <w:r>
              <w:rPr>
                <w:i/>
                <w:iCs/>
              </w:rPr>
              <w:t>q</w:t>
            </w:r>
            <w:r>
              <w:rPr>
                <w:vertAlign w:val="subscript"/>
              </w:rPr>
              <w:t>2</w:t>
            </w:r>
            <w:r>
              <w:rPr>
                <w:rFonts w:hint="eastAsia" w:hAnsi="宋体"/>
              </w:rPr>
              <w:t>，</w:t>
            </w:r>
            <w:r>
              <w:t>...</w:t>
            </w:r>
            <w:r>
              <w:rPr>
                <w:rFonts w:hint="eastAsia" w:hAnsi="宋体"/>
              </w:rPr>
              <w:t>，</w:t>
            </w:r>
            <w:r>
              <w:rPr>
                <w:i/>
                <w:iCs/>
              </w:rPr>
              <w:t>q</w:t>
            </w:r>
            <w:r>
              <w:rPr>
                <w:i/>
                <w:iCs/>
                <w:vertAlign w:val="subscript"/>
              </w:rPr>
              <w:t>n</w:t>
            </w:r>
            <w:r>
              <w:t>——</w:t>
            </w:r>
            <w:r>
              <w:rPr>
                <w:rFonts w:hint="eastAsia" w:hAnsi="宋体"/>
              </w:rPr>
              <w:t>每种危险物质的最大存在总量，</w:t>
            </w:r>
            <w:r>
              <w:t>t</w:t>
            </w:r>
            <w:r>
              <w:rPr>
                <w:rFonts w:hint="eastAsia" w:hAnsi="宋体"/>
              </w:rPr>
              <w:t>；</w:t>
            </w:r>
          </w:p>
          <w:p>
            <w:pPr>
              <w:pStyle w:val="2"/>
              <w:spacing w:line="360" w:lineRule="auto"/>
              <w:ind w:firstLine="480" w:firstLineChars="200"/>
            </w:pPr>
            <w:r>
              <w:rPr>
                <w:i/>
                <w:iCs/>
              </w:rPr>
              <w:t>Q</w:t>
            </w:r>
            <w:r>
              <w:rPr>
                <w:vertAlign w:val="subscript"/>
              </w:rPr>
              <w:t>1</w:t>
            </w:r>
            <w:r>
              <w:t xml:space="preserve">, </w:t>
            </w:r>
            <w:r>
              <w:rPr>
                <w:i/>
                <w:iCs/>
              </w:rPr>
              <w:t>Q</w:t>
            </w:r>
            <w:r>
              <w:rPr>
                <w:vertAlign w:val="subscript"/>
              </w:rPr>
              <w:t>2</w:t>
            </w:r>
            <w:r>
              <w:t xml:space="preserve">, ..., </w:t>
            </w:r>
            <w:r>
              <w:rPr>
                <w:i/>
                <w:iCs/>
              </w:rPr>
              <w:t>Q</w:t>
            </w:r>
            <w:r>
              <w:rPr>
                <w:i/>
                <w:iCs/>
                <w:vertAlign w:val="subscript"/>
              </w:rPr>
              <w:t>n</w:t>
            </w:r>
            <w:r>
              <w:t>——</w:t>
            </w:r>
            <w:r>
              <w:rPr>
                <w:rFonts w:hint="eastAsia" w:hAnsi="宋体"/>
              </w:rPr>
              <w:t>每种危险物的临界量，</w:t>
            </w:r>
            <w:r>
              <w:t>t</w:t>
            </w:r>
            <w:r>
              <w:rPr>
                <w:rFonts w:hint="eastAsia" w:hAnsi="宋体"/>
              </w:rPr>
              <w:t>。</w:t>
            </w:r>
          </w:p>
          <w:p>
            <w:pPr>
              <w:pStyle w:val="2"/>
              <w:spacing w:line="360" w:lineRule="auto"/>
              <w:ind w:firstLine="480" w:firstLineChars="200"/>
            </w:pPr>
            <w:r>
              <w:rPr>
                <w:rFonts w:hint="eastAsia" w:hAnsi="宋体"/>
              </w:rPr>
              <w:t>当</w:t>
            </w:r>
            <w:r>
              <w:rPr>
                <w:i/>
                <w:iCs/>
              </w:rPr>
              <w:t>Q</w:t>
            </w:r>
            <w:r>
              <w:rPr>
                <w:rFonts w:hint="eastAsia" w:hAnsi="宋体"/>
              </w:rPr>
              <w:t>＜</w:t>
            </w:r>
            <w:r>
              <w:t xml:space="preserve">1 </w:t>
            </w:r>
            <w:r>
              <w:rPr>
                <w:rFonts w:hint="eastAsia" w:hAnsi="宋体"/>
              </w:rPr>
              <w:t>时，该项目环境风险潜势为</w:t>
            </w:r>
            <w:r>
              <w:rPr>
                <w:rFonts w:hAnsi="宋体"/>
              </w:rPr>
              <w:t>Ⅰ</w:t>
            </w:r>
            <w:r>
              <w:rPr>
                <w:rFonts w:hint="eastAsia" w:hAnsi="宋体"/>
              </w:rPr>
              <w:t>。</w:t>
            </w:r>
          </w:p>
          <w:p>
            <w:pPr>
              <w:snapToGrid w:val="0"/>
              <w:spacing w:line="360" w:lineRule="auto"/>
              <w:ind w:firstLine="372" w:firstLineChars="200"/>
              <w:rPr>
                <w:rFonts w:ascii="Times New Roman" w:hAnsi="Times New Roman"/>
                <w:b/>
                <w:bCs/>
                <w:kern w:val="0"/>
                <w:sz w:val="24"/>
                <w:szCs w:val="24"/>
              </w:rPr>
            </w:pPr>
            <w:r>
              <w:rPr>
                <w:rFonts w:ascii="Times New Roman" w:hAnsi="Times New Roman"/>
                <w:spacing w:val="-27"/>
                <w:sz w:val="24"/>
                <w:szCs w:val="24"/>
              </w:rPr>
              <w:t xml:space="preserve">  </w:t>
            </w:r>
            <w:r>
              <w:rPr>
                <w:rFonts w:hint="eastAsia" w:ascii="Times New Roman" w:hAnsi="宋体"/>
                <w:spacing w:val="-27"/>
                <w:sz w:val="24"/>
                <w:szCs w:val="24"/>
              </w:rPr>
              <w:t>当</w:t>
            </w:r>
            <w:r>
              <w:rPr>
                <w:rFonts w:ascii="Times New Roman" w:hAnsi="Times New Roman"/>
                <w:spacing w:val="-27"/>
                <w:sz w:val="24"/>
                <w:szCs w:val="24"/>
              </w:rPr>
              <w:t xml:space="preserve"> </w:t>
            </w:r>
            <w:r>
              <w:rPr>
                <w:rFonts w:ascii="Times New Roman" w:hAnsi="Times New Roman"/>
                <w:i/>
                <w:iCs/>
                <w:spacing w:val="-1"/>
                <w:sz w:val="24"/>
                <w:szCs w:val="24"/>
              </w:rPr>
              <w:t>Q</w:t>
            </w:r>
            <w:r>
              <w:rPr>
                <w:rFonts w:ascii="Times New Roman" w:hAnsi="Times New Roman"/>
                <w:sz w:val="24"/>
                <w:szCs w:val="24"/>
              </w:rPr>
              <w:t xml:space="preserve">≥1 </w:t>
            </w:r>
            <w:r>
              <w:rPr>
                <w:rFonts w:hint="eastAsia" w:ascii="Times New Roman" w:hAnsi="宋体"/>
                <w:spacing w:val="-14"/>
                <w:sz w:val="24"/>
                <w:szCs w:val="24"/>
              </w:rPr>
              <w:t>时，将</w:t>
            </w:r>
            <w:r>
              <w:rPr>
                <w:rFonts w:ascii="Times New Roman" w:hAnsi="Times New Roman"/>
                <w:spacing w:val="-14"/>
                <w:sz w:val="24"/>
                <w:szCs w:val="24"/>
              </w:rPr>
              <w:t xml:space="preserve"> </w:t>
            </w:r>
            <w:r>
              <w:rPr>
                <w:rFonts w:ascii="Times New Roman" w:hAnsi="Times New Roman"/>
                <w:i/>
                <w:iCs/>
                <w:sz w:val="24"/>
                <w:szCs w:val="24"/>
              </w:rPr>
              <w:t>Q</w:t>
            </w:r>
            <w:r>
              <w:rPr>
                <w:rFonts w:hint="eastAsia" w:ascii="Times New Roman" w:hAnsi="宋体"/>
                <w:spacing w:val="-21"/>
                <w:sz w:val="24"/>
                <w:szCs w:val="24"/>
              </w:rPr>
              <w:t>值划分为：</w:t>
            </w:r>
            <w:r>
              <w:rPr>
                <w:rFonts w:hint="eastAsia" w:ascii="Times New Roman" w:hAnsi="宋体"/>
                <w:sz w:val="24"/>
                <w:szCs w:val="24"/>
              </w:rPr>
              <w:t>（</w:t>
            </w:r>
            <w:r>
              <w:rPr>
                <w:rFonts w:ascii="Times New Roman" w:hAnsi="Times New Roman"/>
                <w:sz w:val="24"/>
                <w:szCs w:val="24"/>
              </w:rPr>
              <w:t>1</w:t>
            </w:r>
            <w:r>
              <w:rPr>
                <w:rFonts w:hint="eastAsia" w:ascii="Times New Roman" w:hAnsi="宋体"/>
                <w:spacing w:val="-2"/>
                <w:sz w:val="24"/>
                <w:szCs w:val="24"/>
              </w:rPr>
              <w:t>）</w:t>
            </w:r>
            <w:r>
              <w:rPr>
                <w:rFonts w:ascii="Times New Roman" w:hAnsi="Times New Roman"/>
                <w:sz w:val="24"/>
                <w:szCs w:val="24"/>
              </w:rPr>
              <w:t>1</w:t>
            </w:r>
            <w:r>
              <w:rPr>
                <w:rFonts w:ascii="Times New Roman" w:hAnsi="Times New Roman"/>
                <w:spacing w:val="-2"/>
                <w:sz w:val="24"/>
                <w:szCs w:val="24"/>
              </w:rPr>
              <w:t>≤</w:t>
            </w:r>
            <w:r>
              <w:rPr>
                <w:rFonts w:ascii="Times New Roman" w:hAnsi="Times New Roman"/>
                <w:i/>
                <w:iCs/>
                <w:spacing w:val="-1"/>
                <w:sz w:val="24"/>
                <w:szCs w:val="24"/>
              </w:rPr>
              <w:t>Q</w:t>
            </w:r>
            <w:r>
              <w:rPr>
                <w:rFonts w:hint="eastAsia" w:ascii="Times New Roman" w:hAnsi="宋体"/>
                <w:sz w:val="24"/>
                <w:szCs w:val="24"/>
              </w:rPr>
              <w:t>＜</w:t>
            </w:r>
            <w:r>
              <w:rPr>
                <w:rFonts w:ascii="Times New Roman" w:hAnsi="Times New Roman"/>
                <w:sz w:val="24"/>
                <w:szCs w:val="24"/>
              </w:rPr>
              <w:t>10</w:t>
            </w:r>
            <w:r>
              <w:rPr>
                <w:rFonts w:hint="eastAsia" w:ascii="Times New Roman" w:hAnsi="宋体"/>
                <w:spacing w:val="-105"/>
                <w:sz w:val="24"/>
                <w:szCs w:val="24"/>
              </w:rPr>
              <w:t>；</w:t>
            </w:r>
            <w:r>
              <w:rPr>
                <w:rFonts w:hint="eastAsia" w:ascii="Times New Roman" w:hAnsi="宋体"/>
                <w:spacing w:val="-2"/>
                <w:sz w:val="24"/>
                <w:szCs w:val="24"/>
              </w:rPr>
              <w:t>（</w:t>
            </w:r>
            <w:r>
              <w:rPr>
                <w:rFonts w:ascii="Times New Roman" w:hAnsi="Times New Roman"/>
                <w:sz w:val="24"/>
                <w:szCs w:val="24"/>
              </w:rPr>
              <w:t>2</w:t>
            </w:r>
            <w:r>
              <w:rPr>
                <w:rFonts w:hint="eastAsia" w:ascii="Times New Roman" w:hAnsi="宋体"/>
                <w:spacing w:val="-2"/>
                <w:sz w:val="24"/>
                <w:szCs w:val="24"/>
              </w:rPr>
              <w:t>）</w:t>
            </w:r>
            <w:r>
              <w:rPr>
                <w:rFonts w:ascii="Times New Roman" w:hAnsi="Times New Roman"/>
                <w:sz w:val="24"/>
                <w:szCs w:val="24"/>
              </w:rPr>
              <w:t>10≤</w:t>
            </w:r>
            <w:r>
              <w:rPr>
                <w:rFonts w:ascii="Times New Roman" w:hAnsi="Times New Roman"/>
                <w:i/>
                <w:iCs/>
                <w:spacing w:val="-1"/>
                <w:sz w:val="24"/>
                <w:szCs w:val="24"/>
              </w:rPr>
              <w:t>Q</w:t>
            </w:r>
            <w:r>
              <w:rPr>
                <w:rFonts w:hint="eastAsia" w:ascii="Times New Roman" w:hAnsi="宋体"/>
                <w:sz w:val="24"/>
                <w:szCs w:val="24"/>
              </w:rPr>
              <w:t>＜</w:t>
            </w:r>
            <w:r>
              <w:rPr>
                <w:rFonts w:ascii="Times New Roman" w:hAnsi="Times New Roman"/>
                <w:spacing w:val="-1"/>
                <w:sz w:val="24"/>
                <w:szCs w:val="24"/>
              </w:rPr>
              <w:t>1</w:t>
            </w:r>
            <w:r>
              <w:rPr>
                <w:rFonts w:ascii="Times New Roman" w:hAnsi="Times New Roman"/>
                <w:sz w:val="24"/>
                <w:szCs w:val="24"/>
              </w:rPr>
              <w:t>0</w:t>
            </w:r>
            <w:r>
              <w:rPr>
                <w:rFonts w:ascii="Times New Roman" w:hAnsi="Times New Roman"/>
                <w:spacing w:val="-1"/>
                <w:sz w:val="24"/>
                <w:szCs w:val="24"/>
              </w:rPr>
              <w:t>0</w:t>
            </w:r>
            <w:r>
              <w:rPr>
                <w:rFonts w:hint="eastAsia" w:ascii="Times New Roman" w:hAnsi="宋体"/>
                <w:spacing w:val="-106"/>
                <w:sz w:val="24"/>
                <w:szCs w:val="24"/>
              </w:rPr>
              <w:t>；</w:t>
            </w:r>
            <w:r>
              <w:rPr>
                <w:rFonts w:hint="eastAsia" w:ascii="Times New Roman" w:hAnsi="宋体"/>
                <w:sz w:val="24"/>
                <w:szCs w:val="24"/>
              </w:rPr>
              <w:t>（</w:t>
            </w:r>
            <w:r>
              <w:rPr>
                <w:rFonts w:ascii="Times New Roman" w:hAnsi="Times New Roman"/>
                <w:sz w:val="24"/>
                <w:szCs w:val="24"/>
              </w:rPr>
              <w:t>3</w:t>
            </w:r>
            <w:r>
              <w:rPr>
                <w:rFonts w:hint="eastAsia" w:ascii="Times New Roman" w:hAnsi="宋体"/>
                <w:sz w:val="24"/>
                <w:szCs w:val="24"/>
              </w:rPr>
              <w:t>）</w:t>
            </w:r>
            <w:r>
              <w:rPr>
                <w:rFonts w:ascii="Times New Roman" w:hAnsi="Times New Roman"/>
                <w:i/>
                <w:iCs/>
                <w:spacing w:val="-1"/>
                <w:sz w:val="24"/>
                <w:szCs w:val="24"/>
              </w:rPr>
              <w:t>Q</w:t>
            </w:r>
            <w:r>
              <w:rPr>
                <w:rFonts w:ascii="Times New Roman" w:hAnsi="Times New Roman"/>
                <w:sz w:val="24"/>
                <w:szCs w:val="24"/>
              </w:rPr>
              <w:t>≥1</w:t>
            </w:r>
            <w:r>
              <w:rPr>
                <w:rFonts w:ascii="Times New Roman" w:hAnsi="Times New Roman"/>
                <w:spacing w:val="-1"/>
                <w:sz w:val="24"/>
                <w:szCs w:val="24"/>
              </w:rPr>
              <w:t>00</w:t>
            </w:r>
            <w:r>
              <w:rPr>
                <w:rFonts w:hint="eastAsia" w:ascii="Times New Roman" w:hAnsi="宋体"/>
                <w:sz w:val="24"/>
                <w:szCs w:val="24"/>
              </w:rPr>
              <w:t>。</w:t>
            </w:r>
          </w:p>
          <w:p>
            <w:pPr>
              <w:spacing w:line="360" w:lineRule="auto"/>
              <w:ind w:firstLine="480" w:firstLineChars="200"/>
              <w:rPr>
                <w:rFonts w:ascii="Times New Roman" w:hAnsi="Times New Roman"/>
                <w:sz w:val="24"/>
                <w:szCs w:val="24"/>
              </w:rPr>
            </w:pPr>
            <w:r>
              <w:rPr>
                <w:rFonts w:hint="eastAsia" w:ascii="Times New Roman" w:hAnsi="宋体"/>
                <w:sz w:val="24"/>
                <w:szCs w:val="24"/>
              </w:rPr>
              <w:t>经计算，本项目</w:t>
            </w:r>
            <w:r>
              <w:rPr>
                <w:rFonts w:ascii="Times New Roman" w:hAnsi="Times New Roman"/>
                <w:sz w:val="24"/>
                <w:szCs w:val="24"/>
              </w:rPr>
              <w:t>Q=3/5=0.6</w:t>
            </w:r>
            <w:r>
              <w:rPr>
                <w:rFonts w:hint="eastAsia" w:ascii="Times New Roman" w:hAnsi="宋体"/>
                <w:sz w:val="24"/>
                <w:szCs w:val="24"/>
              </w:rPr>
              <w:t>＜</w:t>
            </w:r>
            <w:r>
              <w:rPr>
                <w:rFonts w:ascii="Times New Roman" w:hAnsi="Times New Roman"/>
                <w:sz w:val="24"/>
                <w:szCs w:val="24"/>
              </w:rPr>
              <w:t>1</w:t>
            </w:r>
            <w:r>
              <w:rPr>
                <w:rFonts w:hint="eastAsia" w:ascii="Times New Roman" w:hAnsi="宋体"/>
                <w:sz w:val="24"/>
                <w:szCs w:val="24"/>
              </w:rPr>
              <w:t>；</w:t>
            </w:r>
          </w:p>
          <w:p>
            <w:pPr>
              <w:snapToGrid w:val="0"/>
              <w:spacing w:line="360" w:lineRule="auto"/>
              <w:ind w:firstLine="480" w:firstLineChars="200"/>
              <w:rPr>
                <w:rFonts w:ascii="Times New Roman" w:hAnsi="Times New Roman"/>
                <w:sz w:val="24"/>
                <w:szCs w:val="24"/>
              </w:rPr>
            </w:pPr>
            <w:r>
              <w:rPr>
                <w:rFonts w:hint="eastAsia" w:ascii="Times New Roman" w:hAnsi="宋体"/>
                <w:sz w:val="24"/>
                <w:szCs w:val="24"/>
              </w:rPr>
              <w:t>该项目环境风险潜势为</w:t>
            </w:r>
            <w:r>
              <w:rPr>
                <w:rFonts w:ascii="Times New Roman" w:hAnsi="宋体"/>
                <w:sz w:val="24"/>
                <w:szCs w:val="24"/>
              </w:rPr>
              <w:t>Ⅰ</w:t>
            </w:r>
            <w:r>
              <w:rPr>
                <w:rFonts w:hint="eastAsia" w:ascii="Times New Roman" w:hAnsi="宋体"/>
                <w:sz w:val="24"/>
                <w:szCs w:val="24"/>
              </w:rPr>
              <w:t>。</w:t>
            </w:r>
          </w:p>
          <w:p>
            <w:pPr>
              <w:pStyle w:val="134"/>
              <w:ind w:firstLine="480"/>
            </w:pPr>
            <w:r>
              <w:rPr>
                <w:rFonts w:hint="eastAsia" w:ascii="宋体" w:hAnsi="宋体"/>
              </w:rPr>
              <w:t>（</w:t>
            </w:r>
            <w:r>
              <w:t>3</w:t>
            </w:r>
            <w:r>
              <w:rPr>
                <w:rFonts w:hint="eastAsia" w:ascii="宋体" w:hAnsi="宋体"/>
              </w:rPr>
              <w:t>）评价等级</w:t>
            </w:r>
          </w:p>
          <w:p>
            <w:pPr>
              <w:spacing w:line="360" w:lineRule="auto"/>
              <w:ind w:firstLine="480" w:firstLineChars="200"/>
              <w:rPr>
                <w:rFonts w:ascii="Times New Roman" w:hAnsi="Times New Roman"/>
                <w:sz w:val="24"/>
                <w:szCs w:val="24"/>
              </w:rPr>
            </w:pPr>
            <w:r>
              <w:rPr>
                <w:rFonts w:hint="eastAsia" w:ascii="Times New Roman" w:hAnsi="宋体"/>
                <w:sz w:val="24"/>
                <w:szCs w:val="24"/>
              </w:rPr>
              <w:t>根据《建设项目环境风险评价技术导则》（</w:t>
            </w:r>
            <w:r>
              <w:rPr>
                <w:rFonts w:ascii="Times New Roman" w:hAnsi="Times New Roman"/>
                <w:sz w:val="24"/>
                <w:szCs w:val="24"/>
              </w:rPr>
              <w:t>HJ 169-2018</w:t>
            </w:r>
            <w:r>
              <w:rPr>
                <w:rFonts w:hint="eastAsia" w:ascii="Times New Roman" w:hAnsi="宋体"/>
                <w:sz w:val="24"/>
                <w:szCs w:val="24"/>
              </w:rPr>
              <w:t>），环境风险评价等级根据表</w:t>
            </w:r>
            <w:r>
              <w:rPr>
                <w:rFonts w:ascii="Times New Roman" w:hAnsi="Times New Roman"/>
                <w:sz w:val="24"/>
                <w:szCs w:val="24"/>
              </w:rPr>
              <w:t>6-27</w:t>
            </w:r>
            <w:r>
              <w:rPr>
                <w:rFonts w:hint="eastAsia" w:ascii="Times New Roman" w:hAnsi="宋体"/>
                <w:sz w:val="24"/>
                <w:szCs w:val="24"/>
              </w:rPr>
              <w:t>进行划分。</w:t>
            </w:r>
          </w:p>
          <w:p>
            <w:pPr>
              <w:jc w:val="center"/>
              <w:rPr>
                <w:rFonts w:ascii="Times New Roman" w:hAnsi="Times New Roman"/>
                <w:b/>
                <w:bCs/>
                <w:sz w:val="24"/>
                <w:szCs w:val="24"/>
              </w:rPr>
            </w:pPr>
            <w:r>
              <w:rPr>
                <w:rFonts w:hint="eastAsia" w:ascii="Times New Roman" w:hAnsi="宋体"/>
                <w:b/>
                <w:bCs/>
                <w:sz w:val="24"/>
                <w:szCs w:val="24"/>
              </w:rPr>
              <w:t>表</w:t>
            </w:r>
            <w:r>
              <w:rPr>
                <w:rFonts w:ascii="Times New Roman" w:hAnsi="Times New Roman"/>
                <w:b/>
                <w:bCs/>
                <w:sz w:val="24"/>
                <w:szCs w:val="24"/>
              </w:rPr>
              <w:t>6-27</w:t>
            </w:r>
            <w:r>
              <w:rPr>
                <w:rFonts w:hint="eastAsia" w:ascii="Times New Roman" w:hAnsi="宋体"/>
                <w:b/>
                <w:bCs/>
                <w:sz w:val="24"/>
                <w:szCs w:val="24"/>
              </w:rPr>
              <w:t>环境评价等级划分表</w:t>
            </w:r>
          </w:p>
          <w:tbl>
            <w:tblPr>
              <w:tblStyle w:val="37"/>
              <w:tblW w:w="941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883"/>
              <w:gridCol w:w="1883"/>
              <w:gridCol w:w="1883"/>
              <w:gridCol w:w="1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1884" w:type="dxa"/>
                  <w:tcBorders>
                    <w:top w:val="single" w:color="auto" w:sz="12" w:space="0"/>
                    <w:left w:val="single" w:color="auto" w:sz="12" w:space="0"/>
                    <w:bottom w:val="single" w:color="auto" w:sz="4" w:space="0"/>
                    <w:right w:val="single" w:color="auto" w:sz="4" w:space="0"/>
                  </w:tcBorders>
                  <w:vAlign w:val="center"/>
                </w:tcPr>
                <w:p>
                  <w:pPr>
                    <w:jc w:val="center"/>
                    <w:rPr>
                      <w:szCs w:val="21"/>
                    </w:rPr>
                  </w:pPr>
                  <w:r>
                    <w:rPr>
                      <w:rFonts w:hint="eastAsia"/>
                    </w:rPr>
                    <w:t>环境风险潜势</w:t>
                  </w:r>
                </w:p>
              </w:tc>
              <w:tc>
                <w:tcPr>
                  <w:tcW w:w="1883" w:type="dxa"/>
                  <w:tcBorders>
                    <w:top w:val="single" w:color="auto" w:sz="12"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rPr>
                    <w:t>Ⅳ</w:t>
                  </w:r>
                  <w:r>
                    <w:rPr>
                      <w:rFonts w:hint="eastAsia" w:ascii="宋体" w:hAnsi="宋体"/>
                    </w:rPr>
                    <w:t>、</w:t>
                  </w:r>
                  <w:r>
                    <w:rPr>
                      <w:rFonts w:hint="eastAsia" w:ascii="宋体" w:hAnsi="宋体" w:cs="宋体"/>
                    </w:rPr>
                    <w:t>Ⅳ</w:t>
                  </w:r>
                  <w:r>
                    <w:rPr>
                      <w:vertAlign w:val="superscript"/>
                    </w:rPr>
                    <w:t>+</w:t>
                  </w:r>
                </w:p>
              </w:tc>
              <w:tc>
                <w:tcPr>
                  <w:tcW w:w="1883" w:type="dxa"/>
                  <w:tcBorders>
                    <w:top w:val="single" w:color="auto" w:sz="12"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rPr>
                    <w:t>Ⅲ</w:t>
                  </w:r>
                </w:p>
              </w:tc>
              <w:tc>
                <w:tcPr>
                  <w:tcW w:w="1883" w:type="dxa"/>
                  <w:tcBorders>
                    <w:top w:val="single" w:color="auto" w:sz="12" w:space="0"/>
                    <w:left w:val="single" w:color="auto" w:sz="4" w:space="0"/>
                    <w:bottom w:val="single" w:color="auto" w:sz="4" w:space="0"/>
                    <w:right w:val="single" w:color="auto" w:sz="4" w:space="0"/>
                  </w:tcBorders>
                  <w:vAlign w:val="center"/>
                </w:tcPr>
                <w:p>
                  <w:pPr>
                    <w:jc w:val="center"/>
                    <w:rPr>
                      <w:szCs w:val="21"/>
                    </w:rPr>
                  </w:pPr>
                  <w:r>
                    <w:rPr>
                      <w:rFonts w:hint="eastAsia" w:ascii="宋体" w:hAnsi="宋体" w:cs="宋体"/>
                    </w:rPr>
                    <w:t>Ⅱ</w:t>
                  </w:r>
                </w:p>
              </w:tc>
              <w:tc>
                <w:tcPr>
                  <w:tcW w:w="1883" w:type="dxa"/>
                  <w:tcBorders>
                    <w:top w:val="single" w:color="auto" w:sz="12" w:space="0"/>
                    <w:left w:val="single" w:color="auto" w:sz="4" w:space="0"/>
                    <w:bottom w:val="single" w:color="auto" w:sz="4" w:space="0"/>
                    <w:right w:val="single" w:color="auto" w:sz="12" w:space="0"/>
                  </w:tcBorders>
                  <w:vAlign w:val="center"/>
                </w:tcPr>
                <w:p>
                  <w:pPr>
                    <w:jc w:val="center"/>
                    <w:rPr>
                      <w:szCs w:val="21"/>
                    </w:rPr>
                  </w:pPr>
                  <w:r>
                    <w:rPr>
                      <w:rFonts w:hint="eastAsia" w:ascii="宋体" w:hAnsi="宋体" w:cs="宋体"/>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884" w:type="dxa"/>
                  <w:tcBorders>
                    <w:top w:val="single" w:color="auto" w:sz="4" w:space="0"/>
                    <w:left w:val="single" w:color="auto" w:sz="12" w:space="0"/>
                    <w:bottom w:val="single" w:color="auto" w:sz="4" w:space="0"/>
                    <w:right w:val="single" w:color="auto" w:sz="4" w:space="0"/>
                  </w:tcBorders>
                  <w:vAlign w:val="center"/>
                </w:tcPr>
                <w:p>
                  <w:pPr>
                    <w:jc w:val="center"/>
                    <w:rPr>
                      <w:szCs w:val="21"/>
                    </w:rPr>
                  </w:pPr>
                  <w:r>
                    <w:rPr>
                      <w:rFonts w:hint="eastAsia"/>
                    </w:rPr>
                    <w:t>评价工作等级</w:t>
                  </w:r>
                </w:p>
              </w:tc>
              <w:tc>
                <w:tcPr>
                  <w:tcW w:w="188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rPr>
                    <w:t>一</w:t>
                  </w:r>
                </w:p>
              </w:tc>
              <w:tc>
                <w:tcPr>
                  <w:tcW w:w="188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rPr>
                    <w:t>二</w:t>
                  </w:r>
                </w:p>
              </w:tc>
              <w:tc>
                <w:tcPr>
                  <w:tcW w:w="188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rPr>
                    <w:t>三</w:t>
                  </w:r>
                </w:p>
              </w:tc>
              <w:tc>
                <w:tcPr>
                  <w:tcW w:w="1883" w:type="dxa"/>
                  <w:tcBorders>
                    <w:top w:val="single" w:color="auto" w:sz="4" w:space="0"/>
                    <w:left w:val="single" w:color="auto" w:sz="4" w:space="0"/>
                    <w:bottom w:val="single" w:color="auto" w:sz="4" w:space="0"/>
                    <w:right w:val="single" w:color="auto" w:sz="12" w:space="0"/>
                  </w:tcBorders>
                  <w:vAlign w:val="center"/>
                </w:tcPr>
                <w:p>
                  <w:pPr>
                    <w:jc w:val="center"/>
                    <w:rPr>
                      <w:szCs w:val="21"/>
                    </w:rPr>
                  </w:pPr>
                  <w:r>
                    <w:rPr>
                      <w:rFonts w:hint="eastAsia"/>
                    </w:rPr>
                    <w:t>简单分析</w:t>
                  </w:r>
                  <w:r>
                    <w:rPr>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9416" w:type="dxa"/>
                  <w:gridSpan w:val="5"/>
                  <w:tcBorders>
                    <w:top w:val="single" w:color="auto" w:sz="4" w:space="0"/>
                    <w:left w:val="single" w:color="auto" w:sz="12" w:space="0"/>
                    <w:bottom w:val="single" w:color="auto" w:sz="12" w:space="0"/>
                    <w:right w:val="single" w:color="auto" w:sz="12" w:space="0"/>
                  </w:tcBorders>
                  <w:vAlign w:val="center"/>
                </w:tcPr>
                <w:p>
                  <w:pPr>
                    <w:rPr>
                      <w:szCs w:val="21"/>
                    </w:rPr>
                  </w:pPr>
                  <w:r>
                    <w:t>a</w:t>
                  </w:r>
                  <w:r>
                    <w:rPr>
                      <w:rFonts w:hint="eastAsia" w:ascii="宋体" w:hAnsi="宋体"/>
                    </w:rPr>
                    <w:t>是相对于详细评价工作内容而言，在描述危险物质、环境影响途径、环境危害后果、风险防范措施等方面给出定性的说明。见附录</w:t>
                  </w:r>
                  <w:r>
                    <w:t>A</w:t>
                  </w:r>
                  <w:r>
                    <w:rPr>
                      <w:rFonts w:hint="eastAsia" w:ascii="宋体" w:hAnsi="宋体"/>
                    </w:rPr>
                    <w:t>。</w:t>
                  </w:r>
                </w:p>
              </w:tc>
            </w:tr>
          </w:tbl>
          <w:p>
            <w:pPr>
              <w:snapToGrid w:val="0"/>
              <w:spacing w:line="360" w:lineRule="auto"/>
              <w:ind w:firstLine="480" w:firstLineChars="200"/>
              <w:rPr>
                <w:rFonts w:ascii="Times New Roman" w:hAnsi="Times New Roman"/>
                <w:sz w:val="24"/>
                <w:szCs w:val="24"/>
              </w:rPr>
            </w:pPr>
            <w:r>
              <w:rPr>
                <w:sz w:val="24"/>
                <w:szCs w:val="24"/>
              </w:rPr>
              <w:t xml:space="preserve"> </w:t>
            </w:r>
          </w:p>
          <w:p>
            <w:pPr>
              <w:snapToGrid w:val="0"/>
              <w:spacing w:line="360" w:lineRule="auto"/>
              <w:ind w:firstLine="480" w:firstLineChars="200"/>
              <w:rPr>
                <w:sz w:val="24"/>
                <w:szCs w:val="24"/>
              </w:rPr>
            </w:pPr>
            <w:r>
              <w:rPr>
                <w:rFonts w:hint="eastAsia" w:ascii="宋体" w:hAnsi="宋体"/>
                <w:sz w:val="24"/>
                <w:szCs w:val="24"/>
              </w:rPr>
              <w:t>该项目环境风险潜势为</w:t>
            </w:r>
            <w:r>
              <w:rPr>
                <w:rFonts w:hint="eastAsia" w:ascii="宋体" w:hAnsi="宋体" w:cs="宋体"/>
                <w:sz w:val="24"/>
                <w:szCs w:val="24"/>
              </w:rPr>
              <w:t>Ⅰ</w:t>
            </w:r>
            <w:r>
              <w:rPr>
                <w:rFonts w:hint="eastAsia" w:ascii="宋体" w:hAnsi="宋体"/>
                <w:sz w:val="24"/>
                <w:szCs w:val="24"/>
              </w:rPr>
              <w:t>，评价工作等级为简单分析。</w:t>
            </w:r>
          </w:p>
          <w:p>
            <w:pPr>
              <w:pStyle w:val="134"/>
              <w:ind w:firstLine="480"/>
            </w:pPr>
            <w:r>
              <w:t>2</w:t>
            </w:r>
            <w:r>
              <w:rPr>
                <w:rFonts w:hint="eastAsia" w:ascii="宋体" w:hAnsi="宋体"/>
              </w:rPr>
              <w:t>、环境敏感目标概况</w:t>
            </w:r>
          </w:p>
          <w:p>
            <w:pPr>
              <w:pStyle w:val="135"/>
              <w:ind w:firstLine="480"/>
              <w:rPr>
                <w:rFonts w:ascii="Times New Roman" w:hAnsi="Times New Roman"/>
                <w:color w:val="auto"/>
              </w:rPr>
            </w:pPr>
            <w:r>
              <w:rPr>
                <w:rFonts w:hint="eastAsia"/>
                <w:color w:val="auto"/>
              </w:rPr>
              <w:t>项目周围的环境敏感目标见表</w:t>
            </w:r>
            <w:r>
              <w:rPr>
                <w:rFonts w:ascii="Times New Roman" w:hAnsi="Times New Roman"/>
                <w:color w:val="auto"/>
              </w:rPr>
              <w:t>3-18</w:t>
            </w:r>
            <w:r>
              <w:rPr>
                <w:rFonts w:hint="eastAsia" w:ascii="Times New Roman" w:hAnsi="Times New Roman"/>
                <w:color w:val="auto"/>
              </w:rPr>
              <w:t>和</w:t>
            </w:r>
            <w:r>
              <w:rPr>
                <w:rFonts w:ascii="Times New Roman" w:hAnsi="Times New Roman"/>
                <w:color w:val="auto"/>
              </w:rPr>
              <w:t>3-19</w:t>
            </w:r>
            <w:r>
              <w:rPr>
                <w:rFonts w:hint="eastAsia"/>
                <w:color w:val="auto"/>
              </w:rPr>
              <w:t>。</w:t>
            </w:r>
          </w:p>
          <w:p>
            <w:pPr>
              <w:pStyle w:val="134"/>
              <w:ind w:firstLine="480"/>
            </w:pPr>
            <w:r>
              <w:t>3</w:t>
            </w:r>
            <w:r>
              <w:rPr>
                <w:rFonts w:hint="eastAsia" w:ascii="宋体" w:hAnsi="宋体"/>
              </w:rPr>
              <w:t>、环境风险识别与分析</w:t>
            </w:r>
          </w:p>
          <w:p>
            <w:pPr>
              <w:pStyle w:val="134"/>
              <w:ind w:firstLine="480"/>
            </w:pPr>
            <w:r>
              <w:rPr>
                <w:rFonts w:hint="eastAsia" w:ascii="宋体" w:hAnsi="宋体"/>
              </w:rPr>
              <w:t>参照《企业职工伤亡事故分类》（</w:t>
            </w:r>
            <w:r>
              <w:t>GB6441</w:t>
            </w:r>
            <w:r>
              <w:rPr>
                <w:rFonts w:hint="eastAsia" w:ascii="宋体" w:hAnsi="宋体"/>
              </w:rPr>
              <w:t>）和《生产过程危险和有害因素分类与代码》（</w:t>
            </w:r>
            <w:r>
              <w:t>GB/T13861</w:t>
            </w:r>
            <w:r>
              <w:rPr>
                <w:rFonts w:hint="eastAsia" w:ascii="宋体" w:hAnsi="宋体"/>
              </w:rPr>
              <w:t>），结合现场检查及公司提供的资料，对本项目存在的危险、有害因素进行辨识和分析。</w:t>
            </w:r>
          </w:p>
          <w:p>
            <w:pPr>
              <w:spacing w:before="156" w:beforeLines="50"/>
              <w:jc w:val="center"/>
              <w:rPr>
                <w:rFonts w:ascii="Times New Roman" w:hAnsi="Times New Roman"/>
                <w:b/>
                <w:bCs/>
                <w:sz w:val="24"/>
                <w:szCs w:val="24"/>
              </w:rPr>
            </w:pPr>
            <w:r>
              <w:rPr>
                <w:rFonts w:hint="eastAsia" w:ascii="Times New Roman" w:hAnsi="宋体"/>
                <w:b/>
                <w:bCs/>
                <w:sz w:val="24"/>
                <w:szCs w:val="24"/>
              </w:rPr>
              <w:t>表</w:t>
            </w:r>
            <w:r>
              <w:rPr>
                <w:rFonts w:ascii="Times New Roman" w:hAnsi="Times New Roman"/>
                <w:b/>
                <w:bCs/>
                <w:sz w:val="24"/>
                <w:szCs w:val="24"/>
              </w:rPr>
              <w:t>6-28</w:t>
            </w:r>
            <w:r>
              <w:rPr>
                <w:rFonts w:hint="eastAsia" w:ascii="Times New Roman" w:hAnsi="宋体"/>
                <w:b/>
                <w:bCs/>
                <w:sz w:val="24"/>
                <w:szCs w:val="24"/>
              </w:rPr>
              <w:t>次氯酸钠理化性质</w:t>
            </w:r>
          </w:p>
          <w:tbl>
            <w:tblPr>
              <w:tblStyle w:val="37"/>
              <w:tblW w:w="941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
            <w:tblGrid>
              <w:gridCol w:w="1565"/>
              <w:gridCol w:w="7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Ex>
              <w:trPr>
                <w:trHeight w:val="382" w:hRule="atLeast"/>
                <w:jc w:val="center"/>
              </w:trPr>
              <w:tc>
                <w:tcPr>
                  <w:tcW w:w="1565" w:type="dxa"/>
                  <w:tcBorders>
                    <w:top w:val="single" w:color="auto" w:sz="12" w:space="0"/>
                    <w:left w:val="single" w:color="auto" w:sz="12" w:space="0"/>
                    <w:bottom w:val="single" w:color="auto" w:sz="4" w:space="0"/>
                    <w:right w:val="single" w:color="auto" w:sz="4" w:space="0"/>
                  </w:tcBorders>
                  <w:tcMar>
                    <w:top w:w="0" w:type="dxa"/>
                    <w:left w:w="0" w:type="dxa"/>
                    <w:bottom w:w="57" w:type="dxa"/>
                    <w:right w:w="0" w:type="dxa"/>
                  </w:tcMar>
                  <w:vAlign w:val="center"/>
                </w:tcPr>
                <w:p>
                  <w:pPr>
                    <w:jc w:val="center"/>
                    <w:rPr>
                      <w:szCs w:val="21"/>
                    </w:rPr>
                  </w:pPr>
                  <w:r>
                    <w:rPr>
                      <w:rFonts w:hint="eastAsia"/>
                    </w:rPr>
                    <w:t>性质</w:t>
                  </w:r>
                </w:p>
              </w:tc>
              <w:tc>
                <w:tcPr>
                  <w:tcW w:w="7851" w:type="dxa"/>
                  <w:tcBorders>
                    <w:top w:val="single" w:color="auto" w:sz="12" w:space="0"/>
                    <w:left w:val="single" w:color="auto" w:sz="4" w:space="0"/>
                    <w:bottom w:val="single" w:color="auto" w:sz="4" w:space="0"/>
                    <w:right w:val="single" w:color="auto" w:sz="12" w:space="0"/>
                  </w:tcBorders>
                  <w:tcMar>
                    <w:top w:w="0" w:type="dxa"/>
                    <w:left w:w="0" w:type="dxa"/>
                    <w:bottom w:w="57" w:type="dxa"/>
                    <w:right w:w="0" w:type="dxa"/>
                  </w:tcMar>
                  <w:vAlign w:val="center"/>
                </w:tcPr>
                <w:p>
                  <w:pPr>
                    <w:jc w:val="center"/>
                    <w:rPr>
                      <w:szCs w:val="21"/>
                    </w:rPr>
                  </w:pPr>
                  <w:r>
                    <w:rPr>
                      <w:rFonts w:hint="eastAsia"/>
                    </w:rPr>
                    <w:t>微黄色</w:t>
                  </w:r>
                  <w:r>
                    <w:t>(</w:t>
                  </w:r>
                  <w:r>
                    <w:rPr>
                      <w:rFonts w:hint="eastAsia" w:ascii="宋体" w:hAnsi="宋体"/>
                    </w:rPr>
                    <w:t>溶液</w:t>
                  </w:r>
                  <w:r>
                    <w:t>)</w:t>
                  </w:r>
                  <w:r>
                    <w:rPr>
                      <w:rFonts w:hint="eastAsia" w:ascii="宋体" w:hAnsi="宋体"/>
                    </w:rPr>
                    <w:t>或白色粉末</w:t>
                  </w:r>
                  <w:r>
                    <w:t>(</w:t>
                  </w:r>
                  <w:r>
                    <w:rPr>
                      <w:rFonts w:hint="eastAsia" w:ascii="宋体" w:hAnsi="宋体"/>
                    </w:rPr>
                    <w:t>固体</w:t>
                  </w:r>
                  <w:r>
                    <w:t>)</w:t>
                  </w:r>
                  <w:r>
                    <w:rPr>
                      <w:rFonts w:hint="eastAsia" w:ascii="宋体" w:hAnsi="宋体"/>
                    </w:rPr>
                    <w:t>，有似氯气的气味。</w:t>
                  </w:r>
                  <w:r>
                    <w:rPr>
                      <w:rFonts w:hint="eastAsia"/>
                    </w:rPr>
                    <w:t>溶于水。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Ex>
              <w:trPr>
                <w:trHeight w:val="382" w:hRule="atLeast"/>
                <w:jc w:val="center"/>
              </w:trPr>
              <w:tc>
                <w:tcPr>
                  <w:tcW w:w="1565" w:type="dxa"/>
                  <w:tcBorders>
                    <w:top w:val="single" w:color="auto" w:sz="4" w:space="0"/>
                    <w:left w:val="single" w:color="auto" w:sz="12" w:space="0"/>
                    <w:bottom w:val="single" w:color="auto" w:sz="4" w:space="0"/>
                    <w:right w:val="single" w:color="auto" w:sz="4" w:space="0"/>
                  </w:tcBorders>
                  <w:tcMar>
                    <w:top w:w="0" w:type="dxa"/>
                    <w:left w:w="0" w:type="dxa"/>
                    <w:bottom w:w="57" w:type="dxa"/>
                    <w:right w:w="0" w:type="dxa"/>
                  </w:tcMar>
                  <w:vAlign w:val="center"/>
                </w:tcPr>
                <w:p>
                  <w:pPr>
                    <w:jc w:val="center"/>
                    <w:rPr>
                      <w:szCs w:val="21"/>
                    </w:rPr>
                  </w:pPr>
                  <w:r>
                    <w:rPr>
                      <w:rFonts w:hint="eastAsia"/>
                    </w:rPr>
                    <w:t>主要用途</w:t>
                  </w:r>
                </w:p>
              </w:tc>
              <w:tc>
                <w:tcPr>
                  <w:tcW w:w="7851" w:type="dxa"/>
                  <w:tcBorders>
                    <w:top w:val="single" w:color="auto" w:sz="4" w:space="0"/>
                    <w:left w:val="single" w:color="auto" w:sz="4" w:space="0"/>
                    <w:bottom w:val="single" w:color="auto" w:sz="4" w:space="0"/>
                    <w:right w:val="single" w:color="auto" w:sz="12" w:space="0"/>
                  </w:tcBorders>
                  <w:tcMar>
                    <w:top w:w="0" w:type="dxa"/>
                    <w:left w:w="0" w:type="dxa"/>
                    <w:bottom w:w="57" w:type="dxa"/>
                    <w:right w:w="0" w:type="dxa"/>
                  </w:tcMar>
                  <w:vAlign w:val="center"/>
                </w:tcPr>
                <w:p>
                  <w:pPr>
                    <w:jc w:val="center"/>
                    <w:rPr>
                      <w:szCs w:val="21"/>
                    </w:rPr>
                  </w:pPr>
                  <w:r>
                    <w:rPr>
                      <w:rFonts w:hint="eastAsia"/>
                    </w:rPr>
                    <w:t>用于水的净化，以及作消毒剂、纸浆漂白等，医药工业中用制氯胺等。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Ex>
              <w:trPr>
                <w:trHeight w:val="382" w:hRule="atLeast"/>
                <w:jc w:val="center"/>
              </w:trPr>
              <w:tc>
                <w:tcPr>
                  <w:tcW w:w="1565" w:type="dxa"/>
                  <w:tcBorders>
                    <w:top w:val="single" w:color="auto" w:sz="4" w:space="0"/>
                    <w:left w:val="single" w:color="auto" w:sz="12" w:space="0"/>
                    <w:bottom w:val="single" w:color="auto" w:sz="4" w:space="0"/>
                    <w:right w:val="single" w:color="auto" w:sz="4" w:space="0"/>
                  </w:tcBorders>
                  <w:tcMar>
                    <w:top w:w="0" w:type="dxa"/>
                    <w:left w:w="0" w:type="dxa"/>
                    <w:bottom w:w="57" w:type="dxa"/>
                    <w:right w:w="0" w:type="dxa"/>
                  </w:tcMar>
                  <w:vAlign w:val="center"/>
                </w:tcPr>
                <w:p>
                  <w:pPr>
                    <w:jc w:val="center"/>
                    <w:rPr>
                      <w:szCs w:val="21"/>
                    </w:rPr>
                  </w:pPr>
                  <w:r>
                    <w:rPr>
                      <w:rFonts w:hint="eastAsia"/>
                    </w:rPr>
                    <w:t>危险特性</w:t>
                  </w:r>
                </w:p>
              </w:tc>
              <w:tc>
                <w:tcPr>
                  <w:tcW w:w="7851" w:type="dxa"/>
                  <w:tcBorders>
                    <w:top w:val="single" w:color="auto" w:sz="4" w:space="0"/>
                    <w:left w:val="single" w:color="auto" w:sz="4" w:space="0"/>
                    <w:bottom w:val="single" w:color="auto" w:sz="4" w:space="0"/>
                    <w:right w:val="single" w:color="auto" w:sz="12" w:space="0"/>
                  </w:tcBorders>
                  <w:tcMar>
                    <w:top w:w="0" w:type="dxa"/>
                    <w:left w:w="0" w:type="dxa"/>
                    <w:bottom w:w="57" w:type="dxa"/>
                    <w:right w:w="0" w:type="dxa"/>
                  </w:tcMar>
                  <w:vAlign w:val="center"/>
                </w:tcPr>
                <w:p>
                  <w:pPr>
                    <w:pStyle w:val="134"/>
                    <w:ind w:firstLine="0" w:firstLineChars="0"/>
                    <w:jc w:val="left"/>
                    <w:rPr>
                      <w:sz w:val="21"/>
                      <w:szCs w:val="21"/>
                    </w:rPr>
                  </w:pPr>
                  <w:r>
                    <w:rPr>
                      <w:rFonts w:hint="eastAsia"/>
                      <w:sz w:val="21"/>
                      <w:szCs w:val="21"/>
                    </w:rPr>
                    <w:t>受高热分解产生有毒的腐蚀性烟气，具有腐蚀性。有害燃料产物：氯化物。灭火方法：采用雾状水、二氧化碳、沙土灭火。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Ex>
              <w:trPr>
                <w:trHeight w:val="382" w:hRule="atLeast"/>
                <w:jc w:val="center"/>
              </w:trPr>
              <w:tc>
                <w:tcPr>
                  <w:tcW w:w="1565" w:type="dxa"/>
                  <w:tcBorders>
                    <w:top w:val="single" w:color="auto" w:sz="4" w:space="0"/>
                    <w:left w:val="single" w:color="auto" w:sz="12" w:space="0"/>
                    <w:bottom w:val="single" w:color="auto" w:sz="4" w:space="0"/>
                    <w:right w:val="single" w:color="auto" w:sz="4" w:space="0"/>
                  </w:tcBorders>
                  <w:tcMar>
                    <w:top w:w="0" w:type="dxa"/>
                    <w:left w:w="0" w:type="dxa"/>
                    <w:bottom w:w="57" w:type="dxa"/>
                    <w:right w:w="0" w:type="dxa"/>
                  </w:tcMar>
                  <w:vAlign w:val="center"/>
                </w:tcPr>
                <w:p>
                  <w:pPr>
                    <w:jc w:val="center"/>
                    <w:rPr>
                      <w:szCs w:val="21"/>
                    </w:rPr>
                  </w:pPr>
                  <w:r>
                    <w:rPr>
                      <w:rFonts w:hint="eastAsia"/>
                    </w:rPr>
                    <w:t>健康危害</w:t>
                  </w:r>
                </w:p>
              </w:tc>
              <w:tc>
                <w:tcPr>
                  <w:tcW w:w="7851" w:type="dxa"/>
                  <w:tcBorders>
                    <w:top w:val="single" w:color="auto" w:sz="4" w:space="0"/>
                    <w:left w:val="single" w:color="auto" w:sz="4" w:space="0"/>
                    <w:bottom w:val="single" w:color="auto" w:sz="4" w:space="0"/>
                    <w:right w:val="single" w:color="auto" w:sz="12" w:space="0"/>
                  </w:tcBorders>
                  <w:tcMar>
                    <w:top w:w="0" w:type="dxa"/>
                    <w:left w:w="0" w:type="dxa"/>
                    <w:bottom w:w="57" w:type="dxa"/>
                    <w:right w:w="0" w:type="dxa"/>
                  </w:tcMar>
                  <w:vAlign w:val="center"/>
                </w:tcPr>
                <w:p>
                  <w:pPr>
                    <w:jc w:val="left"/>
                    <w:rPr>
                      <w:szCs w:val="21"/>
                    </w:rPr>
                  </w:pPr>
                  <w:r>
                    <w:rPr>
                      <w:rFonts w:hint="eastAsia"/>
                    </w:rPr>
                    <w:t>经常用手接触本品的工人，手掌大量出汗，指甲变薄，毛发脱落。本品由致敏作用。本品放出的游离氯有可能引起中毒。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Ex>
              <w:trPr>
                <w:trHeight w:val="382" w:hRule="atLeast"/>
                <w:jc w:val="center"/>
              </w:trPr>
              <w:tc>
                <w:tcPr>
                  <w:tcW w:w="1565" w:type="dxa"/>
                  <w:tcBorders>
                    <w:top w:val="single" w:color="auto" w:sz="4" w:space="0"/>
                    <w:left w:val="single" w:color="auto" w:sz="12" w:space="0"/>
                    <w:bottom w:val="single" w:color="auto" w:sz="4" w:space="0"/>
                    <w:right w:val="single" w:color="auto" w:sz="4" w:space="0"/>
                  </w:tcBorders>
                  <w:tcMar>
                    <w:top w:w="0" w:type="dxa"/>
                    <w:left w:w="0" w:type="dxa"/>
                    <w:bottom w:w="57" w:type="dxa"/>
                    <w:right w:w="0" w:type="dxa"/>
                  </w:tcMar>
                  <w:vAlign w:val="center"/>
                </w:tcPr>
                <w:p>
                  <w:pPr>
                    <w:jc w:val="center"/>
                    <w:rPr>
                      <w:szCs w:val="21"/>
                    </w:rPr>
                  </w:pPr>
                  <w:r>
                    <w:rPr>
                      <w:rFonts w:hint="eastAsia"/>
                    </w:rPr>
                    <w:t>爆炸危险</w:t>
                  </w:r>
                </w:p>
              </w:tc>
              <w:tc>
                <w:tcPr>
                  <w:tcW w:w="7851" w:type="dxa"/>
                  <w:tcBorders>
                    <w:top w:val="single" w:color="auto" w:sz="4" w:space="0"/>
                    <w:left w:val="single" w:color="auto" w:sz="4" w:space="0"/>
                    <w:bottom w:val="single" w:color="auto" w:sz="4" w:space="0"/>
                    <w:right w:val="single" w:color="auto" w:sz="12" w:space="0"/>
                  </w:tcBorders>
                  <w:tcMar>
                    <w:top w:w="0" w:type="dxa"/>
                    <w:left w:w="0" w:type="dxa"/>
                    <w:bottom w:w="57" w:type="dxa"/>
                    <w:right w:w="0" w:type="dxa"/>
                  </w:tcMar>
                  <w:vAlign w:val="center"/>
                </w:tcPr>
                <w:p>
                  <w:pPr>
                    <w:pStyle w:val="133"/>
                    <w:ind w:firstLine="0"/>
                  </w:pPr>
                  <w:r>
                    <w:rPr>
                      <w:rFonts w:hint="eastAsia"/>
                    </w:rPr>
                    <w:t>本品不燃，具腐蚀性，可致人体灼伤，具致敏性。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Ex>
              <w:trPr>
                <w:trHeight w:val="382" w:hRule="atLeast"/>
                <w:jc w:val="center"/>
              </w:trPr>
              <w:tc>
                <w:tcPr>
                  <w:tcW w:w="1565" w:type="dxa"/>
                  <w:tcBorders>
                    <w:top w:val="single" w:color="auto" w:sz="4" w:space="0"/>
                    <w:left w:val="single" w:color="auto" w:sz="12" w:space="0"/>
                    <w:bottom w:val="single" w:color="auto" w:sz="4" w:space="0"/>
                    <w:right w:val="single" w:color="auto" w:sz="4" w:space="0"/>
                  </w:tcBorders>
                  <w:tcMar>
                    <w:top w:w="0" w:type="dxa"/>
                    <w:left w:w="0" w:type="dxa"/>
                    <w:bottom w:w="57" w:type="dxa"/>
                    <w:right w:w="0" w:type="dxa"/>
                  </w:tcMar>
                  <w:vAlign w:val="center"/>
                </w:tcPr>
                <w:p>
                  <w:pPr>
                    <w:jc w:val="center"/>
                    <w:rPr>
                      <w:szCs w:val="21"/>
                    </w:rPr>
                  </w:pPr>
                  <w:r>
                    <w:rPr>
                      <w:rFonts w:hint="eastAsia"/>
                    </w:rPr>
                    <w:t>急救</w:t>
                  </w:r>
                </w:p>
              </w:tc>
              <w:tc>
                <w:tcPr>
                  <w:tcW w:w="7851" w:type="dxa"/>
                  <w:tcBorders>
                    <w:top w:val="single" w:color="auto" w:sz="4" w:space="0"/>
                    <w:left w:val="single" w:color="auto" w:sz="4" w:space="0"/>
                    <w:bottom w:val="single" w:color="auto" w:sz="4" w:space="0"/>
                    <w:right w:val="single" w:color="auto" w:sz="12" w:space="0"/>
                  </w:tcBorders>
                  <w:tcMar>
                    <w:top w:w="0" w:type="dxa"/>
                    <w:left w:w="0" w:type="dxa"/>
                    <w:bottom w:w="57" w:type="dxa"/>
                    <w:right w:w="0" w:type="dxa"/>
                  </w:tcMar>
                  <w:vAlign w:val="center"/>
                </w:tcPr>
                <w:p>
                  <w:pPr>
                    <w:pStyle w:val="133"/>
                    <w:ind w:firstLine="0"/>
                  </w:pPr>
                  <w:r>
                    <w:rPr>
                      <w:rFonts w:hint="eastAsia"/>
                    </w:rPr>
                    <w:t>皮肤接触：脱去污染的衣着，用大量流动清水冲洗。眼睛接触：提起眼睑，用流动清水或生理盐水冲洗，就医。吸入：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Ex>
              <w:trPr>
                <w:trHeight w:val="382" w:hRule="atLeast"/>
                <w:jc w:val="center"/>
              </w:trPr>
              <w:tc>
                <w:tcPr>
                  <w:tcW w:w="1565" w:type="dxa"/>
                  <w:tcBorders>
                    <w:top w:val="single" w:color="auto" w:sz="4" w:space="0"/>
                    <w:left w:val="single" w:color="auto" w:sz="12" w:space="0"/>
                    <w:bottom w:val="single" w:color="auto" w:sz="4" w:space="0"/>
                    <w:right w:val="single" w:color="auto" w:sz="4" w:space="0"/>
                  </w:tcBorders>
                  <w:tcMar>
                    <w:top w:w="0" w:type="dxa"/>
                    <w:left w:w="0" w:type="dxa"/>
                    <w:bottom w:w="57" w:type="dxa"/>
                    <w:right w:w="0" w:type="dxa"/>
                  </w:tcMar>
                  <w:vAlign w:val="center"/>
                </w:tcPr>
                <w:p>
                  <w:pPr>
                    <w:jc w:val="center"/>
                    <w:rPr>
                      <w:szCs w:val="21"/>
                    </w:rPr>
                  </w:pPr>
                  <w:r>
                    <w:rPr>
                      <w:rFonts w:hint="eastAsia"/>
                    </w:rPr>
                    <w:t>防护</w:t>
                  </w:r>
                </w:p>
              </w:tc>
              <w:tc>
                <w:tcPr>
                  <w:tcW w:w="7851" w:type="dxa"/>
                  <w:tcBorders>
                    <w:top w:val="single" w:color="auto" w:sz="4" w:space="0"/>
                    <w:left w:val="single" w:color="auto" w:sz="4" w:space="0"/>
                    <w:bottom w:val="single" w:color="auto" w:sz="4" w:space="0"/>
                    <w:right w:val="single" w:color="auto" w:sz="12" w:space="0"/>
                  </w:tcBorders>
                  <w:tcMar>
                    <w:top w:w="0" w:type="dxa"/>
                    <w:left w:w="0" w:type="dxa"/>
                    <w:bottom w:w="57" w:type="dxa"/>
                    <w:right w:w="0" w:type="dxa"/>
                  </w:tcMar>
                  <w:vAlign w:val="center"/>
                </w:tcPr>
                <w:p>
                  <w:pPr>
                    <w:pStyle w:val="134"/>
                    <w:ind w:firstLine="0" w:firstLineChars="0"/>
                    <w:jc w:val="left"/>
                    <w:rPr>
                      <w:sz w:val="21"/>
                      <w:szCs w:val="21"/>
                    </w:rPr>
                  </w:pPr>
                  <w:r>
                    <w:rPr>
                      <w:rFonts w:hint="eastAsia"/>
                      <w:sz w:val="21"/>
                      <w:szCs w:val="21"/>
                    </w:rPr>
                    <w:t>工程控制：生产过程密闭，全面通风。提供安全淋浴和洗眼设备。呼吸系统防护：高浓度环境中，应该佩戴直接式防毒面具（半面罩）。眼睛防护：戴化学安全防护眼镜。身体防护：穿防腐工作服。手防护：戴橡胶手套。其他防护：工作现场禁止吸烟、进食和饮水。工作完毕，淋浴更衣。注意个人清洁卫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Ex>
              <w:trPr>
                <w:trHeight w:val="382" w:hRule="atLeast"/>
                <w:jc w:val="center"/>
              </w:trPr>
              <w:tc>
                <w:tcPr>
                  <w:tcW w:w="1565" w:type="dxa"/>
                  <w:tcBorders>
                    <w:top w:val="single" w:color="auto" w:sz="4" w:space="0"/>
                    <w:left w:val="single" w:color="auto" w:sz="12" w:space="0"/>
                    <w:bottom w:val="single" w:color="auto" w:sz="4" w:space="0"/>
                    <w:right w:val="single" w:color="auto" w:sz="4" w:space="0"/>
                  </w:tcBorders>
                  <w:tcMar>
                    <w:top w:w="0" w:type="dxa"/>
                    <w:left w:w="0" w:type="dxa"/>
                    <w:bottom w:w="57" w:type="dxa"/>
                    <w:right w:w="0" w:type="dxa"/>
                  </w:tcMar>
                  <w:vAlign w:val="center"/>
                </w:tcPr>
                <w:p>
                  <w:pPr>
                    <w:jc w:val="center"/>
                    <w:rPr>
                      <w:szCs w:val="21"/>
                    </w:rPr>
                  </w:pPr>
                  <w:r>
                    <w:rPr>
                      <w:rFonts w:hint="eastAsia"/>
                    </w:rPr>
                    <w:t>应急处理</w:t>
                  </w:r>
                </w:p>
              </w:tc>
              <w:tc>
                <w:tcPr>
                  <w:tcW w:w="7851" w:type="dxa"/>
                  <w:tcBorders>
                    <w:top w:val="single" w:color="auto" w:sz="4" w:space="0"/>
                    <w:left w:val="single" w:color="auto" w:sz="4" w:space="0"/>
                    <w:bottom w:val="single" w:color="auto" w:sz="4" w:space="0"/>
                    <w:right w:val="single" w:color="auto" w:sz="12" w:space="0"/>
                  </w:tcBorders>
                  <w:tcMar>
                    <w:top w:w="0" w:type="dxa"/>
                    <w:left w:w="0" w:type="dxa"/>
                    <w:bottom w:w="57" w:type="dxa"/>
                    <w:right w:w="0" w:type="dxa"/>
                  </w:tcMar>
                  <w:vAlign w:val="center"/>
                </w:tcPr>
                <w:p>
                  <w:pPr>
                    <w:pStyle w:val="134"/>
                    <w:ind w:firstLine="0" w:firstLineChars="0"/>
                    <w:jc w:val="left"/>
                    <w:rPr>
                      <w:sz w:val="21"/>
                      <w:szCs w:val="21"/>
                    </w:rPr>
                  </w:pPr>
                  <w:r>
                    <w:rPr>
                      <w:rFonts w:hint="eastAsia"/>
                      <w:sz w:val="21"/>
                      <w:szCs w:val="21"/>
                    </w:rPr>
                    <w:t>迅速撤离泄漏污染区人员至安全区，并进行隔离，严格限制出入。建议应急处理人员戴自给正压式呼吸器，穿防酸碱工作服。不要直接接触泄漏物。尽可能切断泄漏源。小量泄漏：用砂土、蛭时或其他惰性材料吸收。大量泄漏：构筑围堤或挖坑收容。用泡沫覆盖，降低蒸气灾害。用泵转移至槽车或专用收集器内，回收或运至废物处理场所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68" w:type="dxa"/>
                  <w:right w:w="0" w:type="dxa"/>
                </w:tblCellMar>
              </w:tblPrEx>
              <w:trPr>
                <w:trHeight w:val="363" w:hRule="atLeast"/>
                <w:jc w:val="center"/>
              </w:trPr>
              <w:tc>
                <w:tcPr>
                  <w:tcW w:w="1565" w:type="dxa"/>
                  <w:tcBorders>
                    <w:top w:val="single" w:color="auto" w:sz="4" w:space="0"/>
                    <w:left w:val="single" w:color="auto" w:sz="12" w:space="0"/>
                    <w:bottom w:val="single" w:color="auto" w:sz="12" w:space="0"/>
                    <w:right w:val="single" w:color="auto" w:sz="4" w:space="0"/>
                  </w:tcBorders>
                  <w:tcMar>
                    <w:top w:w="0" w:type="dxa"/>
                    <w:left w:w="0" w:type="dxa"/>
                    <w:bottom w:w="57" w:type="dxa"/>
                    <w:right w:w="0" w:type="dxa"/>
                  </w:tcMar>
                  <w:vAlign w:val="center"/>
                </w:tcPr>
                <w:p>
                  <w:pPr>
                    <w:pStyle w:val="134"/>
                    <w:ind w:firstLine="0" w:firstLineChars="0"/>
                    <w:jc w:val="center"/>
                  </w:pPr>
                  <w:r>
                    <w:rPr>
                      <w:rFonts w:hint="eastAsia"/>
                      <w:sz w:val="21"/>
                      <w:szCs w:val="21"/>
                    </w:rPr>
                    <w:t>储运</w:t>
                  </w:r>
                </w:p>
              </w:tc>
              <w:tc>
                <w:tcPr>
                  <w:tcW w:w="7851" w:type="dxa"/>
                  <w:tcBorders>
                    <w:top w:val="single" w:color="auto" w:sz="4" w:space="0"/>
                    <w:left w:val="single" w:color="auto" w:sz="4" w:space="0"/>
                    <w:bottom w:val="single" w:color="auto" w:sz="12" w:space="0"/>
                    <w:right w:val="single" w:color="auto" w:sz="12" w:space="0"/>
                  </w:tcBorders>
                  <w:tcMar>
                    <w:top w:w="0" w:type="dxa"/>
                    <w:left w:w="0" w:type="dxa"/>
                    <w:bottom w:w="57" w:type="dxa"/>
                    <w:right w:w="0" w:type="dxa"/>
                  </w:tcMar>
                  <w:vAlign w:val="center"/>
                </w:tcPr>
                <w:p>
                  <w:pPr>
                    <w:pStyle w:val="134"/>
                    <w:ind w:firstLine="0" w:firstLineChars="0"/>
                    <w:jc w:val="left"/>
                    <w:rPr>
                      <w:sz w:val="21"/>
                      <w:szCs w:val="21"/>
                    </w:rPr>
                  </w:pPr>
                  <w:r>
                    <w:rPr>
                      <w:rFonts w:hint="eastAsia"/>
                      <w:sz w:val="21"/>
                      <w:szCs w:val="21"/>
                    </w:rPr>
                    <w:t>储存于阴凉、通风的库房。远离火种、热源。库温不易超过</w:t>
                  </w:r>
                  <w:r>
                    <w:rPr>
                      <w:sz w:val="21"/>
                      <w:szCs w:val="21"/>
                    </w:rPr>
                    <w:t>30</w:t>
                  </w:r>
                  <w:r>
                    <w:rPr>
                      <w:rFonts w:hint="eastAsia" w:ascii="宋体" w:hAnsi="宋体"/>
                      <w:sz w:val="21"/>
                      <w:szCs w:val="21"/>
                    </w:rPr>
                    <w:t>℃。应与碱类分开存放，切勿混储。储区应备有泄漏应急处理设备和合格的收容材料。</w:t>
                  </w:r>
                </w:p>
              </w:tc>
            </w:tr>
          </w:tbl>
          <w:p>
            <w:pPr>
              <w:pStyle w:val="134"/>
              <w:ind w:firstLine="480"/>
            </w:pPr>
            <w:r>
              <w:rPr>
                <w:rFonts w:hint="eastAsia" w:ascii="宋体" w:hAnsi="宋体"/>
              </w:rPr>
              <w:t>根据本项目的生产特征，项目涉及有毒有害物质次氯酸钠的使用、储存等，无重大危险源。项目生产设备主要使用电能，在使用过程如不注意安全，会发生人员触电甚至发生火灾。</w:t>
            </w:r>
          </w:p>
          <w:p>
            <w:pPr>
              <w:pStyle w:val="134"/>
              <w:ind w:firstLine="480"/>
            </w:pPr>
            <w:r>
              <w:rPr>
                <w:rFonts w:hint="eastAsia" w:ascii="宋体" w:hAnsi="宋体"/>
              </w:rPr>
              <w:t>其他危险、有害因素：根据项目物料和工艺等特性，本项目还包括触电、机械伤害、噪声、自然灾害、失窃和恐怖破坏等危害。</w:t>
            </w:r>
          </w:p>
          <w:p>
            <w:pPr>
              <w:pStyle w:val="134"/>
              <w:ind w:firstLine="480"/>
            </w:pPr>
            <w:r>
              <w:rPr>
                <w:rFonts w:hint="eastAsia" w:ascii="宋体" w:hAnsi="宋体"/>
              </w:rPr>
              <w:t>本项目主要风险为次氯酸钠和消毒池内废水泄漏。消毒池处理后的废水排入</w:t>
            </w:r>
            <w:r>
              <w:rPr>
                <w:rFonts w:hint="eastAsia"/>
              </w:rPr>
              <w:t>潭榄溪</w:t>
            </w:r>
            <w:r>
              <w:rPr>
                <w:rFonts w:hint="eastAsia" w:ascii="宋体" w:hAnsi="宋体"/>
              </w:rPr>
              <w:t>。事故发生后，及时堵截厂区总排口的情况下，事故废水进入事故水池，不会直接进入周围地表水，不会对周围水体构成影响。</w:t>
            </w:r>
          </w:p>
          <w:p>
            <w:pPr>
              <w:pStyle w:val="134"/>
              <w:ind w:firstLine="480"/>
            </w:pPr>
            <w:r>
              <w:t>4</w:t>
            </w:r>
            <w:r>
              <w:rPr>
                <w:rFonts w:hint="eastAsia" w:ascii="宋体" w:hAnsi="宋体"/>
              </w:rPr>
              <w:t>、环境风险防范措施</w:t>
            </w:r>
          </w:p>
          <w:p>
            <w:pPr>
              <w:spacing w:line="360" w:lineRule="auto"/>
              <w:ind w:firstLine="480" w:firstLineChars="200"/>
              <w:rPr>
                <w:sz w:val="24"/>
                <w:szCs w:val="24"/>
              </w:rPr>
            </w:pPr>
            <w:r>
              <w:rPr>
                <w:rFonts w:hint="eastAsia" w:ascii="宋体" w:hAnsi="宋体"/>
                <w:sz w:val="24"/>
                <w:szCs w:val="24"/>
              </w:rPr>
              <w:t>（</w:t>
            </w:r>
            <w:r>
              <w:rPr>
                <w:sz w:val="24"/>
                <w:szCs w:val="24"/>
              </w:rPr>
              <w:t>1</w:t>
            </w:r>
            <w:r>
              <w:rPr>
                <w:rFonts w:hint="eastAsia" w:ascii="宋体" w:hAnsi="宋体"/>
                <w:sz w:val="24"/>
                <w:szCs w:val="24"/>
              </w:rPr>
              <w:t>）风险防范措施</w:t>
            </w:r>
          </w:p>
          <w:p>
            <w:pPr>
              <w:spacing w:line="360" w:lineRule="auto"/>
              <w:ind w:firstLine="480" w:firstLineChars="200"/>
              <w:rPr>
                <w:sz w:val="24"/>
                <w:szCs w:val="24"/>
              </w:rPr>
            </w:pPr>
            <w:r>
              <w:rPr>
                <w:rFonts w:hint="eastAsia"/>
                <w:sz w:val="24"/>
                <w:szCs w:val="24"/>
              </w:rPr>
              <w:t>①</w:t>
            </w:r>
            <w:r>
              <w:rPr>
                <w:rFonts w:hint="eastAsia" w:ascii="宋体" w:hAnsi="宋体"/>
                <w:sz w:val="24"/>
                <w:szCs w:val="24"/>
              </w:rPr>
              <w:t>采用双电路供电，确保用电安全；</w:t>
            </w:r>
          </w:p>
          <w:p>
            <w:pPr>
              <w:spacing w:line="360" w:lineRule="auto"/>
              <w:ind w:firstLine="480" w:firstLineChars="200"/>
              <w:rPr>
                <w:sz w:val="24"/>
                <w:szCs w:val="24"/>
              </w:rPr>
            </w:pPr>
            <w:r>
              <w:rPr>
                <w:rFonts w:hint="eastAsia"/>
                <w:sz w:val="24"/>
                <w:szCs w:val="24"/>
              </w:rPr>
              <w:t>②</w:t>
            </w:r>
            <w:r>
              <w:rPr>
                <w:rFonts w:hint="eastAsia" w:ascii="宋体" w:hAnsi="宋体"/>
                <w:sz w:val="24"/>
                <w:szCs w:val="24"/>
              </w:rPr>
              <w:t>配置专业电工机设备维修工人，确保设备故障情况下能最快时间得到修缮。</w:t>
            </w:r>
          </w:p>
          <w:p>
            <w:pPr>
              <w:spacing w:line="360" w:lineRule="auto"/>
              <w:ind w:firstLine="480" w:firstLineChars="200"/>
              <w:rPr>
                <w:sz w:val="24"/>
                <w:szCs w:val="24"/>
              </w:rPr>
            </w:pPr>
            <w:r>
              <w:rPr>
                <w:rFonts w:hint="eastAsia"/>
                <w:sz w:val="24"/>
                <w:szCs w:val="24"/>
              </w:rPr>
              <w:t>③</w:t>
            </w:r>
            <w:r>
              <w:rPr>
                <w:rFonts w:hint="eastAsia" w:ascii="宋体" w:hAnsi="宋体"/>
                <w:sz w:val="24"/>
                <w:szCs w:val="24"/>
              </w:rPr>
              <w:t>建立检修制度，定期对主要设备进行检修。</w:t>
            </w:r>
          </w:p>
          <w:p>
            <w:pPr>
              <w:spacing w:line="360" w:lineRule="auto"/>
              <w:ind w:firstLine="480" w:firstLineChars="200"/>
              <w:rPr>
                <w:sz w:val="24"/>
                <w:szCs w:val="24"/>
              </w:rPr>
            </w:pPr>
            <w:r>
              <w:rPr>
                <w:rFonts w:hint="eastAsia"/>
                <w:sz w:val="24"/>
                <w:szCs w:val="24"/>
              </w:rPr>
              <w:t>④</w:t>
            </w:r>
            <w:r>
              <w:rPr>
                <w:rFonts w:hint="eastAsia" w:ascii="宋体" w:hAnsi="宋体"/>
                <w:sz w:val="24"/>
                <w:szCs w:val="24"/>
              </w:rPr>
              <w:t>建立了可靠的运行监控系统，包括计量、采样、监测、报警等设施在内，发现异常情况反馈，可及时根据需要调整运行参数，以控制和避免非正常排放情况的发生。</w:t>
            </w:r>
          </w:p>
          <w:p>
            <w:pPr>
              <w:spacing w:line="360" w:lineRule="auto"/>
              <w:ind w:firstLine="480" w:firstLineChars="200"/>
              <w:rPr>
                <w:sz w:val="24"/>
                <w:szCs w:val="24"/>
              </w:rPr>
            </w:pPr>
            <w:r>
              <w:rPr>
                <w:rFonts w:hint="eastAsia"/>
                <w:sz w:val="24"/>
                <w:szCs w:val="24"/>
              </w:rPr>
              <w:t>⑤</w:t>
            </w:r>
            <w:r>
              <w:rPr>
                <w:rFonts w:hint="eastAsia" w:ascii="宋体" w:hAnsi="宋体"/>
                <w:sz w:val="24"/>
                <w:szCs w:val="24"/>
              </w:rPr>
              <w:t>采用雾状水、二氧化碳、沙土灭火。厂区设置二氧化碳灭火器及砂土。</w:t>
            </w:r>
          </w:p>
          <w:p>
            <w:pPr>
              <w:spacing w:line="360" w:lineRule="auto"/>
              <w:ind w:firstLine="480" w:firstLineChars="200"/>
              <w:rPr>
                <w:sz w:val="24"/>
                <w:szCs w:val="24"/>
              </w:rPr>
            </w:pPr>
            <w:r>
              <w:rPr>
                <w:rFonts w:hint="eastAsia"/>
                <w:sz w:val="24"/>
                <w:szCs w:val="24"/>
              </w:rPr>
              <w:t>⑥</w:t>
            </w:r>
            <w:r>
              <w:rPr>
                <w:rFonts w:hint="eastAsia" w:ascii="宋体" w:hAnsi="宋体"/>
                <w:sz w:val="24"/>
                <w:szCs w:val="24"/>
              </w:rPr>
              <w:t>防护：工程控制：生产过程密闭，全面通风。提供安全淋浴和洗眼设备。呼吸系统防护：高浓度环境中，应该佩戴直接式防毒面具（半面罩）。眼睛防护：戴化学安全防护眼镜。身体防护：穿防腐工作服。手防护：戴橡胶手套。其他防护：工作现场禁止吸烟、进食和饮水。工作完毕，淋浴更衣。注意个人清洁卫生。</w:t>
            </w:r>
          </w:p>
          <w:p>
            <w:pPr>
              <w:spacing w:line="360" w:lineRule="auto"/>
              <w:ind w:firstLine="480" w:firstLineChars="200"/>
              <w:rPr>
                <w:rFonts w:ascii="宋体"/>
                <w:sz w:val="24"/>
                <w:szCs w:val="24"/>
              </w:rPr>
            </w:pPr>
            <w:r>
              <w:rPr>
                <w:rFonts w:hint="eastAsia"/>
                <w:sz w:val="24"/>
                <w:szCs w:val="24"/>
              </w:rPr>
              <w:t>⑦次氯酸钠</w:t>
            </w:r>
            <w:r>
              <w:rPr>
                <w:rFonts w:hint="eastAsia" w:ascii="宋体" w:hAnsi="宋体"/>
                <w:sz w:val="24"/>
                <w:szCs w:val="24"/>
              </w:rPr>
              <w:t>储存于阴凉、通风的库房。远离火种、热源。库温不易超过</w:t>
            </w:r>
            <w:r>
              <w:rPr>
                <w:sz w:val="24"/>
                <w:szCs w:val="24"/>
              </w:rPr>
              <w:t>30</w:t>
            </w:r>
            <w:r>
              <w:rPr>
                <w:rFonts w:hint="eastAsia" w:ascii="宋体" w:hAnsi="宋体"/>
                <w:sz w:val="24"/>
                <w:szCs w:val="24"/>
              </w:rPr>
              <w:t>℃。应与碱类分开存放，切勿混储。储区应备有泄漏应急处理设备和合格的收容材料。</w:t>
            </w:r>
          </w:p>
          <w:p>
            <w:pPr>
              <w:pStyle w:val="2"/>
              <w:spacing w:line="360" w:lineRule="auto"/>
              <w:ind w:firstLine="480" w:firstLineChars="200"/>
            </w:pPr>
            <w:r>
              <w:rPr>
                <w:rFonts w:hint="eastAsia"/>
              </w:rPr>
              <w:t>⑧</w:t>
            </w:r>
            <w:r>
              <w:rPr>
                <w:rFonts w:hint="eastAsia"/>
                <w:szCs w:val="24"/>
              </w:rPr>
              <w:t>建立事故报警系统和制定应急预案，一旦发生事故，采取相应的应急措施，以保证污水处理厂的工艺系统不受破坏。在厂区内设置事故池和超越管，当事故发生时，污水可直接进入事故池暂时存放，当事故池污水满时，可通过厂内设置的超越管，逐级超越，降低污染程度。</w:t>
            </w:r>
          </w:p>
          <w:p>
            <w:pPr>
              <w:spacing w:line="360" w:lineRule="auto"/>
              <w:ind w:firstLine="480" w:firstLineChars="200"/>
              <w:rPr>
                <w:sz w:val="24"/>
                <w:szCs w:val="24"/>
              </w:rPr>
            </w:pPr>
            <w:r>
              <w:rPr>
                <w:rFonts w:hint="eastAsia" w:ascii="宋体" w:hAnsi="宋体"/>
                <w:sz w:val="24"/>
                <w:szCs w:val="24"/>
              </w:rPr>
              <w:t>（</w:t>
            </w:r>
            <w:r>
              <w:rPr>
                <w:sz w:val="24"/>
                <w:szCs w:val="24"/>
              </w:rPr>
              <w:t>2</w:t>
            </w:r>
            <w:r>
              <w:rPr>
                <w:rFonts w:hint="eastAsia" w:ascii="宋体" w:hAnsi="宋体"/>
                <w:sz w:val="24"/>
                <w:szCs w:val="24"/>
              </w:rPr>
              <w:t>）事故应急处理措施</w:t>
            </w:r>
          </w:p>
          <w:p>
            <w:pPr>
              <w:spacing w:line="360" w:lineRule="auto"/>
              <w:ind w:firstLine="480" w:firstLineChars="200"/>
              <w:rPr>
                <w:sz w:val="24"/>
                <w:szCs w:val="24"/>
              </w:rPr>
            </w:pPr>
            <w:r>
              <w:rPr>
                <w:rFonts w:hint="eastAsia" w:ascii="宋体" w:hAnsi="宋体"/>
                <w:sz w:val="24"/>
                <w:szCs w:val="24"/>
              </w:rPr>
              <w:t>皮肤接触：脱去污染的衣着，用大量流动清水冲洗。眼睛接触：提起眼睑，用流动清水或生理盐水冲洗，就医。吸入：迅速脱离现场至空气新鲜处。保持呼吸道通畅。如呼吸困难，给输氧。如呼吸停止，立即进行人工呼吸，就医。</w:t>
            </w:r>
          </w:p>
          <w:p>
            <w:pPr>
              <w:spacing w:line="360" w:lineRule="auto"/>
              <w:ind w:firstLine="480" w:firstLineChars="200"/>
              <w:rPr>
                <w:szCs w:val="21"/>
              </w:rPr>
            </w:pPr>
            <w:r>
              <w:rPr>
                <w:rFonts w:hint="eastAsia" w:ascii="宋体" w:hAnsi="宋体"/>
                <w:sz w:val="24"/>
                <w:szCs w:val="24"/>
              </w:rPr>
              <w:t>迅速撤离泄漏污染区人员至安全区，并进行隔离，严格限制出入。建议应急处理人员戴自给正压式呼吸器，穿防酸碱工作服。不要直接接触泄漏物。尽可能切断泄漏源。小量泄漏：用砂土、蛭时或其他惰性材料吸收。大量泄漏：构筑围堤或挖坑收容。用泡沫覆盖，降低蒸气灾害。用泵转移至槽车或专用收集器内，回收或运至废物处理场所处置。</w:t>
            </w:r>
          </w:p>
          <w:p>
            <w:pPr>
              <w:pStyle w:val="134"/>
              <w:ind w:firstLine="480"/>
            </w:pPr>
            <w:r>
              <w:t>5</w:t>
            </w:r>
            <w:r>
              <w:rPr>
                <w:rFonts w:hint="eastAsia" w:ascii="宋体" w:hAnsi="宋体"/>
              </w:rPr>
              <w:t>、分析结论</w:t>
            </w:r>
          </w:p>
          <w:p>
            <w:pPr>
              <w:pStyle w:val="134"/>
              <w:ind w:firstLine="480"/>
            </w:pPr>
            <w:r>
              <w:rPr>
                <w:rFonts w:hint="eastAsia" w:ascii="宋体" w:hAnsi="宋体"/>
              </w:rPr>
              <w:t>本项目严格按照国家的有关技术标准、规范进行设计和实施，并落实本报告提出的风险防范措施，则项目所涉及的风险影响因素、风险危害程度可以达到同行业可接受的水平，风险事故一旦发生，也可以将环境危害降到最低水平。</w:t>
            </w:r>
          </w:p>
          <w:p>
            <w:pPr>
              <w:spacing w:line="360" w:lineRule="auto"/>
              <w:rPr>
                <w:rFonts w:ascii="Times New Roman" w:hAnsi="Times New Roman"/>
                <w:b/>
                <w:bCs/>
                <w:sz w:val="24"/>
                <w:szCs w:val="24"/>
              </w:rPr>
            </w:pPr>
            <w:r>
              <w:rPr>
                <w:rFonts w:hint="eastAsia" w:ascii="Times New Roman" w:hAnsi="Times New Roman"/>
                <w:b/>
                <w:bCs/>
                <w:sz w:val="24"/>
                <w:szCs w:val="24"/>
              </w:rPr>
              <w:t>八、环境管理与监测计划</w:t>
            </w:r>
          </w:p>
          <w:p>
            <w:pPr>
              <w:pStyle w:val="114"/>
            </w:pPr>
            <w:r>
              <w:t>1</w:t>
            </w:r>
            <w:r>
              <w:rPr>
                <w:rFonts w:hint="eastAsia"/>
              </w:rPr>
              <w:t>、环境管理</w:t>
            </w:r>
          </w:p>
          <w:p>
            <w:pPr>
              <w:pStyle w:val="114"/>
            </w:pPr>
            <w:r>
              <w:rPr>
                <w:rFonts w:hint="eastAsia" w:ascii="宋体" w:hAnsi="宋体" w:cs="宋体"/>
              </w:rPr>
              <w:t>①</w:t>
            </w:r>
            <w:r>
              <w:rPr>
                <w:rFonts w:hint="eastAsia"/>
              </w:rPr>
              <w:t>机构设置和人员编制</w:t>
            </w:r>
          </w:p>
          <w:p>
            <w:pPr>
              <w:pStyle w:val="114"/>
            </w:pPr>
            <w:r>
              <w:rPr>
                <w:rFonts w:hint="eastAsia"/>
              </w:rPr>
              <w:t>一期工程已经投入使用，建设单位现已设置有专职环保管理机构，由污水处理厂厂长直接领导，下设环保专员</w:t>
            </w:r>
            <w:r>
              <w:t>2</w:t>
            </w:r>
            <w:r>
              <w:rPr>
                <w:rFonts w:hint="eastAsia"/>
              </w:rPr>
              <w:t>人。</w:t>
            </w:r>
          </w:p>
          <w:p>
            <w:pPr>
              <w:pStyle w:val="114"/>
            </w:pPr>
            <w:r>
              <w:rPr>
                <w:rFonts w:hint="eastAsia" w:ascii="宋体" w:hAnsi="宋体" w:cs="宋体"/>
              </w:rPr>
              <w:t>②</w:t>
            </w:r>
            <w:r>
              <w:rPr>
                <w:rFonts w:hint="eastAsia"/>
              </w:rPr>
              <w:t>环保职责范围</w:t>
            </w:r>
          </w:p>
          <w:p>
            <w:pPr>
              <w:pStyle w:val="114"/>
            </w:pPr>
            <w:r>
              <w:rPr>
                <w:rFonts w:hint="eastAsia"/>
              </w:rPr>
              <w:t>污水处理厂法人对该厂环境质量负责。污水处理厂环保管理机构执行厂内有关环保管理职责和日常环境管理监督与执行，对厂长负责。</w:t>
            </w:r>
          </w:p>
          <w:p>
            <w:pPr>
              <w:pStyle w:val="114"/>
            </w:pPr>
            <w:r>
              <w:rPr>
                <w:rFonts w:hint="eastAsia"/>
              </w:rPr>
              <w:t>环保管理机构职责如下：</w:t>
            </w:r>
          </w:p>
          <w:p>
            <w:pPr>
              <w:pStyle w:val="2"/>
              <w:numPr>
                <w:ilvl w:val="0"/>
                <w:numId w:val="6"/>
              </w:numPr>
              <w:spacing w:line="360" w:lineRule="auto"/>
              <w:ind w:firstLine="480" w:firstLineChars="200"/>
              <w:rPr>
                <w:szCs w:val="24"/>
              </w:rPr>
            </w:pPr>
            <w:r>
              <w:rPr>
                <w:rFonts w:hint="eastAsia"/>
                <w:szCs w:val="24"/>
              </w:rPr>
              <w:t>建立建全污水处理厂环境管理规章制度，强化管理手段，将环保管理纳入法治管理轨道，建立管理小组及化验室，来管理和实施有关的监测计划，实施有效的质量控制，切实监督、落实执行所有规章制度。</w:t>
            </w:r>
          </w:p>
          <w:p>
            <w:pPr>
              <w:pStyle w:val="2"/>
              <w:numPr>
                <w:ilvl w:val="0"/>
                <w:numId w:val="6"/>
              </w:numPr>
              <w:spacing w:line="360" w:lineRule="auto"/>
              <w:ind w:firstLine="480" w:firstLineChars="200"/>
              <w:rPr>
                <w:szCs w:val="24"/>
              </w:rPr>
            </w:pPr>
            <w:r>
              <w:rPr>
                <w:rFonts w:hint="eastAsia"/>
                <w:szCs w:val="24"/>
              </w:rPr>
              <w:t>加强运行期生产管理。严格实行污水处理岗位责任制，根据进厂水质、水量变化，及时调整运行条件，出现问题立即解决，做好日常水质化验分析。保存完整的原始记录和各项资料，建立技术档案，并将每班的污水处理量、处理成本、处理出水指标、运行的正常率与事故率比等列为岗位责任考核指标。</w:t>
            </w:r>
          </w:p>
          <w:p>
            <w:pPr>
              <w:pStyle w:val="114"/>
            </w:pPr>
            <w:r>
              <w:rPr>
                <w:rFonts w:hint="eastAsia"/>
              </w:rPr>
              <w:t>加强污水处理运行设备的保养、维护和处理设施正常运行，杜绝事故性排放的发生。</w:t>
            </w:r>
          </w:p>
          <w:p>
            <w:pPr>
              <w:pStyle w:val="2"/>
              <w:numPr>
                <w:ilvl w:val="0"/>
                <w:numId w:val="6"/>
              </w:numPr>
              <w:spacing w:line="360" w:lineRule="auto"/>
              <w:ind w:firstLine="480" w:firstLineChars="200"/>
              <w:rPr>
                <w:szCs w:val="24"/>
              </w:rPr>
            </w:pPr>
            <w:r>
              <w:rPr>
                <w:rFonts w:hint="eastAsia"/>
                <w:szCs w:val="24"/>
              </w:rPr>
              <w:t>编制项目的环境保护计划，包括短期计划和长远规划；</w:t>
            </w:r>
          </w:p>
          <w:p>
            <w:pPr>
              <w:pStyle w:val="2"/>
              <w:numPr>
                <w:ilvl w:val="0"/>
                <w:numId w:val="6"/>
              </w:numPr>
              <w:spacing w:line="360" w:lineRule="auto"/>
              <w:ind w:firstLine="480" w:firstLineChars="200"/>
              <w:rPr>
                <w:szCs w:val="24"/>
              </w:rPr>
            </w:pPr>
            <w:r>
              <w:rPr>
                <w:rFonts w:hint="eastAsia"/>
                <w:szCs w:val="24"/>
              </w:rPr>
              <w:t>提出环境保护经费预、决算方案，合理分配和使用经费；</w:t>
            </w:r>
          </w:p>
          <w:p>
            <w:pPr>
              <w:pStyle w:val="2"/>
              <w:numPr>
                <w:ilvl w:val="0"/>
                <w:numId w:val="6"/>
              </w:numPr>
              <w:spacing w:line="360" w:lineRule="auto"/>
              <w:ind w:firstLine="480" w:firstLineChars="200"/>
              <w:rPr>
                <w:szCs w:val="24"/>
              </w:rPr>
            </w:pPr>
            <w:r>
              <w:rPr>
                <w:rFonts w:hint="eastAsia"/>
                <w:szCs w:val="24"/>
              </w:rPr>
              <w:t>贯彻落实国家和地方制定的环境保护法规、法律与政策，直接受定安县环境保护局监督，配合和协助有关部门做好环境管理工作；</w:t>
            </w:r>
          </w:p>
          <w:p>
            <w:pPr>
              <w:pStyle w:val="2"/>
              <w:numPr>
                <w:ilvl w:val="0"/>
                <w:numId w:val="6"/>
              </w:numPr>
              <w:spacing w:line="360" w:lineRule="auto"/>
              <w:ind w:firstLine="480" w:firstLineChars="200"/>
              <w:rPr>
                <w:szCs w:val="24"/>
              </w:rPr>
            </w:pPr>
            <w:r>
              <w:rPr>
                <w:rFonts w:hint="eastAsia"/>
                <w:szCs w:val="24"/>
              </w:rPr>
              <w:t>制定和处理监测资料，编制环境管理和环境监测阶段报告和年度报告，并报告有关部门。</w:t>
            </w:r>
          </w:p>
          <w:p>
            <w:pPr>
              <w:pStyle w:val="2"/>
              <w:numPr>
                <w:ilvl w:val="0"/>
                <w:numId w:val="6"/>
              </w:numPr>
              <w:spacing w:line="360" w:lineRule="auto"/>
              <w:ind w:firstLine="480" w:firstLineChars="200"/>
              <w:rPr>
                <w:szCs w:val="24"/>
              </w:rPr>
            </w:pPr>
            <w:r>
              <w:rPr>
                <w:rFonts w:hint="eastAsia"/>
                <w:szCs w:val="24"/>
              </w:rPr>
              <w:t>组织技术培训。</w:t>
            </w:r>
          </w:p>
          <w:p>
            <w:pPr>
              <w:pStyle w:val="2"/>
              <w:spacing w:line="360" w:lineRule="auto"/>
              <w:ind w:left="420" w:leftChars="200"/>
              <w:rPr>
                <w:szCs w:val="24"/>
              </w:rPr>
            </w:pPr>
            <w:r>
              <w:rPr>
                <w:szCs w:val="24"/>
              </w:rPr>
              <w:t>2</w:t>
            </w:r>
            <w:r>
              <w:rPr>
                <w:rFonts w:hint="eastAsia"/>
                <w:szCs w:val="24"/>
              </w:rPr>
              <w:t>、环境监测</w:t>
            </w:r>
          </w:p>
          <w:p>
            <w:pPr>
              <w:pStyle w:val="2"/>
              <w:spacing w:line="360" w:lineRule="auto"/>
              <w:ind w:firstLine="480" w:firstLineChars="200"/>
              <w:rPr>
                <w:szCs w:val="24"/>
              </w:rPr>
            </w:pPr>
            <w:r>
              <w:rPr>
                <w:rFonts w:hint="eastAsia"/>
                <w:szCs w:val="24"/>
              </w:rPr>
              <w:t>污水处理厂运营期主要是污水处理厂尾水和污泥对周围环境的影响，因此环境监测重点监控厂区周围水环境质量，及时调整污水厂的处理深度并采取相应的环保措施。</w:t>
            </w:r>
          </w:p>
          <w:p>
            <w:pPr>
              <w:pStyle w:val="2"/>
              <w:spacing w:line="360" w:lineRule="auto"/>
              <w:ind w:firstLine="480" w:firstLineChars="200"/>
              <w:rPr>
                <w:szCs w:val="24"/>
              </w:rPr>
            </w:pPr>
            <w:r>
              <w:rPr>
                <w:rFonts w:hint="eastAsia"/>
                <w:szCs w:val="24"/>
              </w:rPr>
              <w:t>结合《排污单位自行监测技术指南总则》（</w:t>
            </w:r>
            <w:r>
              <w:rPr>
                <w:szCs w:val="24"/>
              </w:rPr>
              <w:t>HJ819-2017</w:t>
            </w:r>
            <w:r>
              <w:rPr>
                <w:rFonts w:hint="eastAsia"/>
                <w:szCs w:val="24"/>
              </w:rPr>
              <w:t>）及《排污许可证申请与核发技术规范</w:t>
            </w:r>
            <w:r>
              <w:rPr>
                <w:szCs w:val="24"/>
              </w:rPr>
              <w:t xml:space="preserve">  </w:t>
            </w:r>
            <w:r>
              <w:rPr>
                <w:rFonts w:hint="eastAsia"/>
                <w:szCs w:val="24"/>
              </w:rPr>
              <w:t>水处理》（试行）（</w:t>
            </w:r>
            <w:r>
              <w:rPr>
                <w:szCs w:val="24"/>
              </w:rPr>
              <w:t>HJ978-2018</w:t>
            </w:r>
            <w:r>
              <w:rPr>
                <w:rFonts w:hint="eastAsia"/>
                <w:szCs w:val="24"/>
              </w:rPr>
              <w:t>）中相关要求，提出如下环境监测计划：</w:t>
            </w:r>
          </w:p>
          <w:p>
            <w:pPr>
              <w:pStyle w:val="2"/>
              <w:spacing w:line="360" w:lineRule="auto"/>
              <w:ind w:firstLine="480" w:firstLineChars="200"/>
              <w:rPr>
                <w:szCs w:val="24"/>
              </w:rPr>
            </w:pPr>
            <w:r>
              <w:rPr>
                <w:rFonts w:hint="eastAsia"/>
                <w:szCs w:val="24"/>
              </w:rPr>
              <w:t>①废水监测计划</w:t>
            </w:r>
          </w:p>
          <w:p>
            <w:pPr>
              <w:pStyle w:val="2"/>
              <w:spacing w:line="360" w:lineRule="auto"/>
              <w:ind w:firstLine="480" w:firstLineChars="200"/>
              <w:rPr>
                <w:szCs w:val="24"/>
              </w:rPr>
            </w:pPr>
            <w:r>
              <w:rPr>
                <w:rFonts w:hint="eastAsia"/>
                <w:szCs w:val="24"/>
              </w:rPr>
              <w:t>废水监测项目及监测频次见表</w:t>
            </w:r>
            <w:r>
              <w:rPr>
                <w:szCs w:val="24"/>
              </w:rPr>
              <w:t>6-29</w:t>
            </w:r>
            <w:r>
              <w:rPr>
                <w:rFonts w:hint="eastAsia"/>
                <w:szCs w:val="24"/>
              </w:rPr>
              <w:t>。</w:t>
            </w:r>
          </w:p>
          <w:p>
            <w:pPr>
              <w:pStyle w:val="122"/>
            </w:pPr>
            <w:r>
              <w:rPr>
                <w:rFonts w:hint="eastAsia"/>
              </w:rPr>
              <w:t>表</w:t>
            </w:r>
            <w:r>
              <w:t>6-29</w:t>
            </w:r>
            <w:r>
              <w:rPr>
                <w:rFonts w:hint="eastAsia"/>
              </w:rPr>
              <w:t>废水排放监测指标及监测频次一览表</w:t>
            </w:r>
          </w:p>
          <w:tbl>
            <w:tblPr>
              <w:tblStyle w:val="37"/>
              <w:tblW w:w="94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3160"/>
              <w:gridCol w:w="3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2505" w:type="dxa"/>
                  <w:tcBorders>
                    <w:top w:val="single" w:color="auto" w:sz="12" w:space="0"/>
                    <w:left w:val="single" w:color="auto" w:sz="12" w:space="0"/>
                    <w:bottom w:val="single" w:color="auto" w:sz="4" w:space="0"/>
                    <w:right w:val="single" w:color="auto" w:sz="4" w:space="0"/>
                  </w:tcBorders>
                  <w:vAlign w:val="center"/>
                </w:tcPr>
                <w:p>
                  <w:pPr>
                    <w:pStyle w:val="124"/>
                    <w:rPr>
                      <w:szCs w:val="21"/>
                    </w:rPr>
                  </w:pPr>
                  <w:r>
                    <w:rPr>
                      <w:rFonts w:hint="eastAsia"/>
                      <w:szCs w:val="21"/>
                    </w:rPr>
                    <w:t>监测点位</w:t>
                  </w:r>
                </w:p>
              </w:tc>
              <w:tc>
                <w:tcPr>
                  <w:tcW w:w="3160" w:type="dxa"/>
                  <w:tcBorders>
                    <w:top w:val="single" w:color="auto" w:sz="12" w:space="0"/>
                    <w:left w:val="single" w:color="auto" w:sz="4" w:space="0"/>
                    <w:bottom w:val="single" w:color="auto" w:sz="4" w:space="0"/>
                    <w:right w:val="single" w:color="auto" w:sz="4" w:space="0"/>
                  </w:tcBorders>
                  <w:vAlign w:val="center"/>
                </w:tcPr>
                <w:p>
                  <w:pPr>
                    <w:pStyle w:val="124"/>
                    <w:rPr>
                      <w:szCs w:val="21"/>
                    </w:rPr>
                  </w:pPr>
                  <w:r>
                    <w:rPr>
                      <w:rFonts w:hint="eastAsia"/>
                      <w:szCs w:val="21"/>
                    </w:rPr>
                    <w:t>监测指标</w:t>
                  </w:r>
                </w:p>
              </w:tc>
              <w:tc>
                <w:tcPr>
                  <w:tcW w:w="3751" w:type="dxa"/>
                  <w:tcBorders>
                    <w:top w:val="single" w:color="auto" w:sz="12" w:space="0"/>
                    <w:left w:val="single" w:color="auto" w:sz="4" w:space="0"/>
                    <w:bottom w:val="single" w:color="auto" w:sz="4" w:space="0"/>
                    <w:right w:val="single" w:color="auto" w:sz="12" w:space="0"/>
                  </w:tcBorders>
                  <w:vAlign w:val="center"/>
                </w:tcPr>
                <w:p>
                  <w:pPr>
                    <w:pStyle w:val="124"/>
                    <w:rPr>
                      <w:szCs w:val="21"/>
                    </w:rPr>
                  </w:pPr>
                  <w:r>
                    <w:rPr>
                      <w:rFonts w:hint="eastAsia"/>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2505" w:type="dxa"/>
                  <w:vMerge w:val="restart"/>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进水总管</w:t>
                  </w:r>
                </w:p>
              </w:tc>
              <w:tc>
                <w:tcPr>
                  <w:tcW w:w="316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流量、化学需氧量、氨氮</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自动监测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505"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316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总磷、总氮</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trPr>
              <w:tc>
                <w:tcPr>
                  <w:tcW w:w="2505" w:type="dxa"/>
                  <w:vMerge w:val="restart"/>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废水总排放口</w:t>
                  </w:r>
                </w:p>
              </w:tc>
              <w:tc>
                <w:tcPr>
                  <w:tcW w:w="316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流量、</w:t>
                  </w:r>
                  <w:r>
                    <w:t xml:space="preserve">pH </w:t>
                  </w:r>
                  <w:r>
                    <w:rPr>
                      <w:rFonts w:hint="eastAsia"/>
                    </w:rPr>
                    <w:t>值、水温、化学需氧量、氨氮、总磷、总氮</w:t>
                  </w:r>
                  <w:r>
                    <w:rPr>
                      <w:vertAlign w:val="superscript"/>
                    </w:rPr>
                    <w:t>[1]</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自动监测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2505"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316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悬浮物、色度、五日生化需氧量、动植物油、石油类、阴离子表面活性剂、粪大肠菌群</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2505"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316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总镉、总铬、总汞、总铅、总砷、六价铬</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 w:hRule="atLeast"/>
              </w:trPr>
              <w:tc>
                <w:tcPr>
                  <w:tcW w:w="2505"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316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烷基汞</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6" w:hRule="atLeast"/>
              </w:trPr>
              <w:tc>
                <w:tcPr>
                  <w:tcW w:w="2505"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3160" w:type="dxa"/>
                  <w:tcBorders>
                    <w:top w:val="single" w:color="auto" w:sz="4" w:space="0"/>
                    <w:left w:val="single" w:color="auto" w:sz="4" w:space="0"/>
                    <w:bottom w:val="single" w:color="auto" w:sz="4" w:space="0"/>
                    <w:right w:val="single" w:color="auto" w:sz="4" w:space="0"/>
                  </w:tcBorders>
                  <w:vAlign w:val="center"/>
                </w:tcPr>
                <w:p>
                  <w:pPr>
                    <w:pStyle w:val="77"/>
                  </w:pPr>
                  <w:r>
                    <w:t xml:space="preserve">GB 18918 </w:t>
                  </w:r>
                  <w:r>
                    <w:rPr>
                      <w:rFonts w:hint="eastAsia"/>
                    </w:rPr>
                    <w:t>的表</w:t>
                  </w:r>
                  <w:r>
                    <w:t xml:space="preserve"> 3 </w:t>
                  </w:r>
                  <w:r>
                    <w:rPr>
                      <w:rFonts w:hint="eastAsia"/>
                    </w:rPr>
                    <w:t>中纳入许可的指标</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2505" w:type="dxa"/>
                  <w:vMerge w:val="continue"/>
                  <w:tcBorders>
                    <w:top w:val="single" w:color="auto" w:sz="4" w:space="0"/>
                    <w:left w:val="single" w:color="auto" w:sz="12" w:space="0"/>
                    <w:bottom w:val="single" w:color="auto" w:sz="4" w:space="0"/>
                    <w:right w:val="single" w:color="auto" w:sz="4" w:space="0"/>
                  </w:tcBorders>
                  <w:vAlign w:val="center"/>
                </w:tcPr>
                <w:p>
                  <w:pPr>
                    <w:pStyle w:val="77"/>
                  </w:pPr>
                </w:p>
              </w:tc>
              <w:tc>
                <w:tcPr>
                  <w:tcW w:w="316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其他污染物</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2505" w:type="dxa"/>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雨水排放口</w:t>
                  </w:r>
                </w:p>
              </w:tc>
              <w:tc>
                <w:tcPr>
                  <w:tcW w:w="3160" w:type="dxa"/>
                  <w:tcBorders>
                    <w:top w:val="single" w:color="auto" w:sz="4" w:space="0"/>
                    <w:left w:val="single" w:color="auto" w:sz="4" w:space="0"/>
                    <w:bottom w:val="single" w:color="auto" w:sz="4" w:space="0"/>
                    <w:right w:val="single" w:color="auto" w:sz="4" w:space="0"/>
                  </w:tcBorders>
                  <w:vAlign w:val="center"/>
                </w:tcPr>
                <w:p>
                  <w:pPr>
                    <w:pStyle w:val="77"/>
                  </w:pPr>
                  <w:r>
                    <w:t xml:space="preserve">pH </w:t>
                  </w:r>
                  <w:r>
                    <w:rPr>
                      <w:rFonts w:hint="eastAsia"/>
                    </w:rPr>
                    <w:t>值、化学需氧量、氨氮、悬浮物</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日</w:t>
                  </w:r>
                  <w:r>
                    <w:rPr>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416" w:type="dxa"/>
                  <w:gridSpan w:val="3"/>
                  <w:tcBorders>
                    <w:top w:val="single" w:color="auto" w:sz="4" w:space="0"/>
                    <w:left w:val="single" w:color="auto" w:sz="12" w:space="0"/>
                    <w:bottom w:val="single" w:color="auto" w:sz="12" w:space="0"/>
                    <w:right w:val="single" w:color="auto" w:sz="12" w:space="0"/>
                  </w:tcBorders>
                  <w:vAlign w:val="center"/>
                </w:tcPr>
                <w:p>
                  <w:pPr>
                    <w:pStyle w:val="77"/>
                    <w:jc w:val="both"/>
                  </w:pPr>
                  <w:r>
                    <w:rPr>
                      <w:rFonts w:hint="eastAsia"/>
                    </w:rPr>
                    <w:t>备注：</w:t>
                  </w:r>
                  <w:r>
                    <w:t>[1]</w:t>
                  </w:r>
                  <w:r>
                    <w:rPr>
                      <w:rFonts w:hint="eastAsia"/>
                    </w:rPr>
                    <w:t>总氮自动监测技术规范发布实施前，按日监测。</w:t>
                  </w:r>
                </w:p>
                <w:p>
                  <w:pPr>
                    <w:pStyle w:val="77"/>
                    <w:ind w:firstLine="630" w:firstLineChars="300"/>
                    <w:jc w:val="both"/>
                  </w:pPr>
                  <w:r>
                    <w:t>[2]</w:t>
                  </w:r>
                  <w:r>
                    <w:rPr>
                      <w:rFonts w:hint="eastAsia"/>
                    </w:rPr>
                    <w:t>雨水排放口有流动水排放时按日监测。若监测一年无异常情况，可放宽至每季度开展一次监测</w:t>
                  </w:r>
                </w:p>
              </w:tc>
            </w:tr>
          </w:tbl>
          <w:p>
            <w:pPr>
              <w:pStyle w:val="2"/>
              <w:spacing w:line="360" w:lineRule="auto"/>
              <w:ind w:firstLine="480" w:firstLineChars="200"/>
              <w:rPr>
                <w:szCs w:val="24"/>
              </w:rPr>
            </w:pPr>
            <w:r>
              <w:rPr>
                <w:rFonts w:hint="eastAsia"/>
                <w:szCs w:val="24"/>
              </w:rPr>
              <w:t>②废气监测计划</w:t>
            </w:r>
          </w:p>
          <w:p>
            <w:pPr>
              <w:pStyle w:val="2"/>
              <w:spacing w:line="360" w:lineRule="auto"/>
              <w:ind w:firstLine="480" w:firstLineChars="200"/>
              <w:rPr>
                <w:szCs w:val="24"/>
              </w:rPr>
            </w:pPr>
            <w:r>
              <w:rPr>
                <w:rFonts w:hint="eastAsia"/>
                <w:szCs w:val="24"/>
              </w:rPr>
              <w:t>废气监测项目及监测频次见表</w:t>
            </w:r>
            <w:r>
              <w:rPr>
                <w:szCs w:val="24"/>
              </w:rPr>
              <w:t>6-30</w:t>
            </w:r>
            <w:r>
              <w:rPr>
                <w:rFonts w:hint="eastAsia"/>
                <w:szCs w:val="24"/>
              </w:rPr>
              <w:t>。</w:t>
            </w:r>
          </w:p>
          <w:p>
            <w:pPr>
              <w:pStyle w:val="122"/>
            </w:pPr>
            <w:r>
              <w:rPr>
                <w:rFonts w:hint="eastAsia"/>
              </w:rPr>
              <w:t>表</w:t>
            </w:r>
            <w:r>
              <w:t>6-30</w:t>
            </w:r>
            <w:r>
              <w:rPr>
                <w:rFonts w:hint="eastAsia"/>
              </w:rPr>
              <w:t>废水排放监测指标及监测频次一览表</w:t>
            </w:r>
          </w:p>
          <w:tbl>
            <w:tblPr>
              <w:tblStyle w:val="37"/>
              <w:tblW w:w="94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84"/>
              <w:gridCol w:w="2981"/>
              <w:gridCol w:w="3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2684" w:type="dxa"/>
                  <w:tcBorders>
                    <w:top w:val="single" w:color="auto" w:sz="12" w:space="0"/>
                    <w:left w:val="single" w:color="auto" w:sz="12" w:space="0"/>
                    <w:bottom w:val="single" w:color="auto" w:sz="4" w:space="0"/>
                    <w:right w:val="single" w:color="auto" w:sz="4" w:space="0"/>
                  </w:tcBorders>
                  <w:vAlign w:val="center"/>
                </w:tcPr>
                <w:p>
                  <w:pPr>
                    <w:pStyle w:val="124"/>
                    <w:rPr>
                      <w:szCs w:val="21"/>
                    </w:rPr>
                  </w:pPr>
                  <w:r>
                    <w:rPr>
                      <w:rFonts w:hint="eastAsia"/>
                      <w:szCs w:val="21"/>
                    </w:rPr>
                    <w:t>监测点位</w:t>
                  </w:r>
                </w:p>
              </w:tc>
              <w:tc>
                <w:tcPr>
                  <w:tcW w:w="2981" w:type="dxa"/>
                  <w:tcBorders>
                    <w:top w:val="single" w:color="auto" w:sz="12" w:space="0"/>
                    <w:left w:val="single" w:color="auto" w:sz="4" w:space="0"/>
                    <w:bottom w:val="single" w:color="auto" w:sz="4" w:space="0"/>
                    <w:right w:val="single" w:color="auto" w:sz="4" w:space="0"/>
                  </w:tcBorders>
                  <w:vAlign w:val="center"/>
                </w:tcPr>
                <w:p>
                  <w:pPr>
                    <w:pStyle w:val="124"/>
                    <w:rPr>
                      <w:szCs w:val="21"/>
                    </w:rPr>
                  </w:pPr>
                  <w:r>
                    <w:rPr>
                      <w:rFonts w:hint="eastAsia"/>
                      <w:szCs w:val="21"/>
                    </w:rPr>
                    <w:t>监测指标</w:t>
                  </w:r>
                </w:p>
              </w:tc>
              <w:tc>
                <w:tcPr>
                  <w:tcW w:w="3751" w:type="dxa"/>
                  <w:tcBorders>
                    <w:top w:val="single" w:color="auto" w:sz="12" w:space="0"/>
                    <w:left w:val="single" w:color="auto" w:sz="4" w:space="0"/>
                    <w:bottom w:val="single" w:color="auto" w:sz="4" w:space="0"/>
                    <w:right w:val="single" w:color="auto" w:sz="12" w:space="0"/>
                  </w:tcBorders>
                  <w:vAlign w:val="center"/>
                </w:tcPr>
                <w:p>
                  <w:pPr>
                    <w:pStyle w:val="124"/>
                    <w:rPr>
                      <w:szCs w:val="21"/>
                    </w:rPr>
                  </w:pPr>
                  <w:r>
                    <w:rPr>
                      <w:rFonts w:hint="eastAsia"/>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2684" w:type="dxa"/>
                  <w:tcBorders>
                    <w:top w:val="single" w:color="auto" w:sz="4" w:space="0"/>
                    <w:left w:val="single" w:color="auto" w:sz="12" w:space="0"/>
                    <w:bottom w:val="single" w:color="auto" w:sz="4" w:space="0"/>
                    <w:right w:val="single" w:color="auto" w:sz="4" w:space="0"/>
                  </w:tcBorders>
                  <w:vAlign w:val="center"/>
                </w:tcPr>
                <w:p>
                  <w:pPr>
                    <w:pStyle w:val="77"/>
                    <w:rPr>
                      <w:vertAlign w:val="superscript"/>
                    </w:rPr>
                  </w:pPr>
                  <w:r>
                    <w:t>1#</w:t>
                  </w:r>
                  <w:r>
                    <w:rPr>
                      <w:rFonts w:hint="eastAsia"/>
                    </w:rPr>
                    <w:t>排气筒</w:t>
                  </w:r>
                  <w:r>
                    <w:rPr>
                      <w:vertAlign w:val="superscript"/>
                    </w:rPr>
                    <w:t>[1]</w:t>
                  </w:r>
                </w:p>
              </w:tc>
              <w:tc>
                <w:tcPr>
                  <w:tcW w:w="2981"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氨、硫化氢、臭气浓度</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2684" w:type="dxa"/>
                  <w:tcBorders>
                    <w:top w:val="single" w:color="auto" w:sz="4" w:space="0"/>
                    <w:left w:val="single" w:color="auto" w:sz="12" w:space="0"/>
                    <w:bottom w:val="single" w:color="auto" w:sz="4" w:space="0"/>
                    <w:right w:val="single" w:color="auto" w:sz="4" w:space="0"/>
                  </w:tcBorders>
                  <w:vAlign w:val="center"/>
                </w:tcPr>
                <w:p>
                  <w:pPr>
                    <w:pStyle w:val="77"/>
                    <w:rPr>
                      <w:vertAlign w:val="superscript"/>
                    </w:rPr>
                  </w:pPr>
                  <w:r>
                    <w:t>2#</w:t>
                  </w:r>
                  <w:r>
                    <w:rPr>
                      <w:rFonts w:hint="eastAsia"/>
                    </w:rPr>
                    <w:t>排气筒</w:t>
                  </w:r>
                  <w:r>
                    <w:rPr>
                      <w:vertAlign w:val="superscript"/>
                    </w:rPr>
                    <w:t>[1]</w:t>
                  </w:r>
                </w:p>
              </w:tc>
              <w:tc>
                <w:tcPr>
                  <w:tcW w:w="2981"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氨、硫化氢、臭气浓度</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2684" w:type="dxa"/>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厂界无组织监测</w:t>
                  </w:r>
                </w:p>
              </w:tc>
              <w:tc>
                <w:tcPr>
                  <w:tcW w:w="2981"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氨、硫化氢、臭气浓度</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trPr>
              <w:tc>
                <w:tcPr>
                  <w:tcW w:w="2684" w:type="dxa"/>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厂区甲烷体积浓度最高处</w:t>
                  </w:r>
                  <w:r>
                    <w:rPr>
                      <w:vertAlign w:val="superscript"/>
                    </w:rPr>
                    <w:t>[2]</w:t>
                  </w:r>
                </w:p>
              </w:tc>
              <w:tc>
                <w:tcPr>
                  <w:tcW w:w="2981"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甲烷</w:t>
                  </w:r>
                </w:p>
              </w:tc>
              <w:tc>
                <w:tcPr>
                  <w:tcW w:w="3751" w:type="dxa"/>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416" w:type="dxa"/>
                  <w:gridSpan w:val="3"/>
                  <w:tcBorders>
                    <w:top w:val="single" w:color="auto" w:sz="4" w:space="0"/>
                    <w:left w:val="single" w:color="auto" w:sz="12" w:space="0"/>
                    <w:bottom w:val="single" w:color="auto" w:sz="12" w:space="0"/>
                    <w:right w:val="single" w:color="auto" w:sz="12" w:space="0"/>
                  </w:tcBorders>
                  <w:vAlign w:val="center"/>
                </w:tcPr>
                <w:p>
                  <w:pPr>
                    <w:pStyle w:val="77"/>
                    <w:jc w:val="both"/>
                  </w:pPr>
                  <w:r>
                    <w:rPr>
                      <w:rFonts w:hint="eastAsia"/>
                    </w:rPr>
                    <w:t>备注：</w:t>
                  </w:r>
                  <w:r>
                    <w:t>[1]</w:t>
                  </w:r>
                  <w:r>
                    <w:rPr>
                      <w:rFonts w:hint="eastAsia"/>
                    </w:rPr>
                    <w:t>废气烟气参数和污染物浓度应同步监测。</w:t>
                  </w:r>
                </w:p>
                <w:p>
                  <w:pPr>
                    <w:pStyle w:val="77"/>
                    <w:jc w:val="both"/>
                  </w:pPr>
                  <w:r>
                    <w:t xml:space="preserve">      [2]</w:t>
                  </w:r>
                  <w:r>
                    <w:rPr>
                      <w:rFonts w:hint="eastAsia"/>
                    </w:rPr>
                    <w:t>通常位于格栅、初沉池、污泥消化池、污泥浓缩池、污泥脱水机房等位置</w:t>
                  </w:r>
                </w:p>
              </w:tc>
            </w:tr>
          </w:tbl>
          <w:p>
            <w:pPr>
              <w:pStyle w:val="2"/>
              <w:spacing w:line="360" w:lineRule="auto"/>
              <w:ind w:firstLine="480" w:firstLineChars="200"/>
              <w:rPr>
                <w:szCs w:val="24"/>
              </w:rPr>
            </w:pPr>
            <w:r>
              <w:rPr>
                <w:rFonts w:hint="eastAsia"/>
                <w:szCs w:val="24"/>
              </w:rPr>
              <w:t>③污泥监测计划</w:t>
            </w:r>
          </w:p>
          <w:p>
            <w:pPr>
              <w:pStyle w:val="2"/>
              <w:spacing w:line="360" w:lineRule="auto"/>
              <w:ind w:firstLine="480" w:firstLineChars="200"/>
              <w:rPr>
                <w:szCs w:val="24"/>
              </w:rPr>
            </w:pPr>
            <w:r>
              <w:rPr>
                <w:rFonts w:hint="eastAsia"/>
                <w:szCs w:val="24"/>
              </w:rPr>
              <w:t>定城污水处理厂产生的污泥脱水后，运至垃圾填埋场处置。</w:t>
            </w:r>
            <w:r>
              <w:rPr>
                <w:rFonts w:hint="eastAsia"/>
              </w:rPr>
              <w:t>根据《生活垃圾填埋场污染控制标准》（</w:t>
            </w:r>
            <w:r>
              <w:t>GB16889-2008</w:t>
            </w:r>
            <w:r>
              <w:rPr>
                <w:rFonts w:hint="eastAsia"/>
              </w:rPr>
              <w:t>）：生活污水处理厂污泥经处理后含水率小于</w:t>
            </w:r>
            <w:r>
              <w:t>60%</w:t>
            </w:r>
            <w:r>
              <w:rPr>
                <w:rFonts w:hint="eastAsia"/>
              </w:rPr>
              <w:t>，可以进入生活垃圾填埋场填埋处置。因此，拟建项目需对脱水后的污泥进行含水率监测，监测频次为每日</w:t>
            </w:r>
            <w:r>
              <w:t>1</w:t>
            </w:r>
            <w:r>
              <w:rPr>
                <w:rFonts w:hint="eastAsia"/>
              </w:rPr>
              <w:t>次。</w:t>
            </w:r>
          </w:p>
          <w:p>
            <w:pPr>
              <w:pStyle w:val="2"/>
              <w:spacing w:line="360" w:lineRule="auto"/>
              <w:ind w:firstLine="480" w:firstLineChars="200"/>
              <w:rPr>
                <w:szCs w:val="24"/>
              </w:rPr>
            </w:pPr>
            <w:r>
              <w:rPr>
                <w:rFonts w:hint="eastAsia" w:ascii="宋体" w:hAnsi="宋体" w:cs="宋体"/>
                <w:szCs w:val="24"/>
              </w:rPr>
              <w:t>④</w:t>
            </w:r>
            <w:r>
              <w:rPr>
                <w:rFonts w:hint="eastAsia"/>
                <w:szCs w:val="24"/>
              </w:rPr>
              <w:t>噪声监测计划</w:t>
            </w:r>
          </w:p>
          <w:p>
            <w:pPr>
              <w:pStyle w:val="2"/>
              <w:spacing w:line="360" w:lineRule="auto"/>
              <w:ind w:firstLine="480" w:firstLineChars="200"/>
              <w:rPr>
                <w:szCs w:val="24"/>
              </w:rPr>
            </w:pPr>
            <w:r>
              <w:rPr>
                <w:rFonts w:hint="eastAsia"/>
                <w:szCs w:val="24"/>
              </w:rPr>
              <w:t>监测点布置：污水处理厂厂界；</w:t>
            </w:r>
          </w:p>
          <w:p>
            <w:pPr>
              <w:pStyle w:val="2"/>
              <w:spacing w:line="360" w:lineRule="auto"/>
              <w:ind w:firstLine="480" w:firstLineChars="200"/>
              <w:rPr>
                <w:szCs w:val="24"/>
              </w:rPr>
            </w:pPr>
            <w:r>
              <w:rPr>
                <w:rFonts w:hint="eastAsia"/>
                <w:szCs w:val="24"/>
              </w:rPr>
              <w:t>监测项目：噪声</w:t>
            </w:r>
          </w:p>
          <w:p>
            <w:pPr>
              <w:pStyle w:val="2"/>
              <w:spacing w:line="360" w:lineRule="auto"/>
              <w:ind w:firstLine="480" w:firstLineChars="200"/>
              <w:rPr>
                <w:szCs w:val="24"/>
              </w:rPr>
            </w:pPr>
            <w:r>
              <w:rPr>
                <w:rFonts w:hint="eastAsia"/>
                <w:szCs w:val="24"/>
              </w:rPr>
              <w:t>监测频次：</w:t>
            </w:r>
            <w:r>
              <w:rPr>
                <w:szCs w:val="24"/>
              </w:rPr>
              <w:t>1</w:t>
            </w:r>
            <w:r>
              <w:rPr>
                <w:rFonts w:hint="eastAsia"/>
                <w:szCs w:val="24"/>
              </w:rPr>
              <w:t>季度</w:t>
            </w:r>
            <w:r>
              <w:rPr>
                <w:szCs w:val="24"/>
              </w:rPr>
              <w:t>1</w:t>
            </w:r>
            <w:r>
              <w:rPr>
                <w:rFonts w:hint="eastAsia"/>
                <w:szCs w:val="24"/>
              </w:rPr>
              <w:t>次</w:t>
            </w:r>
          </w:p>
          <w:p>
            <w:pPr>
              <w:pStyle w:val="2"/>
              <w:spacing w:line="360" w:lineRule="auto"/>
              <w:ind w:firstLine="480" w:firstLineChars="200"/>
              <w:rPr>
                <w:szCs w:val="24"/>
              </w:rPr>
            </w:pPr>
            <w:r>
              <w:rPr>
                <w:rFonts w:hint="eastAsia"/>
                <w:szCs w:val="24"/>
              </w:rPr>
              <w:t>⑤水环境监测</w:t>
            </w:r>
          </w:p>
          <w:p>
            <w:pPr>
              <w:pStyle w:val="2"/>
              <w:spacing w:line="360" w:lineRule="auto"/>
              <w:ind w:firstLine="480" w:firstLineChars="200"/>
              <w:rPr>
                <w:szCs w:val="24"/>
              </w:rPr>
            </w:pPr>
            <w:r>
              <w:rPr>
                <w:rFonts w:hint="eastAsia"/>
                <w:szCs w:val="24"/>
              </w:rPr>
              <w:t>按《地表水环境质量标准》（</w:t>
            </w:r>
            <w:r>
              <w:rPr>
                <w:szCs w:val="24"/>
              </w:rPr>
              <w:t>GB3838-2002</w:t>
            </w:r>
            <w:r>
              <w:rPr>
                <w:rFonts w:hint="eastAsia"/>
                <w:szCs w:val="24"/>
              </w:rPr>
              <w:t>）等规定的监测分析方法对水因子进行日常例行监测，有关监测点、监测项目及监测频次见表</w:t>
            </w:r>
            <w:r>
              <w:rPr>
                <w:szCs w:val="24"/>
              </w:rPr>
              <w:t>6-31</w:t>
            </w:r>
            <w:r>
              <w:rPr>
                <w:rFonts w:hint="eastAsia"/>
                <w:szCs w:val="24"/>
              </w:rPr>
              <w:t>。</w:t>
            </w:r>
          </w:p>
          <w:p>
            <w:pPr>
              <w:pStyle w:val="2"/>
              <w:spacing w:line="360" w:lineRule="auto"/>
              <w:jc w:val="center"/>
              <w:rPr>
                <w:b/>
                <w:bCs/>
                <w:sz w:val="21"/>
                <w:szCs w:val="21"/>
              </w:rPr>
            </w:pPr>
            <w:r>
              <w:rPr>
                <w:rFonts w:hint="eastAsia"/>
                <w:b/>
                <w:bCs/>
                <w:sz w:val="21"/>
                <w:szCs w:val="21"/>
              </w:rPr>
              <w:t>表</w:t>
            </w:r>
            <w:r>
              <w:rPr>
                <w:b/>
                <w:bCs/>
                <w:sz w:val="21"/>
                <w:szCs w:val="21"/>
              </w:rPr>
              <w:t>6-31</w:t>
            </w:r>
            <w:r>
              <w:rPr>
                <w:rFonts w:hint="eastAsia"/>
                <w:b/>
                <w:bCs/>
                <w:sz w:val="21"/>
                <w:szCs w:val="21"/>
              </w:rPr>
              <w:t>水环境监测</w:t>
            </w:r>
          </w:p>
          <w:tbl>
            <w:tblPr>
              <w:tblStyle w:val="37"/>
              <w:tblW w:w="942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2220"/>
              <w:gridCol w:w="3990"/>
              <w:gridCol w:w="1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54" w:type="dxa"/>
                  <w:tcBorders>
                    <w:top w:val="single" w:color="auto" w:sz="12" w:space="0"/>
                    <w:left w:val="single" w:color="auto" w:sz="12" w:space="0"/>
                    <w:bottom w:val="single" w:color="auto" w:sz="4" w:space="0"/>
                    <w:right w:val="single" w:color="auto" w:sz="4" w:space="0"/>
                  </w:tcBorders>
                  <w:vAlign w:val="center"/>
                </w:tcPr>
                <w:p>
                  <w:pPr>
                    <w:pStyle w:val="77"/>
                  </w:pPr>
                  <w:r>
                    <w:rPr>
                      <w:rFonts w:hint="eastAsia"/>
                    </w:rPr>
                    <w:t>监测计划</w:t>
                  </w:r>
                </w:p>
              </w:tc>
              <w:tc>
                <w:tcPr>
                  <w:tcW w:w="2220" w:type="dxa"/>
                  <w:tcBorders>
                    <w:top w:val="single" w:color="auto" w:sz="12" w:space="0"/>
                    <w:left w:val="single" w:color="auto" w:sz="4" w:space="0"/>
                    <w:bottom w:val="single" w:color="auto" w:sz="4" w:space="0"/>
                    <w:right w:val="single" w:color="auto" w:sz="4" w:space="0"/>
                  </w:tcBorders>
                  <w:vAlign w:val="center"/>
                </w:tcPr>
                <w:p>
                  <w:pPr>
                    <w:pStyle w:val="77"/>
                  </w:pPr>
                  <w:r>
                    <w:rPr>
                      <w:rFonts w:hint="eastAsia"/>
                    </w:rPr>
                    <w:t>监测点位置</w:t>
                  </w:r>
                </w:p>
              </w:tc>
              <w:tc>
                <w:tcPr>
                  <w:tcW w:w="3990" w:type="dxa"/>
                  <w:tcBorders>
                    <w:top w:val="single" w:color="auto" w:sz="12" w:space="0"/>
                    <w:left w:val="single" w:color="auto" w:sz="4" w:space="0"/>
                    <w:bottom w:val="single" w:color="auto" w:sz="4" w:space="0"/>
                    <w:right w:val="single" w:color="auto" w:sz="4" w:space="0"/>
                  </w:tcBorders>
                  <w:vAlign w:val="center"/>
                </w:tcPr>
                <w:p>
                  <w:pPr>
                    <w:pStyle w:val="77"/>
                  </w:pPr>
                  <w:r>
                    <w:rPr>
                      <w:rFonts w:hint="eastAsia"/>
                    </w:rPr>
                    <w:t>监测项目</w:t>
                  </w:r>
                </w:p>
              </w:tc>
              <w:tc>
                <w:tcPr>
                  <w:tcW w:w="1660" w:type="dxa"/>
                  <w:tcBorders>
                    <w:top w:val="single" w:color="auto" w:sz="12" w:space="0"/>
                    <w:left w:val="single" w:color="auto" w:sz="4" w:space="0"/>
                    <w:bottom w:val="single" w:color="auto" w:sz="4" w:space="0"/>
                    <w:right w:val="single" w:color="auto" w:sz="12" w:space="0"/>
                  </w:tcBorders>
                  <w:vAlign w:val="center"/>
                </w:tcPr>
                <w:p>
                  <w:pPr>
                    <w:pStyle w:val="77"/>
                  </w:pPr>
                  <w:r>
                    <w:rPr>
                      <w:rFonts w:hint="eastAsia"/>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54" w:type="dxa"/>
                  <w:vMerge w:val="restart"/>
                  <w:tcBorders>
                    <w:top w:val="single" w:color="auto" w:sz="4" w:space="0"/>
                    <w:left w:val="single" w:color="auto" w:sz="12" w:space="0"/>
                    <w:bottom w:val="single" w:color="auto" w:sz="4" w:space="0"/>
                    <w:right w:val="single" w:color="auto" w:sz="4" w:space="0"/>
                  </w:tcBorders>
                  <w:vAlign w:val="center"/>
                </w:tcPr>
                <w:p>
                  <w:pPr>
                    <w:pStyle w:val="77"/>
                  </w:pPr>
                  <w:r>
                    <w:rPr>
                      <w:rFonts w:hint="eastAsia"/>
                    </w:rPr>
                    <w:t>日常例行监测</w:t>
                  </w:r>
                </w:p>
              </w:tc>
              <w:tc>
                <w:tcPr>
                  <w:tcW w:w="222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污水处理厂监测断面</w:t>
                  </w:r>
                </w:p>
              </w:tc>
              <w:tc>
                <w:tcPr>
                  <w:tcW w:w="3990" w:type="dxa"/>
                  <w:vMerge w:val="restart"/>
                  <w:tcBorders>
                    <w:top w:val="single" w:color="auto" w:sz="4" w:space="0"/>
                    <w:left w:val="single" w:color="auto" w:sz="4" w:space="0"/>
                    <w:bottom w:val="single" w:color="auto" w:sz="4" w:space="0"/>
                    <w:right w:val="single" w:color="auto" w:sz="4" w:space="0"/>
                  </w:tcBorders>
                  <w:vAlign w:val="center"/>
                </w:tcPr>
                <w:p>
                  <w:pPr>
                    <w:pStyle w:val="77"/>
                  </w:pPr>
                  <w:r>
                    <w:t>pH</w:t>
                  </w:r>
                  <w:r>
                    <w:rPr>
                      <w:rFonts w:hint="eastAsia"/>
                    </w:rPr>
                    <w:t>、</w:t>
                  </w:r>
                  <w:r>
                    <w:t>COD</w:t>
                  </w:r>
                  <w:r>
                    <w:rPr>
                      <w:rFonts w:hint="eastAsia"/>
                    </w:rPr>
                    <w:t>、</w:t>
                  </w:r>
                  <w:r>
                    <w:t>BOD</w:t>
                  </w:r>
                  <w:r>
                    <w:rPr>
                      <w:vertAlign w:val="subscript"/>
                    </w:rPr>
                    <w:t>5</w:t>
                  </w:r>
                  <w:r>
                    <w:rPr>
                      <w:rFonts w:hint="eastAsia"/>
                    </w:rPr>
                    <w:t>、</w:t>
                  </w:r>
                  <w:r>
                    <w:t>SS</w:t>
                  </w:r>
                  <w:r>
                    <w:rPr>
                      <w:rFonts w:hint="eastAsia"/>
                    </w:rPr>
                    <w:t>、氨氮、总氮、总磷、粪大肠菌群、水温、石油类</w:t>
                  </w:r>
                </w:p>
              </w:tc>
              <w:tc>
                <w:tcPr>
                  <w:tcW w:w="1660" w:type="dxa"/>
                  <w:vMerge w:val="restart"/>
                  <w:tcBorders>
                    <w:top w:val="single" w:color="auto" w:sz="4" w:space="0"/>
                    <w:left w:val="single" w:color="auto" w:sz="4" w:space="0"/>
                    <w:bottom w:val="single" w:color="auto" w:sz="4" w:space="0"/>
                    <w:right w:val="single" w:color="auto" w:sz="12" w:space="0"/>
                  </w:tcBorders>
                  <w:vAlign w:val="center"/>
                </w:tcPr>
                <w:p>
                  <w:pPr>
                    <w:pStyle w:val="77"/>
                  </w:pPr>
                  <w:r>
                    <w:rPr>
                      <w:rFonts w:hint="eastAsia"/>
                    </w:rPr>
                    <w:t>每年一次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54" w:type="dxa"/>
                  <w:vMerge w:val="continue"/>
                  <w:tcBorders>
                    <w:top w:val="single" w:color="auto" w:sz="4" w:space="0"/>
                    <w:left w:val="single" w:color="auto" w:sz="12" w:space="0"/>
                    <w:bottom w:val="single" w:color="auto" w:sz="12" w:space="0"/>
                    <w:right w:val="single" w:color="auto" w:sz="4" w:space="0"/>
                  </w:tcBorders>
                  <w:vAlign w:val="center"/>
                </w:tcPr>
                <w:p>
                  <w:pPr>
                    <w:pStyle w:val="77"/>
                  </w:pPr>
                </w:p>
              </w:tc>
              <w:tc>
                <w:tcPr>
                  <w:tcW w:w="2220"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排污口下游</w:t>
                  </w:r>
                  <w:r>
                    <w:t>2km</w:t>
                  </w:r>
                  <w:r>
                    <w:rPr>
                      <w:rFonts w:hint="eastAsia"/>
                    </w:rPr>
                    <w:t>处</w:t>
                  </w:r>
                </w:p>
              </w:tc>
              <w:tc>
                <w:tcPr>
                  <w:tcW w:w="3990" w:type="dxa"/>
                  <w:vMerge w:val="continue"/>
                  <w:tcBorders>
                    <w:top w:val="single" w:color="auto" w:sz="4" w:space="0"/>
                    <w:left w:val="single" w:color="auto" w:sz="4" w:space="0"/>
                    <w:bottom w:val="single" w:color="auto" w:sz="12" w:space="0"/>
                    <w:right w:val="single" w:color="auto" w:sz="4" w:space="0"/>
                  </w:tcBorders>
                  <w:vAlign w:val="center"/>
                </w:tcPr>
                <w:p>
                  <w:pPr>
                    <w:pStyle w:val="77"/>
                  </w:pPr>
                </w:p>
              </w:tc>
              <w:tc>
                <w:tcPr>
                  <w:tcW w:w="1660" w:type="dxa"/>
                  <w:vMerge w:val="continue"/>
                  <w:tcBorders>
                    <w:top w:val="single" w:color="auto" w:sz="4" w:space="0"/>
                    <w:left w:val="single" w:color="auto" w:sz="4" w:space="0"/>
                    <w:bottom w:val="single" w:color="auto" w:sz="12" w:space="0"/>
                    <w:right w:val="single" w:color="auto" w:sz="12" w:space="0"/>
                  </w:tcBorders>
                  <w:vAlign w:val="center"/>
                </w:tcPr>
                <w:p>
                  <w:pPr>
                    <w:pStyle w:val="77"/>
                  </w:pPr>
                </w:p>
              </w:tc>
            </w:tr>
          </w:tbl>
          <w:p>
            <w:pPr>
              <w:pStyle w:val="2"/>
              <w:spacing w:line="360" w:lineRule="auto"/>
              <w:ind w:firstLine="480" w:firstLineChars="200"/>
              <w:rPr>
                <w:szCs w:val="24"/>
              </w:rPr>
            </w:pPr>
            <w:r>
              <w:rPr>
                <w:szCs w:val="24"/>
              </w:rPr>
              <w:t>3</w:t>
            </w:r>
            <w:r>
              <w:rPr>
                <w:rFonts w:hint="eastAsia"/>
                <w:szCs w:val="24"/>
              </w:rPr>
              <w:t>、排污口规范化管理</w:t>
            </w:r>
          </w:p>
          <w:p>
            <w:pPr>
              <w:pStyle w:val="2"/>
              <w:spacing w:line="360" w:lineRule="auto"/>
              <w:ind w:firstLine="480"/>
              <w:rPr>
                <w:szCs w:val="24"/>
              </w:rPr>
            </w:pPr>
            <w:r>
              <w:rPr>
                <w:rFonts w:hint="eastAsia"/>
                <w:szCs w:val="24"/>
              </w:rPr>
              <w:t>根据国家标准《环境保护图形标志</w:t>
            </w:r>
            <w:r>
              <w:rPr>
                <w:szCs w:val="24"/>
              </w:rPr>
              <w:t>—</w:t>
            </w:r>
            <w:r>
              <w:rPr>
                <w:rFonts w:hint="eastAsia"/>
                <w:szCs w:val="24"/>
              </w:rPr>
              <w:t>排放口（源）》和国家环保总局《排污口规范化整治要求（试行）》的技术要求，企业所有排放口（包括水、气、声、渣）必须按照</w:t>
            </w:r>
            <w:r>
              <w:rPr>
                <w:szCs w:val="24"/>
              </w:rPr>
              <w:t>“</w:t>
            </w:r>
            <w:r>
              <w:rPr>
                <w:rFonts w:hint="eastAsia"/>
                <w:szCs w:val="24"/>
              </w:rPr>
              <w:t>便于采样、便于计量监测、便于日常现场监督检查</w:t>
            </w:r>
            <w:r>
              <w:rPr>
                <w:szCs w:val="24"/>
              </w:rPr>
              <w:t>”</w:t>
            </w:r>
            <w:r>
              <w:rPr>
                <w:rFonts w:hint="eastAsia"/>
                <w:szCs w:val="24"/>
              </w:rPr>
              <w:t>的原则和规范化要求，设置与之相适应的环境保护图形标志牌，排污口的规范化要符合环境监察部门的相关要求。</w:t>
            </w:r>
          </w:p>
          <w:p>
            <w:pPr>
              <w:pStyle w:val="2"/>
              <w:spacing w:line="360" w:lineRule="auto"/>
              <w:ind w:firstLine="480"/>
              <w:rPr>
                <w:szCs w:val="24"/>
              </w:rPr>
            </w:pPr>
            <w:r>
              <w:rPr>
                <w:rFonts w:hint="eastAsia"/>
                <w:szCs w:val="24"/>
              </w:rPr>
              <w:t>一期工程和二期工程废气分别收集后经单独的生物滤池处理后分别通过</w:t>
            </w:r>
            <w:r>
              <w:rPr>
                <w:szCs w:val="24"/>
              </w:rPr>
              <w:t>15m</w:t>
            </w:r>
            <w:r>
              <w:rPr>
                <w:rFonts w:hint="eastAsia"/>
                <w:szCs w:val="24"/>
              </w:rPr>
              <w:t>排气筒排入大气。坐标位置分别为北纬</w:t>
            </w:r>
            <w:r>
              <w:rPr>
                <w:szCs w:val="24"/>
              </w:rPr>
              <w:t>19</w:t>
            </w:r>
            <w:r>
              <w:rPr>
                <w:rFonts w:hint="eastAsia"/>
                <w:szCs w:val="24"/>
              </w:rPr>
              <w:t>°</w:t>
            </w:r>
            <w:r>
              <w:rPr>
                <w:szCs w:val="24"/>
              </w:rPr>
              <w:t>42</w:t>
            </w:r>
            <w:r>
              <w:rPr>
                <w:rFonts w:hint="eastAsia"/>
                <w:szCs w:val="24"/>
              </w:rPr>
              <w:t>′</w:t>
            </w:r>
            <w:r>
              <w:rPr>
                <w:szCs w:val="24"/>
              </w:rPr>
              <w:t>2.70</w:t>
            </w:r>
            <w:r>
              <w:rPr>
                <w:rFonts w:hint="eastAsia"/>
                <w:szCs w:val="24"/>
              </w:rPr>
              <w:t>″、东经</w:t>
            </w:r>
            <w:r>
              <w:rPr>
                <w:szCs w:val="24"/>
              </w:rPr>
              <w:t>110</w:t>
            </w:r>
            <w:r>
              <w:rPr>
                <w:rFonts w:hint="eastAsia"/>
                <w:szCs w:val="24"/>
              </w:rPr>
              <w:t>°</w:t>
            </w:r>
            <w:r>
              <w:rPr>
                <w:szCs w:val="24"/>
              </w:rPr>
              <w:t>21</w:t>
            </w:r>
            <w:r>
              <w:rPr>
                <w:rFonts w:hint="eastAsia"/>
                <w:szCs w:val="24"/>
              </w:rPr>
              <w:t>′</w:t>
            </w:r>
            <w:r>
              <w:rPr>
                <w:szCs w:val="24"/>
              </w:rPr>
              <w:t>48.64</w:t>
            </w:r>
            <w:r>
              <w:rPr>
                <w:rFonts w:hint="eastAsia"/>
                <w:szCs w:val="24"/>
              </w:rPr>
              <w:t>″，北纬</w:t>
            </w:r>
            <w:r>
              <w:rPr>
                <w:szCs w:val="24"/>
              </w:rPr>
              <w:t>19</w:t>
            </w:r>
            <w:r>
              <w:rPr>
                <w:rFonts w:hint="eastAsia"/>
                <w:szCs w:val="24"/>
              </w:rPr>
              <w:t>°</w:t>
            </w:r>
            <w:r>
              <w:rPr>
                <w:szCs w:val="24"/>
              </w:rPr>
              <w:t>42</w:t>
            </w:r>
            <w:r>
              <w:rPr>
                <w:rFonts w:hint="eastAsia"/>
                <w:szCs w:val="24"/>
              </w:rPr>
              <w:t>′</w:t>
            </w:r>
            <w:r>
              <w:rPr>
                <w:szCs w:val="24"/>
              </w:rPr>
              <w:t>2.45</w:t>
            </w:r>
            <w:r>
              <w:rPr>
                <w:rFonts w:hint="eastAsia"/>
                <w:szCs w:val="24"/>
              </w:rPr>
              <w:t>″、东经</w:t>
            </w:r>
            <w:r>
              <w:rPr>
                <w:szCs w:val="24"/>
              </w:rPr>
              <w:t>110</w:t>
            </w:r>
            <w:r>
              <w:rPr>
                <w:rFonts w:hint="eastAsia"/>
                <w:szCs w:val="24"/>
              </w:rPr>
              <w:t>°</w:t>
            </w:r>
            <w:r>
              <w:rPr>
                <w:szCs w:val="24"/>
              </w:rPr>
              <w:t>20</w:t>
            </w:r>
            <w:r>
              <w:rPr>
                <w:rFonts w:hint="eastAsia"/>
                <w:szCs w:val="24"/>
              </w:rPr>
              <w:t>′</w:t>
            </w:r>
            <w:r>
              <w:rPr>
                <w:szCs w:val="24"/>
              </w:rPr>
              <w:t>49.59</w:t>
            </w:r>
            <w:r>
              <w:rPr>
                <w:rFonts w:hint="eastAsia"/>
                <w:szCs w:val="24"/>
              </w:rPr>
              <w:t>″。</w:t>
            </w:r>
          </w:p>
          <w:p>
            <w:pPr>
              <w:pStyle w:val="2"/>
              <w:spacing w:line="360" w:lineRule="auto"/>
              <w:ind w:firstLine="480"/>
              <w:rPr>
                <w:szCs w:val="24"/>
              </w:rPr>
            </w:pPr>
            <w:r>
              <w:rPr>
                <w:rFonts w:hint="eastAsia"/>
                <w:szCs w:val="24"/>
              </w:rPr>
              <w:t>本项目废水厂区总排口及在线监测设施均依托一期工程，不单独新增排放口和在线设施。污水排放口位置位于厂区的西北侧，排水管道约</w:t>
            </w:r>
            <w:r>
              <w:rPr>
                <w:szCs w:val="24"/>
              </w:rPr>
              <w:t>10m</w:t>
            </w:r>
            <w:r>
              <w:rPr>
                <w:rFonts w:hint="eastAsia"/>
                <w:szCs w:val="24"/>
              </w:rPr>
              <w:t>，坐标位置为北纬</w:t>
            </w:r>
            <w:r>
              <w:rPr>
                <w:szCs w:val="24"/>
              </w:rPr>
              <w:t>19</w:t>
            </w:r>
            <w:r>
              <w:rPr>
                <w:rFonts w:hint="eastAsia"/>
                <w:szCs w:val="24"/>
              </w:rPr>
              <w:t>°</w:t>
            </w:r>
            <w:r>
              <w:rPr>
                <w:szCs w:val="24"/>
              </w:rPr>
              <w:t>42</w:t>
            </w:r>
            <w:r>
              <w:rPr>
                <w:rFonts w:hint="eastAsia"/>
                <w:szCs w:val="24"/>
              </w:rPr>
              <w:t>′</w:t>
            </w:r>
            <w:r>
              <w:rPr>
                <w:szCs w:val="24"/>
              </w:rPr>
              <w:t>3.13</w:t>
            </w:r>
            <w:r>
              <w:rPr>
                <w:rFonts w:hint="eastAsia"/>
                <w:szCs w:val="24"/>
              </w:rPr>
              <w:t>″，东经</w:t>
            </w:r>
            <w:r>
              <w:rPr>
                <w:szCs w:val="24"/>
              </w:rPr>
              <w:t>110</w:t>
            </w:r>
            <w:r>
              <w:rPr>
                <w:rFonts w:hint="eastAsia"/>
                <w:szCs w:val="24"/>
              </w:rPr>
              <w:t>°</w:t>
            </w:r>
            <w:r>
              <w:rPr>
                <w:szCs w:val="24"/>
              </w:rPr>
              <w:t>20</w:t>
            </w:r>
            <w:r>
              <w:rPr>
                <w:rFonts w:hint="eastAsia"/>
                <w:szCs w:val="24"/>
              </w:rPr>
              <w:t>′</w:t>
            </w:r>
            <w:r>
              <w:rPr>
                <w:szCs w:val="24"/>
              </w:rPr>
              <w:t>54.13</w:t>
            </w:r>
            <w:r>
              <w:rPr>
                <w:rFonts w:hint="eastAsia"/>
                <w:szCs w:val="24"/>
              </w:rPr>
              <w:t>″。</w:t>
            </w:r>
          </w:p>
          <w:p>
            <w:pPr>
              <w:pStyle w:val="2"/>
              <w:spacing w:line="360" w:lineRule="auto"/>
              <w:rPr>
                <w:b/>
                <w:bCs/>
                <w:szCs w:val="24"/>
              </w:rPr>
            </w:pPr>
            <w:r>
              <w:rPr>
                <w:rFonts w:hint="eastAsia"/>
                <w:b/>
                <w:bCs/>
                <w:szCs w:val="24"/>
              </w:rPr>
              <w:t>八、环保投资估算</w:t>
            </w:r>
          </w:p>
          <w:p>
            <w:pPr>
              <w:pStyle w:val="2"/>
              <w:spacing w:line="360" w:lineRule="auto"/>
              <w:ind w:firstLine="480" w:firstLineChars="200"/>
              <w:rPr>
                <w:szCs w:val="24"/>
              </w:rPr>
            </w:pPr>
            <w:r>
              <w:rPr>
                <w:rFonts w:hint="eastAsia"/>
                <w:szCs w:val="24"/>
              </w:rPr>
              <w:t>本项目总投资</w:t>
            </w:r>
            <w:r>
              <w:rPr>
                <w:szCs w:val="24"/>
              </w:rPr>
              <w:t>8623.19</w:t>
            </w:r>
            <w:r>
              <w:rPr>
                <w:rFonts w:hint="eastAsia"/>
                <w:szCs w:val="24"/>
              </w:rPr>
              <w:t>万元，其中环保投资</w:t>
            </w:r>
            <w:r>
              <w:rPr>
                <w:szCs w:val="24"/>
              </w:rPr>
              <w:t>460</w:t>
            </w:r>
            <w:r>
              <w:rPr>
                <w:rFonts w:hint="eastAsia"/>
                <w:szCs w:val="24"/>
              </w:rPr>
              <w:t>万元，环保投资占总投资比例</w:t>
            </w:r>
            <w:r>
              <w:rPr>
                <w:szCs w:val="24"/>
              </w:rPr>
              <w:t>5.33%</w:t>
            </w:r>
            <w:r>
              <w:rPr>
                <w:rFonts w:hint="eastAsia"/>
                <w:szCs w:val="24"/>
              </w:rPr>
              <w:t>。项目环保设施及投资估算详见表</w:t>
            </w:r>
            <w:r>
              <w:rPr>
                <w:szCs w:val="24"/>
              </w:rPr>
              <w:t>6-32.</w:t>
            </w:r>
          </w:p>
          <w:p>
            <w:pPr>
              <w:pStyle w:val="2"/>
              <w:spacing w:line="360" w:lineRule="auto"/>
              <w:jc w:val="center"/>
              <w:rPr>
                <w:b/>
                <w:bCs/>
                <w:sz w:val="21"/>
                <w:szCs w:val="21"/>
              </w:rPr>
            </w:pPr>
            <w:r>
              <w:rPr>
                <w:rFonts w:hint="eastAsia"/>
                <w:b/>
                <w:bCs/>
                <w:sz w:val="21"/>
                <w:szCs w:val="21"/>
              </w:rPr>
              <w:t>表</w:t>
            </w:r>
            <w:r>
              <w:rPr>
                <w:b/>
                <w:bCs/>
                <w:sz w:val="21"/>
                <w:szCs w:val="21"/>
              </w:rPr>
              <w:t>6-32</w:t>
            </w:r>
            <w:r>
              <w:rPr>
                <w:rFonts w:hint="eastAsia"/>
                <w:b/>
                <w:bCs/>
                <w:sz w:val="21"/>
                <w:szCs w:val="21"/>
              </w:rPr>
              <w:t>环保设施及投资估算表</w:t>
            </w:r>
          </w:p>
          <w:tbl>
            <w:tblPr>
              <w:tblStyle w:val="37"/>
              <w:tblW w:w="943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200"/>
              <w:gridCol w:w="5895"/>
              <w:gridCol w:w="1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3" w:type="dxa"/>
                  <w:tcBorders>
                    <w:top w:val="single" w:color="auto" w:sz="12" w:space="0"/>
                    <w:left w:val="single" w:color="auto" w:sz="12" w:space="0"/>
                    <w:bottom w:val="single" w:color="auto" w:sz="4" w:space="0"/>
                    <w:right w:val="single" w:color="auto" w:sz="4" w:space="0"/>
                  </w:tcBorders>
                  <w:vAlign w:val="center"/>
                </w:tcPr>
                <w:p>
                  <w:pPr>
                    <w:pStyle w:val="77"/>
                  </w:pPr>
                  <w:r>
                    <w:rPr>
                      <w:rFonts w:hint="eastAsia"/>
                    </w:rPr>
                    <w:t>序号</w:t>
                  </w:r>
                </w:p>
              </w:tc>
              <w:tc>
                <w:tcPr>
                  <w:tcW w:w="1200" w:type="dxa"/>
                  <w:tcBorders>
                    <w:top w:val="single" w:color="auto" w:sz="12" w:space="0"/>
                    <w:left w:val="single" w:color="auto" w:sz="4" w:space="0"/>
                    <w:bottom w:val="single" w:color="auto" w:sz="4" w:space="0"/>
                    <w:right w:val="single" w:color="auto" w:sz="4" w:space="0"/>
                  </w:tcBorders>
                  <w:vAlign w:val="center"/>
                </w:tcPr>
                <w:p>
                  <w:pPr>
                    <w:pStyle w:val="77"/>
                  </w:pPr>
                  <w:r>
                    <w:rPr>
                      <w:rFonts w:hint="eastAsia"/>
                    </w:rPr>
                    <w:t>类别</w:t>
                  </w:r>
                </w:p>
              </w:tc>
              <w:tc>
                <w:tcPr>
                  <w:tcW w:w="5895" w:type="dxa"/>
                  <w:tcBorders>
                    <w:top w:val="single" w:color="auto" w:sz="12" w:space="0"/>
                    <w:left w:val="single" w:color="auto" w:sz="4" w:space="0"/>
                    <w:bottom w:val="single" w:color="auto" w:sz="4" w:space="0"/>
                    <w:right w:val="single" w:color="auto" w:sz="4" w:space="0"/>
                  </w:tcBorders>
                  <w:vAlign w:val="center"/>
                </w:tcPr>
                <w:p>
                  <w:pPr>
                    <w:pStyle w:val="77"/>
                  </w:pPr>
                  <w:r>
                    <w:rPr>
                      <w:rFonts w:hint="eastAsia"/>
                    </w:rPr>
                    <w:t>措施</w:t>
                  </w:r>
                </w:p>
              </w:tc>
              <w:tc>
                <w:tcPr>
                  <w:tcW w:w="1496" w:type="dxa"/>
                  <w:tcBorders>
                    <w:top w:val="single" w:color="auto" w:sz="12" w:space="0"/>
                    <w:left w:val="single" w:color="auto" w:sz="4" w:space="0"/>
                    <w:bottom w:val="single" w:color="auto" w:sz="4" w:space="0"/>
                    <w:right w:val="single" w:color="auto" w:sz="12" w:space="0"/>
                  </w:tcBorders>
                  <w:vAlign w:val="center"/>
                </w:tcPr>
                <w:p>
                  <w:pPr>
                    <w:pStyle w:val="77"/>
                  </w:pPr>
                  <w:r>
                    <w:rPr>
                      <w:rFonts w:hint="eastAsia"/>
                    </w:rPr>
                    <w:t>环保投资估算（万元）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3" w:type="dxa"/>
                  <w:tcBorders>
                    <w:top w:val="single" w:color="auto" w:sz="4" w:space="0"/>
                    <w:left w:val="single" w:color="auto" w:sz="12" w:space="0"/>
                    <w:bottom w:val="single" w:color="auto" w:sz="4" w:space="0"/>
                    <w:right w:val="single" w:color="auto" w:sz="4" w:space="0"/>
                  </w:tcBorders>
                  <w:vAlign w:val="center"/>
                </w:tcPr>
                <w:p>
                  <w:pPr>
                    <w:pStyle w:val="77"/>
                  </w:pPr>
                  <w:r>
                    <w:t>1</w:t>
                  </w:r>
                </w:p>
              </w:tc>
              <w:tc>
                <w:tcPr>
                  <w:tcW w:w="120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废气治理</w:t>
                  </w:r>
                </w:p>
              </w:tc>
              <w:tc>
                <w:tcPr>
                  <w:tcW w:w="5895"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szCs w:val="21"/>
                    </w:rPr>
                    <w:t>新增</w:t>
                  </w:r>
                  <w:r>
                    <w:rPr>
                      <w:szCs w:val="21"/>
                    </w:rPr>
                    <w:t>2</w:t>
                  </w:r>
                  <w:r>
                    <w:rPr>
                      <w:rFonts w:hint="eastAsia"/>
                      <w:szCs w:val="21"/>
                    </w:rPr>
                    <w:t>套生物除臭设备及配套的臭气收集系统，</w:t>
                  </w:r>
                  <w:r>
                    <w:rPr>
                      <w:szCs w:val="21"/>
                    </w:rPr>
                    <w:t>1</w:t>
                  </w:r>
                  <w:r>
                    <w:rPr>
                      <w:rFonts w:hint="eastAsia"/>
                      <w:szCs w:val="21"/>
                    </w:rPr>
                    <w:t>套用于收集一期粗</w:t>
                  </w:r>
                  <w:r>
                    <w:rPr>
                      <w:rFonts w:hint="eastAsia"/>
                      <w:bCs/>
                      <w:szCs w:val="21"/>
                    </w:rPr>
                    <w:t>格栅、细格栅、</w:t>
                  </w:r>
                  <w:r>
                    <w:rPr>
                      <w:rFonts w:hint="eastAsia"/>
                      <w:szCs w:val="21"/>
                    </w:rPr>
                    <w:t>沉砂池、</w:t>
                  </w:r>
                  <w:r>
                    <w:rPr>
                      <w:szCs w:val="21"/>
                    </w:rPr>
                    <w:t>AAO</w:t>
                  </w:r>
                  <w:r>
                    <w:rPr>
                      <w:rFonts w:hint="eastAsia"/>
                      <w:szCs w:val="21"/>
                    </w:rPr>
                    <w:t>产生的臭气，废气排放量</w:t>
                  </w:r>
                  <w:r>
                    <w:rPr>
                      <w:szCs w:val="21"/>
                    </w:rPr>
                    <w:t>6000m</w:t>
                  </w:r>
                  <w:r>
                    <w:rPr>
                      <w:szCs w:val="21"/>
                      <w:vertAlign w:val="superscript"/>
                    </w:rPr>
                    <w:t>3</w:t>
                  </w:r>
                  <w:r>
                    <w:rPr>
                      <w:szCs w:val="21"/>
                    </w:rPr>
                    <w:t>/h</w:t>
                  </w:r>
                  <w:r>
                    <w:rPr>
                      <w:rFonts w:hint="eastAsia"/>
                      <w:szCs w:val="21"/>
                    </w:rPr>
                    <w:t>，设</w:t>
                  </w:r>
                  <w:r>
                    <w:rPr>
                      <w:szCs w:val="21"/>
                    </w:rPr>
                    <w:t>1</w:t>
                  </w:r>
                  <w:r>
                    <w:rPr>
                      <w:rFonts w:hint="eastAsia"/>
                      <w:szCs w:val="21"/>
                    </w:rPr>
                    <w:t>根高</w:t>
                  </w:r>
                  <w:r>
                    <w:rPr>
                      <w:szCs w:val="21"/>
                    </w:rPr>
                    <w:t>15m</w:t>
                  </w:r>
                  <w:r>
                    <w:rPr>
                      <w:rFonts w:hint="eastAsia"/>
                      <w:szCs w:val="21"/>
                    </w:rPr>
                    <w:t>、内径</w:t>
                  </w:r>
                  <w:r>
                    <w:rPr>
                      <w:szCs w:val="21"/>
                    </w:rPr>
                    <w:t>0.5m</w:t>
                  </w:r>
                  <w:r>
                    <w:rPr>
                      <w:rFonts w:hint="eastAsia"/>
                      <w:szCs w:val="21"/>
                    </w:rPr>
                    <w:t>的排气筒；</w:t>
                  </w:r>
                  <w:r>
                    <w:rPr>
                      <w:szCs w:val="21"/>
                    </w:rPr>
                    <w:t>1</w:t>
                  </w:r>
                  <w:r>
                    <w:rPr>
                      <w:rFonts w:hint="eastAsia"/>
                      <w:szCs w:val="21"/>
                    </w:rPr>
                    <w:t>套用于收集细</w:t>
                  </w:r>
                  <w:r>
                    <w:rPr>
                      <w:rFonts w:hint="eastAsia"/>
                      <w:bCs/>
                      <w:szCs w:val="21"/>
                    </w:rPr>
                    <w:t>格栅、</w:t>
                  </w:r>
                  <w:r>
                    <w:rPr>
                      <w:rFonts w:hint="eastAsia"/>
                      <w:szCs w:val="21"/>
                    </w:rPr>
                    <w:t>沉砂池、</w:t>
                  </w:r>
                  <w:r>
                    <w:rPr>
                      <w:szCs w:val="21"/>
                    </w:rPr>
                    <w:t>AAO</w:t>
                  </w:r>
                  <w:r>
                    <w:rPr>
                      <w:rFonts w:hint="eastAsia"/>
                      <w:szCs w:val="21"/>
                    </w:rPr>
                    <w:t>、贮泥池及污泥浓缩脱水间构筑物产生的臭气，废气排放量</w:t>
                  </w:r>
                  <w:r>
                    <w:rPr>
                      <w:szCs w:val="21"/>
                    </w:rPr>
                    <w:t>60000m</w:t>
                  </w:r>
                  <w:r>
                    <w:rPr>
                      <w:szCs w:val="21"/>
                      <w:vertAlign w:val="superscript"/>
                    </w:rPr>
                    <w:t>3</w:t>
                  </w:r>
                  <w:r>
                    <w:rPr>
                      <w:szCs w:val="21"/>
                    </w:rPr>
                    <w:t>/h</w:t>
                  </w:r>
                  <w:r>
                    <w:rPr>
                      <w:rFonts w:hint="eastAsia"/>
                      <w:szCs w:val="21"/>
                    </w:rPr>
                    <w:t>，设</w:t>
                  </w:r>
                  <w:r>
                    <w:rPr>
                      <w:szCs w:val="21"/>
                    </w:rPr>
                    <w:t>1</w:t>
                  </w:r>
                  <w:r>
                    <w:rPr>
                      <w:rFonts w:hint="eastAsia"/>
                      <w:szCs w:val="21"/>
                    </w:rPr>
                    <w:t>根高</w:t>
                  </w:r>
                  <w:r>
                    <w:rPr>
                      <w:szCs w:val="21"/>
                    </w:rPr>
                    <w:t>15m</w:t>
                  </w:r>
                  <w:r>
                    <w:rPr>
                      <w:rFonts w:hint="eastAsia"/>
                      <w:szCs w:val="21"/>
                    </w:rPr>
                    <w:t>、内径</w:t>
                  </w:r>
                  <w:r>
                    <w:rPr>
                      <w:szCs w:val="21"/>
                    </w:rPr>
                    <w:t>0.5m</w:t>
                  </w:r>
                  <w:r>
                    <w:rPr>
                      <w:rFonts w:hint="eastAsia"/>
                      <w:szCs w:val="21"/>
                    </w:rPr>
                    <w:t>的排气筒。</w:t>
                  </w:r>
                </w:p>
              </w:tc>
              <w:tc>
                <w:tcPr>
                  <w:tcW w:w="1496" w:type="dxa"/>
                  <w:tcBorders>
                    <w:top w:val="single" w:color="auto" w:sz="4" w:space="0"/>
                    <w:left w:val="single" w:color="auto" w:sz="4" w:space="0"/>
                    <w:bottom w:val="single" w:color="auto" w:sz="4" w:space="0"/>
                    <w:right w:val="single" w:color="auto" w:sz="12" w:space="0"/>
                  </w:tcBorders>
                  <w:vAlign w:val="center"/>
                </w:tcPr>
                <w:p>
                  <w:pPr>
                    <w:pStyle w:val="77"/>
                  </w:pPr>
                  <w:r>
                    <w:t>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3" w:type="dxa"/>
                  <w:tcBorders>
                    <w:top w:val="single" w:color="auto" w:sz="4" w:space="0"/>
                    <w:left w:val="single" w:color="auto" w:sz="12" w:space="0"/>
                    <w:bottom w:val="single" w:color="auto" w:sz="4" w:space="0"/>
                    <w:right w:val="single" w:color="auto" w:sz="4" w:space="0"/>
                  </w:tcBorders>
                  <w:vAlign w:val="center"/>
                </w:tcPr>
                <w:p>
                  <w:pPr>
                    <w:pStyle w:val="77"/>
                  </w:pPr>
                  <w:r>
                    <w:t>2</w:t>
                  </w:r>
                </w:p>
              </w:tc>
              <w:tc>
                <w:tcPr>
                  <w:tcW w:w="120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噪声治理</w:t>
                  </w:r>
                </w:p>
              </w:tc>
              <w:tc>
                <w:tcPr>
                  <w:tcW w:w="5895"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基础减震、厂房隔音等措施</w:t>
                  </w:r>
                </w:p>
              </w:tc>
              <w:tc>
                <w:tcPr>
                  <w:tcW w:w="1496" w:type="dxa"/>
                  <w:tcBorders>
                    <w:top w:val="single" w:color="auto" w:sz="4" w:space="0"/>
                    <w:left w:val="single" w:color="auto" w:sz="4" w:space="0"/>
                    <w:bottom w:val="single" w:color="auto" w:sz="4" w:space="0"/>
                    <w:right w:val="single" w:color="auto" w:sz="12" w:space="0"/>
                  </w:tcBorders>
                  <w:vAlign w:val="center"/>
                </w:tcPr>
                <w:p>
                  <w:pPr>
                    <w:pStyle w:val="77"/>
                  </w:pPr>
                  <w: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3" w:type="dxa"/>
                  <w:tcBorders>
                    <w:top w:val="single" w:color="auto" w:sz="4" w:space="0"/>
                    <w:left w:val="single" w:color="auto" w:sz="12" w:space="0"/>
                    <w:bottom w:val="single" w:color="auto" w:sz="4" w:space="0"/>
                    <w:right w:val="single" w:color="auto" w:sz="4" w:space="0"/>
                  </w:tcBorders>
                  <w:vAlign w:val="center"/>
                </w:tcPr>
                <w:p>
                  <w:pPr>
                    <w:pStyle w:val="77"/>
                  </w:pPr>
                  <w:r>
                    <w:t>3</w:t>
                  </w:r>
                </w:p>
              </w:tc>
              <w:tc>
                <w:tcPr>
                  <w:tcW w:w="120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固废治理</w:t>
                  </w:r>
                </w:p>
              </w:tc>
              <w:tc>
                <w:tcPr>
                  <w:tcW w:w="5895" w:type="dxa"/>
                  <w:tcBorders>
                    <w:top w:val="single" w:color="auto" w:sz="4" w:space="0"/>
                    <w:left w:val="single" w:color="auto" w:sz="4" w:space="0"/>
                    <w:bottom w:val="single" w:color="auto" w:sz="4" w:space="0"/>
                    <w:right w:val="single" w:color="auto" w:sz="4" w:space="0"/>
                  </w:tcBorders>
                  <w:vAlign w:val="center"/>
                </w:tcPr>
                <w:p>
                  <w:pPr>
                    <w:pStyle w:val="77"/>
                    <w:jc w:val="both"/>
                  </w:pPr>
                  <w:r>
                    <w:rPr>
                      <w:rFonts w:hint="eastAsia"/>
                    </w:rPr>
                    <w:t>①粗细格栅栅渣、沉砂池沉砂运至定安县垃圾填埋场进行填埋处理，污泥浓缩池污泥经脱水处理后送至定安县垃圾填埋场进行填埋处理；</w:t>
                  </w:r>
                </w:p>
                <w:p>
                  <w:pPr>
                    <w:pStyle w:val="77"/>
                    <w:jc w:val="both"/>
                  </w:pPr>
                  <w:r>
                    <w:rPr>
                      <w:rFonts w:hint="eastAsia"/>
                    </w:rPr>
                    <w:t>②实验室废液、废机油和废油漆桶暂存于危废暂存间，定期运至海南宝来工贸有限公司进行处理。</w:t>
                  </w:r>
                </w:p>
              </w:tc>
              <w:tc>
                <w:tcPr>
                  <w:tcW w:w="1496" w:type="dxa"/>
                  <w:tcBorders>
                    <w:top w:val="single" w:color="auto" w:sz="4" w:space="0"/>
                    <w:left w:val="single" w:color="auto" w:sz="4" w:space="0"/>
                    <w:bottom w:val="single" w:color="auto" w:sz="4" w:space="0"/>
                    <w:right w:val="single" w:color="auto" w:sz="12" w:space="0"/>
                  </w:tcBorders>
                  <w:vAlign w:val="center"/>
                </w:tcPr>
                <w:p>
                  <w:pPr>
                    <w:pStyle w:val="77"/>
                  </w:pPr>
                  <w: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3" w:type="dxa"/>
                  <w:tcBorders>
                    <w:top w:val="single" w:color="auto" w:sz="4" w:space="0"/>
                    <w:left w:val="single" w:color="auto" w:sz="12" w:space="0"/>
                    <w:bottom w:val="single" w:color="auto" w:sz="4" w:space="0"/>
                    <w:right w:val="single" w:color="auto" w:sz="4" w:space="0"/>
                  </w:tcBorders>
                  <w:vAlign w:val="center"/>
                </w:tcPr>
                <w:p>
                  <w:pPr>
                    <w:pStyle w:val="77"/>
                  </w:pPr>
                  <w:r>
                    <w:t>4</w:t>
                  </w:r>
                </w:p>
              </w:tc>
              <w:tc>
                <w:tcPr>
                  <w:tcW w:w="1200"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排水</w:t>
                  </w:r>
                </w:p>
              </w:tc>
              <w:tc>
                <w:tcPr>
                  <w:tcW w:w="5895" w:type="dxa"/>
                  <w:tcBorders>
                    <w:top w:val="single" w:color="auto" w:sz="4" w:space="0"/>
                    <w:left w:val="single" w:color="auto" w:sz="4" w:space="0"/>
                    <w:bottom w:val="single" w:color="auto" w:sz="4" w:space="0"/>
                    <w:right w:val="single" w:color="auto" w:sz="4" w:space="0"/>
                  </w:tcBorders>
                  <w:vAlign w:val="center"/>
                </w:tcPr>
                <w:p>
                  <w:pPr>
                    <w:pStyle w:val="77"/>
                  </w:pPr>
                  <w:r>
                    <w:rPr>
                      <w:rFonts w:hint="eastAsia"/>
                    </w:rPr>
                    <w:t>规范化排放口、总进口设置在线监测系统</w:t>
                  </w:r>
                </w:p>
              </w:tc>
              <w:tc>
                <w:tcPr>
                  <w:tcW w:w="1496" w:type="dxa"/>
                  <w:tcBorders>
                    <w:top w:val="single" w:color="auto" w:sz="4" w:space="0"/>
                    <w:left w:val="single" w:color="auto" w:sz="4" w:space="0"/>
                    <w:bottom w:val="single" w:color="auto" w:sz="4" w:space="0"/>
                    <w:right w:val="single" w:color="auto" w:sz="12" w:space="0"/>
                  </w:tcBorders>
                  <w:vAlign w:val="center"/>
                </w:tcPr>
                <w:p>
                  <w:pPr>
                    <w:pStyle w:val="77"/>
                  </w:pPr>
                  <w: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43" w:type="dxa"/>
                  <w:tcBorders>
                    <w:top w:val="single" w:color="auto" w:sz="4" w:space="0"/>
                    <w:left w:val="single" w:color="auto" w:sz="12" w:space="0"/>
                    <w:bottom w:val="single" w:color="auto" w:sz="12" w:space="0"/>
                    <w:right w:val="single" w:color="auto" w:sz="4" w:space="0"/>
                  </w:tcBorders>
                  <w:vAlign w:val="center"/>
                </w:tcPr>
                <w:p>
                  <w:pPr>
                    <w:pStyle w:val="77"/>
                  </w:pPr>
                  <w:r>
                    <w:t>5</w:t>
                  </w:r>
                </w:p>
              </w:tc>
              <w:tc>
                <w:tcPr>
                  <w:tcW w:w="1200"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rPr>
                    <w:t>绿化</w:t>
                  </w:r>
                </w:p>
              </w:tc>
              <w:tc>
                <w:tcPr>
                  <w:tcW w:w="5895" w:type="dxa"/>
                  <w:tcBorders>
                    <w:top w:val="single" w:color="auto" w:sz="4" w:space="0"/>
                    <w:left w:val="single" w:color="auto" w:sz="4" w:space="0"/>
                    <w:bottom w:val="single" w:color="auto" w:sz="12" w:space="0"/>
                    <w:right w:val="single" w:color="auto" w:sz="4" w:space="0"/>
                  </w:tcBorders>
                  <w:vAlign w:val="center"/>
                </w:tcPr>
                <w:p>
                  <w:pPr>
                    <w:pStyle w:val="77"/>
                  </w:pPr>
                  <w:r>
                    <w:rPr>
                      <w:rFonts w:hint="eastAsia"/>
                      <w:szCs w:val="20"/>
                    </w:rPr>
                    <w:t>全厂绿化率达到</w:t>
                  </w:r>
                  <w:r>
                    <w:rPr>
                      <w:szCs w:val="20"/>
                    </w:rPr>
                    <w:t>31.5%</w:t>
                  </w:r>
                </w:p>
              </w:tc>
              <w:tc>
                <w:tcPr>
                  <w:tcW w:w="1496" w:type="dxa"/>
                  <w:tcBorders>
                    <w:top w:val="single" w:color="auto" w:sz="4" w:space="0"/>
                    <w:left w:val="single" w:color="auto" w:sz="4" w:space="0"/>
                    <w:bottom w:val="single" w:color="auto" w:sz="12" w:space="0"/>
                    <w:right w:val="single" w:color="auto" w:sz="12" w:space="0"/>
                  </w:tcBorders>
                  <w:vAlign w:val="center"/>
                </w:tcPr>
                <w:p>
                  <w:pPr>
                    <w:pStyle w:val="77"/>
                  </w:pPr>
                  <w:r>
                    <w:t>10</w:t>
                  </w:r>
                </w:p>
              </w:tc>
            </w:tr>
          </w:tbl>
          <w:p>
            <w:pPr>
              <w:spacing w:line="360" w:lineRule="auto"/>
              <w:textAlignment w:val="baseline"/>
              <w:rPr>
                <w:rFonts w:ascii="Times New Roman" w:hAnsi="Times New Roman"/>
                <w:b/>
                <w:sz w:val="24"/>
              </w:rPr>
            </w:pPr>
            <w:r>
              <w:rPr>
                <w:rFonts w:hint="eastAsia" w:ascii="Times New Roman" w:hAnsi="Times New Roman"/>
                <w:b/>
                <w:bCs/>
                <w:sz w:val="24"/>
                <w:szCs w:val="24"/>
              </w:rPr>
              <w:t>九、</w:t>
            </w:r>
            <w:r>
              <w:rPr>
                <w:rFonts w:hint="eastAsia" w:ascii="Times New Roman" w:hAnsi="Times New Roman"/>
                <w:b/>
                <w:sz w:val="24"/>
              </w:rPr>
              <w:t>环境保护竣工验收</w:t>
            </w:r>
          </w:p>
          <w:p>
            <w:pPr>
              <w:spacing w:line="500" w:lineRule="exact"/>
              <w:ind w:firstLine="480" w:firstLineChars="200"/>
              <w:rPr>
                <w:rFonts w:ascii="Times New Roman" w:hAnsi="Times New Roman"/>
                <w:sz w:val="24"/>
                <w:szCs w:val="20"/>
              </w:rPr>
            </w:pPr>
            <w:r>
              <w:rPr>
                <w:rFonts w:hint="eastAsia" w:ascii="Times New Roman" w:hAnsi="Times New Roman"/>
                <w:sz w:val="24"/>
                <w:szCs w:val="20"/>
              </w:rPr>
              <w:t>本项目的所有环保设施均应与主体工程同时设计、同时施工、同时投产，本项目环境保护竣工验收清单见表</w:t>
            </w:r>
            <w:r>
              <w:rPr>
                <w:rFonts w:ascii="Times New Roman" w:hAnsi="Times New Roman"/>
                <w:sz w:val="24"/>
                <w:szCs w:val="20"/>
              </w:rPr>
              <w:t>6-33</w:t>
            </w:r>
            <w:r>
              <w:rPr>
                <w:rFonts w:hint="eastAsia" w:ascii="Times New Roman" w:hAnsi="Times New Roman"/>
                <w:sz w:val="24"/>
                <w:szCs w:val="20"/>
              </w:rPr>
              <w:t>。</w:t>
            </w:r>
          </w:p>
          <w:p>
            <w:pPr>
              <w:tabs>
                <w:tab w:val="left" w:pos="0"/>
              </w:tabs>
              <w:spacing w:before="62" w:beforeLines="20" w:line="500" w:lineRule="exact"/>
              <w:jc w:val="center"/>
              <w:rPr>
                <w:rFonts w:ascii="Times New Roman" w:hAnsi="Times New Roman"/>
                <w:b/>
                <w:sz w:val="24"/>
                <w:szCs w:val="20"/>
              </w:rPr>
            </w:pPr>
            <w:r>
              <w:rPr>
                <w:rFonts w:hint="eastAsia" w:ascii="Times New Roman" w:hAnsi="Times New Roman"/>
                <w:b/>
                <w:sz w:val="24"/>
                <w:szCs w:val="20"/>
              </w:rPr>
              <w:t>表</w:t>
            </w:r>
            <w:r>
              <w:rPr>
                <w:rFonts w:ascii="Times New Roman" w:hAnsi="Times New Roman"/>
                <w:b/>
                <w:sz w:val="24"/>
                <w:szCs w:val="20"/>
              </w:rPr>
              <w:t>6-33</w:t>
            </w:r>
            <w:r>
              <w:rPr>
                <w:rFonts w:hint="eastAsia" w:ascii="Times New Roman" w:hAnsi="Times New Roman"/>
                <w:b/>
                <w:sz w:val="24"/>
                <w:szCs w:val="20"/>
              </w:rPr>
              <w:t>项目环境保护验收一览表</w:t>
            </w:r>
          </w:p>
          <w:tbl>
            <w:tblPr>
              <w:tblStyle w:val="37"/>
              <w:tblW w:w="93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9"/>
              <w:gridCol w:w="251"/>
              <w:gridCol w:w="930"/>
              <w:gridCol w:w="3715"/>
              <w:gridCol w:w="36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9" w:type="dxa"/>
                  <w:tcBorders>
                    <w:top w:val="single" w:color="auto" w:sz="12" w:space="0"/>
                    <w:left w:val="single" w:color="auto" w:sz="12" w:space="0"/>
                    <w:bottom w:val="double" w:color="auto" w:sz="4" w:space="0"/>
                    <w:right w:val="single" w:color="auto" w:sz="6" w:space="0"/>
                  </w:tcBorders>
                  <w:vAlign w:val="center"/>
                </w:tcPr>
                <w:p>
                  <w:pPr>
                    <w:spacing w:line="300" w:lineRule="exact"/>
                    <w:jc w:val="center"/>
                    <w:rPr>
                      <w:rFonts w:ascii="Times New Roman" w:hAnsi="Times New Roman"/>
                      <w:b/>
                      <w:szCs w:val="20"/>
                    </w:rPr>
                  </w:pPr>
                  <w:r>
                    <w:rPr>
                      <w:rFonts w:hint="eastAsia" w:ascii="Times New Roman" w:hAnsi="Times New Roman"/>
                      <w:b/>
                      <w:szCs w:val="20"/>
                    </w:rPr>
                    <w:t>验收项目</w:t>
                  </w:r>
                </w:p>
              </w:tc>
              <w:tc>
                <w:tcPr>
                  <w:tcW w:w="1181" w:type="dxa"/>
                  <w:gridSpan w:val="2"/>
                  <w:tcBorders>
                    <w:top w:val="single" w:color="auto" w:sz="12" w:space="0"/>
                    <w:left w:val="single" w:color="auto" w:sz="6" w:space="0"/>
                    <w:bottom w:val="double" w:color="auto" w:sz="4" w:space="0"/>
                    <w:right w:val="single" w:color="auto" w:sz="6" w:space="0"/>
                  </w:tcBorders>
                  <w:vAlign w:val="center"/>
                </w:tcPr>
                <w:p>
                  <w:pPr>
                    <w:spacing w:line="300" w:lineRule="exact"/>
                    <w:jc w:val="center"/>
                    <w:rPr>
                      <w:rFonts w:ascii="Times New Roman" w:hAnsi="Times New Roman"/>
                      <w:b/>
                      <w:szCs w:val="20"/>
                    </w:rPr>
                  </w:pPr>
                  <w:r>
                    <w:rPr>
                      <w:rFonts w:hint="eastAsia" w:ascii="Times New Roman" w:hAnsi="Times New Roman"/>
                      <w:b/>
                      <w:szCs w:val="20"/>
                    </w:rPr>
                    <w:t>污染源</w:t>
                  </w:r>
                </w:p>
              </w:tc>
              <w:tc>
                <w:tcPr>
                  <w:tcW w:w="3715" w:type="dxa"/>
                  <w:tcBorders>
                    <w:top w:val="single" w:color="auto" w:sz="12" w:space="0"/>
                    <w:left w:val="single" w:color="auto" w:sz="6" w:space="0"/>
                    <w:bottom w:val="double" w:color="auto" w:sz="4" w:space="0"/>
                    <w:right w:val="single" w:color="auto" w:sz="6" w:space="0"/>
                  </w:tcBorders>
                  <w:vAlign w:val="center"/>
                </w:tcPr>
                <w:p>
                  <w:pPr>
                    <w:spacing w:line="300" w:lineRule="exact"/>
                    <w:jc w:val="center"/>
                    <w:rPr>
                      <w:rFonts w:ascii="Times New Roman" w:hAnsi="Times New Roman"/>
                      <w:b/>
                      <w:szCs w:val="20"/>
                    </w:rPr>
                  </w:pPr>
                  <w:r>
                    <w:rPr>
                      <w:rFonts w:hint="eastAsia" w:ascii="Times New Roman" w:hAnsi="Times New Roman"/>
                      <w:b/>
                      <w:szCs w:val="20"/>
                    </w:rPr>
                    <w:t>治理措施</w:t>
                  </w:r>
                </w:p>
              </w:tc>
              <w:tc>
                <w:tcPr>
                  <w:tcW w:w="3606" w:type="dxa"/>
                  <w:tcBorders>
                    <w:top w:val="single" w:color="auto" w:sz="12" w:space="0"/>
                    <w:left w:val="single" w:color="auto" w:sz="6" w:space="0"/>
                    <w:bottom w:val="double" w:color="auto" w:sz="4" w:space="0"/>
                    <w:right w:val="single" w:color="auto" w:sz="12" w:space="0"/>
                  </w:tcBorders>
                  <w:vAlign w:val="center"/>
                </w:tcPr>
                <w:p>
                  <w:pPr>
                    <w:spacing w:line="300" w:lineRule="exact"/>
                    <w:jc w:val="center"/>
                    <w:rPr>
                      <w:rFonts w:ascii="Times New Roman" w:hAnsi="Times New Roman"/>
                      <w:b/>
                      <w:szCs w:val="20"/>
                    </w:rPr>
                  </w:pPr>
                  <w:r>
                    <w:rPr>
                      <w:rFonts w:hint="eastAsia" w:ascii="Times New Roman" w:hAnsi="Times New Roman"/>
                      <w:b/>
                      <w:szCs w:val="20"/>
                    </w:rPr>
                    <w:t>验收标准</w:t>
                  </w:r>
                  <w:r>
                    <w:rPr>
                      <w:rFonts w:ascii="Times New Roman" w:hAnsi="Times New Roman"/>
                      <w:b/>
                      <w:szCs w:val="20"/>
                    </w:rPr>
                    <w:t>/</w:t>
                  </w:r>
                  <w:r>
                    <w:rPr>
                      <w:rFonts w:hint="eastAsia" w:ascii="Times New Roman" w:hAnsi="Times New Roman"/>
                      <w:b/>
                      <w:szCs w:val="20"/>
                    </w:rPr>
                    <w:t>防治效果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9" w:type="dxa"/>
                  <w:tcBorders>
                    <w:top w:val="double" w:color="auto" w:sz="4"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环</w:t>
                  </w:r>
                </w:p>
                <w:p>
                  <w:pPr>
                    <w:spacing w:line="300" w:lineRule="exact"/>
                    <w:jc w:val="center"/>
                    <w:rPr>
                      <w:rFonts w:ascii="Times New Roman" w:hAnsi="Times New Roman"/>
                      <w:szCs w:val="20"/>
                    </w:rPr>
                  </w:pPr>
                  <w:r>
                    <w:rPr>
                      <w:rFonts w:hint="eastAsia" w:ascii="Times New Roman" w:hAnsi="Times New Roman"/>
                      <w:szCs w:val="20"/>
                    </w:rPr>
                    <w:t>境</w:t>
                  </w:r>
                </w:p>
                <w:p>
                  <w:pPr>
                    <w:spacing w:line="300" w:lineRule="exact"/>
                    <w:jc w:val="center"/>
                    <w:rPr>
                      <w:rFonts w:ascii="Times New Roman" w:hAnsi="Times New Roman"/>
                      <w:szCs w:val="20"/>
                    </w:rPr>
                  </w:pPr>
                  <w:r>
                    <w:rPr>
                      <w:rFonts w:hint="eastAsia" w:ascii="Times New Roman" w:hAnsi="Times New Roman"/>
                      <w:szCs w:val="20"/>
                    </w:rPr>
                    <w:t>空</w:t>
                  </w:r>
                </w:p>
                <w:p>
                  <w:pPr>
                    <w:spacing w:line="300" w:lineRule="exact"/>
                    <w:jc w:val="center"/>
                    <w:rPr>
                      <w:rFonts w:ascii="Times New Roman" w:hAnsi="Times New Roman"/>
                      <w:szCs w:val="20"/>
                    </w:rPr>
                  </w:pPr>
                  <w:r>
                    <w:rPr>
                      <w:rFonts w:hint="eastAsia" w:ascii="Times New Roman" w:hAnsi="Times New Roman"/>
                      <w:szCs w:val="20"/>
                    </w:rPr>
                    <w:t>气</w:t>
                  </w:r>
                </w:p>
              </w:tc>
              <w:tc>
                <w:tcPr>
                  <w:tcW w:w="1181" w:type="dxa"/>
                  <w:gridSpan w:val="2"/>
                  <w:tcBorders>
                    <w:top w:val="double" w:color="auto" w:sz="4"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恶臭</w:t>
                  </w:r>
                </w:p>
                <w:p>
                  <w:pPr>
                    <w:spacing w:line="300" w:lineRule="exact"/>
                    <w:jc w:val="center"/>
                    <w:rPr>
                      <w:rFonts w:ascii="Times New Roman" w:hAnsi="Times New Roman"/>
                      <w:szCs w:val="20"/>
                    </w:rPr>
                  </w:pPr>
                  <w:r>
                    <w:rPr>
                      <w:rFonts w:hint="eastAsia" w:ascii="Times New Roman" w:hAnsi="Times New Roman"/>
                      <w:szCs w:val="20"/>
                    </w:rPr>
                    <w:t>气体</w:t>
                  </w:r>
                </w:p>
              </w:tc>
              <w:tc>
                <w:tcPr>
                  <w:tcW w:w="3715" w:type="dxa"/>
                  <w:tcBorders>
                    <w:top w:val="double" w:color="auto" w:sz="4"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szCs w:val="21"/>
                    </w:rPr>
                    <w:t>新增</w:t>
                  </w:r>
                  <w:r>
                    <w:rPr>
                      <w:rFonts w:ascii="Times New Roman" w:hAnsi="Times New Roman"/>
                      <w:szCs w:val="21"/>
                    </w:rPr>
                    <w:t>2</w:t>
                  </w:r>
                  <w:r>
                    <w:rPr>
                      <w:rFonts w:hint="eastAsia" w:ascii="Times New Roman"/>
                      <w:szCs w:val="21"/>
                    </w:rPr>
                    <w:t>套生物除臭设备及配套的臭气收集系统，</w:t>
                  </w:r>
                  <w:r>
                    <w:rPr>
                      <w:rFonts w:ascii="Times New Roman" w:hAnsi="Times New Roman"/>
                      <w:szCs w:val="21"/>
                    </w:rPr>
                    <w:t>1</w:t>
                  </w:r>
                  <w:r>
                    <w:rPr>
                      <w:rFonts w:hint="eastAsia" w:ascii="Times New Roman"/>
                      <w:szCs w:val="21"/>
                    </w:rPr>
                    <w:t>套用于收集一期粗</w:t>
                  </w:r>
                  <w:r>
                    <w:rPr>
                      <w:rFonts w:hint="eastAsia" w:ascii="Times New Roman"/>
                      <w:bCs/>
                      <w:szCs w:val="21"/>
                    </w:rPr>
                    <w:t>格栅、细格栅、</w:t>
                  </w:r>
                  <w:r>
                    <w:rPr>
                      <w:rFonts w:hint="eastAsia" w:ascii="Times New Roman"/>
                      <w:szCs w:val="21"/>
                    </w:rPr>
                    <w:t>沉砂池、</w:t>
                  </w:r>
                  <w:r>
                    <w:rPr>
                      <w:rFonts w:ascii="Times New Roman" w:hAnsi="Times New Roman"/>
                      <w:szCs w:val="21"/>
                    </w:rPr>
                    <w:t>AAO</w:t>
                  </w:r>
                  <w:r>
                    <w:rPr>
                      <w:rFonts w:hint="eastAsia" w:ascii="Times New Roman"/>
                      <w:szCs w:val="21"/>
                    </w:rPr>
                    <w:t>产生的臭气，废气排放量</w:t>
                  </w:r>
                  <w:r>
                    <w:rPr>
                      <w:rFonts w:ascii="Times New Roman" w:hAnsi="Times New Roman"/>
                      <w:szCs w:val="21"/>
                    </w:rPr>
                    <w:t>6000m</w:t>
                  </w:r>
                  <w:r>
                    <w:rPr>
                      <w:rFonts w:ascii="Times New Roman" w:hAnsi="Times New Roman"/>
                      <w:szCs w:val="21"/>
                      <w:vertAlign w:val="superscript"/>
                    </w:rPr>
                    <w:t>3</w:t>
                  </w:r>
                  <w:r>
                    <w:rPr>
                      <w:rFonts w:ascii="Times New Roman" w:hAnsi="Times New Roman"/>
                      <w:szCs w:val="21"/>
                    </w:rPr>
                    <w:t>/h</w:t>
                  </w:r>
                  <w:r>
                    <w:rPr>
                      <w:rFonts w:hint="eastAsia" w:ascii="Times New Roman"/>
                      <w:szCs w:val="21"/>
                    </w:rPr>
                    <w:t>，设</w:t>
                  </w:r>
                  <w:r>
                    <w:rPr>
                      <w:rFonts w:ascii="Times New Roman" w:hAnsi="Times New Roman"/>
                      <w:szCs w:val="21"/>
                    </w:rPr>
                    <w:t>1</w:t>
                  </w:r>
                  <w:r>
                    <w:rPr>
                      <w:rFonts w:hint="eastAsia" w:ascii="Times New Roman"/>
                      <w:szCs w:val="21"/>
                    </w:rPr>
                    <w:t>根高</w:t>
                  </w:r>
                  <w:r>
                    <w:rPr>
                      <w:rFonts w:ascii="Times New Roman" w:hAnsi="Times New Roman"/>
                      <w:szCs w:val="21"/>
                    </w:rPr>
                    <w:t>15m</w:t>
                  </w:r>
                  <w:r>
                    <w:rPr>
                      <w:rFonts w:hint="eastAsia" w:ascii="Times New Roman"/>
                      <w:szCs w:val="21"/>
                    </w:rPr>
                    <w:t>、内径</w:t>
                  </w:r>
                  <w:r>
                    <w:rPr>
                      <w:rFonts w:ascii="Times New Roman" w:hAnsi="Times New Roman"/>
                      <w:szCs w:val="21"/>
                    </w:rPr>
                    <w:t>0.5m</w:t>
                  </w:r>
                  <w:r>
                    <w:rPr>
                      <w:rFonts w:hint="eastAsia" w:ascii="Times New Roman"/>
                      <w:szCs w:val="21"/>
                    </w:rPr>
                    <w:t>的排气筒；</w:t>
                  </w:r>
                  <w:r>
                    <w:rPr>
                      <w:rFonts w:ascii="Times New Roman" w:hAnsi="Times New Roman"/>
                      <w:szCs w:val="21"/>
                    </w:rPr>
                    <w:t>1</w:t>
                  </w:r>
                  <w:r>
                    <w:rPr>
                      <w:rFonts w:hint="eastAsia" w:ascii="Times New Roman"/>
                      <w:szCs w:val="21"/>
                    </w:rPr>
                    <w:t>套用于收集细</w:t>
                  </w:r>
                  <w:r>
                    <w:rPr>
                      <w:rFonts w:hint="eastAsia" w:ascii="Times New Roman"/>
                      <w:bCs/>
                      <w:szCs w:val="21"/>
                    </w:rPr>
                    <w:t>格栅、</w:t>
                  </w:r>
                  <w:r>
                    <w:rPr>
                      <w:rFonts w:hint="eastAsia" w:ascii="Times New Roman"/>
                      <w:szCs w:val="21"/>
                    </w:rPr>
                    <w:t>沉砂池、</w:t>
                  </w:r>
                  <w:r>
                    <w:rPr>
                      <w:rFonts w:ascii="Times New Roman" w:hAnsi="Times New Roman"/>
                      <w:szCs w:val="21"/>
                    </w:rPr>
                    <w:t>AAO</w:t>
                  </w:r>
                  <w:r>
                    <w:rPr>
                      <w:rFonts w:hint="eastAsia" w:ascii="Times New Roman"/>
                      <w:szCs w:val="21"/>
                    </w:rPr>
                    <w:t>、贮泥池及污泥浓缩脱水间构筑物产生的臭气，废气排放量</w:t>
                  </w:r>
                  <w:r>
                    <w:rPr>
                      <w:rFonts w:ascii="Times New Roman" w:hAnsi="Times New Roman"/>
                      <w:szCs w:val="21"/>
                    </w:rPr>
                    <w:t>60000m</w:t>
                  </w:r>
                  <w:r>
                    <w:rPr>
                      <w:rFonts w:ascii="Times New Roman" w:hAnsi="Times New Roman"/>
                      <w:szCs w:val="21"/>
                      <w:vertAlign w:val="superscript"/>
                    </w:rPr>
                    <w:t>3</w:t>
                  </w:r>
                  <w:r>
                    <w:rPr>
                      <w:rFonts w:ascii="Times New Roman" w:hAnsi="Times New Roman"/>
                      <w:szCs w:val="21"/>
                    </w:rPr>
                    <w:t>/h</w:t>
                  </w:r>
                  <w:r>
                    <w:rPr>
                      <w:rFonts w:hint="eastAsia" w:ascii="Times New Roman"/>
                      <w:szCs w:val="21"/>
                    </w:rPr>
                    <w:t>，设</w:t>
                  </w:r>
                  <w:r>
                    <w:rPr>
                      <w:rFonts w:ascii="Times New Roman" w:hAnsi="Times New Roman"/>
                      <w:szCs w:val="21"/>
                    </w:rPr>
                    <w:t>1</w:t>
                  </w:r>
                  <w:r>
                    <w:rPr>
                      <w:rFonts w:hint="eastAsia" w:ascii="Times New Roman"/>
                      <w:szCs w:val="21"/>
                    </w:rPr>
                    <w:t>根高</w:t>
                  </w:r>
                  <w:r>
                    <w:rPr>
                      <w:rFonts w:ascii="Times New Roman" w:hAnsi="Times New Roman"/>
                      <w:szCs w:val="21"/>
                    </w:rPr>
                    <w:t>15m</w:t>
                  </w:r>
                  <w:r>
                    <w:rPr>
                      <w:rFonts w:hint="eastAsia" w:ascii="Times New Roman"/>
                      <w:szCs w:val="21"/>
                    </w:rPr>
                    <w:t>、内径</w:t>
                  </w:r>
                  <w:r>
                    <w:rPr>
                      <w:rFonts w:ascii="Times New Roman" w:hAnsi="Times New Roman"/>
                      <w:szCs w:val="21"/>
                    </w:rPr>
                    <w:t>0.5m</w:t>
                  </w:r>
                  <w:r>
                    <w:rPr>
                      <w:rFonts w:hint="eastAsia" w:ascii="Times New Roman"/>
                      <w:szCs w:val="21"/>
                    </w:rPr>
                    <w:t>的排气筒。</w:t>
                  </w:r>
                </w:p>
              </w:tc>
              <w:tc>
                <w:tcPr>
                  <w:tcW w:w="3606" w:type="dxa"/>
                  <w:tcBorders>
                    <w:top w:val="double" w:color="auto" w:sz="4" w:space="0"/>
                    <w:left w:val="single" w:color="auto" w:sz="6" w:space="0"/>
                    <w:bottom w:val="single" w:color="auto" w:sz="6" w:space="0"/>
                    <w:right w:val="single" w:color="auto" w:sz="12" w:space="0"/>
                  </w:tcBorders>
                  <w:vAlign w:val="center"/>
                </w:tcPr>
                <w:p>
                  <w:pPr>
                    <w:spacing w:line="300" w:lineRule="exact"/>
                    <w:jc w:val="center"/>
                    <w:rPr>
                      <w:rFonts w:ascii="Times New Roman" w:hAnsi="Times New Roman"/>
                      <w:szCs w:val="20"/>
                      <w:highlight w:val="yellow"/>
                    </w:rPr>
                  </w:pPr>
                  <w:r>
                    <w:rPr>
                      <w:rFonts w:hint="eastAsia" w:ascii="Times New Roman" w:hAnsi="Times New Roman"/>
                      <w:szCs w:val="20"/>
                    </w:rPr>
                    <w:t>有组织废气满足《恶臭污染物排放标准》（</w:t>
                  </w:r>
                  <w:r>
                    <w:rPr>
                      <w:rFonts w:ascii="Times New Roman" w:hAnsi="Times New Roman"/>
                      <w:szCs w:val="20"/>
                    </w:rPr>
                    <w:t>GB14554-93</w:t>
                  </w:r>
                  <w:r>
                    <w:rPr>
                      <w:rFonts w:hint="eastAsia" w:ascii="Times New Roman" w:hAnsi="Times New Roman"/>
                      <w:szCs w:val="20"/>
                    </w:rPr>
                    <w:t>）表</w:t>
                  </w:r>
                  <w:r>
                    <w:rPr>
                      <w:rFonts w:ascii="Times New Roman" w:hAnsi="Times New Roman"/>
                      <w:szCs w:val="20"/>
                    </w:rPr>
                    <w:t>1</w:t>
                  </w:r>
                  <w:r>
                    <w:rPr>
                      <w:rFonts w:hint="eastAsia" w:ascii="Times New Roman" w:hAnsi="Times New Roman"/>
                      <w:szCs w:val="20"/>
                    </w:rPr>
                    <w:t>中二级新扩改建标准；厂界浓度满足《城镇污水处理厂污染物排放标》（</w:t>
                  </w:r>
                  <w:r>
                    <w:rPr>
                      <w:rFonts w:ascii="Times New Roman" w:hAnsi="Times New Roman"/>
                      <w:szCs w:val="20"/>
                    </w:rPr>
                    <w:t>GB18918-2002</w:t>
                  </w:r>
                  <w:r>
                    <w:rPr>
                      <w:rFonts w:hint="eastAsia" w:ascii="Times New Roman" w:hAnsi="Times New Roman"/>
                      <w:szCs w:val="20"/>
                    </w:rPr>
                    <w:t>）中表</w:t>
                  </w:r>
                  <w:r>
                    <w:rPr>
                      <w:rFonts w:ascii="Times New Roman" w:hAnsi="Times New Roman"/>
                      <w:szCs w:val="20"/>
                    </w:rPr>
                    <w:t>4</w:t>
                  </w:r>
                  <w:r>
                    <w:rPr>
                      <w:rFonts w:hint="eastAsia" w:ascii="Times New Roman" w:hAnsi="Times New Roman"/>
                      <w:szCs w:val="20"/>
                    </w:rPr>
                    <w:t>二级标准限值要求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5" w:hRule="atLeast"/>
                <w:jc w:val="center"/>
              </w:trPr>
              <w:tc>
                <w:tcPr>
                  <w:tcW w:w="869" w:type="dxa"/>
                  <w:vMerge w:val="restart"/>
                  <w:tcBorders>
                    <w:top w:val="single" w:color="auto" w:sz="6"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水</w:t>
                  </w:r>
                </w:p>
                <w:p>
                  <w:pPr>
                    <w:spacing w:line="300" w:lineRule="exact"/>
                    <w:jc w:val="center"/>
                    <w:rPr>
                      <w:rFonts w:ascii="Times New Roman" w:hAnsi="Times New Roman"/>
                      <w:szCs w:val="20"/>
                    </w:rPr>
                  </w:pPr>
                  <w:r>
                    <w:rPr>
                      <w:rFonts w:hint="eastAsia" w:ascii="Times New Roman" w:hAnsi="Times New Roman"/>
                      <w:szCs w:val="20"/>
                    </w:rPr>
                    <w:t>环</w:t>
                  </w:r>
                </w:p>
                <w:p>
                  <w:pPr>
                    <w:spacing w:line="300" w:lineRule="exact"/>
                    <w:jc w:val="center"/>
                    <w:rPr>
                      <w:rFonts w:ascii="Times New Roman" w:hAnsi="Times New Roman"/>
                      <w:szCs w:val="20"/>
                    </w:rPr>
                  </w:pPr>
                  <w:r>
                    <w:rPr>
                      <w:rFonts w:hint="eastAsia" w:ascii="Times New Roman" w:hAnsi="Times New Roman"/>
                      <w:szCs w:val="20"/>
                    </w:rPr>
                    <w:t>境</w:t>
                  </w:r>
                </w:p>
              </w:tc>
              <w:tc>
                <w:tcPr>
                  <w:tcW w:w="1181" w:type="dxa"/>
                  <w:gridSpan w:val="2"/>
                  <w:vMerge w:val="restart"/>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污水处理系统出水</w:t>
                  </w:r>
                </w:p>
              </w:tc>
              <w:tc>
                <w:tcPr>
                  <w:tcW w:w="3715" w:type="dxa"/>
                  <w:tcBorders>
                    <w:top w:val="single" w:color="auto" w:sz="6" w:space="0"/>
                    <w:left w:val="single" w:color="auto" w:sz="6" w:space="0"/>
                    <w:bottom w:val="single" w:color="auto" w:sz="4"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废水处理出水口设排污标志牌，并分别安装流量、</w:t>
                  </w:r>
                  <w:r>
                    <w:rPr>
                      <w:rFonts w:ascii="Times New Roman" w:hAnsi="Times New Roman"/>
                      <w:szCs w:val="20"/>
                    </w:rPr>
                    <w:t>COD</w:t>
                  </w:r>
                  <w:r>
                    <w:rPr>
                      <w:rFonts w:hint="eastAsia" w:ascii="Times New Roman" w:hAnsi="Times New Roman"/>
                      <w:szCs w:val="20"/>
                    </w:rPr>
                    <w:t>、</w:t>
                  </w:r>
                  <w:r>
                    <w:rPr>
                      <w:rFonts w:ascii="Times New Roman" w:hAnsi="Times New Roman"/>
                      <w:szCs w:val="20"/>
                    </w:rPr>
                    <w:t>BOD</w:t>
                  </w:r>
                  <w:r>
                    <w:rPr>
                      <w:rFonts w:ascii="Times New Roman" w:hAnsi="Times New Roman"/>
                      <w:szCs w:val="20"/>
                      <w:vertAlign w:val="subscript"/>
                    </w:rPr>
                    <w:t>5</w:t>
                  </w:r>
                  <w:r>
                    <w:rPr>
                      <w:rFonts w:hint="eastAsia" w:ascii="Times New Roman" w:hAnsi="Times New Roman"/>
                      <w:szCs w:val="20"/>
                    </w:rPr>
                    <w:t>、</w:t>
                  </w:r>
                  <w:r>
                    <w:rPr>
                      <w:rFonts w:ascii="Times New Roman" w:hAnsi="Times New Roman"/>
                      <w:szCs w:val="20"/>
                    </w:rPr>
                    <w:t>NH</w:t>
                  </w:r>
                  <w:r>
                    <w:rPr>
                      <w:rFonts w:ascii="Times New Roman" w:hAnsi="Times New Roman"/>
                      <w:szCs w:val="20"/>
                      <w:vertAlign w:val="subscript"/>
                    </w:rPr>
                    <w:t>3</w:t>
                  </w:r>
                  <w:r>
                    <w:rPr>
                      <w:rFonts w:ascii="Times New Roman" w:hAnsi="Times New Roman"/>
                      <w:szCs w:val="20"/>
                    </w:rPr>
                    <w:t>-N</w:t>
                  </w:r>
                  <w:r>
                    <w:rPr>
                      <w:rFonts w:hint="eastAsia" w:ascii="Times New Roman" w:hAnsi="Times New Roman"/>
                      <w:szCs w:val="20"/>
                    </w:rPr>
                    <w:t>等在线监测仪及自动监控系统</w:t>
                  </w:r>
                </w:p>
              </w:tc>
              <w:tc>
                <w:tcPr>
                  <w:tcW w:w="3606" w:type="dxa"/>
                  <w:tcBorders>
                    <w:top w:val="single" w:color="auto" w:sz="6" w:space="0"/>
                    <w:left w:val="single" w:color="auto" w:sz="6" w:space="0"/>
                    <w:bottom w:val="single" w:color="auto" w:sz="4" w:space="0"/>
                    <w:right w:val="single" w:color="auto" w:sz="12" w:space="0"/>
                  </w:tcBorders>
                  <w:vAlign w:val="center"/>
                </w:tcPr>
                <w:p>
                  <w:pPr>
                    <w:spacing w:line="300" w:lineRule="exact"/>
                    <w:jc w:val="center"/>
                    <w:rPr>
                      <w:rFonts w:ascii="Times New Roman" w:hAnsi="Times New Roman"/>
                      <w:szCs w:val="20"/>
                    </w:rPr>
                  </w:pPr>
                  <w:r>
                    <w:rPr>
                      <w:rFonts w:hint="eastAsia" w:ascii="Times New Roman" w:hAnsi="Times New Roman"/>
                      <w:szCs w:val="20"/>
                    </w:rPr>
                    <w:t>污水处理厂尾水满足《城镇污水处理厂污染物排放标准》（</w:t>
                  </w:r>
                  <w:r>
                    <w:rPr>
                      <w:rFonts w:ascii="Times New Roman" w:hAnsi="Times New Roman"/>
                      <w:szCs w:val="20"/>
                    </w:rPr>
                    <w:t>GB18912-2002</w:t>
                  </w:r>
                  <w:r>
                    <w:rPr>
                      <w:rFonts w:hint="eastAsia" w:ascii="Times New Roman" w:hAnsi="Times New Roman"/>
                      <w:szCs w:val="20"/>
                    </w:rPr>
                    <w:t>）表</w:t>
                  </w:r>
                  <w:r>
                    <w:rPr>
                      <w:rFonts w:ascii="Times New Roman" w:hAnsi="Times New Roman"/>
                      <w:szCs w:val="20"/>
                    </w:rPr>
                    <w:t>1</w:t>
                  </w:r>
                  <w:r>
                    <w:rPr>
                      <w:rFonts w:hint="eastAsia" w:ascii="Times New Roman" w:hAnsi="Times New Roman"/>
                      <w:szCs w:val="20"/>
                    </w:rPr>
                    <w:t>中的一级</w:t>
                  </w:r>
                  <w:r>
                    <w:rPr>
                      <w:rFonts w:ascii="Times New Roman" w:hAnsi="Times New Roman"/>
                      <w:szCs w:val="20"/>
                    </w:rPr>
                    <w:t>A</w:t>
                  </w:r>
                  <w:r>
                    <w:rPr>
                      <w:rFonts w:hint="eastAsia" w:ascii="Times New Roman" w:hAnsi="Times New Roman"/>
                      <w:szCs w:val="20"/>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5" w:hRule="atLeast"/>
                <w:jc w:val="center"/>
              </w:trPr>
              <w:tc>
                <w:tcPr>
                  <w:tcW w:w="869" w:type="dxa"/>
                  <w:vMerge w:val="continue"/>
                  <w:tcBorders>
                    <w:top w:val="single" w:color="auto" w:sz="6"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p>
              </w:tc>
              <w:tc>
                <w:tcPr>
                  <w:tcW w:w="1181" w:type="dxa"/>
                  <w:gridSpan w:val="2"/>
                  <w:vMerge w:val="continue"/>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p>
              </w:tc>
              <w:tc>
                <w:tcPr>
                  <w:tcW w:w="3715" w:type="dxa"/>
                  <w:tcBorders>
                    <w:top w:val="single" w:color="auto" w:sz="4"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进水总管安装自动在线监测系统并与海南省生态环境主管部门污染源自动监控监控系统平台联网。</w:t>
                  </w:r>
                </w:p>
              </w:tc>
              <w:tc>
                <w:tcPr>
                  <w:tcW w:w="3606" w:type="dxa"/>
                  <w:tcBorders>
                    <w:top w:val="single" w:color="auto" w:sz="4" w:space="0"/>
                    <w:left w:val="single" w:color="auto" w:sz="6" w:space="0"/>
                    <w:bottom w:val="single" w:color="auto" w:sz="6" w:space="0"/>
                    <w:right w:val="single" w:color="auto" w:sz="12" w:space="0"/>
                  </w:tcBorders>
                  <w:vAlign w:val="center"/>
                </w:tcPr>
                <w:p>
                  <w:pPr>
                    <w:spacing w:line="300" w:lineRule="exact"/>
                    <w:jc w:val="center"/>
                    <w:rPr>
                      <w:rFonts w:ascii="Times New Roman" w:hAnsi="Times New Roman"/>
                      <w:szCs w:val="20"/>
                    </w:rPr>
                  </w:pPr>
                  <w:r>
                    <w:rPr>
                      <w:rFonts w:hint="eastAsia" w:ascii="Times New Roman" w:hAnsi="Times New Roman"/>
                      <w:szCs w:val="20"/>
                    </w:rPr>
                    <w:t>进水水质满足定城污水处理厂进水水质要求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9" w:type="dxa"/>
                  <w:tcBorders>
                    <w:top w:val="single" w:color="auto" w:sz="6"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声</w:t>
                  </w:r>
                </w:p>
                <w:p>
                  <w:pPr>
                    <w:spacing w:line="300" w:lineRule="exact"/>
                    <w:jc w:val="center"/>
                    <w:rPr>
                      <w:rFonts w:ascii="Times New Roman" w:hAnsi="Times New Roman"/>
                      <w:szCs w:val="20"/>
                    </w:rPr>
                  </w:pPr>
                  <w:r>
                    <w:rPr>
                      <w:rFonts w:hint="eastAsia" w:ascii="Times New Roman" w:hAnsi="Times New Roman"/>
                      <w:szCs w:val="20"/>
                    </w:rPr>
                    <w:t>环</w:t>
                  </w:r>
                </w:p>
                <w:p>
                  <w:pPr>
                    <w:spacing w:line="300" w:lineRule="exact"/>
                    <w:jc w:val="center"/>
                    <w:rPr>
                      <w:rFonts w:ascii="Times New Roman" w:hAnsi="Times New Roman"/>
                      <w:szCs w:val="20"/>
                    </w:rPr>
                  </w:pPr>
                  <w:r>
                    <w:rPr>
                      <w:rFonts w:hint="eastAsia" w:ascii="Times New Roman" w:hAnsi="Times New Roman"/>
                      <w:szCs w:val="20"/>
                    </w:rPr>
                    <w:t>境</w:t>
                  </w:r>
                </w:p>
              </w:tc>
              <w:tc>
                <w:tcPr>
                  <w:tcW w:w="1181"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设备</w:t>
                  </w:r>
                </w:p>
                <w:p>
                  <w:pPr>
                    <w:spacing w:line="300" w:lineRule="exact"/>
                    <w:jc w:val="center"/>
                    <w:rPr>
                      <w:rFonts w:ascii="Times New Roman" w:hAnsi="Times New Roman"/>
                      <w:szCs w:val="20"/>
                    </w:rPr>
                  </w:pPr>
                  <w:r>
                    <w:rPr>
                      <w:rFonts w:hint="eastAsia" w:ascii="Times New Roman" w:hAnsi="Times New Roman"/>
                      <w:szCs w:val="20"/>
                    </w:rPr>
                    <w:t>噪声</w:t>
                  </w:r>
                </w:p>
              </w:tc>
              <w:tc>
                <w:tcPr>
                  <w:tcW w:w="3715"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选用低噪声、节能型的先进设备以及隔声、减震、距离衰减。</w:t>
                  </w:r>
                </w:p>
              </w:tc>
              <w:tc>
                <w:tcPr>
                  <w:tcW w:w="3606" w:type="dxa"/>
                  <w:tcBorders>
                    <w:top w:val="single" w:color="auto" w:sz="6" w:space="0"/>
                    <w:left w:val="single" w:color="auto" w:sz="6" w:space="0"/>
                    <w:bottom w:val="single" w:color="auto" w:sz="6" w:space="0"/>
                    <w:right w:val="single" w:color="auto" w:sz="12" w:space="0"/>
                  </w:tcBorders>
                  <w:vAlign w:val="center"/>
                </w:tcPr>
                <w:p>
                  <w:pPr>
                    <w:spacing w:line="300" w:lineRule="exact"/>
                    <w:jc w:val="center"/>
                    <w:rPr>
                      <w:rFonts w:ascii="Times New Roman" w:hAnsi="Times New Roman"/>
                      <w:szCs w:val="20"/>
                    </w:rPr>
                  </w:pPr>
                  <w:r>
                    <w:rPr>
                      <w:rFonts w:hint="eastAsia" w:ascii="Times New Roman" w:hAnsi="Times New Roman"/>
                      <w:szCs w:val="21"/>
                    </w:rPr>
                    <w:t>《工业企业厂界环境噪声排放标准》</w:t>
                  </w:r>
                  <w:r>
                    <w:rPr>
                      <w:rFonts w:ascii="Times New Roman" w:hAnsi="Times New Roman"/>
                      <w:szCs w:val="21"/>
                    </w:rPr>
                    <w:t>(GB12348-2008)2</w:t>
                  </w:r>
                  <w:r>
                    <w:rPr>
                      <w:rFonts w:hint="eastAsia" w:ascii="Times New Roman" w:hAnsi="Times New Roman"/>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9" w:type="dxa"/>
                  <w:vMerge w:val="restart"/>
                  <w:tcBorders>
                    <w:top w:val="single" w:color="auto" w:sz="6"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固</w:t>
                  </w:r>
                </w:p>
                <w:p>
                  <w:pPr>
                    <w:spacing w:line="300" w:lineRule="exact"/>
                    <w:jc w:val="center"/>
                    <w:rPr>
                      <w:rFonts w:ascii="Times New Roman" w:hAnsi="Times New Roman"/>
                      <w:szCs w:val="20"/>
                    </w:rPr>
                  </w:pPr>
                  <w:r>
                    <w:rPr>
                      <w:rFonts w:hint="eastAsia" w:ascii="Times New Roman" w:hAnsi="Times New Roman"/>
                      <w:szCs w:val="20"/>
                    </w:rPr>
                    <w:t>体</w:t>
                  </w:r>
                </w:p>
                <w:p>
                  <w:pPr>
                    <w:spacing w:line="300" w:lineRule="exact"/>
                    <w:jc w:val="center"/>
                    <w:rPr>
                      <w:rFonts w:ascii="Times New Roman" w:hAnsi="Times New Roman"/>
                      <w:szCs w:val="20"/>
                    </w:rPr>
                  </w:pPr>
                  <w:r>
                    <w:rPr>
                      <w:rFonts w:hint="eastAsia" w:ascii="Times New Roman" w:hAnsi="Times New Roman"/>
                      <w:szCs w:val="20"/>
                    </w:rPr>
                    <w:t>废</w:t>
                  </w:r>
                </w:p>
                <w:p>
                  <w:pPr>
                    <w:spacing w:line="300" w:lineRule="exact"/>
                    <w:jc w:val="center"/>
                    <w:rPr>
                      <w:rFonts w:ascii="Times New Roman" w:hAnsi="Times New Roman"/>
                      <w:szCs w:val="20"/>
                    </w:rPr>
                  </w:pPr>
                  <w:r>
                    <w:rPr>
                      <w:rFonts w:hint="eastAsia" w:ascii="Times New Roman" w:hAnsi="Times New Roman"/>
                      <w:szCs w:val="20"/>
                    </w:rPr>
                    <w:t>物</w:t>
                  </w:r>
                </w:p>
              </w:tc>
              <w:tc>
                <w:tcPr>
                  <w:tcW w:w="1181"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栅渣、沉砂</w:t>
                  </w:r>
                </w:p>
              </w:tc>
              <w:tc>
                <w:tcPr>
                  <w:tcW w:w="3715"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1"/>
                    </w:rPr>
                    <w:t>定期运至定安县垃圾填埋场</w:t>
                  </w:r>
                </w:p>
              </w:tc>
              <w:tc>
                <w:tcPr>
                  <w:tcW w:w="3606" w:type="dxa"/>
                  <w:vMerge w:val="restart"/>
                  <w:tcBorders>
                    <w:top w:val="single" w:color="auto" w:sz="6" w:space="0"/>
                    <w:left w:val="single" w:color="auto" w:sz="6" w:space="0"/>
                    <w:bottom w:val="single" w:color="auto" w:sz="6" w:space="0"/>
                    <w:right w:val="single" w:color="auto" w:sz="12" w:space="0"/>
                  </w:tcBorders>
                  <w:vAlign w:val="center"/>
                </w:tcPr>
                <w:p>
                  <w:pPr>
                    <w:spacing w:line="300" w:lineRule="exact"/>
                    <w:jc w:val="center"/>
                    <w:rPr>
                      <w:rFonts w:ascii="Times New Roman" w:hAnsi="Times New Roman"/>
                      <w:szCs w:val="20"/>
                    </w:rPr>
                  </w:pPr>
                  <w:r>
                    <w:rPr>
                      <w:rFonts w:hint="eastAsia" w:ascii="Times New Roman" w:hAnsi="Times New Roman"/>
                      <w:szCs w:val="20"/>
                    </w:rPr>
                    <w:t>全部得到合理处置，不会产生二次污染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9" w:type="dxa"/>
                  <w:vMerge w:val="continue"/>
                  <w:tcBorders>
                    <w:top w:val="single" w:color="auto" w:sz="6"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p>
              </w:tc>
              <w:tc>
                <w:tcPr>
                  <w:tcW w:w="1181"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污泥</w:t>
                  </w:r>
                </w:p>
              </w:tc>
              <w:tc>
                <w:tcPr>
                  <w:tcW w:w="3715" w:type="dxa"/>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经污泥脱水处理后运至定安县垃圾填埋场处理。</w:t>
                  </w:r>
                </w:p>
              </w:tc>
              <w:tc>
                <w:tcPr>
                  <w:tcW w:w="3606" w:type="dxa"/>
                  <w:vMerge w:val="continue"/>
                  <w:tcBorders>
                    <w:top w:val="single" w:color="auto" w:sz="6" w:space="0"/>
                    <w:left w:val="single" w:color="auto" w:sz="6" w:space="0"/>
                    <w:bottom w:val="single" w:color="auto" w:sz="6" w:space="0"/>
                    <w:right w:val="single" w:color="auto" w:sz="12" w:space="0"/>
                  </w:tcBorders>
                  <w:vAlign w:val="center"/>
                </w:tcPr>
                <w:p>
                  <w:pPr>
                    <w:spacing w:line="300" w:lineRule="exact"/>
                    <w:jc w:val="center"/>
                    <w:rPr>
                      <w:rFonts w:ascii="Times New Roman" w:hAnsi="Times New Roman"/>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869" w:type="dxa"/>
                  <w:vMerge w:val="continue"/>
                  <w:tcBorders>
                    <w:top w:val="single" w:color="auto" w:sz="6"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p>
              </w:tc>
              <w:tc>
                <w:tcPr>
                  <w:tcW w:w="1181"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实验室废液</w:t>
                  </w:r>
                </w:p>
              </w:tc>
              <w:tc>
                <w:tcPr>
                  <w:tcW w:w="3715" w:type="dxa"/>
                  <w:vMerge w:val="restart"/>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置危废暂存间，专用容器收集，委托海南宝来工贸有限公司处置。</w:t>
                  </w:r>
                </w:p>
              </w:tc>
              <w:tc>
                <w:tcPr>
                  <w:tcW w:w="3606" w:type="dxa"/>
                  <w:vMerge w:val="continue"/>
                  <w:tcBorders>
                    <w:top w:val="single" w:color="auto" w:sz="6" w:space="0"/>
                    <w:left w:val="single" w:color="auto" w:sz="6" w:space="0"/>
                    <w:bottom w:val="single" w:color="auto" w:sz="6" w:space="0"/>
                    <w:right w:val="single" w:color="auto" w:sz="12" w:space="0"/>
                  </w:tcBorders>
                  <w:vAlign w:val="center"/>
                </w:tcPr>
                <w:p>
                  <w:pPr>
                    <w:spacing w:line="300" w:lineRule="exact"/>
                    <w:jc w:val="center"/>
                    <w:rPr>
                      <w:rFonts w:ascii="Times New Roman" w:hAnsi="Times New Roman"/>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869" w:type="dxa"/>
                  <w:vMerge w:val="continue"/>
                  <w:tcBorders>
                    <w:top w:val="single" w:color="auto" w:sz="6"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p>
              </w:tc>
              <w:tc>
                <w:tcPr>
                  <w:tcW w:w="1181"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废机油</w:t>
                  </w:r>
                </w:p>
              </w:tc>
              <w:tc>
                <w:tcPr>
                  <w:tcW w:w="3715"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p>
              </w:tc>
              <w:tc>
                <w:tcPr>
                  <w:tcW w:w="3606" w:type="dxa"/>
                  <w:vMerge w:val="continue"/>
                  <w:tcBorders>
                    <w:top w:val="single" w:color="auto" w:sz="6" w:space="0"/>
                    <w:left w:val="single" w:color="auto" w:sz="6" w:space="0"/>
                    <w:bottom w:val="single" w:color="auto" w:sz="6" w:space="0"/>
                    <w:right w:val="single" w:color="auto" w:sz="12" w:space="0"/>
                  </w:tcBorders>
                  <w:vAlign w:val="center"/>
                </w:tcPr>
                <w:p>
                  <w:pPr>
                    <w:spacing w:line="300" w:lineRule="exact"/>
                    <w:jc w:val="center"/>
                    <w:rPr>
                      <w:rFonts w:ascii="Times New Roman" w:hAnsi="Times New Roman"/>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9" w:type="dxa"/>
                  <w:vMerge w:val="continue"/>
                  <w:tcBorders>
                    <w:top w:val="single" w:color="auto" w:sz="6"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p>
              </w:tc>
              <w:tc>
                <w:tcPr>
                  <w:tcW w:w="1181" w:type="dxa"/>
                  <w:gridSpan w:val="2"/>
                  <w:tcBorders>
                    <w:top w:val="single" w:color="auto" w:sz="6" w:space="0"/>
                    <w:left w:val="single" w:color="auto" w:sz="6"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废油漆桶</w:t>
                  </w:r>
                </w:p>
              </w:tc>
              <w:tc>
                <w:tcPr>
                  <w:tcW w:w="3715" w:type="dxa"/>
                  <w:vMerge w:val="continue"/>
                  <w:tcBorders>
                    <w:top w:val="single" w:color="auto" w:sz="6" w:space="0"/>
                    <w:left w:val="single" w:color="auto" w:sz="6" w:space="0"/>
                    <w:bottom w:val="single" w:color="auto" w:sz="6" w:space="0"/>
                    <w:right w:val="single" w:color="auto" w:sz="6" w:space="0"/>
                  </w:tcBorders>
                  <w:vAlign w:val="center"/>
                </w:tcPr>
                <w:p>
                  <w:pPr>
                    <w:spacing w:line="300" w:lineRule="exact"/>
                    <w:ind w:left="-105" w:leftChars="-50" w:right="-105" w:rightChars="-50"/>
                    <w:jc w:val="center"/>
                    <w:rPr>
                      <w:rFonts w:ascii="Times New Roman" w:hAnsi="Times New Roman"/>
                      <w:szCs w:val="20"/>
                    </w:rPr>
                  </w:pPr>
                </w:p>
              </w:tc>
              <w:tc>
                <w:tcPr>
                  <w:tcW w:w="3606" w:type="dxa"/>
                  <w:vMerge w:val="continue"/>
                  <w:tcBorders>
                    <w:top w:val="single" w:color="auto" w:sz="6" w:space="0"/>
                    <w:left w:val="single" w:color="auto" w:sz="6" w:space="0"/>
                    <w:bottom w:val="single" w:color="auto" w:sz="6" w:space="0"/>
                    <w:right w:val="single" w:color="auto" w:sz="12" w:space="0"/>
                  </w:tcBorders>
                  <w:vAlign w:val="center"/>
                </w:tcPr>
                <w:p>
                  <w:pPr>
                    <w:spacing w:line="300" w:lineRule="exact"/>
                    <w:jc w:val="center"/>
                    <w:rPr>
                      <w:rFonts w:ascii="Times New Roman" w:hAnsi="Times New Roman"/>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050" w:type="dxa"/>
                  <w:gridSpan w:val="3"/>
                  <w:tcBorders>
                    <w:top w:val="single" w:color="auto" w:sz="6" w:space="0"/>
                    <w:left w:val="single" w:color="auto" w:sz="12" w:space="0"/>
                    <w:bottom w:val="single" w:color="auto" w:sz="6"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地下水污染</w:t>
                  </w:r>
                </w:p>
                <w:p>
                  <w:pPr>
                    <w:spacing w:line="300" w:lineRule="exact"/>
                    <w:jc w:val="center"/>
                    <w:rPr>
                      <w:rFonts w:ascii="Times New Roman" w:hAnsi="Times New Roman"/>
                      <w:szCs w:val="20"/>
                    </w:rPr>
                  </w:pPr>
                  <w:r>
                    <w:rPr>
                      <w:rFonts w:hint="eastAsia" w:ascii="Times New Roman" w:hAnsi="Times New Roman"/>
                      <w:szCs w:val="20"/>
                    </w:rPr>
                    <w:t>防治</w:t>
                  </w:r>
                </w:p>
              </w:tc>
              <w:tc>
                <w:tcPr>
                  <w:tcW w:w="7321" w:type="dxa"/>
                  <w:gridSpan w:val="2"/>
                  <w:tcBorders>
                    <w:top w:val="single" w:color="auto" w:sz="6" w:space="0"/>
                    <w:left w:val="single" w:color="auto" w:sz="6" w:space="0"/>
                    <w:bottom w:val="single" w:color="auto" w:sz="6" w:space="0"/>
                    <w:right w:val="single" w:color="auto" w:sz="12" w:space="0"/>
                  </w:tcBorders>
                  <w:vAlign w:val="center"/>
                </w:tcPr>
                <w:p>
                  <w:pPr>
                    <w:spacing w:line="300" w:lineRule="exact"/>
                    <w:jc w:val="left"/>
                    <w:rPr>
                      <w:rFonts w:ascii="Times New Roman" w:hAnsi="Times New Roman"/>
                      <w:szCs w:val="20"/>
                    </w:rPr>
                  </w:pPr>
                  <w:r>
                    <w:rPr>
                      <w:rFonts w:hint="eastAsia" w:ascii="Times New Roman" w:hAnsi="Times New Roman"/>
                      <w:szCs w:val="20"/>
                    </w:rPr>
                    <w:t>厂区做好地面硬化防渗，防治废液下渗污染地下水；全场污染区参照抗渗标准要求采取防渗措施，细格栅及曝气沉砂池、改良型合建式</w:t>
                  </w:r>
                  <w:r>
                    <w:rPr>
                      <w:rFonts w:ascii="Times New Roman" w:hAnsi="Times New Roman"/>
                      <w:szCs w:val="20"/>
                    </w:rPr>
                    <w:t>AAO</w:t>
                  </w:r>
                  <w:r>
                    <w:rPr>
                      <w:rFonts w:hint="eastAsia" w:ascii="Times New Roman" w:hAnsi="Times New Roman"/>
                      <w:szCs w:val="20"/>
                    </w:rPr>
                    <w:t>、活性砂滤池、接触消毒池、加药间、贮泥池、脱水车间、中水清水池、中水泵房、中水管网预留阀门井等，各构筑物均按要求进行防渗处理；对各种地下管道，根据输送物质不同，采用不同类型的管道，管道内外均采用防腐处理，另建设控制站、截污阀、排污阀、流量、压力在线监测仪，购买超声及磁力检漏设备，定期对管道进行检漏，对出现泄露处的土壤进行换土。建立地下水长期监控系统，包括科学、合理地设置地下水污染监控井，建立完善的监测制度，配备先进的检测仪器和设备，以便及时发现问题并及时控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20" w:type="dxa"/>
                  <w:gridSpan w:val="2"/>
                  <w:tcBorders>
                    <w:top w:val="single" w:color="auto" w:sz="6" w:space="0"/>
                    <w:left w:val="single" w:color="auto" w:sz="12" w:space="0"/>
                    <w:bottom w:val="single" w:color="auto" w:sz="12"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生态环境</w:t>
                  </w:r>
                </w:p>
              </w:tc>
              <w:tc>
                <w:tcPr>
                  <w:tcW w:w="930" w:type="dxa"/>
                  <w:tcBorders>
                    <w:top w:val="single" w:color="auto" w:sz="6" w:space="0"/>
                    <w:left w:val="single" w:color="auto" w:sz="6" w:space="0"/>
                    <w:bottom w:val="single" w:color="auto" w:sz="12" w:space="0"/>
                    <w:right w:val="single" w:color="auto" w:sz="6" w:space="0"/>
                  </w:tcBorders>
                  <w:vAlign w:val="center"/>
                </w:tcPr>
                <w:p>
                  <w:pPr>
                    <w:spacing w:line="300" w:lineRule="exact"/>
                    <w:jc w:val="center"/>
                    <w:rPr>
                      <w:rFonts w:ascii="Times New Roman" w:hAnsi="Times New Roman"/>
                      <w:szCs w:val="20"/>
                    </w:rPr>
                  </w:pPr>
                  <w:r>
                    <w:rPr>
                      <w:rFonts w:hint="eastAsia" w:ascii="Times New Roman" w:hAnsi="Times New Roman"/>
                      <w:szCs w:val="20"/>
                    </w:rPr>
                    <w:t>厂区</w:t>
                  </w:r>
                </w:p>
              </w:tc>
              <w:tc>
                <w:tcPr>
                  <w:tcW w:w="7321" w:type="dxa"/>
                  <w:gridSpan w:val="2"/>
                  <w:tcBorders>
                    <w:top w:val="single" w:color="auto" w:sz="6" w:space="0"/>
                    <w:left w:val="single" w:color="auto" w:sz="6" w:space="0"/>
                    <w:bottom w:val="single" w:color="auto" w:sz="12" w:space="0"/>
                    <w:right w:val="single" w:color="auto" w:sz="12" w:space="0"/>
                  </w:tcBorders>
                  <w:vAlign w:val="center"/>
                </w:tcPr>
                <w:p>
                  <w:pPr>
                    <w:spacing w:line="300" w:lineRule="exact"/>
                    <w:jc w:val="center"/>
                    <w:rPr>
                      <w:rFonts w:ascii="Times New Roman" w:hAnsi="Times New Roman"/>
                      <w:szCs w:val="20"/>
                    </w:rPr>
                  </w:pPr>
                  <w:r>
                    <w:rPr>
                      <w:rFonts w:hint="eastAsia" w:ascii="Times New Roman" w:hAnsi="Times New Roman"/>
                      <w:szCs w:val="20"/>
                    </w:rPr>
                    <w:t>全厂绿化率达到</w:t>
                  </w:r>
                  <w:r>
                    <w:rPr>
                      <w:rFonts w:ascii="Times New Roman" w:hAnsi="Times New Roman"/>
                      <w:szCs w:val="20"/>
                    </w:rPr>
                    <w:t>31.5%</w:t>
                  </w:r>
                </w:p>
              </w:tc>
            </w:tr>
          </w:tbl>
          <w:p>
            <w:pPr>
              <w:pStyle w:val="2"/>
            </w:pPr>
          </w:p>
          <w:p>
            <w:pPr>
              <w:pStyle w:val="2"/>
            </w:pPr>
          </w:p>
          <w:p>
            <w:pPr>
              <w:pStyle w:val="2"/>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p>
            <w:pPr>
              <w:pStyle w:val="2"/>
              <w:rPr>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62" w:type="dxa"/>
          </w:tcPr>
          <w:p>
            <w:pPr>
              <w:spacing w:line="360" w:lineRule="auto"/>
              <w:rPr>
                <w:rFonts w:ascii="Times New Roman" w:hAnsi="Times New Roman"/>
                <w:b/>
                <w:bCs/>
                <w:sz w:val="24"/>
                <w:szCs w:val="24"/>
              </w:rPr>
            </w:pPr>
          </w:p>
        </w:tc>
      </w:tr>
    </w:tbl>
    <w:p>
      <w:pPr>
        <w:spacing w:before="240" w:after="60"/>
        <w:jc w:val="left"/>
        <w:outlineLvl w:val="0"/>
        <w:rPr>
          <w:rFonts w:ascii="Times New Roman" w:hAnsi="Times New Roman"/>
          <w:b/>
          <w:bCs/>
          <w:sz w:val="32"/>
          <w:szCs w:val="32"/>
        </w:rPr>
      </w:pPr>
      <w:bookmarkStart w:id="43" w:name="_Toc354673217"/>
      <w:bookmarkStart w:id="44" w:name="_Toc404248797"/>
      <w:r>
        <w:rPr>
          <w:rFonts w:hint="eastAsia" w:ascii="Times New Roman" w:hAnsi="Times New Roman"/>
          <w:b/>
          <w:bCs/>
          <w:sz w:val="32"/>
          <w:szCs w:val="32"/>
        </w:rPr>
        <w:t>建设项目拟采取的防治措施及预期治理效果</w:t>
      </w:r>
      <w:bookmarkEnd w:id="43"/>
      <w:bookmarkEnd w:id="44"/>
    </w:p>
    <w:tbl>
      <w:tblPr>
        <w:tblStyle w:val="37"/>
        <w:tblW w:w="97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07"/>
        <w:gridCol w:w="1615"/>
        <w:gridCol w:w="1365"/>
        <w:gridCol w:w="2520"/>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720" w:type="dxa"/>
            <w:gridSpan w:val="2"/>
            <w:tcBorders>
              <w:tl2br w:val="single" w:color="auto" w:sz="4" w:space="0"/>
            </w:tcBorders>
            <w:vAlign w:val="center"/>
          </w:tcPr>
          <w:p>
            <w:pPr>
              <w:pStyle w:val="77"/>
              <w:jc w:val="right"/>
              <w:rPr>
                <w:sz w:val="24"/>
                <w:szCs w:val="24"/>
              </w:rPr>
            </w:pPr>
            <w:r>
              <w:rPr>
                <w:rFonts w:hint="eastAsia"/>
                <w:sz w:val="24"/>
                <w:szCs w:val="24"/>
              </w:rPr>
              <w:t>内容</w:t>
            </w:r>
          </w:p>
          <w:p>
            <w:pPr>
              <w:pStyle w:val="77"/>
              <w:ind w:firstLine="240" w:firstLineChars="100"/>
              <w:jc w:val="left"/>
              <w:rPr>
                <w:sz w:val="24"/>
                <w:szCs w:val="24"/>
              </w:rPr>
            </w:pPr>
            <w:r>
              <w:rPr>
                <w:rFonts w:hint="eastAsia"/>
                <w:sz w:val="24"/>
                <w:szCs w:val="24"/>
              </w:rPr>
              <w:t>类型</w:t>
            </w:r>
          </w:p>
        </w:tc>
        <w:tc>
          <w:tcPr>
            <w:tcW w:w="1615" w:type="dxa"/>
            <w:vAlign w:val="center"/>
          </w:tcPr>
          <w:p>
            <w:pPr>
              <w:pStyle w:val="77"/>
              <w:rPr>
                <w:sz w:val="24"/>
                <w:szCs w:val="24"/>
              </w:rPr>
            </w:pPr>
            <w:r>
              <w:rPr>
                <w:rFonts w:hint="eastAsia"/>
                <w:sz w:val="24"/>
                <w:szCs w:val="24"/>
              </w:rPr>
              <w:t>排放源</w:t>
            </w:r>
          </w:p>
          <w:p>
            <w:pPr>
              <w:pStyle w:val="77"/>
              <w:rPr>
                <w:sz w:val="24"/>
                <w:szCs w:val="24"/>
              </w:rPr>
            </w:pPr>
            <w:r>
              <w:rPr>
                <w:rFonts w:hint="eastAsia"/>
                <w:sz w:val="24"/>
                <w:szCs w:val="24"/>
              </w:rPr>
              <w:t>（编号）</w:t>
            </w:r>
          </w:p>
        </w:tc>
        <w:tc>
          <w:tcPr>
            <w:tcW w:w="1365" w:type="dxa"/>
            <w:vAlign w:val="center"/>
          </w:tcPr>
          <w:p>
            <w:pPr>
              <w:pStyle w:val="77"/>
              <w:rPr>
                <w:sz w:val="24"/>
                <w:szCs w:val="24"/>
              </w:rPr>
            </w:pPr>
            <w:r>
              <w:rPr>
                <w:rFonts w:hint="eastAsia"/>
                <w:sz w:val="24"/>
                <w:szCs w:val="24"/>
              </w:rPr>
              <w:t>污染物名称</w:t>
            </w:r>
          </w:p>
        </w:tc>
        <w:tc>
          <w:tcPr>
            <w:tcW w:w="2520" w:type="dxa"/>
            <w:vAlign w:val="center"/>
          </w:tcPr>
          <w:p>
            <w:pPr>
              <w:pStyle w:val="77"/>
              <w:rPr>
                <w:sz w:val="24"/>
                <w:szCs w:val="24"/>
              </w:rPr>
            </w:pPr>
            <w:r>
              <w:rPr>
                <w:rFonts w:hint="eastAsia"/>
                <w:sz w:val="24"/>
                <w:szCs w:val="24"/>
              </w:rPr>
              <w:t>防治措施</w:t>
            </w:r>
          </w:p>
        </w:tc>
        <w:tc>
          <w:tcPr>
            <w:tcW w:w="2503" w:type="dxa"/>
            <w:vAlign w:val="center"/>
          </w:tcPr>
          <w:p>
            <w:pPr>
              <w:pStyle w:val="77"/>
              <w:rPr>
                <w:sz w:val="24"/>
                <w:szCs w:val="24"/>
              </w:rPr>
            </w:pPr>
            <w:r>
              <w:rPr>
                <w:rFonts w:hint="eastAsia"/>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813" w:type="dxa"/>
            <w:vMerge w:val="restart"/>
            <w:vAlign w:val="center"/>
          </w:tcPr>
          <w:p>
            <w:pPr>
              <w:pStyle w:val="77"/>
              <w:rPr>
                <w:sz w:val="24"/>
                <w:szCs w:val="24"/>
              </w:rPr>
            </w:pPr>
            <w:r>
              <w:rPr>
                <w:rFonts w:hint="eastAsia"/>
                <w:sz w:val="24"/>
                <w:szCs w:val="24"/>
              </w:rPr>
              <w:t>大</w:t>
            </w:r>
          </w:p>
          <w:p>
            <w:pPr>
              <w:pStyle w:val="77"/>
              <w:rPr>
                <w:sz w:val="24"/>
                <w:szCs w:val="24"/>
              </w:rPr>
            </w:pPr>
            <w:r>
              <w:rPr>
                <w:rFonts w:hint="eastAsia"/>
                <w:sz w:val="24"/>
                <w:szCs w:val="24"/>
              </w:rPr>
              <w:t>气</w:t>
            </w:r>
          </w:p>
          <w:p>
            <w:pPr>
              <w:pStyle w:val="77"/>
              <w:rPr>
                <w:sz w:val="24"/>
                <w:szCs w:val="24"/>
              </w:rPr>
            </w:pPr>
            <w:r>
              <w:rPr>
                <w:rFonts w:hint="eastAsia"/>
                <w:sz w:val="24"/>
                <w:szCs w:val="24"/>
              </w:rPr>
              <w:t>污</w:t>
            </w:r>
          </w:p>
          <w:p>
            <w:pPr>
              <w:pStyle w:val="77"/>
              <w:rPr>
                <w:sz w:val="24"/>
                <w:szCs w:val="24"/>
              </w:rPr>
            </w:pPr>
            <w:r>
              <w:rPr>
                <w:rFonts w:hint="eastAsia"/>
                <w:sz w:val="24"/>
                <w:szCs w:val="24"/>
              </w:rPr>
              <w:t>染</w:t>
            </w:r>
          </w:p>
          <w:p>
            <w:pPr>
              <w:pStyle w:val="77"/>
              <w:rPr>
                <w:bCs/>
                <w:sz w:val="24"/>
                <w:szCs w:val="24"/>
              </w:rPr>
            </w:pPr>
            <w:r>
              <w:rPr>
                <w:rFonts w:hint="eastAsia"/>
                <w:sz w:val="24"/>
                <w:szCs w:val="24"/>
              </w:rPr>
              <w:t>物</w:t>
            </w:r>
          </w:p>
        </w:tc>
        <w:tc>
          <w:tcPr>
            <w:tcW w:w="907" w:type="dxa"/>
            <w:vAlign w:val="center"/>
          </w:tcPr>
          <w:p>
            <w:pPr>
              <w:pStyle w:val="77"/>
              <w:rPr>
                <w:sz w:val="24"/>
                <w:szCs w:val="24"/>
              </w:rPr>
            </w:pPr>
            <w:r>
              <w:rPr>
                <w:rFonts w:hint="eastAsia"/>
                <w:bCs/>
                <w:sz w:val="24"/>
                <w:szCs w:val="24"/>
              </w:rPr>
              <w:t>施工期</w:t>
            </w:r>
          </w:p>
        </w:tc>
        <w:tc>
          <w:tcPr>
            <w:tcW w:w="1615" w:type="dxa"/>
            <w:vAlign w:val="center"/>
          </w:tcPr>
          <w:p>
            <w:pPr>
              <w:pStyle w:val="77"/>
              <w:rPr>
                <w:sz w:val="24"/>
                <w:szCs w:val="24"/>
              </w:rPr>
            </w:pPr>
            <w:r>
              <w:rPr>
                <w:rFonts w:hint="eastAsia"/>
                <w:sz w:val="24"/>
                <w:szCs w:val="24"/>
              </w:rPr>
              <w:t>车辆行驶、机械搅拌</w:t>
            </w:r>
          </w:p>
        </w:tc>
        <w:tc>
          <w:tcPr>
            <w:tcW w:w="1365" w:type="dxa"/>
            <w:vAlign w:val="center"/>
          </w:tcPr>
          <w:p>
            <w:pPr>
              <w:pStyle w:val="77"/>
              <w:rPr>
                <w:sz w:val="24"/>
                <w:szCs w:val="24"/>
              </w:rPr>
            </w:pPr>
            <w:r>
              <w:rPr>
                <w:rFonts w:hint="eastAsia"/>
                <w:sz w:val="24"/>
                <w:szCs w:val="24"/>
              </w:rPr>
              <w:t>扬尘、</w:t>
            </w:r>
          </w:p>
          <w:p>
            <w:pPr>
              <w:pStyle w:val="77"/>
              <w:rPr>
                <w:sz w:val="24"/>
                <w:szCs w:val="24"/>
              </w:rPr>
            </w:pPr>
            <w:r>
              <w:rPr>
                <w:rFonts w:hint="eastAsia"/>
                <w:sz w:val="24"/>
                <w:szCs w:val="24"/>
              </w:rPr>
              <w:t>粉尘</w:t>
            </w:r>
          </w:p>
        </w:tc>
        <w:tc>
          <w:tcPr>
            <w:tcW w:w="2520" w:type="dxa"/>
            <w:vAlign w:val="center"/>
          </w:tcPr>
          <w:p>
            <w:pPr>
              <w:pStyle w:val="77"/>
              <w:rPr>
                <w:sz w:val="24"/>
                <w:szCs w:val="24"/>
              </w:rPr>
            </w:pPr>
            <w:r>
              <w:rPr>
                <w:rFonts w:hint="eastAsia"/>
                <w:sz w:val="24"/>
                <w:szCs w:val="24"/>
              </w:rPr>
              <w:t>防尘网、围挡、定期洒水</w:t>
            </w:r>
          </w:p>
        </w:tc>
        <w:tc>
          <w:tcPr>
            <w:tcW w:w="2503" w:type="dxa"/>
            <w:vAlign w:val="center"/>
          </w:tcPr>
          <w:p>
            <w:pPr>
              <w:pStyle w:val="77"/>
              <w:rPr>
                <w:sz w:val="24"/>
                <w:szCs w:val="24"/>
              </w:rPr>
            </w:pPr>
            <w:r>
              <w:rPr>
                <w:rFonts w:hint="eastAsia"/>
                <w:sz w:val="24"/>
                <w:szCs w:val="24"/>
              </w:rPr>
              <w:t>减轻影响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813" w:type="dxa"/>
            <w:vMerge w:val="continue"/>
            <w:vAlign w:val="center"/>
          </w:tcPr>
          <w:p>
            <w:pPr>
              <w:pStyle w:val="77"/>
              <w:rPr>
                <w:sz w:val="24"/>
                <w:szCs w:val="24"/>
              </w:rPr>
            </w:pPr>
          </w:p>
        </w:tc>
        <w:tc>
          <w:tcPr>
            <w:tcW w:w="907" w:type="dxa"/>
            <w:vAlign w:val="center"/>
          </w:tcPr>
          <w:p>
            <w:pPr>
              <w:pStyle w:val="77"/>
              <w:rPr>
                <w:bCs/>
                <w:sz w:val="24"/>
                <w:szCs w:val="24"/>
              </w:rPr>
            </w:pPr>
            <w:r>
              <w:rPr>
                <w:rFonts w:hint="eastAsia"/>
                <w:bCs/>
                <w:sz w:val="24"/>
                <w:szCs w:val="24"/>
              </w:rPr>
              <w:t>运营期</w:t>
            </w:r>
          </w:p>
        </w:tc>
        <w:tc>
          <w:tcPr>
            <w:tcW w:w="1615" w:type="dxa"/>
            <w:vAlign w:val="center"/>
          </w:tcPr>
          <w:p>
            <w:pPr>
              <w:pStyle w:val="77"/>
              <w:rPr>
                <w:sz w:val="24"/>
                <w:szCs w:val="24"/>
              </w:rPr>
            </w:pPr>
            <w:r>
              <w:rPr>
                <w:rFonts w:hint="eastAsia"/>
                <w:sz w:val="24"/>
                <w:szCs w:val="24"/>
              </w:rPr>
              <w:t>格栅间、进水泵房、沉砂池、氧化沟、贮泥池、污泥脱水间</w:t>
            </w:r>
          </w:p>
        </w:tc>
        <w:tc>
          <w:tcPr>
            <w:tcW w:w="1365" w:type="dxa"/>
            <w:vAlign w:val="center"/>
          </w:tcPr>
          <w:p>
            <w:pPr>
              <w:pStyle w:val="77"/>
              <w:rPr>
                <w:sz w:val="24"/>
                <w:szCs w:val="24"/>
              </w:rPr>
            </w:pPr>
            <w:r>
              <w:rPr>
                <w:sz w:val="24"/>
                <w:szCs w:val="24"/>
              </w:rPr>
              <w:t>H</w:t>
            </w:r>
            <w:r>
              <w:rPr>
                <w:sz w:val="24"/>
                <w:szCs w:val="24"/>
                <w:vertAlign w:val="subscript"/>
              </w:rPr>
              <w:t>2</w:t>
            </w:r>
            <w:r>
              <w:rPr>
                <w:sz w:val="24"/>
                <w:szCs w:val="24"/>
              </w:rPr>
              <w:t>S</w:t>
            </w:r>
            <w:r>
              <w:rPr>
                <w:rFonts w:hint="eastAsia"/>
                <w:sz w:val="24"/>
                <w:szCs w:val="24"/>
              </w:rPr>
              <w:t>、</w:t>
            </w:r>
            <w:r>
              <w:rPr>
                <w:sz w:val="24"/>
                <w:szCs w:val="24"/>
              </w:rPr>
              <w:t>NH</w:t>
            </w:r>
            <w:r>
              <w:rPr>
                <w:sz w:val="24"/>
                <w:szCs w:val="24"/>
                <w:vertAlign w:val="subscript"/>
              </w:rPr>
              <w:t>3</w:t>
            </w:r>
            <w:r>
              <w:rPr>
                <w:rFonts w:hint="eastAsia"/>
                <w:sz w:val="24"/>
                <w:szCs w:val="24"/>
              </w:rPr>
              <w:t>、臭气浓度、甲烷</w:t>
            </w:r>
          </w:p>
        </w:tc>
        <w:tc>
          <w:tcPr>
            <w:tcW w:w="2520" w:type="dxa"/>
            <w:vAlign w:val="center"/>
          </w:tcPr>
          <w:p>
            <w:pPr>
              <w:pStyle w:val="77"/>
              <w:rPr>
                <w:sz w:val="24"/>
                <w:szCs w:val="24"/>
              </w:rPr>
            </w:pPr>
            <w:r>
              <w:rPr>
                <w:rFonts w:hint="eastAsia"/>
                <w:sz w:val="24"/>
                <w:szCs w:val="24"/>
              </w:rPr>
              <w:t>对粗格栅、细格栅采用局部加罩、对进水泵房、曝气沉砂池、</w:t>
            </w:r>
            <w:r>
              <w:rPr>
                <w:sz w:val="24"/>
                <w:szCs w:val="24"/>
              </w:rPr>
              <w:t>AAO</w:t>
            </w:r>
            <w:r>
              <w:rPr>
                <w:rFonts w:hint="eastAsia"/>
                <w:sz w:val="24"/>
                <w:szCs w:val="24"/>
              </w:rPr>
              <w:t>、贮泥池、污泥浓缩脱水间等恶臭源采取全封闭形式建设，设置</w:t>
            </w:r>
            <w:r>
              <w:rPr>
                <w:sz w:val="24"/>
                <w:szCs w:val="24"/>
              </w:rPr>
              <w:t>2</w:t>
            </w:r>
            <w:r>
              <w:rPr>
                <w:rFonts w:hint="eastAsia"/>
                <w:sz w:val="24"/>
                <w:szCs w:val="24"/>
              </w:rPr>
              <w:t>套臭气处理系统。经收集进入生物滤池处理后，通过</w:t>
            </w:r>
            <w:r>
              <w:rPr>
                <w:sz w:val="24"/>
                <w:szCs w:val="24"/>
              </w:rPr>
              <w:t>15m</w:t>
            </w:r>
            <w:r>
              <w:rPr>
                <w:rFonts w:hint="eastAsia"/>
                <w:sz w:val="24"/>
                <w:szCs w:val="24"/>
              </w:rPr>
              <w:t>高的排气筒排放</w:t>
            </w:r>
          </w:p>
        </w:tc>
        <w:tc>
          <w:tcPr>
            <w:tcW w:w="2503" w:type="dxa"/>
            <w:vAlign w:val="center"/>
          </w:tcPr>
          <w:p>
            <w:pPr>
              <w:pStyle w:val="77"/>
              <w:rPr>
                <w:sz w:val="24"/>
                <w:szCs w:val="24"/>
              </w:rPr>
            </w:pPr>
            <w:r>
              <w:rPr>
                <w:rFonts w:hint="eastAsia"/>
                <w:sz w:val="24"/>
                <w:szCs w:val="24"/>
              </w:rPr>
              <w:t>有组织废气满足《恶臭污染物排放标准》</w:t>
            </w:r>
          </w:p>
          <w:p>
            <w:pPr>
              <w:pStyle w:val="77"/>
              <w:rPr>
                <w:sz w:val="24"/>
                <w:szCs w:val="24"/>
              </w:rPr>
            </w:pPr>
            <w:r>
              <w:rPr>
                <w:rFonts w:hint="eastAsia"/>
                <w:sz w:val="24"/>
                <w:szCs w:val="24"/>
              </w:rPr>
              <w:t>（</w:t>
            </w:r>
            <w:r>
              <w:rPr>
                <w:sz w:val="24"/>
                <w:szCs w:val="24"/>
              </w:rPr>
              <w:t>GB14554-93</w:t>
            </w:r>
            <w:r>
              <w:rPr>
                <w:rFonts w:hint="eastAsia"/>
                <w:sz w:val="24"/>
                <w:szCs w:val="24"/>
              </w:rPr>
              <w:t>）表</w:t>
            </w:r>
            <w:r>
              <w:rPr>
                <w:sz w:val="24"/>
                <w:szCs w:val="24"/>
              </w:rPr>
              <w:t>1</w:t>
            </w:r>
            <w:r>
              <w:rPr>
                <w:rFonts w:hint="eastAsia"/>
                <w:sz w:val="24"/>
                <w:szCs w:val="24"/>
              </w:rPr>
              <w:t>中二级新扩改建标准，厂界浓度满足《城镇污水处理厂污染物排放标》（</w:t>
            </w:r>
            <w:r>
              <w:rPr>
                <w:sz w:val="24"/>
                <w:szCs w:val="24"/>
              </w:rPr>
              <w:t>GB18918-2002</w:t>
            </w:r>
            <w:r>
              <w:rPr>
                <w:rFonts w:hint="eastAsia"/>
                <w:sz w:val="24"/>
                <w:szCs w:val="24"/>
              </w:rPr>
              <w:t>）中表</w:t>
            </w:r>
            <w:r>
              <w:rPr>
                <w:sz w:val="24"/>
                <w:szCs w:val="24"/>
              </w:rPr>
              <w:t>4</w:t>
            </w:r>
            <w:r>
              <w:rPr>
                <w:rFonts w:hint="eastAsia"/>
                <w:sz w:val="24"/>
                <w:szCs w:val="24"/>
              </w:rPr>
              <w:t>二级标准限值要求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813" w:type="dxa"/>
            <w:vMerge w:val="restart"/>
            <w:vAlign w:val="center"/>
          </w:tcPr>
          <w:p>
            <w:pPr>
              <w:pStyle w:val="77"/>
              <w:rPr>
                <w:sz w:val="24"/>
                <w:szCs w:val="24"/>
              </w:rPr>
            </w:pPr>
            <w:r>
              <w:rPr>
                <w:rFonts w:hint="eastAsia"/>
                <w:sz w:val="24"/>
                <w:szCs w:val="24"/>
              </w:rPr>
              <w:t>水</w:t>
            </w:r>
          </w:p>
          <w:p>
            <w:pPr>
              <w:pStyle w:val="77"/>
              <w:rPr>
                <w:sz w:val="24"/>
                <w:szCs w:val="24"/>
              </w:rPr>
            </w:pPr>
            <w:r>
              <w:rPr>
                <w:rFonts w:hint="eastAsia"/>
                <w:sz w:val="24"/>
                <w:szCs w:val="24"/>
              </w:rPr>
              <w:t>污</w:t>
            </w:r>
          </w:p>
          <w:p>
            <w:pPr>
              <w:pStyle w:val="77"/>
              <w:rPr>
                <w:sz w:val="24"/>
                <w:szCs w:val="24"/>
              </w:rPr>
            </w:pPr>
            <w:r>
              <w:rPr>
                <w:rFonts w:hint="eastAsia"/>
                <w:sz w:val="24"/>
                <w:szCs w:val="24"/>
              </w:rPr>
              <w:t>染</w:t>
            </w:r>
          </w:p>
          <w:p>
            <w:pPr>
              <w:pStyle w:val="77"/>
              <w:rPr>
                <w:bCs/>
                <w:sz w:val="24"/>
                <w:szCs w:val="24"/>
              </w:rPr>
            </w:pPr>
            <w:r>
              <w:rPr>
                <w:rFonts w:hint="eastAsia"/>
                <w:sz w:val="24"/>
                <w:szCs w:val="24"/>
              </w:rPr>
              <w:t>物</w:t>
            </w:r>
          </w:p>
        </w:tc>
        <w:tc>
          <w:tcPr>
            <w:tcW w:w="907" w:type="dxa"/>
            <w:vMerge w:val="restart"/>
            <w:vAlign w:val="center"/>
          </w:tcPr>
          <w:p>
            <w:pPr>
              <w:pStyle w:val="77"/>
              <w:rPr>
                <w:sz w:val="24"/>
                <w:szCs w:val="24"/>
              </w:rPr>
            </w:pPr>
            <w:r>
              <w:rPr>
                <w:rFonts w:hint="eastAsia"/>
                <w:sz w:val="24"/>
                <w:szCs w:val="24"/>
              </w:rPr>
              <w:t>施工期</w:t>
            </w:r>
          </w:p>
        </w:tc>
        <w:tc>
          <w:tcPr>
            <w:tcW w:w="1615" w:type="dxa"/>
            <w:vAlign w:val="center"/>
          </w:tcPr>
          <w:p>
            <w:pPr>
              <w:pStyle w:val="77"/>
              <w:rPr>
                <w:sz w:val="24"/>
                <w:szCs w:val="24"/>
              </w:rPr>
            </w:pPr>
            <w:r>
              <w:rPr>
                <w:rFonts w:hint="eastAsia"/>
                <w:sz w:val="24"/>
                <w:szCs w:val="24"/>
              </w:rPr>
              <w:t>施工废水</w:t>
            </w:r>
          </w:p>
        </w:tc>
        <w:tc>
          <w:tcPr>
            <w:tcW w:w="1365" w:type="dxa"/>
            <w:vAlign w:val="center"/>
          </w:tcPr>
          <w:p>
            <w:pPr>
              <w:pStyle w:val="77"/>
              <w:rPr>
                <w:sz w:val="24"/>
                <w:szCs w:val="24"/>
              </w:rPr>
            </w:pPr>
            <w:r>
              <w:rPr>
                <w:sz w:val="24"/>
                <w:szCs w:val="24"/>
              </w:rPr>
              <w:t>SS</w:t>
            </w:r>
          </w:p>
        </w:tc>
        <w:tc>
          <w:tcPr>
            <w:tcW w:w="2520" w:type="dxa"/>
            <w:vAlign w:val="center"/>
          </w:tcPr>
          <w:p>
            <w:pPr>
              <w:pStyle w:val="77"/>
              <w:rPr>
                <w:sz w:val="24"/>
                <w:szCs w:val="24"/>
              </w:rPr>
            </w:pPr>
            <w:r>
              <w:rPr>
                <w:rFonts w:hint="eastAsia"/>
                <w:sz w:val="24"/>
                <w:szCs w:val="24"/>
              </w:rPr>
              <w:t>沉淀池</w:t>
            </w:r>
          </w:p>
        </w:tc>
        <w:tc>
          <w:tcPr>
            <w:tcW w:w="2503" w:type="dxa"/>
            <w:vMerge w:val="restart"/>
            <w:vAlign w:val="center"/>
          </w:tcPr>
          <w:p>
            <w:pPr>
              <w:pStyle w:val="77"/>
              <w:rPr>
                <w:sz w:val="24"/>
                <w:szCs w:val="24"/>
              </w:rPr>
            </w:pPr>
            <w:r>
              <w:rPr>
                <w:rFonts w:hint="eastAsia"/>
                <w:sz w:val="24"/>
                <w:szCs w:val="24"/>
              </w:rPr>
              <w:t>产生量少，影响较小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13" w:type="dxa"/>
            <w:vMerge w:val="continue"/>
            <w:vAlign w:val="center"/>
          </w:tcPr>
          <w:p>
            <w:pPr>
              <w:pStyle w:val="77"/>
              <w:rPr>
                <w:bCs/>
                <w:sz w:val="24"/>
                <w:szCs w:val="24"/>
              </w:rPr>
            </w:pPr>
          </w:p>
        </w:tc>
        <w:tc>
          <w:tcPr>
            <w:tcW w:w="907" w:type="dxa"/>
            <w:vMerge w:val="continue"/>
            <w:vAlign w:val="center"/>
          </w:tcPr>
          <w:p>
            <w:pPr>
              <w:pStyle w:val="77"/>
              <w:rPr>
                <w:sz w:val="24"/>
                <w:szCs w:val="24"/>
              </w:rPr>
            </w:pPr>
          </w:p>
        </w:tc>
        <w:tc>
          <w:tcPr>
            <w:tcW w:w="1615" w:type="dxa"/>
            <w:vAlign w:val="center"/>
          </w:tcPr>
          <w:p>
            <w:pPr>
              <w:pStyle w:val="77"/>
              <w:rPr>
                <w:sz w:val="24"/>
                <w:szCs w:val="24"/>
              </w:rPr>
            </w:pPr>
            <w:r>
              <w:rPr>
                <w:rFonts w:hint="eastAsia"/>
                <w:sz w:val="24"/>
                <w:szCs w:val="24"/>
              </w:rPr>
              <w:t>生活污水</w:t>
            </w:r>
          </w:p>
        </w:tc>
        <w:tc>
          <w:tcPr>
            <w:tcW w:w="1365" w:type="dxa"/>
            <w:vAlign w:val="center"/>
          </w:tcPr>
          <w:p>
            <w:pPr>
              <w:pStyle w:val="77"/>
              <w:rPr>
                <w:sz w:val="24"/>
                <w:szCs w:val="24"/>
              </w:rPr>
            </w:pPr>
            <w:r>
              <w:rPr>
                <w:sz w:val="24"/>
                <w:szCs w:val="24"/>
              </w:rPr>
              <w:t>COD</w:t>
            </w:r>
            <w:r>
              <w:rPr>
                <w:rFonts w:hint="eastAsia"/>
                <w:sz w:val="24"/>
                <w:szCs w:val="24"/>
              </w:rPr>
              <w:t>、</w:t>
            </w:r>
            <w:r>
              <w:rPr>
                <w:sz w:val="24"/>
                <w:szCs w:val="24"/>
              </w:rPr>
              <w:t>NH</w:t>
            </w:r>
            <w:r>
              <w:rPr>
                <w:sz w:val="24"/>
                <w:szCs w:val="24"/>
                <w:vertAlign w:val="subscript"/>
              </w:rPr>
              <w:t>3</w:t>
            </w:r>
            <w:r>
              <w:rPr>
                <w:sz w:val="24"/>
                <w:szCs w:val="24"/>
              </w:rPr>
              <w:t>-N</w:t>
            </w:r>
            <w:r>
              <w:rPr>
                <w:rFonts w:hint="eastAsia"/>
                <w:sz w:val="24"/>
                <w:szCs w:val="24"/>
              </w:rPr>
              <w:t>、</w:t>
            </w:r>
            <w:r>
              <w:rPr>
                <w:sz w:val="24"/>
                <w:szCs w:val="24"/>
              </w:rPr>
              <w:t>SS</w:t>
            </w:r>
          </w:p>
        </w:tc>
        <w:tc>
          <w:tcPr>
            <w:tcW w:w="2520" w:type="dxa"/>
            <w:vAlign w:val="center"/>
          </w:tcPr>
          <w:p>
            <w:pPr>
              <w:pStyle w:val="77"/>
              <w:rPr>
                <w:sz w:val="24"/>
                <w:szCs w:val="24"/>
              </w:rPr>
            </w:pPr>
            <w:r>
              <w:rPr>
                <w:rFonts w:hint="eastAsia"/>
                <w:sz w:val="24"/>
                <w:szCs w:val="24"/>
              </w:rPr>
              <w:t>依托一期工程现有生活污水收集系统</w:t>
            </w:r>
          </w:p>
        </w:tc>
        <w:tc>
          <w:tcPr>
            <w:tcW w:w="2503" w:type="dxa"/>
            <w:vMerge w:val="continue"/>
            <w:vAlign w:val="center"/>
          </w:tcPr>
          <w:p>
            <w:pPr>
              <w:pStyle w:val="77"/>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13" w:type="dxa"/>
            <w:vMerge w:val="continue"/>
            <w:vAlign w:val="center"/>
          </w:tcPr>
          <w:p>
            <w:pPr>
              <w:pStyle w:val="77"/>
              <w:rPr>
                <w:bCs/>
                <w:sz w:val="24"/>
                <w:szCs w:val="24"/>
              </w:rPr>
            </w:pPr>
          </w:p>
        </w:tc>
        <w:tc>
          <w:tcPr>
            <w:tcW w:w="907" w:type="dxa"/>
            <w:vAlign w:val="center"/>
          </w:tcPr>
          <w:p>
            <w:pPr>
              <w:pStyle w:val="77"/>
              <w:rPr>
                <w:sz w:val="24"/>
                <w:szCs w:val="24"/>
              </w:rPr>
            </w:pPr>
            <w:r>
              <w:rPr>
                <w:rFonts w:hint="eastAsia"/>
                <w:bCs/>
                <w:sz w:val="24"/>
                <w:szCs w:val="24"/>
              </w:rPr>
              <w:t>运营期</w:t>
            </w:r>
          </w:p>
        </w:tc>
        <w:tc>
          <w:tcPr>
            <w:tcW w:w="1615" w:type="dxa"/>
            <w:vAlign w:val="center"/>
          </w:tcPr>
          <w:p>
            <w:pPr>
              <w:pStyle w:val="77"/>
              <w:rPr>
                <w:sz w:val="24"/>
                <w:szCs w:val="24"/>
              </w:rPr>
            </w:pPr>
            <w:r>
              <w:rPr>
                <w:rFonts w:hint="eastAsia"/>
                <w:sz w:val="24"/>
                <w:szCs w:val="24"/>
              </w:rPr>
              <w:t>本工程处理后排放的污水</w:t>
            </w:r>
          </w:p>
        </w:tc>
        <w:tc>
          <w:tcPr>
            <w:tcW w:w="1365" w:type="dxa"/>
            <w:vAlign w:val="center"/>
          </w:tcPr>
          <w:p>
            <w:pPr>
              <w:pStyle w:val="77"/>
              <w:rPr>
                <w:sz w:val="24"/>
                <w:szCs w:val="24"/>
              </w:rPr>
            </w:pPr>
            <w:r>
              <w:rPr>
                <w:sz w:val="24"/>
                <w:szCs w:val="24"/>
              </w:rPr>
              <w:t>COD</w:t>
            </w:r>
            <w:r>
              <w:rPr>
                <w:rFonts w:hint="eastAsia"/>
                <w:sz w:val="24"/>
                <w:szCs w:val="24"/>
              </w:rPr>
              <w:t>、</w:t>
            </w:r>
            <w:r>
              <w:rPr>
                <w:sz w:val="24"/>
                <w:szCs w:val="24"/>
              </w:rPr>
              <w:t>BOD</w:t>
            </w:r>
            <w:r>
              <w:rPr>
                <w:rFonts w:hint="eastAsia"/>
                <w:sz w:val="24"/>
                <w:szCs w:val="24"/>
              </w:rPr>
              <w:t>、</w:t>
            </w:r>
            <w:r>
              <w:rPr>
                <w:sz w:val="24"/>
                <w:szCs w:val="24"/>
              </w:rPr>
              <w:t>SS</w:t>
            </w:r>
            <w:r>
              <w:rPr>
                <w:rFonts w:hint="eastAsia"/>
                <w:sz w:val="24"/>
                <w:szCs w:val="24"/>
              </w:rPr>
              <w:t>、</w:t>
            </w:r>
            <w:r>
              <w:rPr>
                <w:sz w:val="24"/>
                <w:szCs w:val="24"/>
              </w:rPr>
              <w:t>NH</w:t>
            </w:r>
            <w:r>
              <w:rPr>
                <w:sz w:val="24"/>
                <w:szCs w:val="24"/>
                <w:vertAlign w:val="subscript"/>
              </w:rPr>
              <w:t>3</w:t>
            </w:r>
            <w:r>
              <w:rPr>
                <w:sz w:val="24"/>
                <w:szCs w:val="24"/>
              </w:rPr>
              <w:t>-N</w:t>
            </w:r>
            <w:r>
              <w:rPr>
                <w:rFonts w:hint="eastAsia"/>
                <w:sz w:val="24"/>
                <w:szCs w:val="24"/>
              </w:rPr>
              <w:t>、</w:t>
            </w:r>
            <w:r>
              <w:rPr>
                <w:sz w:val="24"/>
                <w:szCs w:val="24"/>
              </w:rPr>
              <w:t>TN</w:t>
            </w:r>
            <w:r>
              <w:rPr>
                <w:rFonts w:hint="eastAsia"/>
                <w:sz w:val="24"/>
                <w:szCs w:val="24"/>
              </w:rPr>
              <w:t>等</w:t>
            </w:r>
          </w:p>
        </w:tc>
        <w:tc>
          <w:tcPr>
            <w:tcW w:w="2520" w:type="dxa"/>
            <w:vAlign w:val="center"/>
          </w:tcPr>
          <w:p>
            <w:pPr>
              <w:pStyle w:val="77"/>
              <w:rPr>
                <w:sz w:val="24"/>
                <w:szCs w:val="24"/>
              </w:rPr>
            </w:pPr>
            <w:r>
              <w:rPr>
                <w:rFonts w:hint="eastAsia"/>
                <w:sz w:val="24"/>
                <w:szCs w:val="24"/>
              </w:rPr>
              <w:t>污水经粗格栅</w:t>
            </w:r>
            <w:r>
              <w:rPr>
                <w:sz w:val="24"/>
                <w:szCs w:val="24"/>
              </w:rPr>
              <w:t>-</w:t>
            </w:r>
            <w:r>
              <w:rPr>
                <w:rFonts w:hint="eastAsia"/>
                <w:sz w:val="24"/>
                <w:szCs w:val="24"/>
              </w:rPr>
              <w:t>细格栅</w:t>
            </w:r>
            <w:r>
              <w:rPr>
                <w:sz w:val="24"/>
                <w:szCs w:val="24"/>
              </w:rPr>
              <w:t>-</w:t>
            </w:r>
            <w:r>
              <w:rPr>
                <w:rFonts w:hint="eastAsia"/>
                <w:sz w:val="24"/>
                <w:szCs w:val="24"/>
              </w:rPr>
              <w:t>沉砂池</w:t>
            </w:r>
            <w:r>
              <w:rPr>
                <w:sz w:val="24"/>
                <w:szCs w:val="24"/>
              </w:rPr>
              <w:t>-</w:t>
            </w:r>
            <w:r>
              <w:rPr>
                <w:rFonts w:hint="eastAsia"/>
                <w:sz w:val="24"/>
                <w:szCs w:val="24"/>
              </w:rPr>
              <w:t>改良型合建式</w:t>
            </w:r>
            <w:r>
              <w:rPr>
                <w:sz w:val="24"/>
                <w:szCs w:val="24"/>
              </w:rPr>
              <w:t xml:space="preserve"> AAO</w:t>
            </w:r>
            <w:r>
              <w:rPr>
                <w:rFonts w:hint="eastAsia"/>
                <w:sz w:val="24"/>
                <w:szCs w:val="24"/>
              </w:rPr>
              <w:t>（</w:t>
            </w:r>
            <w:r>
              <w:rPr>
                <w:sz w:val="24"/>
                <w:szCs w:val="24"/>
              </w:rPr>
              <w:t>BioDopp</w:t>
            </w:r>
            <w:r>
              <w:rPr>
                <w:rFonts w:hint="eastAsia"/>
                <w:sz w:val="24"/>
                <w:szCs w:val="24"/>
              </w:rPr>
              <w:t>）</w:t>
            </w:r>
            <w:r>
              <w:rPr>
                <w:sz w:val="24"/>
                <w:szCs w:val="24"/>
              </w:rPr>
              <w:t>-</w:t>
            </w:r>
            <w:r>
              <w:rPr>
                <w:rFonts w:hint="eastAsia"/>
                <w:sz w:val="24"/>
                <w:szCs w:val="24"/>
              </w:rPr>
              <w:t>活性砂滤池</w:t>
            </w:r>
            <w:r>
              <w:rPr>
                <w:sz w:val="24"/>
                <w:szCs w:val="24"/>
              </w:rPr>
              <w:t>-</w:t>
            </w:r>
            <w:r>
              <w:rPr>
                <w:rFonts w:hint="eastAsia"/>
                <w:sz w:val="24"/>
                <w:szCs w:val="24"/>
              </w:rPr>
              <w:t>消毒处理</w:t>
            </w:r>
          </w:p>
        </w:tc>
        <w:tc>
          <w:tcPr>
            <w:tcW w:w="2503" w:type="dxa"/>
            <w:vAlign w:val="center"/>
          </w:tcPr>
          <w:p>
            <w:pPr>
              <w:pStyle w:val="77"/>
              <w:rPr>
                <w:sz w:val="24"/>
                <w:szCs w:val="24"/>
              </w:rPr>
            </w:pPr>
            <w:r>
              <w:rPr>
                <w:rFonts w:hint="eastAsia"/>
                <w:sz w:val="24"/>
                <w:szCs w:val="24"/>
              </w:rPr>
              <w:t>执行《城镇污水处理厂污染物排放标准》（</w:t>
            </w:r>
            <w:r>
              <w:rPr>
                <w:sz w:val="24"/>
                <w:szCs w:val="24"/>
              </w:rPr>
              <w:t>GB18918-2002</w:t>
            </w:r>
            <w:r>
              <w:rPr>
                <w:rFonts w:hint="eastAsia"/>
                <w:sz w:val="24"/>
                <w:szCs w:val="24"/>
              </w:rPr>
              <w:t>）表</w:t>
            </w:r>
            <w:r>
              <w:rPr>
                <w:sz w:val="24"/>
                <w:szCs w:val="24"/>
              </w:rPr>
              <w:t>1</w:t>
            </w:r>
            <w:r>
              <w:rPr>
                <w:rFonts w:hint="eastAsia"/>
                <w:sz w:val="24"/>
                <w:szCs w:val="24"/>
              </w:rPr>
              <w:t>一级</w:t>
            </w:r>
            <w:r>
              <w:rPr>
                <w:sz w:val="24"/>
                <w:szCs w:val="24"/>
              </w:rPr>
              <w:t>A</w:t>
            </w:r>
            <w:r>
              <w:rPr>
                <w:rFonts w:hint="eastAsia"/>
                <w:sz w:val="24"/>
                <w:szCs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13" w:type="dxa"/>
            <w:vMerge w:val="restart"/>
            <w:vAlign w:val="center"/>
          </w:tcPr>
          <w:p>
            <w:pPr>
              <w:pStyle w:val="77"/>
              <w:rPr>
                <w:sz w:val="24"/>
                <w:szCs w:val="24"/>
              </w:rPr>
            </w:pPr>
            <w:r>
              <w:rPr>
                <w:rFonts w:hint="eastAsia"/>
                <w:sz w:val="24"/>
                <w:szCs w:val="24"/>
              </w:rPr>
              <w:t>噪</w:t>
            </w:r>
          </w:p>
          <w:p>
            <w:pPr>
              <w:pStyle w:val="77"/>
              <w:rPr>
                <w:bCs/>
                <w:sz w:val="24"/>
                <w:szCs w:val="24"/>
              </w:rPr>
            </w:pPr>
            <w:r>
              <w:rPr>
                <w:rFonts w:hint="eastAsia"/>
                <w:sz w:val="24"/>
                <w:szCs w:val="24"/>
              </w:rPr>
              <w:t>声</w:t>
            </w:r>
          </w:p>
        </w:tc>
        <w:tc>
          <w:tcPr>
            <w:tcW w:w="907" w:type="dxa"/>
            <w:vAlign w:val="center"/>
          </w:tcPr>
          <w:p>
            <w:pPr>
              <w:pStyle w:val="77"/>
              <w:rPr>
                <w:sz w:val="24"/>
                <w:szCs w:val="24"/>
              </w:rPr>
            </w:pPr>
            <w:r>
              <w:rPr>
                <w:rFonts w:hint="eastAsia"/>
                <w:sz w:val="24"/>
                <w:szCs w:val="24"/>
              </w:rPr>
              <w:t>施工期</w:t>
            </w:r>
          </w:p>
        </w:tc>
        <w:tc>
          <w:tcPr>
            <w:tcW w:w="1615" w:type="dxa"/>
            <w:vAlign w:val="center"/>
          </w:tcPr>
          <w:p>
            <w:pPr>
              <w:pStyle w:val="77"/>
              <w:rPr>
                <w:sz w:val="24"/>
                <w:szCs w:val="24"/>
              </w:rPr>
            </w:pPr>
            <w:r>
              <w:rPr>
                <w:rFonts w:hint="eastAsia"/>
                <w:sz w:val="24"/>
                <w:szCs w:val="24"/>
              </w:rPr>
              <w:t>施工机械车辆</w:t>
            </w:r>
          </w:p>
        </w:tc>
        <w:tc>
          <w:tcPr>
            <w:tcW w:w="1365" w:type="dxa"/>
            <w:vAlign w:val="center"/>
          </w:tcPr>
          <w:p>
            <w:pPr>
              <w:pStyle w:val="77"/>
              <w:rPr>
                <w:sz w:val="24"/>
                <w:szCs w:val="24"/>
              </w:rPr>
            </w:pPr>
            <w:r>
              <w:rPr>
                <w:rFonts w:hint="eastAsia"/>
                <w:sz w:val="24"/>
                <w:szCs w:val="24"/>
              </w:rPr>
              <w:t>机械噪声、交通噪声</w:t>
            </w:r>
          </w:p>
        </w:tc>
        <w:tc>
          <w:tcPr>
            <w:tcW w:w="2520" w:type="dxa"/>
            <w:vAlign w:val="center"/>
          </w:tcPr>
          <w:p>
            <w:pPr>
              <w:pStyle w:val="77"/>
              <w:rPr>
                <w:sz w:val="24"/>
                <w:szCs w:val="24"/>
              </w:rPr>
            </w:pPr>
            <w:r>
              <w:rPr>
                <w:rFonts w:hint="eastAsia"/>
                <w:sz w:val="24"/>
                <w:szCs w:val="24"/>
              </w:rPr>
              <w:t>防振、减振、隔声措施加强车辆管理</w:t>
            </w:r>
          </w:p>
        </w:tc>
        <w:tc>
          <w:tcPr>
            <w:tcW w:w="2503" w:type="dxa"/>
            <w:vAlign w:val="center"/>
          </w:tcPr>
          <w:p>
            <w:pPr>
              <w:pStyle w:val="77"/>
              <w:rPr>
                <w:sz w:val="24"/>
                <w:szCs w:val="24"/>
              </w:rPr>
            </w:pPr>
            <w:r>
              <w:rPr>
                <w:rFonts w:hint="eastAsia"/>
                <w:sz w:val="24"/>
                <w:szCs w:val="24"/>
              </w:rPr>
              <w:t>减轻影响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813" w:type="dxa"/>
            <w:vMerge w:val="continue"/>
            <w:vAlign w:val="center"/>
          </w:tcPr>
          <w:p>
            <w:pPr>
              <w:pStyle w:val="77"/>
              <w:rPr>
                <w:bCs/>
                <w:sz w:val="24"/>
                <w:szCs w:val="24"/>
              </w:rPr>
            </w:pPr>
          </w:p>
        </w:tc>
        <w:tc>
          <w:tcPr>
            <w:tcW w:w="907" w:type="dxa"/>
            <w:vAlign w:val="center"/>
          </w:tcPr>
          <w:p>
            <w:pPr>
              <w:pStyle w:val="77"/>
              <w:rPr>
                <w:sz w:val="24"/>
                <w:szCs w:val="24"/>
              </w:rPr>
            </w:pPr>
            <w:r>
              <w:rPr>
                <w:rFonts w:hint="eastAsia"/>
                <w:bCs/>
                <w:sz w:val="24"/>
                <w:szCs w:val="24"/>
              </w:rPr>
              <w:t>运营期</w:t>
            </w:r>
          </w:p>
        </w:tc>
        <w:tc>
          <w:tcPr>
            <w:tcW w:w="1615" w:type="dxa"/>
            <w:vAlign w:val="center"/>
          </w:tcPr>
          <w:p>
            <w:pPr>
              <w:pStyle w:val="77"/>
              <w:rPr>
                <w:sz w:val="24"/>
                <w:szCs w:val="24"/>
              </w:rPr>
            </w:pPr>
            <w:r>
              <w:rPr>
                <w:rFonts w:hint="eastAsia"/>
                <w:sz w:val="24"/>
                <w:szCs w:val="24"/>
              </w:rPr>
              <w:t>水泵、污泥泵、曝气机</w:t>
            </w:r>
          </w:p>
        </w:tc>
        <w:tc>
          <w:tcPr>
            <w:tcW w:w="1365" w:type="dxa"/>
            <w:vAlign w:val="center"/>
          </w:tcPr>
          <w:p>
            <w:pPr>
              <w:pStyle w:val="77"/>
              <w:rPr>
                <w:sz w:val="24"/>
                <w:szCs w:val="24"/>
              </w:rPr>
            </w:pPr>
            <w:r>
              <w:rPr>
                <w:rFonts w:hint="eastAsia"/>
                <w:sz w:val="24"/>
                <w:szCs w:val="24"/>
              </w:rPr>
              <w:t>噪声</w:t>
            </w:r>
          </w:p>
        </w:tc>
        <w:tc>
          <w:tcPr>
            <w:tcW w:w="2520" w:type="dxa"/>
            <w:vAlign w:val="center"/>
          </w:tcPr>
          <w:p>
            <w:pPr>
              <w:pStyle w:val="77"/>
              <w:rPr>
                <w:sz w:val="24"/>
                <w:szCs w:val="24"/>
              </w:rPr>
            </w:pPr>
            <w:r>
              <w:rPr>
                <w:rFonts w:hint="eastAsia"/>
                <w:sz w:val="24"/>
                <w:szCs w:val="24"/>
              </w:rPr>
              <w:t>隔声、距离衰减</w:t>
            </w:r>
          </w:p>
        </w:tc>
        <w:tc>
          <w:tcPr>
            <w:tcW w:w="2503" w:type="dxa"/>
            <w:vAlign w:val="center"/>
          </w:tcPr>
          <w:p>
            <w:pPr>
              <w:pStyle w:val="77"/>
              <w:rPr>
                <w:sz w:val="24"/>
                <w:szCs w:val="24"/>
              </w:rPr>
            </w:pPr>
            <w:r>
              <w:rPr>
                <w:rFonts w:hint="eastAsia"/>
                <w:sz w:val="24"/>
                <w:szCs w:val="24"/>
              </w:rPr>
              <w:t>达到</w:t>
            </w:r>
            <w:r>
              <w:rPr>
                <w:sz w:val="24"/>
                <w:szCs w:val="24"/>
              </w:rPr>
              <w:t>GB12348-2008</w:t>
            </w:r>
            <w:r>
              <w:rPr>
                <w:rFonts w:hint="eastAsia"/>
                <w:sz w:val="24"/>
                <w:szCs w:val="24"/>
              </w:rPr>
              <w:t>中</w:t>
            </w:r>
            <w:r>
              <w:rPr>
                <w:sz w:val="24"/>
                <w:szCs w:val="24"/>
              </w:rPr>
              <w:t>2</w:t>
            </w:r>
            <w:r>
              <w:rPr>
                <w:rFonts w:hint="eastAsia"/>
                <w:sz w:val="24"/>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813" w:type="dxa"/>
            <w:vMerge w:val="restart"/>
            <w:vAlign w:val="center"/>
          </w:tcPr>
          <w:p>
            <w:pPr>
              <w:pStyle w:val="77"/>
              <w:rPr>
                <w:bCs/>
                <w:sz w:val="24"/>
                <w:szCs w:val="24"/>
              </w:rPr>
            </w:pPr>
            <w:r>
              <w:rPr>
                <w:rFonts w:hint="eastAsia"/>
                <w:bCs/>
                <w:sz w:val="24"/>
                <w:szCs w:val="24"/>
              </w:rPr>
              <w:t>固</w:t>
            </w:r>
          </w:p>
          <w:p>
            <w:pPr>
              <w:pStyle w:val="77"/>
              <w:rPr>
                <w:bCs/>
                <w:sz w:val="24"/>
                <w:szCs w:val="24"/>
              </w:rPr>
            </w:pPr>
            <w:r>
              <w:rPr>
                <w:rFonts w:hint="eastAsia"/>
                <w:bCs/>
                <w:sz w:val="24"/>
                <w:szCs w:val="24"/>
              </w:rPr>
              <w:t>体</w:t>
            </w:r>
          </w:p>
          <w:p>
            <w:pPr>
              <w:pStyle w:val="77"/>
              <w:rPr>
                <w:bCs/>
                <w:sz w:val="24"/>
                <w:szCs w:val="24"/>
              </w:rPr>
            </w:pPr>
            <w:r>
              <w:rPr>
                <w:rFonts w:hint="eastAsia"/>
                <w:bCs/>
                <w:sz w:val="24"/>
                <w:szCs w:val="24"/>
              </w:rPr>
              <w:t>废</w:t>
            </w:r>
          </w:p>
          <w:p>
            <w:pPr>
              <w:pStyle w:val="77"/>
              <w:rPr>
                <w:bCs/>
                <w:sz w:val="24"/>
                <w:szCs w:val="24"/>
              </w:rPr>
            </w:pPr>
            <w:r>
              <w:rPr>
                <w:rFonts w:hint="eastAsia"/>
                <w:bCs/>
                <w:sz w:val="24"/>
                <w:szCs w:val="24"/>
              </w:rPr>
              <w:t>物</w:t>
            </w:r>
          </w:p>
        </w:tc>
        <w:tc>
          <w:tcPr>
            <w:tcW w:w="907" w:type="dxa"/>
            <w:vMerge w:val="restart"/>
            <w:vAlign w:val="center"/>
          </w:tcPr>
          <w:p>
            <w:pPr>
              <w:pStyle w:val="77"/>
              <w:rPr>
                <w:sz w:val="24"/>
                <w:szCs w:val="24"/>
              </w:rPr>
            </w:pPr>
            <w:r>
              <w:rPr>
                <w:rFonts w:hint="eastAsia"/>
                <w:sz w:val="24"/>
                <w:szCs w:val="24"/>
              </w:rPr>
              <w:t>施工期</w:t>
            </w:r>
          </w:p>
        </w:tc>
        <w:tc>
          <w:tcPr>
            <w:tcW w:w="1615" w:type="dxa"/>
            <w:vAlign w:val="center"/>
          </w:tcPr>
          <w:p>
            <w:pPr>
              <w:pStyle w:val="77"/>
              <w:rPr>
                <w:sz w:val="24"/>
                <w:szCs w:val="24"/>
              </w:rPr>
            </w:pPr>
            <w:r>
              <w:rPr>
                <w:rFonts w:hint="eastAsia"/>
                <w:sz w:val="24"/>
                <w:szCs w:val="24"/>
              </w:rPr>
              <w:t>建筑垃圾</w:t>
            </w:r>
          </w:p>
        </w:tc>
        <w:tc>
          <w:tcPr>
            <w:tcW w:w="1365" w:type="dxa"/>
            <w:vAlign w:val="center"/>
          </w:tcPr>
          <w:p>
            <w:pPr>
              <w:pStyle w:val="77"/>
              <w:rPr>
                <w:sz w:val="24"/>
                <w:szCs w:val="24"/>
              </w:rPr>
            </w:pPr>
            <w:r>
              <w:rPr>
                <w:rFonts w:hint="eastAsia"/>
                <w:sz w:val="24"/>
                <w:szCs w:val="24"/>
              </w:rPr>
              <w:t>弃土、沙石等</w:t>
            </w:r>
          </w:p>
        </w:tc>
        <w:tc>
          <w:tcPr>
            <w:tcW w:w="2520" w:type="dxa"/>
            <w:vAlign w:val="center"/>
          </w:tcPr>
          <w:p>
            <w:pPr>
              <w:pStyle w:val="77"/>
              <w:rPr>
                <w:sz w:val="24"/>
                <w:szCs w:val="24"/>
              </w:rPr>
            </w:pPr>
            <w:r>
              <w:rPr>
                <w:rFonts w:hint="eastAsia"/>
                <w:sz w:val="24"/>
                <w:szCs w:val="24"/>
              </w:rPr>
              <w:t>回填、送垃圾填埋场</w:t>
            </w:r>
          </w:p>
        </w:tc>
        <w:tc>
          <w:tcPr>
            <w:tcW w:w="2503" w:type="dxa"/>
            <w:vMerge w:val="restart"/>
            <w:vAlign w:val="center"/>
          </w:tcPr>
          <w:p>
            <w:pPr>
              <w:pStyle w:val="77"/>
              <w:rPr>
                <w:sz w:val="24"/>
                <w:szCs w:val="24"/>
              </w:rPr>
            </w:pPr>
            <w:r>
              <w:rPr>
                <w:rFonts w:hint="eastAsia"/>
                <w:sz w:val="24"/>
                <w:szCs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jc w:val="center"/>
        </w:trPr>
        <w:tc>
          <w:tcPr>
            <w:tcW w:w="813" w:type="dxa"/>
            <w:vMerge w:val="continue"/>
            <w:vAlign w:val="center"/>
          </w:tcPr>
          <w:p>
            <w:pPr>
              <w:pStyle w:val="77"/>
              <w:rPr>
                <w:bCs/>
                <w:sz w:val="24"/>
                <w:szCs w:val="24"/>
              </w:rPr>
            </w:pPr>
          </w:p>
        </w:tc>
        <w:tc>
          <w:tcPr>
            <w:tcW w:w="907" w:type="dxa"/>
            <w:vMerge w:val="continue"/>
            <w:vAlign w:val="center"/>
          </w:tcPr>
          <w:p>
            <w:pPr>
              <w:pStyle w:val="77"/>
              <w:rPr>
                <w:sz w:val="24"/>
                <w:szCs w:val="24"/>
              </w:rPr>
            </w:pPr>
          </w:p>
        </w:tc>
        <w:tc>
          <w:tcPr>
            <w:tcW w:w="1615" w:type="dxa"/>
            <w:vAlign w:val="center"/>
          </w:tcPr>
          <w:p>
            <w:pPr>
              <w:pStyle w:val="77"/>
              <w:rPr>
                <w:sz w:val="24"/>
                <w:szCs w:val="24"/>
              </w:rPr>
            </w:pPr>
            <w:r>
              <w:rPr>
                <w:rFonts w:hint="eastAsia"/>
                <w:sz w:val="24"/>
                <w:szCs w:val="24"/>
                <w:shd w:val="solid" w:color="FFFFFF" w:fill="auto"/>
              </w:rPr>
              <w:t>浸油废料</w:t>
            </w:r>
          </w:p>
        </w:tc>
        <w:tc>
          <w:tcPr>
            <w:tcW w:w="1365" w:type="dxa"/>
            <w:vAlign w:val="center"/>
          </w:tcPr>
          <w:p>
            <w:pPr>
              <w:pStyle w:val="77"/>
              <w:rPr>
                <w:sz w:val="24"/>
                <w:szCs w:val="24"/>
              </w:rPr>
            </w:pPr>
            <w:r>
              <w:rPr>
                <w:rFonts w:hint="eastAsia"/>
                <w:sz w:val="24"/>
                <w:szCs w:val="24"/>
              </w:rPr>
              <w:t>含油</w:t>
            </w:r>
          </w:p>
        </w:tc>
        <w:tc>
          <w:tcPr>
            <w:tcW w:w="2520" w:type="dxa"/>
            <w:vAlign w:val="center"/>
          </w:tcPr>
          <w:p>
            <w:pPr>
              <w:pStyle w:val="77"/>
              <w:rPr>
                <w:sz w:val="24"/>
                <w:szCs w:val="24"/>
              </w:rPr>
            </w:pPr>
            <w:r>
              <w:rPr>
                <w:rFonts w:hint="eastAsia"/>
                <w:sz w:val="24"/>
                <w:szCs w:val="24"/>
              </w:rPr>
              <w:t>危险废物收集暂存，与一期工程产生的危险废物一同委托海南宝来工贸有限公司处置</w:t>
            </w:r>
          </w:p>
        </w:tc>
        <w:tc>
          <w:tcPr>
            <w:tcW w:w="2503" w:type="dxa"/>
            <w:vMerge w:val="continue"/>
            <w:vAlign w:val="center"/>
          </w:tcPr>
          <w:p>
            <w:pPr>
              <w:pStyle w:val="77"/>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813" w:type="dxa"/>
            <w:vMerge w:val="continue"/>
            <w:vAlign w:val="center"/>
          </w:tcPr>
          <w:p>
            <w:pPr>
              <w:pStyle w:val="77"/>
              <w:rPr>
                <w:bCs/>
                <w:sz w:val="24"/>
                <w:szCs w:val="24"/>
              </w:rPr>
            </w:pPr>
          </w:p>
        </w:tc>
        <w:tc>
          <w:tcPr>
            <w:tcW w:w="907" w:type="dxa"/>
            <w:vMerge w:val="continue"/>
            <w:vAlign w:val="center"/>
          </w:tcPr>
          <w:p>
            <w:pPr>
              <w:pStyle w:val="77"/>
              <w:rPr>
                <w:sz w:val="24"/>
                <w:szCs w:val="24"/>
              </w:rPr>
            </w:pPr>
          </w:p>
        </w:tc>
        <w:tc>
          <w:tcPr>
            <w:tcW w:w="1615" w:type="dxa"/>
            <w:vAlign w:val="center"/>
          </w:tcPr>
          <w:p>
            <w:pPr>
              <w:pStyle w:val="77"/>
              <w:rPr>
                <w:sz w:val="24"/>
                <w:szCs w:val="24"/>
              </w:rPr>
            </w:pPr>
            <w:r>
              <w:rPr>
                <w:rFonts w:hint="eastAsia"/>
                <w:sz w:val="24"/>
                <w:szCs w:val="24"/>
              </w:rPr>
              <w:t>施工人员</w:t>
            </w:r>
          </w:p>
        </w:tc>
        <w:tc>
          <w:tcPr>
            <w:tcW w:w="1365" w:type="dxa"/>
            <w:vAlign w:val="center"/>
          </w:tcPr>
          <w:p>
            <w:pPr>
              <w:pStyle w:val="77"/>
              <w:rPr>
                <w:sz w:val="24"/>
                <w:szCs w:val="24"/>
              </w:rPr>
            </w:pPr>
            <w:r>
              <w:rPr>
                <w:rFonts w:hint="eastAsia"/>
                <w:sz w:val="24"/>
                <w:szCs w:val="24"/>
              </w:rPr>
              <w:t>生活垃圾</w:t>
            </w:r>
          </w:p>
        </w:tc>
        <w:tc>
          <w:tcPr>
            <w:tcW w:w="2520" w:type="dxa"/>
            <w:vAlign w:val="center"/>
          </w:tcPr>
          <w:p>
            <w:pPr>
              <w:pStyle w:val="77"/>
              <w:rPr>
                <w:sz w:val="24"/>
                <w:szCs w:val="24"/>
              </w:rPr>
            </w:pPr>
            <w:r>
              <w:rPr>
                <w:rFonts w:hint="eastAsia"/>
                <w:sz w:val="24"/>
                <w:szCs w:val="24"/>
              </w:rPr>
              <w:t>环卫部门统一定期清理</w:t>
            </w:r>
          </w:p>
        </w:tc>
        <w:tc>
          <w:tcPr>
            <w:tcW w:w="2503" w:type="dxa"/>
            <w:vMerge w:val="continue"/>
            <w:vAlign w:val="center"/>
          </w:tcPr>
          <w:p>
            <w:pPr>
              <w:pStyle w:val="77"/>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jc w:val="center"/>
        </w:trPr>
        <w:tc>
          <w:tcPr>
            <w:tcW w:w="813" w:type="dxa"/>
            <w:vMerge w:val="continue"/>
            <w:vAlign w:val="center"/>
          </w:tcPr>
          <w:p>
            <w:pPr>
              <w:pStyle w:val="77"/>
              <w:rPr>
                <w:bCs/>
                <w:sz w:val="24"/>
                <w:szCs w:val="24"/>
              </w:rPr>
            </w:pPr>
          </w:p>
        </w:tc>
        <w:tc>
          <w:tcPr>
            <w:tcW w:w="907" w:type="dxa"/>
            <w:vMerge w:val="restart"/>
            <w:vAlign w:val="center"/>
          </w:tcPr>
          <w:p>
            <w:pPr>
              <w:pStyle w:val="77"/>
              <w:rPr>
                <w:sz w:val="24"/>
                <w:szCs w:val="24"/>
                <w:highlight w:val="yellow"/>
              </w:rPr>
            </w:pPr>
            <w:r>
              <w:rPr>
                <w:rFonts w:hint="eastAsia"/>
                <w:bCs/>
                <w:sz w:val="24"/>
                <w:szCs w:val="24"/>
              </w:rPr>
              <w:t>运营期</w:t>
            </w:r>
          </w:p>
        </w:tc>
        <w:tc>
          <w:tcPr>
            <w:tcW w:w="1615" w:type="dxa"/>
            <w:vAlign w:val="center"/>
          </w:tcPr>
          <w:p>
            <w:pPr>
              <w:pStyle w:val="77"/>
              <w:rPr>
                <w:sz w:val="24"/>
                <w:szCs w:val="24"/>
                <w:highlight w:val="yellow"/>
              </w:rPr>
            </w:pPr>
            <w:r>
              <w:rPr>
                <w:rFonts w:hint="eastAsia"/>
                <w:sz w:val="24"/>
                <w:szCs w:val="24"/>
              </w:rPr>
              <w:t>格栅、沉砂池、污泥浓缩间</w:t>
            </w:r>
          </w:p>
        </w:tc>
        <w:tc>
          <w:tcPr>
            <w:tcW w:w="1365" w:type="dxa"/>
            <w:vAlign w:val="center"/>
          </w:tcPr>
          <w:p>
            <w:pPr>
              <w:pStyle w:val="77"/>
              <w:rPr>
                <w:sz w:val="24"/>
                <w:szCs w:val="24"/>
              </w:rPr>
            </w:pPr>
            <w:r>
              <w:rPr>
                <w:rFonts w:hint="eastAsia"/>
                <w:sz w:val="24"/>
                <w:szCs w:val="24"/>
              </w:rPr>
              <w:t>格栅渣、沉砂、污泥</w:t>
            </w:r>
          </w:p>
        </w:tc>
        <w:tc>
          <w:tcPr>
            <w:tcW w:w="2520" w:type="dxa"/>
            <w:vAlign w:val="center"/>
          </w:tcPr>
          <w:p>
            <w:pPr>
              <w:pStyle w:val="77"/>
              <w:rPr>
                <w:sz w:val="24"/>
                <w:szCs w:val="24"/>
              </w:rPr>
            </w:pPr>
            <w:r>
              <w:rPr>
                <w:rFonts w:hint="eastAsia"/>
                <w:sz w:val="24"/>
                <w:szCs w:val="24"/>
              </w:rPr>
              <w:t>即时清运；格栅渣、沉砂、污泥送垃圾填埋场</w:t>
            </w:r>
          </w:p>
        </w:tc>
        <w:tc>
          <w:tcPr>
            <w:tcW w:w="2503" w:type="dxa"/>
            <w:vAlign w:val="center"/>
          </w:tcPr>
          <w:p>
            <w:pPr>
              <w:pStyle w:val="77"/>
              <w:rPr>
                <w:sz w:val="24"/>
                <w:szCs w:val="24"/>
              </w:rPr>
            </w:pPr>
            <w:r>
              <w:rPr>
                <w:rFonts w:hint="eastAsia"/>
                <w:sz w:val="24"/>
                <w:szCs w:val="24"/>
              </w:rPr>
              <w:t>按国家标准要求进行无害化处置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813" w:type="dxa"/>
            <w:vMerge w:val="continue"/>
            <w:vAlign w:val="center"/>
          </w:tcPr>
          <w:p>
            <w:pPr>
              <w:pStyle w:val="77"/>
              <w:rPr>
                <w:bCs/>
                <w:sz w:val="24"/>
                <w:szCs w:val="24"/>
              </w:rPr>
            </w:pPr>
          </w:p>
        </w:tc>
        <w:tc>
          <w:tcPr>
            <w:tcW w:w="907" w:type="dxa"/>
            <w:vMerge w:val="continue"/>
            <w:vAlign w:val="center"/>
          </w:tcPr>
          <w:p>
            <w:pPr>
              <w:pStyle w:val="77"/>
              <w:rPr>
                <w:bCs/>
                <w:sz w:val="24"/>
                <w:szCs w:val="24"/>
                <w:highlight w:val="yellow"/>
              </w:rPr>
            </w:pPr>
          </w:p>
        </w:tc>
        <w:tc>
          <w:tcPr>
            <w:tcW w:w="1615" w:type="dxa"/>
            <w:vAlign w:val="center"/>
          </w:tcPr>
          <w:p>
            <w:pPr>
              <w:pStyle w:val="77"/>
              <w:rPr>
                <w:bCs/>
                <w:sz w:val="24"/>
                <w:szCs w:val="24"/>
                <w:highlight w:val="yellow"/>
              </w:rPr>
            </w:pPr>
            <w:r>
              <w:rPr>
                <w:rFonts w:hint="eastAsia"/>
                <w:bCs/>
                <w:sz w:val="24"/>
                <w:szCs w:val="24"/>
              </w:rPr>
              <w:t>实验室废液、废机油、废油漆桶</w:t>
            </w:r>
          </w:p>
        </w:tc>
        <w:tc>
          <w:tcPr>
            <w:tcW w:w="1365" w:type="dxa"/>
            <w:vAlign w:val="center"/>
          </w:tcPr>
          <w:p>
            <w:pPr>
              <w:spacing w:line="300" w:lineRule="exact"/>
              <w:jc w:val="center"/>
              <w:rPr>
                <w:rFonts w:ascii="Times New Roman" w:hAnsi="Times New Roman"/>
                <w:bCs/>
                <w:sz w:val="24"/>
                <w:szCs w:val="24"/>
              </w:rPr>
            </w:pPr>
            <w:r>
              <w:rPr>
                <w:rFonts w:hint="eastAsia" w:ascii="Times New Roman" w:hAnsi="Times New Roman"/>
                <w:bCs/>
                <w:sz w:val="24"/>
                <w:szCs w:val="24"/>
              </w:rPr>
              <w:t>危险废物</w:t>
            </w:r>
          </w:p>
        </w:tc>
        <w:tc>
          <w:tcPr>
            <w:tcW w:w="2520" w:type="dxa"/>
            <w:vAlign w:val="center"/>
          </w:tcPr>
          <w:p>
            <w:pPr>
              <w:spacing w:line="300" w:lineRule="exact"/>
              <w:jc w:val="center"/>
              <w:rPr>
                <w:rFonts w:ascii="Times New Roman" w:hAnsi="Times New Roman"/>
                <w:bCs/>
                <w:sz w:val="24"/>
                <w:szCs w:val="24"/>
              </w:rPr>
            </w:pPr>
            <w:r>
              <w:rPr>
                <w:rFonts w:hint="eastAsia" w:ascii="Times New Roman" w:hAnsi="Times New Roman"/>
                <w:bCs/>
                <w:sz w:val="24"/>
                <w:szCs w:val="24"/>
              </w:rPr>
              <w:t>暂存危废，定期送至有资质单位进行处置</w:t>
            </w:r>
          </w:p>
        </w:tc>
        <w:tc>
          <w:tcPr>
            <w:tcW w:w="2503" w:type="dxa"/>
            <w:vAlign w:val="center"/>
          </w:tcPr>
          <w:p>
            <w:pPr>
              <w:spacing w:line="300" w:lineRule="exact"/>
              <w:jc w:val="center"/>
              <w:rPr>
                <w:rFonts w:ascii="Times New Roman" w:hAnsi="Times New Roman"/>
                <w:bCs/>
                <w:sz w:val="24"/>
                <w:szCs w:val="24"/>
              </w:rPr>
            </w:pPr>
            <w:r>
              <w:rPr>
                <w:rFonts w:hint="eastAsia" w:ascii="Times New Roman" w:hAnsi="Times New Roman"/>
                <w:bCs/>
                <w:sz w:val="24"/>
                <w:szCs w:val="24"/>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720" w:type="dxa"/>
            <w:gridSpan w:val="2"/>
            <w:vAlign w:val="center"/>
          </w:tcPr>
          <w:p>
            <w:pPr>
              <w:pStyle w:val="77"/>
              <w:rPr>
                <w:bCs/>
                <w:sz w:val="24"/>
                <w:szCs w:val="24"/>
              </w:rPr>
            </w:pPr>
            <w:r>
              <w:rPr>
                <w:rFonts w:hint="eastAsia"/>
                <w:bCs/>
                <w:sz w:val="24"/>
                <w:szCs w:val="24"/>
              </w:rPr>
              <w:t>其他</w:t>
            </w:r>
          </w:p>
        </w:tc>
        <w:tc>
          <w:tcPr>
            <w:tcW w:w="8003" w:type="dxa"/>
            <w:gridSpan w:val="4"/>
            <w:vAlign w:val="center"/>
          </w:tcPr>
          <w:p>
            <w:pPr>
              <w:pStyle w:val="77"/>
              <w:rPr>
                <w:sz w:val="24"/>
                <w:szCs w:val="24"/>
              </w:rPr>
            </w:pPr>
            <w:r>
              <w:rPr>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0" w:hRule="atLeast"/>
          <w:jc w:val="center"/>
        </w:trPr>
        <w:tc>
          <w:tcPr>
            <w:tcW w:w="9723" w:type="dxa"/>
            <w:gridSpan w:val="6"/>
            <w:vAlign w:val="center"/>
          </w:tcPr>
          <w:p>
            <w:pPr>
              <w:pStyle w:val="77"/>
              <w:jc w:val="both"/>
              <w:rPr>
                <w:bCs/>
                <w:sz w:val="24"/>
                <w:szCs w:val="24"/>
              </w:rPr>
            </w:pPr>
            <w:r>
              <w:rPr>
                <w:rFonts w:hint="eastAsia"/>
                <w:bCs/>
                <w:sz w:val="24"/>
                <w:szCs w:val="24"/>
              </w:rPr>
              <w:t>生态保护措施及预期效果：</w:t>
            </w:r>
          </w:p>
          <w:p>
            <w:pPr>
              <w:pStyle w:val="77"/>
              <w:ind w:firstLine="480" w:firstLineChars="200"/>
              <w:jc w:val="both"/>
              <w:rPr>
                <w:bCs/>
                <w:sz w:val="24"/>
                <w:szCs w:val="24"/>
              </w:rPr>
            </w:pPr>
            <w:r>
              <w:rPr>
                <w:rFonts w:hint="eastAsia"/>
                <w:bCs/>
                <w:sz w:val="24"/>
                <w:szCs w:val="24"/>
              </w:rPr>
              <w:t>通过采取立面绿化，多层次绿化，并结合防臭需要在厂区及管道四周设置绿化隔离带等措施，建成一个现代化的绿色厂区。</w:t>
            </w:r>
          </w:p>
        </w:tc>
      </w:tr>
    </w:tbl>
    <w:p>
      <w:pPr>
        <w:spacing w:before="240" w:after="60"/>
        <w:jc w:val="left"/>
        <w:outlineLvl w:val="0"/>
        <w:rPr>
          <w:rFonts w:ascii="Times New Roman" w:hAnsi="Times New Roman"/>
          <w:b/>
          <w:bCs/>
          <w:sz w:val="32"/>
          <w:szCs w:val="32"/>
        </w:rPr>
      </w:pPr>
      <w:bookmarkStart w:id="45" w:name="_Toc354673221"/>
      <w:bookmarkStart w:id="46" w:name="_Toc404248800"/>
      <w:r>
        <w:rPr>
          <w:rFonts w:hint="eastAsia" w:ascii="Times New Roman" w:hAnsi="Times New Roman"/>
          <w:b/>
          <w:bCs/>
          <w:sz w:val="32"/>
          <w:szCs w:val="32"/>
        </w:rPr>
        <w:t>结论与建议</w:t>
      </w:r>
      <w:bookmarkEnd w:id="45"/>
      <w:bookmarkEnd w:id="46"/>
    </w:p>
    <w:tbl>
      <w:tblPr>
        <w:tblStyle w:val="37"/>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0" w:type="dxa"/>
          </w:tcPr>
          <w:p>
            <w:pPr>
              <w:spacing w:line="480" w:lineRule="exact"/>
              <w:rPr>
                <w:rFonts w:ascii="Times New Roman" w:hAnsi="Times New Roman"/>
                <w:b/>
                <w:bCs/>
                <w:sz w:val="24"/>
                <w:szCs w:val="24"/>
              </w:rPr>
            </w:pPr>
            <w:r>
              <w:rPr>
                <w:rFonts w:hint="eastAsia" w:ascii="Times New Roman" w:hAnsi="Times New Roman"/>
                <w:b/>
                <w:bCs/>
                <w:sz w:val="24"/>
                <w:szCs w:val="24"/>
              </w:rPr>
              <w:t>一、结论</w:t>
            </w:r>
          </w:p>
          <w:p>
            <w:pPr>
              <w:pStyle w:val="114"/>
            </w:pPr>
            <w:r>
              <w:rPr>
                <w:rFonts w:hint="eastAsia"/>
              </w:rPr>
              <w:t>定城污水处理厂于</w:t>
            </w:r>
            <w:r>
              <w:t>2010</w:t>
            </w:r>
            <w:r>
              <w:rPr>
                <w:rFonts w:hint="eastAsia"/>
              </w:rPr>
              <w:t>年投产运行，一期工程设计规模为</w:t>
            </w:r>
            <w:r>
              <w:t>1.5</w:t>
            </w:r>
            <w:r>
              <w:rPr>
                <w:rFonts w:hint="eastAsia"/>
              </w:rPr>
              <w:t>万</w:t>
            </w:r>
            <w:r>
              <w:t>m</w:t>
            </w:r>
            <w:r>
              <w:rPr>
                <w:vertAlign w:val="superscript"/>
              </w:rPr>
              <w:t>3</w:t>
            </w:r>
            <w:r>
              <w:t>/d</w:t>
            </w:r>
            <w:r>
              <w:rPr>
                <w:rFonts w:hint="eastAsia"/>
              </w:rPr>
              <w:t>。由于定城镇每天用水量月</w:t>
            </w:r>
            <w:r>
              <w:t>2</w:t>
            </w:r>
            <w:r>
              <w:rPr>
                <w:rFonts w:hint="eastAsia"/>
              </w:rPr>
              <w:t>万多吨，随着城镇生活污水收集率的增加，现状污水处理设施已不满足定城镇城市排污需求。因此，拟建定安县定城污水处理厂二期改扩建工程总投资</w:t>
            </w:r>
            <w:r>
              <w:t>8623.19</w:t>
            </w:r>
            <w:r>
              <w:rPr>
                <w:rFonts w:hint="eastAsia"/>
              </w:rPr>
              <w:t>万元，主要建设内容包括新建处理规模为</w:t>
            </w:r>
            <w:r>
              <w:t>1.5</w:t>
            </w:r>
            <w:r>
              <w:rPr>
                <w:rFonts w:hint="eastAsia"/>
              </w:rPr>
              <w:t>万</w:t>
            </w:r>
            <w:r>
              <w:t>m</w:t>
            </w:r>
            <w:r>
              <w:rPr>
                <w:vertAlign w:val="superscript"/>
              </w:rPr>
              <w:t>3</w:t>
            </w:r>
            <w:r>
              <w:t>/d</w:t>
            </w:r>
            <w:r>
              <w:rPr>
                <w:rFonts w:hint="eastAsia"/>
              </w:rPr>
              <w:t>污水处理厂一座，并对一期工程部分处理建构筑物进行局部改造，对现况一期工程部分工艺设备进行更换。改扩建后全厂总设计处理规模为</w:t>
            </w:r>
            <w:r>
              <w:t>3</w:t>
            </w:r>
            <w:r>
              <w:rPr>
                <w:rFonts w:hint="eastAsia"/>
              </w:rPr>
              <w:t>万</w:t>
            </w:r>
            <w:r>
              <w:t>m</w:t>
            </w:r>
            <w:r>
              <w:rPr>
                <w:vertAlign w:val="superscript"/>
              </w:rPr>
              <w:t>3</w:t>
            </w:r>
            <w:r>
              <w:t>/d</w:t>
            </w:r>
            <w:r>
              <w:rPr>
                <w:rFonts w:hint="eastAsia"/>
              </w:rPr>
              <w:t>。</w:t>
            </w:r>
          </w:p>
          <w:p>
            <w:pPr>
              <w:spacing w:line="480" w:lineRule="exact"/>
              <w:ind w:firstLine="482" w:firstLineChars="200"/>
              <w:rPr>
                <w:rFonts w:ascii="Times New Roman" w:hAnsi="Times New Roman"/>
                <w:b/>
                <w:bCs/>
                <w:sz w:val="24"/>
                <w:szCs w:val="24"/>
              </w:rPr>
            </w:pPr>
            <w:r>
              <w:rPr>
                <w:rFonts w:ascii="Times New Roman" w:hAnsi="Times New Roman"/>
                <w:b/>
                <w:bCs/>
                <w:sz w:val="24"/>
                <w:szCs w:val="24"/>
              </w:rPr>
              <w:t>1</w:t>
            </w:r>
            <w:r>
              <w:rPr>
                <w:rFonts w:hint="eastAsia" w:ascii="Times New Roman" w:hAnsi="Times New Roman"/>
                <w:b/>
                <w:bCs/>
                <w:sz w:val="24"/>
                <w:szCs w:val="24"/>
              </w:rPr>
              <w:t>、区域环境质量现状结论</w:t>
            </w:r>
          </w:p>
          <w:p>
            <w:pPr>
              <w:pStyle w:val="114"/>
            </w:pPr>
            <w:r>
              <w:rPr>
                <w:rFonts w:hint="eastAsia"/>
              </w:rPr>
              <w:t>（</w:t>
            </w:r>
            <w:r>
              <w:t>1</w:t>
            </w:r>
            <w:r>
              <w:rPr>
                <w:rFonts w:hint="eastAsia"/>
              </w:rPr>
              <w:t>）大气环境质量现状</w:t>
            </w:r>
          </w:p>
          <w:p>
            <w:pPr>
              <w:pStyle w:val="114"/>
            </w:pPr>
            <w:r>
              <w:rPr>
                <w:rFonts w:hint="eastAsia"/>
              </w:rPr>
              <w:t>监测数据表明：定安县</w:t>
            </w:r>
            <w:r>
              <w:t>PM</w:t>
            </w:r>
            <w:r>
              <w:rPr>
                <w:vertAlign w:val="subscript"/>
              </w:rPr>
              <w:t>10</w:t>
            </w:r>
            <w:r>
              <w:rPr>
                <w:rFonts w:hint="eastAsia"/>
              </w:rPr>
              <w:t>、</w:t>
            </w:r>
            <w:r>
              <w:t>PM</w:t>
            </w:r>
            <w:r>
              <w:rPr>
                <w:vertAlign w:val="subscript"/>
              </w:rPr>
              <w:t>2.5</w:t>
            </w:r>
            <w:r>
              <w:rPr>
                <w:rFonts w:hint="eastAsia"/>
              </w:rPr>
              <w:t>、</w:t>
            </w:r>
            <w:r>
              <w:t>SO</w:t>
            </w:r>
            <w:r>
              <w:rPr>
                <w:vertAlign w:val="subscript"/>
              </w:rPr>
              <w:t>2</w:t>
            </w:r>
            <w:r>
              <w:rPr>
                <w:rFonts w:hint="eastAsia"/>
              </w:rPr>
              <w:t>、</w:t>
            </w:r>
            <w:r>
              <w:t>NO</w:t>
            </w:r>
            <w:r>
              <w:rPr>
                <w:vertAlign w:val="subscript"/>
              </w:rPr>
              <w:t>2</w:t>
            </w:r>
            <w:r>
              <w:rPr>
                <w:rFonts w:hint="eastAsia"/>
              </w:rPr>
              <w:t>、</w:t>
            </w:r>
            <w:r>
              <w:t>CO</w:t>
            </w:r>
            <w:r>
              <w:rPr>
                <w:rFonts w:hint="eastAsia"/>
              </w:rPr>
              <w:t>日平均浓度以及</w:t>
            </w:r>
            <w:r>
              <w:t>O</w:t>
            </w:r>
            <w:r>
              <w:rPr>
                <w:vertAlign w:val="subscript"/>
              </w:rPr>
              <w:t>3</w:t>
            </w:r>
            <w:r>
              <w:rPr>
                <w:rFonts w:hint="eastAsia"/>
              </w:rPr>
              <w:t>的日最大</w:t>
            </w:r>
            <w:r>
              <w:t>8</w:t>
            </w:r>
            <w:r>
              <w:rPr>
                <w:rFonts w:hint="eastAsia"/>
              </w:rPr>
              <w:t>小时平均浓度均值范围均满足《环境空气质量标准》</w:t>
            </w:r>
            <w:r>
              <w:t>(GB3095-2012)</w:t>
            </w:r>
            <w:r>
              <w:rPr>
                <w:rFonts w:hint="eastAsia"/>
              </w:rPr>
              <w:t>中的二级标准限值，定安县属于达标区，大气环境质量现状良好。项目区域</w:t>
            </w:r>
            <w:r>
              <w:t>NH</w:t>
            </w:r>
            <w:r>
              <w:rPr>
                <w:vertAlign w:val="subscript"/>
              </w:rPr>
              <w:t>3</w:t>
            </w:r>
            <w:r>
              <w:rPr>
                <w:rFonts w:hint="eastAsia"/>
              </w:rPr>
              <w:t>、</w:t>
            </w:r>
            <w:r>
              <w:t>H</w:t>
            </w:r>
            <w:r>
              <w:rPr>
                <w:vertAlign w:val="subscript"/>
              </w:rPr>
              <w:t>2</w:t>
            </w:r>
            <w:r>
              <w:t>S 1h</w:t>
            </w:r>
            <w:r>
              <w:rPr>
                <w:rFonts w:hint="eastAsia"/>
              </w:rPr>
              <w:t>平均浓度满足《环境影响评价技术导则大气环境》（</w:t>
            </w:r>
            <w:r>
              <w:t>HJ2.2—2018</w:t>
            </w:r>
            <w:r>
              <w:rPr>
                <w:rFonts w:hint="eastAsia"/>
              </w:rPr>
              <w:t>）附录</w:t>
            </w:r>
            <w:r>
              <w:t>D</w:t>
            </w:r>
            <w:r>
              <w:rPr>
                <w:rFonts w:hint="eastAsia"/>
              </w:rPr>
              <w:t>表</w:t>
            </w:r>
            <w:r>
              <w:t>D.1</w:t>
            </w:r>
            <w:r>
              <w:rPr>
                <w:rFonts w:hint="eastAsia"/>
              </w:rPr>
              <w:t>中标准规定的浓度。</w:t>
            </w:r>
          </w:p>
          <w:p>
            <w:pPr>
              <w:pStyle w:val="114"/>
            </w:pPr>
            <w:r>
              <w:rPr>
                <w:rFonts w:hint="eastAsia"/>
              </w:rPr>
              <w:t>（</w:t>
            </w:r>
            <w:r>
              <w:t>2</w:t>
            </w:r>
            <w:r>
              <w:rPr>
                <w:rFonts w:hint="eastAsia"/>
              </w:rPr>
              <w:t>）地表水环境质量现状</w:t>
            </w:r>
          </w:p>
          <w:p>
            <w:pPr>
              <w:pStyle w:val="114"/>
            </w:pPr>
            <w:r>
              <w:rPr>
                <w:rFonts w:hint="eastAsia"/>
              </w:rPr>
              <w:t>监测数据表明：近三年，潭榄溪潭榄桥段水质除高锰酸盐指数始终保持良好水平外，</w:t>
            </w:r>
            <w:r>
              <w:t>DO</w:t>
            </w:r>
            <w:r>
              <w:rPr>
                <w:rFonts w:hint="eastAsia"/>
              </w:rPr>
              <w:t>、</w:t>
            </w:r>
            <w:r>
              <w:t>COD</w:t>
            </w:r>
            <w:r>
              <w:rPr>
                <w:rFonts w:hint="eastAsia"/>
              </w:rPr>
              <w:t>、氨氮、总磷、石油类均普遍纯在超标现象，每年</w:t>
            </w:r>
            <w:r>
              <w:t>5</w:t>
            </w:r>
            <w:r>
              <w:rPr>
                <w:rFonts w:hint="eastAsia"/>
              </w:rPr>
              <w:t>、</w:t>
            </w:r>
            <w:r>
              <w:t>6</w:t>
            </w:r>
            <w:r>
              <w:rPr>
                <w:rFonts w:hint="eastAsia"/>
              </w:rPr>
              <w:t>月份超标情况较严重，其原因可能是上游沿线农业污染源周期性排放导致。本次评价委托海南中环能检测技术有限公司于</w:t>
            </w:r>
            <w:r>
              <w:t>2019</w:t>
            </w:r>
            <w:r>
              <w:rPr>
                <w:rFonts w:hint="eastAsia"/>
              </w:rPr>
              <w:t>年</w:t>
            </w:r>
            <w:r>
              <w:t>5</w:t>
            </w:r>
            <w:r>
              <w:rPr>
                <w:rFonts w:hint="eastAsia"/>
              </w:rPr>
              <w:t>月</w:t>
            </w:r>
            <w:r>
              <w:t>24~26</w:t>
            </w:r>
            <w:r>
              <w:rPr>
                <w:rFonts w:hint="eastAsia"/>
              </w:rPr>
              <w:t>日对项目纳污水体潭榄溪进行现场监测，监测结果显示监测期间，</w:t>
            </w:r>
            <w:r>
              <w:t>pH</w:t>
            </w:r>
            <w:r>
              <w:rPr>
                <w:rFonts w:hint="eastAsia"/>
              </w:rPr>
              <w:t>、</w:t>
            </w:r>
            <w:r>
              <w:t>NH</w:t>
            </w:r>
            <w:r>
              <w:rPr>
                <w:vertAlign w:val="subscript"/>
              </w:rPr>
              <w:t>3</w:t>
            </w:r>
            <w:r>
              <w:t>-N</w:t>
            </w:r>
            <w:r>
              <w:rPr>
                <w:rFonts w:hint="eastAsia"/>
              </w:rPr>
              <w:t>、</w:t>
            </w:r>
            <w:r>
              <w:t>SS</w:t>
            </w:r>
            <w:r>
              <w:rPr>
                <w:rFonts w:hint="eastAsia"/>
              </w:rPr>
              <w:t>、</w:t>
            </w:r>
            <w:r>
              <w:t>TN</w:t>
            </w:r>
            <w:r>
              <w:rPr>
                <w:rFonts w:hint="eastAsia"/>
              </w:rPr>
              <w:t>、阴离子表面活性剂、粪大肠菌群等</w:t>
            </w:r>
            <w:r>
              <w:t>6</w:t>
            </w:r>
            <w:r>
              <w:rPr>
                <w:rFonts w:hint="eastAsia"/>
              </w:rPr>
              <w:t>项因子各断面监测结果均满足《地表水环境质量标准》</w:t>
            </w:r>
            <w:r>
              <w:t>GB3838-2002</w:t>
            </w:r>
            <w:r>
              <w:rPr>
                <w:rFonts w:hint="eastAsia"/>
              </w:rPr>
              <w:t>Ⅲ类标准要求，</w:t>
            </w:r>
            <w:r>
              <w:t>DO</w:t>
            </w:r>
            <w:r>
              <w:rPr>
                <w:rFonts w:hint="eastAsia"/>
              </w:rPr>
              <w:t>、</w:t>
            </w:r>
            <w:r>
              <w:t>COD</w:t>
            </w:r>
            <w:r>
              <w:rPr>
                <w:rFonts w:hint="eastAsia"/>
              </w:rPr>
              <w:t>、</w:t>
            </w:r>
            <w:r>
              <w:t>BOD</w:t>
            </w:r>
            <w:r>
              <w:rPr>
                <w:rFonts w:hint="eastAsia"/>
              </w:rPr>
              <w:t>、</w:t>
            </w:r>
            <w:r>
              <w:t>TP</w:t>
            </w:r>
            <w:r>
              <w:rPr>
                <w:rFonts w:hint="eastAsia"/>
              </w:rPr>
              <w:t>、</w:t>
            </w:r>
            <w:r>
              <w:t>TN</w:t>
            </w:r>
            <w:r>
              <w:rPr>
                <w:rFonts w:hint="eastAsia"/>
              </w:rPr>
              <w:t>等</w:t>
            </w:r>
            <w:r>
              <w:t>5</w:t>
            </w:r>
            <w:r>
              <w:rPr>
                <w:rFonts w:hint="eastAsia"/>
              </w:rPr>
              <w:t>项因子各断面监测结果均存在不同程度超标现象，其超标原因主要为河流上游沿线村庄生活污水排放及农业面源污染。</w:t>
            </w:r>
          </w:p>
          <w:p>
            <w:pPr>
              <w:pStyle w:val="114"/>
            </w:pPr>
            <w:r>
              <w:rPr>
                <w:rFonts w:hint="eastAsia"/>
              </w:rPr>
              <w:t>（</w:t>
            </w:r>
            <w:r>
              <w:t>3</w:t>
            </w:r>
            <w:r>
              <w:rPr>
                <w:rFonts w:hint="eastAsia"/>
              </w:rPr>
              <w:t>）地下水质量现状</w:t>
            </w:r>
          </w:p>
          <w:p>
            <w:pPr>
              <w:pStyle w:val="114"/>
            </w:pPr>
            <w:r>
              <w:rPr>
                <w:rFonts w:hint="eastAsia"/>
              </w:rPr>
              <w:t>监测结果表明，</w:t>
            </w:r>
            <w:r>
              <w:t>3</w:t>
            </w:r>
            <w:r>
              <w:rPr>
                <w:rFonts w:hint="eastAsia"/>
              </w:rPr>
              <w:t>个监测点位</w:t>
            </w:r>
            <w:r>
              <w:t>26</w:t>
            </w:r>
            <w:r>
              <w:rPr>
                <w:rFonts w:hint="eastAsia"/>
              </w:rPr>
              <w:t>项监测因子均符合《地下水质量标准》（</w:t>
            </w:r>
            <w:r>
              <w:t>GB/T14848-2017</w:t>
            </w:r>
            <w:r>
              <w:rPr>
                <w:rFonts w:hint="eastAsia"/>
              </w:rPr>
              <w:t>）中的Ⅲ类标准。</w:t>
            </w:r>
          </w:p>
          <w:p>
            <w:pPr>
              <w:pStyle w:val="114"/>
            </w:pPr>
            <w:r>
              <w:rPr>
                <w:rFonts w:hint="eastAsia"/>
              </w:rPr>
              <w:t>（</w:t>
            </w:r>
            <w:r>
              <w:t>4</w:t>
            </w:r>
            <w:r>
              <w:rPr>
                <w:rFonts w:hint="eastAsia"/>
              </w:rPr>
              <w:t>）声环境质量现状</w:t>
            </w:r>
          </w:p>
          <w:p>
            <w:pPr>
              <w:pStyle w:val="114"/>
            </w:pPr>
            <w:r>
              <w:rPr>
                <w:rFonts w:hint="eastAsia"/>
              </w:rPr>
              <w:t>监测结果可以看出，场界东、南、西、北侧点监测值均满足《声环境质量标准（</w:t>
            </w:r>
            <w:r>
              <w:t>GB3096-2008</w:t>
            </w:r>
            <w:r>
              <w:rPr>
                <w:rFonts w:hint="eastAsia"/>
              </w:rPr>
              <w:t>）》中的</w:t>
            </w:r>
            <w:r>
              <w:t>2</w:t>
            </w:r>
            <w:r>
              <w:rPr>
                <w:rFonts w:hint="eastAsia"/>
              </w:rPr>
              <w:t>类标准，项目区域声环境质量良好。</w:t>
            </w:r>
          </w:p>
          <w:p>
            <w:pPr>
              <w:pStyle w:val="114"/>
            </w:pPr>
            <w:r>
              <w:rPr>
                <w:rFonts w:hint="eastAsia"/>
              </w:rPr>
              <w:t>（</w:t>
            </w:r>
            <w:r>
              <w:t>5</w:t>
            </w:r>
            <w:r>
              <w:rPr>
                <w:rFonts w:hint="eastAsia"/>
              </w:rPr>
              <w:t>）土壤环境质量现状</w:t>
            </w:r>
          </w:p>
          <w:p>
            <w:pPr>
              <w:pStyle w:val="114"/>
            </w:pPr>
            <w:r>
              <w:rPr>
                <w:rFonts w:hint="eastAsia"/>
              </w:rPr>
              <w:t>监测结果表明，各监测点土壤环境质量均符合《土壤环境质量建设用地土壤污染风险管控标准（试行）》</w:t>
            </w:r>
            <w:r>
              <w:t>(GB36600-2018)</w:t>
            </w:r>
            <w:r>
              <w:rPr>
                <w:rFonts w:hint="eastAsia"/>
              </w:rPr>
              <w:t>中的第二类用地风险筛选值标准要求。其中除砷、镉、铜、铅外其他项目的监测浓度均低于实验室方法检出限；砷的检出率为</w:t>
            </w:r>
            <w:r>
              <w:t>100%</w:t>
            </w:r>
            <w:r>
              <w:rPr>
                <w:rFonts w:hint="eastAsia"/>
              </w:rPr>
              <w:t>，最大值为</w:t>
            </w:r>
            <w:r>
              <w:t>16.2mg/kg</w:t>
            </w:r>
            <w:r>
              <w:rPr>
                <w:rFonts w:hint="eastAsia"/>
              </w:rPr>
              <w:t>，最小值为</w:t>
            </w:r>
            <w:r>
              <w:t>6.3mg/kg</w:t>
            </w:r>
            <w:r>
              <w:rPr>
                <w:rFonts w:hint="eastAsia"/>
              </w:rPr>
              <w:t>，平均值为</w:t>
            </w:r>
            <w:r>
              <w:t>9.36</w:t>
            </w:r>
            <w:r>
              <w:rPr>
                <w:rFonts w:hint="eastAsia"/>
              </w:rPr>
              <w:t>；镉的检出率为</w:t>
            </w:r>
            <w:r>
              <w:t>50%</w:t>
            </w:r>
            <w:r>
              <w:rPr>
                <w:rFonts w:hint="eastAsia"/>
              </w:rPr>
              <w:t>，最大值为</w:t>
            </w:r>
            <w:r>
              <w:t>0.03mg/kg</w:t>
            </w:r>
            <w:r>
              <w:rPr>
                <w:rFonts w:hint="eastAsia"/>
              </w:rPr>
              <w:t>，最小值为</w:t>
            </w:r>
            <w:r>
              <w:t>0.01mg/kg</w:t>
            </w:r>
            <w:r>
              <w:rPr>
                <w:rFonts w:hint="eastAsia"/>
              </w:rPr>
              <w:t>，平均值为</w:t>
            </w:r>
            <w:r>
              <w:t>0.01mg/kg</w:t>
            </w:r>
            <w:r>
              <w:rPr>
                <w:rFonts w:hint="eastAsia"/>
              </w:rPr>
              <w:t>；铜的检出率为</w:t>
            </w:r>
            <w:r>
              <w:t>25%</w:t>
            </w:r>
            <w:r>
              <w:rPr>
                <w:rFonts w:hint="eastAsia"/>
              </w:rPr>
              <w:t>，最大值为</w:t>
            </w:r>
            <w:r>
              <w:t>5mg/kg</w:t>
            </w:r>
            <w:r>
              <w:rPr>
                <w:rFonts w:hint="eastAsia"/>
              </w:rPr>
              <w:t>，最小值低于检出限，平均值为</w:t>
            </w:r>
            <w:r>
              <w:t>1.24mg/kg</w:t>
            </w:r>
            <w:r>
              <w:rPr>
                <w:rFonts w:hint="eastAsia"/>
              </w:rPr>
              <w:t>；铅的检出率</w:t>
            </w:r>
            <w:r>
              <w:t>100%</w:t>
            </w:r>
            <w:r>
              <w:rPr>
                <w:rFonts w:hint="eastAsia"/>
              </w:rPr>
              <w:t>，最大值</w:t>
            </w:r>
            <w:r>
              <w:t>11.3mg/kg</w:t>
            </w:r>
            <w:r>
              <w:rPr>
                <w:rFonts w:hint="eastAsia"/>
              </w:rPr>
              <w:t>，最小值</w:t>
            </w:r>
            <w:r>
              <w:t>3.9mg/kg</w:t>
            </w:r>
            <w:r>
              <w:rPr>
                <w:rFonts w:hint="eastAsia"/>
              </w:rPr>
              <w:t>，平均值为</w:t>
            </w:r>
            <w:r>
              <w:t>8.35mg/kg</w:t>
            </w:r>
            <w:r>
              <w:rPr>
                <w:rFonts w:hint="eastAsia"/>
              </w:rPr>
              <w:t>。</w:t>
            </w:r>
          </w:p>
          <w:p>
            <w:pPr>
              <w:autoSpaceDE w:val="0"/>
              <w:autoSpaceDN w:val="0"/>
              <w:adjustRightInd w:val="0"/>
              <w:snapToGrid w:val="0"/>
              <w:spacing w:line="510" w:lineRule="exact"/>
              <w:ind w:firstLine="482" w:firstLineChars="200"/>
              <w:jc w:val="left"/>
              <w:rPr>
                <w:rFonts w:ascii="Times New Roman" w:hAnsi="Times New Roman"/>
                <w:b/>
                <w:bCs/>
                <w:kern w:val="0"/>
                <w:sz w:val="24"/>
                <w:szCs w:val="24"/>
              </w:rPr>
            </w:pPr>
            <w:r>
              <w:rPr>
                <w:rFonts w:ascii="Times New Roman" w:hAnsi="Times New Roman"/>
                <w:b/>
                <w:bCs/>
                <w:kern w:val="0"/>
                <w:sz w:val="24"/>
                <w:szCs w:val="24"/>
              </w:rPr>
              <w:t>3</w:t>
            </w:r>
            <w:r>
              <w:rPr>
                <w:rFonts w:hint="eastAsia" w:ascii="Times New Roman" w:hAnsi="Times New Roman"/>
                <w:b/>
                <w:bCs/>
                <w:kern w:val="0"/>
                <w:sz w:val="24"/>
                <w:szCs w:val="24"/>
              </w:rPr>
              <w:t>、施工期环境影响分析结论</w:t>
            </w:r>
          </w:p>
          <w:p>
            <w:pPr>
              <w:autoSpaceDE w:val="0"/>
              <w:autoSpaceDN w:val="0"/>
              <w:adjustRightInd w:val="0"/>
              <w:snapToGrid w:val="0"/>
              <w:spacing w:line="510" w:lineRule="exact"/>
              <w:ind w:firstLine="480" w:firstLineChars="200"/>
              <w:jc w:val="left"/>
              <w:rPr>
                <w:rFonts w:ascii="Times New Roman" w:hAnsi="Times New Roman"/>
                <w:kern w:val="0"/>
                <w:sz w:val="24"/>
                <w:szCs w:val="24"/>
              </w:rPr>
            </w:pPr>
            <w:r>
              <w:rPr>
                <w:rFonts w:hint="eastAsia" w:ascii="Times New Roman" w:hAnsi="Times New Roman"/>
                <w:kern w:val="0"/>
                <w:sz w:val="24"/>
                <w:szCs w:val="24"/>
              </w:rPr>
              <w:t>（</w:t>
            </w:r>
            <w:r>
              <w:rPr>
                <w:rFonts w:ascii="Times New Roman" w:hAnsi="Times New Roman"/>
                <w:kern w:val="0"/>
                <w:sz w:val="24"/>
                <w:szCs w:val="24"/>
              </w:rPr>
              <w:t>1</w:t>
            </w:r>
            <w:r>
              <w:rPr>
                <w:rFonts w:hint="eastAsia" w:ascii="Times New Roman" w:hAnsi="Times New Roman"/>
                <w:kern w:val="0"/>
                <w:sz w:val="24"/>
                <w:szCs w:val="24"/>
              </w:rPr>
              <w:t>）大气影响分析</w:t>
            </w:r>
          </w:p>
          <w:p>
            <w:pPr>
              <w:autoSpaceDE w:val="0"/>
              <w:autoSpaceDN w:val="0"/>
              <w:adjustRightInd w:val="0"/>
              <w:snapToGrid w:val="0"/>
              <w:spacing w:line="510" w:lineRule="exact"/>
              <w:ind w:firstLine="480" w:firstLineChars="200"/>
              <w:jc w:val="left"/>
              <w:rPr>
                <w:rFonts w:ascii="Times New Roman" w:hAnsi="Times New Roman"/>
                <w:kern w:val="0"/>
                <w:sz w:val="24"/>
                <w:szCs w:val="24"/>
              </w:rPr>
            </w:pPr>
            <w:r>
              <w:rPr>
                <w:rFonts w:hint="eastAsia" w:ascii="Times New Roman" w:hAnsi="Times New Roman"/>
                <w:kern w:val="0"/>
                <w:sz w:val="24"/>
                <w:szCs w:val="24"/>
              </w:rPr>
              <w:t>施工期大气污染源主要为施工扬尘、运输扬尘、机械和运输设备尾气。通过施工现场定期洒水，对粉尘发生量较大的部位采用喷淋降尘、工地配置防尘网、建材及运输车辆加以覆盖等措施可有效减少扬尘的产生，施工车辆、机械正常运行时，排放的废气量少、浓度低，且厂址周围</w:t>
            </w:r>
            <w:r>
              <w:rPr>
                <w:rFonts w:ascii="Times New Roman" w:hAnsi="Times New Roman"/>
                <w:kern w:val="0"/>
                <w:sz w:val="24"/>
                <w:szCs w:val="24"/>
              </w:rPr>
              <w:t>200m</w:t>
            </w:r>
            <w:r>
              <w:rPr>
                <w:rFonts w:hint="eastAsia" w:ascii="Times New Roman" w:hAnsi="Times New Roman"/>
                <w:kern w:val="0"/>
                <w:sz w:val="24"/>
                <w:szCs w:val="24"/>
              </w:rPr>
              <w:t>范围内无居民区等环境敏感目标，施工期对周围大气环境影响较小。</w:t>
            </w:r>
          </w:p>
          <w:p>
            <w:pPr>
              <w:autoSpaceDE w:val="0"/>
              <w:autoSpaceDN w:val="0"/>
              <w:adjustRightInd w:val="0"/>
              <w:snapToGrid w:val="0"/>
              <w:spacing w:line="510" w:lineRule="exact"/>
              <w:ind w:firstLine="480" w:firstLineChars="200"/>
              <w:jc w:val="left"/>
              <w:rPr>
                <w:rFonts w:ascii="Times New Roman" w:hAnsi="Times New Roman"/>
                <w:kern w:val="0"/>
                <w:sz w:val="24"/>
                <w:szCs w:val="24"/>
              </w:rPr>
            </w:pPr>
            <w:r>
              <w:rPr>
                <w:rFonts w:hint="eastAsia" w:ascii="Times New Roman" w:hAnsi="Times New Roman"/>
                <w:kern w:val="0"/>
                <w:sz w:val="24"/>
                <w:szCs w:val="24"/>
              </w:rPr>
              <w:t>（</w:t>
            </w:r>
            <w:r>
              <w:rPr>
                <w:rFonts w:ascii="Times New Roman" w:hAnsi="Times New Roman"/>
                <w:kern w:val="0"/>
                <w:sz w:val="24"/>
                <w:szCs w:val="24"/>
              </w:rPr>
              <w:t>2</w:t>
            </w:r>
            <w:r>
              <w:rPr>
                <w:rFonts w:hint="eastAsia" w:ascii="Times New Roman" w:hAnsi="Times New Roman"/>
                <w:kern w:val="0"/>
                <w:sz w:val="24"/>
                <w:szCs w:val="24"/>
              </w:rPr>
              <w:t>）水环境影响分析</w:t>
            </w:r>
          </w:p>
          <w:p>
            <w:pPr>
              <w:autoSpaceDE w:val="0"/>
              <w:autoSpaceDN w:val="0"/>
              <w:adjustRightInd w:val="0"/>
              <w:snapToGrid w:val="0"/>
              <w:spacing w:line="510" w:lineRule="exact"/>
              <w:ind w:firstLine="480" w:firstLineChars="200"/>
              <w:jc w:val="left"/>
              <w:rPr>
                <w:rFonts w:ascii="Times New Roman" w:hAnsi="Times New Roman"/>
                <w:kern w:val="0"/>
                <w:sz w:val="24"/>
                <w:szCs w:val="24"/>
              </w:rPr>
            </w:pPr>
            <w:r>
              <w:rPr>
                <w:rFonts w:hint="eastAsia" w:ascii="Times New Roman" w:hAnsi="Times New Roman"/>
                <w:kern w:val="0"/>
                <w:sz w:val="24"/>
                <w:szCs w:val="24"/>
              </w:rPr>
              <w:t>施工过程中产生的废水主要是施工废水以及施工人员的生活污水。施工人员生活污水依托本污水处理厂现有的生活废水收集处理系统收集处理；建筑施工废水经临时沉淀池澄清后可循环使用不外排，对周围水环境影响较小。</w:t>
            </w:r>
          </w:p>
          <w:p>
            <w:pPr>
              <w:autoSpaceDE w:val="0"/>
              <w:autoSpaceDN w:val="0"/>
              <w:adjustRightInd w:val="0"/>
              <w:snapToGrid w:val="0"/>
              <w:spacing w:line="510" w:lineRule="exact"/>
              <w:ind w:left="480"/>
              <w:jc w:val="left"/>
              <w:rPr>
                <w:rFonts w:ascii="Times New Roman" w:hAnsi="Times New Roman"/>
                <w:kern w:val="0"/>
                <w:sz w:val="24"/>
                <w:szCs w:val="24"/>
              </w:rPr>
            </w:pPr>
            <w:r>
              <w:rPr>
                <w:rFonts w:hint="eastAsia" w:ascii="Times New Roman" w:hAnsi="Times New Roman"/>
                <w:kern w:val="0"/>
                <w:sz w:val="24"/>
                <w:szCs w:val="24"/>
              </w:rPr>
              <w:t>（</w:t>
            </w:r>
            <w:r>
              <w:rPr>
                <w:rFonts w:ascii="Times New Roman" w:hAnsi="Times New Roman"/>
                <w:kern w:val="0"/>
                <w:sz w:val="24"/>
                <w:szCs w:val="24"/>
              </w:rPr>
              <w:t>3</w:t>
            </w:r>
            <w:r>
              <w:rPr>
                <w:rFonts w:hint="eastAsia" w:ascii="Times New Roman" w:hAnsi="Times New Roman"/>
                <w:kern w:val="0"/>
                <w:sz w:val="24"/>
                <w:szCs w:val="24"/>
              </w:rPr>
              <w:t>）声环境影响分析</w:t>
            </w:r>
          </w:p>
          <w:p>
            <w:pPr>
              <w:spacing w:line="360" w:lineRule="auto"/>
              <w:ind w:firstLine="480" w:firstLineChars="200"/>
              <w:rPr>
                <w:rFonts w:ascii="Times New Roman" w:hAnsi="Times New Roman"/>
                <w:sz w:val="24"/>
                <w:szCs w:val="32"/>
              </w:rPr>
            </w:pPr>
            <w:r>
              <w:rPr>
                <w:rFonts w:hint="eastAsia" w:ascii="Times New Roman" w:hAnsi="Times New Roman"/>
                <w:sz w:val="24"/>
                <w:szCs w:val="32"/>
              </w:rPr>
              <w:t>施工期噪声主要来源于施工机械，如推土机、挖掘机、载重汽车等。</w:t>
            </w:r>
            <w:r>
              <w:rPr>
                <w:rStyle w:val="116"/>
                <w:rFonts w:hint="eastAsia"/>
                <w:sz w:val="24"/>
              </w:rPr>
              <w:t>本项目夜间不施工，</w:t>
            </w:r>
            <w:r>
              <w:rPr>
                <w:rFonts w:hint="eastAsia" w:ascii="Times New Roman" w:hAnsi="Times New Roman"/>
                <w:sz w:val="24"/>
                <w:szCs w:val="32"/>
              </w:rPr>
              <w:t>建设单位应尽量选用低噪声的机械和设备；控制对产生高噪声设备使用，对高噪声设备的施工，应尽量安排在白天使用，避免在人群休息时进行。此外，应对产生噪声的施工设备加强维护和维修工作。经过采取有效综合防治措施，可以将施工期噪声值对周围环境敏感点的影响降至最小。</w:t>
            </w:r>
          </w:p>
          <w:p>
            <w:pPr>
              <w:spacing w:line="360" w:lineRule="auto"/>
              <w:ind w:firstLine="480" w:firstLineChars="200"/>
              <w:rPr>
                <w:rFonts w:ascii="Times New Roman" w:hAnsi="Times New Roman"/>
                <w:sz w:val="24"/>
              </w:rPr>
            </w:pPr>
            <w:r>
              <w:rPr>
                <w:rFonts w:hint="eastAsia" w:ascii="Times New Roman" w:hAnsi="Times New Roman"/>
                <w:sz w:val="24"/>
              </w:rPr>
              <w:t>（</w:t>
            </w:r>
            <w:r>
              <w:rPr>
                <w:rFonts w:ascii="Times New Roman" w:hAnsi="Times New Roman"/>
                <w:sz w:val="24"/>
              </w:rPr>
              <w:t>4</w:t>
            </w:r>
            <w:r>
              <w:rPr>
                <w:rFonts w:hint="eastAsia" w:ascii="Times New Roman" w:hAnsi="Times New Roman"/>
                <w:sz w:val="24"/>
              </w:rPr>
              <w:t>）固废</w:t>
            </w:r>
          </w:p>
          <w:p>
            <w:pPr>
              <w:spacing w:line="360" w:lineRule="auto"/>
              <w:ind w:firstLine="480" w:firstLineChars="200"/>
              <w:rPr>
                <w:rFonts w:ascii="Times New Roman" w:hAnsi="Times New Roman"/>
                <w:sz w:val="24"/>
              </w:rPr>
            </w:pPr>
            <w:r>
              <w:rPr>
                <w:rFonts w:hint="eastAsia" w:ascii="Times New Roman" w:hAnsi="Times New Roman"/>
                <w:sz w:val="24"/>
              </w:rPr>
              <w:t>施工产生的固体废物主要有建筑垃圾、浸油废料和生活垃圾。</w:t>
            </w:r>
          </w:p>
          <w:p>
            <w:pPr>
              <w:spacing w:line="360" w:lineRule="auto"/>
              <w:ind w:firstLine="480" w:firstLineChars="200"/>
              <w:rPr>
                <w:rFonts w:ascii="Times New Roman" w:hAnsi="Times New Roman"/>
                <w:sz w:val="24"/>
              </w:rPr>
            </w:pPr>
            <w:r>
              <w:rPr>
                <w:rFonts w:hint="eastAsia" w:ascii="Times New Roman" w:hAnsi="Times New Roman"/>
                <w:sz w:val="24"/>
              </w:rPr>
              <w:t>生活垃圾收集后由环卫部门统一定期清理。</w:t>
            </w:r>
          </w:p>
          <w:p>
            <w:pPr>
              <w:pStyle w:val="114"/>
            </w:pPr>
            <w:r>
              <w:rPr>
                <w:rFonts w:hint="eastAsia"/>
                <w:shd w:val="solid" w:color="FFFFFF" w:fill="auto"/>
              </w:rPr>
              <w:t>浸油废料采取打包密封后，危险废物收集暂存，与一期工程产生的危险废物一同委托海南宝来工贸有限公司处置。</w:t>
            </w:r>
          </w:p>
          <w:p>
            <w:pPr>
              <w:spacing w:line="360" w:lineRule="auto"/>
              <w:ind w:firstLine="480" w:firstLineChars="200"/>
              <w:rPr>
                <w:rFonts w:ascii="Times New Roman" w:hAnsi="Times New Roman"/>
              </w:rPr>
            </w:pPr>
            <w:r>
              <w:rPr>
                <w:rFonts w:hint="eastAsia" w:ascii="Times New Roman" w:hAnsi="Times New Roman"/>
                <w:sz w:val="24"/>
              </w:rPr>
              <w:t>建筑垃圾统一收集，分类堆放，并采取遮盖措施，防止产生扬尘和被雨水冲刷造成水污染现象，及时清理</w:t>
            </w:r>
            <w:r>
              <w:rPr>
                <w:rStyle w:val="116"/>
                <w:rFonts w:hint="eastAsia"/>
                <w:sz w:val="24"/>
              </w:rPr>
              <w:t>，送至政府指定点统一处理</w:t>
            </w:r>
            <w:r>
              <w:rPr>
                <w:rFonts w:hint="eastAsia" w:ascii="Times New Roman" w:hAnsi="Times New Roman"/>
                <w:sz w:val="24"/>
              </w:rPr>
              <w:t>。在此基础上施工期固废不会对周围环境产生明显的污染影响。</w:t>
            </w:r>
          </w:p>
          <w:p>
            <w:pPr>
              <w:autoSpaceDE w:val="0"/>
              <w:autoSpaceDN w:val="0"/>
              <w:adjustRightInd w:val="0"/>
              <w:snapToGrid w:val="0"/>
              <w:spacing w:line="510" w:lineRule="exact"/>
              <w:ind w:firstLine="482" w:firstLineChars="200"/>
              <w:jc w:val="left"/>
              <w:rPr>
                <w:rFonts w:ascii="Times New Roman" w:hAnsi="Times New Roman"/>
                <w:b/>
                <w:bCs/>
                <w:kern w:val="0"/>
                <w:sz w:val="24"/>
                <w:szCs w:val="24"/>
              </w:rPr>
            </w:pPr>
            <w:r>
              <w:rPr>
                <w:rFonts w:ascii="Times New Roman" w:hAnsi="Times New Roman"/>
                <w:b/>
                <w:bCs/>
                <w:kern w:val="0"/>
                <w:sz w:val="24"/>
                <w:szCs w:val="24"/>
              </w:rPr>
              <w:t>4</w:t>
            </w:r>
            <w:r>
              <w:rPr>
                <w:rFonts w:hint="eastAsia" w:ascii="Times New Roman" w:hAnsi="Times New Roman"/>
                <w:b/>
                <w:bCs/>
                <w:kern w:val="0"/>
                <w:sz w:val="24"/>
                <w:szCs w:val="24"/>
              </w:rPr>
              <w:t>、营运期环境影响分析结论</w:t>
            </w:r>
          </w:p>
          <w:p>
            <w:pPr>
              <w:pStyle w:val="114"/>
            </w:pPr>
            <w:r>
              <w:rPr>
                <w:rFonts w:hint="eastAsia"/>
              </w:rPr>
              <w:t>（</w:t>
            </w:r>
            <w:r>
              <w:t>1</w:t>
            </w:r>
            <w:r>
              <w:rPr>
                <w:rFonts w:hint="eastAsia"/>
              </w:rPr>
              <w:t>）大气</w:t>
            </w:r>
          </w:p>
          <w:p>
            <w:pPr>
              <w:pStyle w:val="114"/>
            </w:pPr>
            <w:r>
              <w:rPr>
                <w:rFonts w:hint="eastAsia"/>
              </w:rPr>
              <w:t>本工程营运期排放的臭气污染物主要为</w:t>
            </w:r>
            <w:r>
              <w:t>NH</w:t>
            </w:r>
            <w:r>
              <w:rPr>
                <w:vertAlign w:val="subscript"/>
              </w:rPr>
              <w:t>3</w:t>
            </w:r>
            <w:r>
              <w:rPr>
                <w:rFonts w:hint="eastAsia"/>
              </w:rPr>
              <w:t>、</w:t>
            </w:r>
            <w:r>
              <w:t>H</w:t>
            </w:r>
            <w:r>
              <w:rPr>
                <w:vertAlign w:val="subscript"/>
              </w:rPr>
              <w:t>2</w:t>
            </w:r>
            <w:r>
              <w:t>S</w:t>
            </w:r>
            <w:r>
              <w:rPr>
                <w:rFonts w:hint="eastAsia"/>
              </w:rPr>
              <w:t>、臭气浓度和甲烷。由于本次扩建同时对一期工程臭气进行收集、处理，项目扩建后，全厂</w:t>
            </w:r>
            <w:r>
              <w:t>NH</w:t>
            </w:r>
            <w:r>
              <w:rPr>
                <w:vertAlign w:val="subscript"/>
              </w:rPr>
              <w:t>3</w:t>
            </w:r>
            <w:r>
              <w:rPr>
                <w:rFonts w:hint="eastAsia"/>
              </w:rPr>
              <w:t>和</w:t>
            </w:r>
            <w:r>
              <w:t>H</w:t>
            </w:r>
            <w:r>
              <w:rPr>
                <w:vertAlign w:val="subscript"/>
              </w:rPr>
              <w:t>2</w:t>
            </w:r>
            <w:r>
              <w:t>S</w:t>
            </w:r>
            <w:r>
              <w:rPr>
                <w:rFonts w:hint="eastAsia"/>
              </w:rPr>
              <w:t>排放量均有较大程度削减，其中</w:t>
            </w:r>
            <w:r>
              <w:t>NH</w:t>
            </w:r>
            <w:r>
              <w:rPr>
                <w:vertAlign w:val="subscript"/>
              </w:rPr>
              <w:t>3</w:t>
            </w:r>
            <w:r>
              <w:rPr>
                <w:rFonts w:hint="eastAsia"/>
              </w:rPr>
              <w:t>消减量为</w:t>
            </w:r>
            <w:r>
              <w:t>2.336t/a</w:t>
            </w:r>
            <w:r>
              <w:rPr>
                <w:rFonts w:hint="eastAsia"/>
              </w:rPr>
              <w:t>，</w:t>
            </w:r>
            <w:r>
              <w:t>H</w:t>
            </w:r>
            <w:r>
              <w:rPr>
                <w:vertAlign w:val="subscript"/>
              </w:rPr>
              <w:t>2</w:t>
            </w:r>
            <w:r>
              <w:t>S</w:t>
            </w:r>
            <w:r>
              <w:rPr>
                <w:rFonts w:hint="eastAsia"/>
              </w:rPr>
              <w:t>消减量为</w:t>
            </w:r>
            <w:r>
              <w:t>0.396t/a</w:t>
            </w:r>
            <w:r>
              <w:rPr>
                <w:rFonts w:hint="eastAsia"/>
              </w:rPr>
              <w:t>。本项目排放氨</w:t>
            </w:r>
            <w:r>
              <w:t>0.649t/a</w:t>
            </w:r>
            <w:r>
              <w:rPr>
                <w:rFonts w:hint="eastAsia"/>
              </w:rPr>
              <w:t>，硫化氢</w:t>
            </w:r>
            <w:r>
              <w:t>0.057t/a</w:t>
            </w:r>
            <w:r>
              <w:rPr>
                <w:rFonts w:hint="eastAsia"/>
              </w:rPr>
              <w:t>，甲烷</w:t>
            </w:r>
            <w:r>
              <w:t>1.83t/a</w:t>
            </w:r>
            <w:r>
              <w:rPr>
                <w:rFonts w:hint="eastAsia"/>
              </w:rPr>
              <w:t>。通过收集处理后，</w:t>
            </w:r>
            <w:r>
              <w:t>NH</w:t>
            </w:r>
            <w:r>
              <w:rPr>
                <w:vertAlign w:val="subscript"/>
              </w:rPr>
              <w:t>3</w:t>
            </w:r>
            <w:r>
              <w:rPr>
                <w:rFonts w:hint="eastAsia"/>
              </w:rPr>
              <w:t>排放速率为</w:t>
            </w:r>
            <w:r>
              <w:t>0.0361kg/h</w:t>
            </w:r>
            <w:r>
              <w:rPr>
                <w:rFonts w:hint="eastAsia"/>
              </w:rPr>
              <w:t>、</w:t>
            </w:r>
            <w:r>
              <w:t>H</w:t>
            </w:r>
            <w:r>
              <w:rPr>
                <w:vertAlign w:val="subscript"/>
              </w:rPr>
              <w:t>2</w:t>
            </w:r>
            <w:r>
              <w:t>S</w:t>
            </w:r>
            <w:r>
              <w:rPr>
                <w:rFonts w:hint="eastAsia"/>
              </w:rPr>
              <w:t>排放速率为</w:t>
            </w:r>
            <w:r>
              <w:t>0.0033 kg/h</w:t>
            </w:r>
            <w:r>
              <w:rPr>
                <w:rFonts w:hint="eastAsia"/>
              </w:rPr>
              <w:t>，满足《恶臭污染物排放标准》（</w:t>
            </w:r>
            <w:r>
              <w:t>GB14554-93</w:t>
            </w:r>
            <w:r>
              <w:rPr>
                <w:rFonts w:hint="eastAsia"/>
              </w:rPr>
              <w:t>）中</w:t>
            </w:r>
            <w:r>
              <w:t>NH</w:t>
            </w:r>
            <w:r>
              <w:rPr>
                <w:vertAlign w:val="subscript"/>
              </w:rPr>
              <w:t>3</w:t>
            </w:r>
            <w:r>
              <w:rPr>
                <w:rFonts w:hint="eastAsia"/>
              </w:rPr>
              <w:t>：</w:t>
            </w:r>
            <w:r>
              <w:t>4.9 kg/h</w:t>
            </w:r>
            <w:r>
              <w:rPr>
                <w:rFonts w:hint="eastAsia"/>
              </w:rPr>
              <w:t>、</w:t>
            </w:r>
            <w:r>
              <w:t>H</w:t>
            </w:r>
            <w:r>
              <w:rPr>
                <w:vertAlign w:val="subscript"/>
              </w:rPr>
              <w:t>2</w:t>
            </w:r>
            <w:r>
              <w:t>S</w:t>
            </w:r>
            <w:r>
              <w:rPr>
                <w:rFonts w:hint="eastAsia"/>
              </w:rPr>
              <w:t>：</w:t>
            </w:r>
            <w:r>
              <w:t>0.33 kg/h</w:t>
            </w:r>
            <w:r>
              <w:rPr>
                <w:rFonts w:hint="eastAsia"/>
              </w:rPr>
              <w:t>的排放限值要求；可实现达标排放。</w:t>
            </w:r>
          </w:p>
          <w:p>
            <w:pPr>
              <w:pStyle w:val="114"/>
            </w:pPr>
            <w:r>
              <w:rPr>
                <w:rFonts w:hint="eastAsia"/>
              </w:rPr>
              <w:t>项目落实各项恶臭防治措施后对周围空气环境质量影响较小。</w:t>
            </w:r>
          </w:p>
          <w:p>
            <w:pPr>
              <w:pStyle w:val="114"/>
            </w:pPr>
            <w:r>
              <w:rPr>
                <w:rFonts w:hint="eastAsia"/>
              </w:rPr>
              <w:t>总厂区设置卫生防护为</w:t>
            </w:r>
            <w:r>
              <w:t>150m</w:t>
            </w:r>
            <w:r>
              <w:rPr>
                <w:rFonts w:hint="eastAsia"/>
              </w:rPr>
              <w:t>，且卫生防护距离为污水厂厂界至防护区外缘的最小距离。</w:t>
            </w:r>
          </w:p>
          <w:p>
            <w:pPr>
              <w:pStyle w:val="114"/>
            </w:pPr>
            <w:r>
              <w:rPr>
                <w:rFonts w:hint="eastAsia"/>
              </w:rPr>
              <w:t>（</w:t>
            </w:r>
            <w:r>
              <w:t>2</w:t>
            </w:r>
            <w:r>
              <w:rPr>
                <w:rFonts w:hint="eastAsia"/>
              </w:rPr>
              <w:t>）地表水</w:t>
            </w:r>
          </w:p>
          <w:p>
            <w:pPr>
              <w:pStyle w:val="114"/>
            </w:pPr>
            <w:r>
              <w:rPr>
                <w:rFonts w:hint="eastAsia"/>
              </w:rPr>
              <w:t>本项目污水处理工艺采用</w:t>
            </w:r>
            <w:r>
              <w:t>“</w:t>
            </w:r>
            <w:r>
              <w:rPr>
                <w:rFonts w:hint="eastAsia"/>
              </w:rPr>
              <w:t>粗格栅</w:t>
            </w:r>
            <w:r>
              <w:t>-</w:t>
            </w:r>
            <w:r>
              <w:rPr>
                <w:rFonts w:hint="eastAsia"/>
              </w:rPr>
              <w:t>细格栅</w:t>
            </w:r>
            <w:r>
              <w:t>-</w:t>
            </w:r>
            <w:r>
              <w:rPr>
                <w:rFonts w:hint="eastAsia"/>
              </w:rPr>
              <w:t>沉砂池</w:t>
            </w:r>
            <w:r>
              <w:t>-</w:t>
            </w:r>
            <w:r>
              <w:rPr>
                <w:rFonts w:hint="eastAsia"/>
              </w:rPr>
              <w:t>改良型合建式</w:t>
            </w:r>
            <w:r>
              <w:t xml:space="preserve"> AAO</w:t>
            </w:r>
            <w:r>
              <w:rPr>
                <w:rFonts w:hint="eastAsia"/>
              </w:rPr>
              <w:t>（</w:t>
            </w:r>
            <w:r>
              <w:t>BioDopp</w:t>
            </w:r>
            <w:r>
              <w:rPr>
                <w:rFonts w:hint="eastAsia"/>
              </w:rPr>
              <w:t>）</w:t>
            </w:r>
            <w:r>
              <w:t>-</w:t>
            </w:r>
            <w:r>
              <w:rPr>
                <w:rFonts w:hint="eastAsia"/>
              </w:rPr>
              <w:t>活性砂滤池</w:t>
            </w:r>
            <w:r>
              <w:t>-</w:t>
            </w:r>
            <w:r>
              <w:rPr>
                <w:rFonts w:hint="eastAsia"/>
              </w:rPr>
              <w:t>消毒处理</w:t>
            </w:r>
            <w:r>
              <w:t>”</w:t>
            </w:r>
            <w:r>
              <w:rPr>
                <w:rFonts w:hint="eastAsia"/>
              </w:rPr>
              <w:t>，尾水满足《城镇污水处理厂污染物排放标准》（</w:t>
            </w:r>
            <w:r>
              <w:t>GB18918-2002</w:t>
            </w:r>
            <w:r>
              <w:rPr>
                <w:rFonts w:hint="eastAsia"/>
              </w:rPr>
              <w:t>）表</w:t>
            </w:r>
            <w:r>
              <w:t>1</w:t>
            </w:r>
            <w:r>
              <w:rPr>
                <w:rFonts w:hint="eastAsia"/>
              </w:rPr>
              <w:t>中的一级</w:t>
            </w:r>
            <w:r>
              <w:t>A</w:t>
            </w:r>
            <w:r>
              <w:rPr>
                <w:rFonts w:hint="eastAsia"/>
              </w:rPr>
              <w:t>标准后排入潭榄溪。项目正常排放情况下，项目尾水对潭榄溪水质影响可接受；非正常排放下对潭揽溪的水质影响较大。故项目建设单位须加强污水处理设施的维修和保养，明确操作规程，加强监督管理，配备专业的技术人员进行管理，保证污水处理厂的正常运行，应杜绝非正常排放的发生。</w:t>
            </w:r>
          </w:p>
          <w:p>
            <w:pPr>
              <w:pStyle w:val="114"/>
            </w:pPr>
            <w:r>
              <w:rPr>
                <w:rFonts w:hint="eastAsia"/>
              </w:rPr>
              <w:t>（</w:t>
            </w:r>
            <w:r>
              <w:t>3</w:t>
            </w:r>
            <w:r>
              <w:rPr>
                <w:rFonts w:hint="eastAsia"/>
              </w:rPr>
              <w:t>）地下水</w:t>
            </w:r>
          </w:p>
          <w:p>
            <w:pPr>
              <w:pStyle w:val="114"/>
              <w:rPr>
                <w:shd w:val="clear" w:color="auto" w:fill="FFFFFF"/>
              </w:rPr>
            </w:pPr>
            <w:r>
              <w:rPr>
                <w:rFonts w:hint="eastAsia"/>
              </w:rPr>
              <w:t>正常工况下</w:t>
            </w:r>
            <w:r>
              <w:rPr>
                <w:rFonts w:hint="eastAsia"/>
                <w:shd w:val="clear" w:color="auto" w:fill="FFFFFF"/>
              </w:rPr>
              <w:t>扩建工程</w:t>
            </w:r>
            <w:r>
              <w:rPr>
                <w:rFonts w:hint="eastAsia"/>
              </w:rPr>
              <w:t>不新增员工，</w:t>
            </w:r>
            <w:r>
              <w:t>污水处理厂本身产生的设备清洗废水全部进入污水处理系统处理。</w:t>
            </w:r>
            <w:r>
              <w:rPr>
                <w:rFonts w:hint="eastAsia"/>
                <w:shd w:val="clear" w:color="auto" w:fill="FFFFFF"/>
              </w:rPr>
              <w:t>因此正常工况下，废污水不会对研究区地下水水环境产生影响。</w:t>
            </w:r>
          </w:p>
          <w:p>
            <w:pPr>
              <w:pStyle w:val="114"/>
              <w:rPr>
                <w:shd w:val="clear" w:color="auto" w:fill="FFFFFF"/>
              </w:rPr>
            </w:pPr>
            <w:r>
              <w:rPr>
                <w:rFonts w:hint="eastAsia"/>
              </w:rPr>
              <w:t>泄露事故发生后，受泄露的</w:t>
            </w:r>
            <w:r>
              <w:rPr>
                <w:shd w:val="clear" w:color="auto" w:fill="FFFFFF"/>
              </w:rPr>
              <w:t>NH</w:t>
            </w:r>
            <w:r>
              <w:rPr>
                <w:shd w:val="clear" w:color="auto" w:fill="FFFFFF"/>
                <w:vertAlign w:val="subscript"/>
              </w:rPr>
              <w:t>3</w:t>
            </w:r>
            <w:r>
              <w:rPr>
                <w:shd w:val="clear" w:color="auto" w:fill="FFFFFF"/>
              </w:rPr>
              <w:t>-N</w:t>
            </w:r>
            <w:r>
              <w:rPr>
                <w:rFonts w:hint="eastAsia"/>
              </w:rPr>
              <w:t>的影响，污染物向下游潭榄溪迁移，</w:t>
            </w:r>
            <w:r>
              <w:rPr>
                <w:color w:val="000000" w:themeColor="text1"/>
                <w:shd w:val="clear" w:color="auto" w:fill="FFFFFF"/>
                <w14:textFill>
                  <w14:solidFill>
                    <w14:schemeClr w14:val="tx1"/>
                  </w14:solidFill>
                </w14:textFill>
              </w:rPr>
              <w:t>NH</w:t>
            </w:r>
            <w:r>
              <w:rPr>
                <w:color w:val="000000" w:themeColor="text1"/>
                <w:shd w:val="clear" w:color="auto" w:fill="FFFFFF"/>
                <w:vertAlign w:val="subscript"/>
                <w14:textFill>
                  <w14:solidFill>
                    <w14:schemeClr w14:val="tx1"/>
                  </w14:solidFill>
                </w14:textFill>
              </w:rPr>
              <w:t>3</w:t>
            </w:r>
            <w:r>
              <w:rPr>
                <w:color w:val="000000" w:themeColor="text1"/>
                <w:shd w:val="clear" w:color="auto" w:fill="FFFFFF"/>
                <w14:textFill>
                  <w14:solidFill>
                    <w14:schemeClr w14:val="tx1"/>
                  </w14:solidFill>
                </w14:textFill>
              </w:rPr>
              <w:t>-N</w:t>
            </w:r>
            <w:r>
              <w:rPr>
                <w:rFonts w:hint="eastAsia"/>
                <w:color w:val="000000" w:themeColor="text1"/>
                <w14:textFill>
                  <w14:solidFill>
                    <w14:schemeClr w14:val="tx1"/>
                  </w14:solidFill>
                </w14:textFill>
              </w:rPr>
              <w:t>的影响范围随时间不断增大，在泄露事故发生后</w:t>
            </w:r>
            <w:r>
              <w:rPr>
                <w:color w:val="000000" w:themeColor="text1"/>
                <w14:textFill>
                  <w14:solidFill>
                    <w14:schemeClr w14:val="tx1"/>
                  </w14:solidFill>
                </w14:textFill>
              </w:rPr>
              <w:t>79</w:t>
            </w:r>
            <w:r>
              <w:rPr>
                <w:rFonts w:hint="eastAsia"/>
                <w:color w:val="000000" w:themeColor="text1"/>
                <w14:textFill>
                  <w14:solidFill>
                    <w14:schemeClr w14:val="tx1"/>
                  </w14:solidFill>
                </w14:textFill>
              </w:rPr>
              <w:t>d污染物迁移范围超出下游厂界。</w:t>
            </w:r>
            <w:r>
              <w:rPr>
                <w:rFonts w:hint="eastAsia"/>
                <w:color w:val="000000" w:themeColor="text1"/>
                <w:shd w:val="clear" w:color="auto" w:fill="FFFFFF"/>
                <w14:textFill>
                  <w14:solidFill>
                    <w14:schemeClr w14:val="tx1"/>
                  </w14:solidFill>
                </w14:textFill>
              </w:rPr>
              <w:t>泄漏事故发生处污染物浓度随着时间的推移先增大后减小，</w:t>
            </w:r>
            <w:r>
              <w:rPr>
                <w:rFonts w:hint="eastAsia"/>
                <w:shd w:val="clear" w:color="auto" w:fill="FFFFFF"/>
              </w:rPr>
              <w:t>在泄漏事故发生后</w:t>
            </w:r>
            <w:r>
              <w:rPr>
                <w:shd w:val="clear" w:color="auto" w:fill="FFFFFF"/>
              </w:rPr>
              <w:t>119.64a</w:t>
            </w:r>
            <w:r>
              <w:rPr>
                <w:rFonts w:hint="eastAsia"/>
                <w:shd w:val="clear" w:color="auto" w:fill="FFFFFF"/>
              </w:rPr>
              <w:t>该处污染物浓度低于《地下水质量标准》（</w:t>
            </w:r>
            <w:r>
              <w:rPr>
                <w:shd w:val="clear" w:color="auto" w:fill="FFFFFF"/>
              </w:rPr>
              <w:t>GB/T14848-2017</w:t>
            </w:r>
            <w:r>
              <w:rPr>
                <w:rFonts w:hint="eastAsia"/>
                <w:shd w:val="clear" w:color="auto" w:fill="FFFFFF"/>
              </w:rPr>
              <w:t>）中</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Ⅲ类标准</w:t>
            </w:r>
            <w:r>
              <w:rPr>
                <w:shd w:val="clear" w:color="auto" w:fill="FFFFFF"/>
              </w:rPr>
              <w:t>0.5mg/l</w:t>
            </w:r>
            <w:r>
              <w:rPr>
                <w:rFonts w:hint="eastAsia"/>
                <w:shd w:val="clear" w:color="auto" w:fill="FFFFFF"/>
              </w:rPr>
              <w:t>的浓度限值。下游厂界及潭揽溪处污染物浓度先增大后减小，在泄露事故发生后约8</w:t>
            </w:r>
            <w:r>
              <w:rPr>
                <w:shd w:val="clear" w:color="auto" w:fill="FFFFFF"/>
              </w:rPr>
              <w:t>2.</w:t>
            </w:r>
            <w:r>
              <w:rPr>
                <w:rFonts w:hint="eastAsia"/>
                <w:shd w:val="clear" w:color="auto" w:fill="FFFFFF"/>
              </w:rPr>
              <w:t>8a下游厂界处污染物浓度达到最大值</w:t>
            </w:r>
            <w:r>
              <w:rPr>
                <w:shd w:val="clear" w:color="auto" w:fill="FFFFFF"/>
              </w:rPr>
              <w:t>2.024mg/l</w:t>
            </w:r>
            <w:r>
              <w:rPr>
                <w:rFonts w:hint="eastAsia"/>
                <w:shd w:val="clear" w:color="auto" w:fill="FFFFFF"/>
              </w:rPr>
              <w:t>，在泄露事故发生后约</w:t>
            </w:r>
            <w:r>
              <w:rPr>
                <w:shd w:val="clear" w:color="auto" w:fill="FFFFFF"/>
              </w:rPr>
              <w:t>234.8</w:t>
            </w:r>
            <w:r>
              <w:rPr>
                <w:rFonts w:hint="eastAsia"/>
                <w:shd w:val="clear" w:color="auto" w:fill="FFFFFF"/>
              </w:rPr>
              <w:t>a污染物</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浓度低于《地下水质量标准》（</w:t>
            </w:r>
            <w:r>
              <w:rPr>
                <w:shd w:val="clear" w:color="auto" w:fill="FFFFFF"/>
              </w:rPr>
              <w:t>GB/T14848-2017</w:t>
            </w:r>
            <w:r>
              <w:rPr>
                <w:rFonts w:hint="eastAsia"/>
                <w:shd w:val="clear" w:color="auto" w:fill="FFFFFF"/>
              </w:rPr>
              <w:t>）中</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Ⅲ类标准</w:t>
            </w:r>
            <w:r>
              <w:rPr>
                <w:shd w:val="clear" w:color="auto" w:fill="FFFFFF"/>
              </w:rPr>
              <w:t>0.5mg/l</w:t>
            </w:r>
            <w:r>
              <w:rPr>
                <w:rFonts w:hint="eastAsia"/>
                <w:shd w:val="clear" w:color="auto" w:fill="FFFFFF"/>
              </w:rPr>
              <w:t>的浓度限值；在泄露事故发生后约</w:t>
            </w:r>
            <w:r>
              <w:rPr>
                <w:shd w:val="clear" w:color="auto" w:fill="FFFFFF"/>
              </w:rPr>
              <w:t>151.37</w:t>
            </w:r>
            <w:r>
              <w:rPr>
                <w:rFonts w:hint="eastAsia"/>
                <w:shd w:val="clear" w:color="auto" w:fill="FFFFFF"/>
              </w:rPr>
              <w:t>a下游潭揽溪处污染物浓度达到最大值</w:t>
            </w:r>
            <w:r>
              <w:rPr>
                <w:shd w:val="clear" w:color="auto" w:fill="FFFFFF"/>
              </w:rPr>
              <w:t>1.1755mg/l</w:t>
            </w:r>
            <w:r>
              <w:rPr>
                <w:rFonts w:hint="eastAsia"/>
                <w:shd w:val="clear" w:color="auto" w:fill="FFFFFF"/>
              </w:rPr>
              <w:t>，在泄露事故发生后约</w:t>
            </w:r>
            <w:r>
              <w:rPr>
                <w:shd w:val="clear" w:color="auto" w:fill="FFFFFF"/>
              </w:rPr>
              <w:t>292.8</w:t>
            </w:r>
            <w:r>
              <w:rPr>
                <w:rFonts w:hint="eastAsia"/>
                <w:shd w:val="clear" w:color="auto" w:fill="FFFFFF"/>
              </w:rPr>
              <w:t>a污染物</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浓度低于《地下水质量标准》（</w:t>
            </w:r>
            <w:r>
              <w:rPr>
                <w:shd w:val="clear" w:color="auto" w:fill="FFFFFF"/>
              </w:rPr>
              <w:t>GB/T14848-2017</w:t>
            </w:r>
            <w:r>
              <w:rPr>
                <w:rFonts w:hint="eastAsia"/>
                <w:shd w:val="clear" w:color="auto" w:fill="FFFFFF"/>
              </w:rPr>
              <w:t>）中</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Ⅲ类标准</w:t>
            </w:r>
            <w:r>
              <w:rPr>
                <w:shd w:val="clear" w:color="auto" w:fill="FFFFFF"/>
              </w:rPr>
              <w:t>0.5mg/l</w:t>
            </w:r>
            <w:r>
              <w:rPr>
                <w:rFonts w:hint="eastAsia"/>
                <w:shd w:val="clear" w:color="auto" w:fill="FFFFFF"/>
              </w:rPr>
              <w:t>的浓度限值。</w:t>
            </w:r>
          </w:p>
          <w:p>
            <w:pPr>
              <w:pStyle w:val="114"/>
            </w:pPr>
            <w:r>
              <w:rPr>
                <w:rFonts w:hint="eastAsia"/>
              </w:rPr>
              <w:t>运营期针对潜在的地下水污染源的分布情况，在厂址下游设置</w:t>
            </w:r>
            <w:r>
              <w:t>1</w:t>
            </w:r>
            <w:r>
              <w:rPr>
                <w:rFonts w:hint="eastAsia"/>
              </w:rPr>
              <w:t>眼长期地下水水质监控井，及时掌握项目区周边地下水水质的变化情况。</w:t>
            </w:r>
          </w:p>
          <w:p>
            <w:pPr>
              <w:pStyle w:val="114"/>
            </w:pPr>
            <w:r>
              <w:rPr>
                <w:rFonts w:hint="eastAsia"/>
              </w:rPr>
              <w:t>通过以上环保措施，可使本项目建设对地下水的污染减小到最低限度。本项目升级改造后进一步提高了出水水质，减少了污水中污染物的排放量，对区域地下水环境具有一定改善和保护作用。故从地下水环境的角度讲本项目采取上述措施可行。</w:t>
            </w:r>
          </w:p>
          <w:p>
            <w:pPr>
              <w:pStyle w:val="114"/>
            </w:pPr>
            <w:r>
              <w:rPr>
                <w:rFonts w:hint="eastAsia"/>
              </w:rPr>
              <w:t>（</w:t>
            </w:r>
            <w:r>
              <w:t>4</w:t>
            </w:r>
            <w:r>
              <w:rPr>
                <w:rFonts w:hint="eastAsia"/>
              </w:rPr>
              <w:t>）噪声</w:t>
            </w:r>
          </w:p>
          <w:p>
            <w:pPr>
              <w:pStyle w:val="114"/>
            </w:pPr>
            <w:r>
              <w:rPr>
                <w:rFonts w:hint="eastAsia"/>
              </w:rPr>
              <w:t>本项目扩建完成后，项目主要噪声来源于各类泵体、鼓风机、污泥压滤机、搅拌机等，噪声在</w:t>
            </w:r>
            <w:r>
              <w:t>75~90dB</w:t>
            </w:r>
            <w:r>
              <w:rPr>
                <w:rFonts w:hint="eastAsia"/>
              </w:rPr>
              <w:t>（</w:t>
            </w:r>
            <w:r>
              <w:t>A</w:t>
            </w:r>
            <w:r>
              <w:rPr>
                <w:rFonts w:hint="eastAsia"/>
              </w:rPr>
              <w:t>）之间。</w:t>
            </w:r>
          </w:p>
          <w:p>
            <w:pPr>
              <w:pStyle w:val="114"/>
            </w:pPr>
            <w:r>
              <w:rPr>
                <w:rFonts w:hint="eastAsia"/>
              </w:rPr>
              <w:t>经采取基础减震和厂房隔音等措施后，根据预测，二期工程建成后厂界噪声贡献值满足《工业企业厂界环境噪声排放标准》（</w:t>
            </w:r>
            <w:r>
              <w:t>GB12348-2008</w:t>
            </w:r>
            <w:r>
              <w:rPr>
                <w:rFonts w:hint="eastAsia"/>
              </w:rPr>
              <w:t>）中</w:t>
            </w:r>
            <w:r>
              <w:t>2</w:t>
            </w:r>
            <w:r>
              <w:rPr>
                <w:rFonts w:hint="eastAsia"/>
              </w:rPr>
              <w:t>类标准，除北厂界夜间噪声预测值略有超标外，其他预测值均满足《工业企业厂界环境噪声排放标准》</w:t>
            </w:r>
            <w:r>
              <w:t>(GB12348-2008)</w:t>
            </w:r>
            <w:r>
              <w:rPr>
                <w:rFonts w:hint="eastAsia"/>
              </w:rPr>
              <w:t>中的</w:t>
            </w:r>
            <w:r>
              <w:t>2</w:t>
            </w:r>
            <w:r>
              <w:rPr>
                <w:rFonts w:hint="eastAsia"/>
              </w:rPr>
              <w:t>类标准要求。项目厂区北侧为绿化带、树林及潭榄溪，无声环境敏感目标，项目运营期对声环境影响可接受。</w:t>
            </w:r>
          </w:p>
          <w:p>
            <w:pPr>
              <w:pStyle w:val="114"/>
            </w:pPr>
            <w:r>
              <w:rPr>
                <w:rFonts w:hint="eastAsia"/>
              </w:rPr>
              <w:t>（</w:t>
            </w:r>
            <w:r>
              <w:t>5</w:t>
            </w:r>
            <w:r>
              <w:rPr>
                <w:rFonts w:hint="eastAsia"/>
              </w:rPr>
              <w:t>）固体废物</w:t>
            </w:r>
          </w:p>
          <w:p>
            <w:pPr>
              <w:pStyle w:val="114"/>
            </w:pPr>
            <w:r>
              <w:rPr>
                <w:rFonts w:hint="eastAsia"/>
              </w:rPr>
              <w:t>本项目不新增员工，本项目产生的固体废物包括危险废物、一般固体废物。危险废物包括设备检修产生的废机油和废油漆桶，日常水质检测、分析产生的实验室废液；一般固体废物包括格栅栅渣、沉砂池沉砂和污泥脱水间泥饼。</w:t>
            </w:r>
          </w:p>
          <w:p>
            <w:pPr>
              <w:pStyle w:val="114"/>
            </w:pPr>
            <w:r>
              <w:rPr>
                <w:rFonts w:hint="eastAsia"/>
              </w:rPr>
              <w:t>废机油、废油漆桶和实验室废液均委托海南宝来工贸有限公司进行处理。</w:t>
            </w:r>
          </w:p>
          <w:p>
            <w:pPr>
              <w:pStyle w:val="114"/>
            </w:pPr>
            <w:r>
              <w:rPr>
                <w:rFonts w:hint="eastAsia"/>
              </w:rPr>
              <w:t>格栅栅渣，沉砂池沉砂，污泥脱水间泥饼可交由定安县生活垃圾填埋场进行卫生填埋。</w:t>
            </w:r>
          </w:p>
          <w:p>
            <w:pPr>
              <w:pStyle w:val="114"/>
            </w:pPr>
            <w:r>
              <w:rPr>
                <w:rFonts w:hint="eastAsia"/>
              </w:rPr>
              <w:t>（</w:t>
            </w:r>
            <w:r>
              <w:t>6</w:t>
            </w:r>
            <w:r>
              <w:rPr>
                <w:rFonts w:hint="eastAsia"/>
              </w:rPr>
              <w:t>）土壤</w:t>
            </w:r>
          </w:p>
          <w:p>
            <w:pPr>
              <w:pStyle w:val="114"/>
            </w:pPr>
            <w:r>
              <w:rPr>
                <w:rFonts w:hint="eastAsia"/>
              </w:rPr>
              <w:t>项目处理的生活污水中的重金属污染物会对场地土壤环境质量产生一定影响。但生活污水中重金属含量较低，且场区底部存在具有一定防渗能力的粘土层。因此，在项目场地按照相关规定做好防渗的情况下，项目对土壤环境的影响较小。</w:t>
            </w:r>
          </w:p>
          <w:p>
            <w:pPr>
              <w:autoSpaceDE w:val="0"/>
              <w:autoSpaceDN w:val="0"/>
              <w:adjustRightInd w:val="0"/>
              <w:snapToGrid w:val="0"/>
              <w:spacing w:line="560" w:lineRule="exact"/>
              <w:ind w:firstLine="482" w:firstLineChars="200"/>
              <w:jc w:val="left"/>
              <w:rPr>
                <w:rFonts w:ascii="Times New Roman" w:hAnsi="Times New Roman"/>
                <w:b/>
                <w:bCs/>
                <w:kern w:val="0"/>
                <w:sz w:val="24"/>
                <w:szCs w:val="24"/>
              </w:rPr>
            </w:pPr>
            <w:r>
              <w:rPr>
                <w:rFonts w:ascii="Times New Roman" w:hAnsi="Times New Roman"/>
                <w:b/>
                <w:bCs/>
                <w:kern w:val="0"/>
                <w:sz w:val="24"/>
                <w:szCs w:val="24"/>
              </w:rPr>
              <w:t>6</w:t>
            </w:r>
            <w:r>
              <w:rPr>
                <w:rFonts w:hint="eastAsia" w:ascii="Times New Roman" w:hAnsi="Times New Roman"/>
                <w:b/>
                <w:bCs/>
                <w:kern w:val="0"/>
                <w:sz w:val="24"/>
                <w:szCs w:val="24"/>
              </w:rPr>
              <w:t>、总结论</w:t>
            </w:r>
          </w:p>
          <w:p>
            <w:pPr>
              <w:pStyle w:val="114"/>
            </w:pPr>
            <w:r>
              <w:rPr>
                <w:rFonts w:hint="eastAsia"/>
              </w:rPr>
              <w:t>综上所述，定安县定城污水处理厂二期改扩建工程选址合理，符合城市建设规划要求。项目着眼于保护潭榄溪，采用了成熟可靠的工艺、可行的污染防治措施，工程的建设具有良好的环境效益、社会效益；从环保的角度看，本工程建设可行。</w:t>
            </w:r>
          </w:p>
          <w:p>
            <w:pPr>
              <w:spacing w:line="560" w:lineRule="exact"/>
              <w:rPr>
                <w:rFonts w:ascii="Times New Roman" w:hAnsi="Times New Roman"/>
                <w:b/>
                <w:bCs/>
                <w:sz w:val="24"/>
                <w:szCs w:val="24"/>
              </w:rPr>
            </w:pPr>
            <w:r>
              <w:rPr>
                <w:rFonts w:hint="eastAsia" w:ascii="Times New Roman" w:hAnsi="Times New Roman"/>
                <w:b/>
                <w:bCs/>
                <w:sz w:val="24"/>
                <w:szCs w:val="24"/>
              </w:rPr>
              <w:t>二、建议</w:t>
            </w:r>
          </w:p>
          <w:p>
            <w:pPr>
              <w:pStyle w:val="114"/>
            </w:pPr>
            <w:r>
              <w:t>1</w:t>
            </w:r>
            <w:r>
              <w:rPr>
                <w:rFonts w:hint="eastAsia"/>
              </w:rPr>
              <w:t>、加强管理，防止污泥膨胀的发生。</w:t>
            </w:r>
          </w:p>
          <w:p>
            <w:pPr>
              <w:pStyle w:val="114"/>
            </w:pPr>
            <w:r>
              <w:t>2</w:t>
            </w:r>
            <w:r>
              <w:rPr>
                <w:rFonts w:hint="eastAsia"/>
              </w:rPr>
              <w:t>、坚持</w:t>
            </w:r>
            <w:r>
              <w:t>“</w:t>
            </w:r>
            <w:r>
              <w:rPr>
                <w:rFonts w:hint="eastAsia"/>
              </w:rPr>
              <w:t>厂网同步</w:t>
            </w:r>
            <w:r>
              <w:t>”</w:t>
            </w:r>
            <w:r>
              <w:rPr>
                <w:rFonts w:hint="eastAsia"/>
              </w:rPr>
              <w:t>原则，管网建设要和城市道路、旧城改造、污水处理厂建设等工程统筹考虑，同步实施。</w:t>
            </w:r>
          </w:p>
          <w:p>
            <w:pPr>
              <w:pStyle w:val="114"/>
            </w:pPr>
            <w:r>
              <w:t>3</w:t>
            </w:r>
            <w:r>
              <w:rPr>
                <w:rFonts w:hint="eastAsia"/>
              </w:rPr>
              <w:t>、积极配合当地政府和环保部门对施工周围环境质量进行严格监督。</w:t>
            </w:r>
          </w:p>
          <w:p>
            <w:pPr>
              <w:pStyle w:val="114"/>
            </w:pPr>
            <w:r>
              <w:t>4</w:t>
            </w:r>
            <w:r>
              <w:rPr>
                <w:rFonts w:hint="eastAsia"/>
              </w:rPr>
              <w:t>、做好施工中土石方和弃土的处理，及时将建筑垃圾运往城管部门指定的建筑垃圾堆场，减少弃土和扬尘对交通、附近居民的影响。</w:t>
            </w:r>
          </w:p>
          <w:p>
            <w:pPr>
              <w:pStyle w:val="114"/>
            </w:pPr>
            <w:r>
              <w:t>5</w:t>
            </w:r>
            <w:r>
              <w:rPr>
                <w:rFonts w:hint="eastAsia"/>
              </w:rPr>
              <w:t>、加强厂区整体绿化，对种植物种及空间进行合理搭配，广种阔叶乔木与灌木，使树木发挥美化、吸臭、吸味、隔声降噪作用，其余空地均充分绿化，以营造一个优美的绿化环境，整个厂区主要道路两侧栽种绿篱和矮行道树，厂区周边放坡处种植草皮。使污水处理厂成为花园式工厂。</w:t>
            </w:r>
          </w:p>
          <w:p>
            <w:pPr>
              <w:pStyle w:val="114"/>
            </w:pPr>
            <w:r>
              <w:t>6</w:t>
            </w:r>
            <w:r>
              <w:rPr>
                <w:rFonts w:hint="eastAsia"/>
              </w:rPr>
              <w:t>、地方环境管理部门和市政管理部门共同制定汇水区排污管理政策，从严控制进入污水干管的工业尾水水质，所有企业必须预处理达标后，才能进入管网。</w:t>
            </w:r>
          </w:p>
          <w:p>
            <w:pPr>
              <w:pStyle w:val="114"/>
            </w:pPr>
            <w:r>
              <w:t>7</w:t>
            </w:r>
            <w:r>
              <w:rPr>
                <w:rFonts w:hint="eastAsia"/>
              </w:rPr>
              <w:t>、建议提高再生水利用率，在水质达标的情况下尽量使处理后的水再生利用。</w:t>
            </w:r>
          </w:p>
          <w:p>
            <w:pPr>
              <w:spacing w:line="560" w:lineRule="exact"/>
              <w:ind w:firstLine="570"/>
              <w:rPr>
                <w:rFonts w:ascii="Times New Roman" w:hAnsi="Times New Roman"/>
                <w:bCs/>
                <w:sz w:val="24"/>
                <w:szCs w:val="24"/>
              </w:rPr>
            </w:pPr>
          </w:p>
          <w:p>
            <w:pPr>
              <w:spacing w:line="560" w:lineRule="exact"/>
              <w:ind w:firstLine="570"/>
              <w:rPr>
                <w:rFonts w:ascii="Times New Roman" w:hAnsi="Times New Roman"/>
                <w:bCs/>
                <w:sz w:val="24"/>
                <w:szCs w:val="24"/>
              </w:rPr>
            </w:pPr>
          </w:p>
          <w:p>
            <w:pPr>
              <w:spacing w:line="560" w:lineRule="exact"/>
              <w:ind w:firstLine="570"/>
              <w:rPr>
                <w:rFonts w:ascii="Times New Roman" w:hAnsi="Times New Roman"/>
                <w:bCs/>
                <w:sz w:val="24"/>
                <w:szCs w:val="24"/>
              </w:rPr>
            </w:pPr>
          </w:p>
          <w:p>
            <w:pPr>
              <w:pStyle w:val="2"/>
            </w:pPr>
          </w:p>
          <w:p>
            <w:pPr>
              <w:pStyle w:val="2"/>
            </w:pPr>
          </w:p>
          <w:p>
            <w:pPr>
              <w:pStyle w:val="2"/>
            </w:pPr>
          </w:p>
          <w:p>
            <w:pPr>
              <w:pStyle w:val="2"/>
            </w:pPr>
          </w:p>
          <w:p>
            <w:pPr>
              <w:pStyle w:val="2"/>
            </w:pPr>
          </w:p>
          <w:p>
            <w:pPr>
              <w:pStyle w:val="2"/>
            </w:pPr>
          </w:p>
          <w:p>
            <w:pPr>
              <w:pStyle w:val="2"/>
            </w:pPr>
          </w:p>
        </w:tc>
      </w:tr>
    </w:tbl>
    <w:p>
      <w:pPr>
        <w:rPr>
          <w:rFonts w:ascii="Times New Roman" w:hAnsi="Times New Roman"/>
          <w:sz w:val="24"/>
          <w:szCs w:val="24"/>
        </w:rPr>
      </w:pPr>
    </w:p>
    <w:p>
      <w:pPr>
        <w:pStyle w:val="2"/>
        <w:rPr>
          <w:szCs w:val="24"/>
        </w:rPr>
        <w:sectPr>
          <w:footerReference r:id="rId5" w:type="default"/>
          <w:pgSz w:w="11906" w:h="16838"/>
          <w:pgMar w:top="1134" w:right="1418" w:bottom="1134" w:left="1134" w:header="851" w:footer="851" w:gutter="0"/>
          <w:cols w:space="425" w:num="1"/>
          <w:docGrid w:type="lines" w:linePitch="312" w:charSpace="0"/>
        </w:sectPr>
      </w:pPr>
    </w:p>
    <w:p>
      <w:pPr>
        <w:spacing w:line="220" w:lineRule="atLeast"/>
        <w:jc w:val="left"/>
        <w:rPr>
          <w:rFonts w:ascii="宋体"/>
          <w:b/>
          <w:bCs/>
          <w:sz w:val="28"/>
          <w:szCs w:val="28"/>
        </w:rPr>
      </w:pPr>
      <w:r>
        <w:rPr>
          <w:rFonts w:hint="eastAsia" w:ascii="宋体" w:hAnsi="宋体"/>
          <w:b/>
          <w:bCs/>
          <w:sz w:val="28"/>
          <w:szCs w:val="28"/>
        </w:rPr>
        <w:t>附图</w:t>
      </w:r>
    </w:p>
    <w:p>
      <w:pPr>
        <w:pStyle w:val="2"/>
      </w:pPr>
    </w:p>
    <w:p>
      <w:pPr>
        <w:pStyle w:val="127"/>
        <w:widowControl/>
        <w:numPr>
          <w:ilvl w:val="0"/>
          <w:numId w:val="7"/>
        </w:numPr>
        <w:adjustRightInd w:val="0"/>
        <w:snapToGrid w:val="0"/>
        <w:spacing w:after="200" w:line="220" w:lineRule="atLeast"/>
        <w:ind w:firstLineChars="0"/>
        <w:jc w:val="left"/>
        <w:rPr>
          <w:rFonts w:ascii="宋体"/>
          <w:sz w:val="24"/>
          <w:szCs w:val="24"/>
        </w:rPr>
      </w:pPr>
      <w:r>
        <w:rPr>
          <w:rFonts w:hint="eastAsia" w:ascii="宋体" w:hAnsi="宋体"/>
          <w:sz w:val="24"/>
          <w:szCs w:val="24"/>
        </w:rPr>
        <w:t>建设项目地理位置图；</w:t>
      </w:r>
    </w:p>
    <w:p>
      <w:pPr>
        <w:pStyle w:val="127"/>
        <w:widowControl/>
        <w:numPr>
          <w:ilvl w:val="0"/>
          <w:numId w:val="7"/>
        </w:numPr>
        <w:adjustRightInd w:val="0"/>
        <w:snapToGrid w:val="0"/>
        <w:spacing w:after="200" w:line="220" w:lineRule="atLeast"/>
        <w:ind w:firstLineChars="0"/>
        <w:jc w:val="left"/>
        <w:rPr>
          <w:rFonts w:ascii="宋体"/>
          <w:sz w:val="24"/>
          <w:szCs w:val="24"/>
        </w:rPr>
      </w:pPr>
      <w:r>
        <w:rPr>
          <w:rFonts w:hint="eastAsia" w:ascii="宋体" w:hAnsi="宋体"/>
          <w:sz w:val="24"/>
          <w:szCs w:val="24"/>
        </w:rPr>
        <w:t>建设项目平面布置图；</w:t>
      </w:r>
    </w:p>
    <w:p>
      <w:pPr>
        <w:pStyle w:val="127"/>
        <w:widowControl/>
        <w:numPr>
          <w:ilvl w:val="0"/>
          <w:numId w:val="7"/>
        </w:numPr>
        <w:adjustRightInd w:val="0"/>
        <w:snapToGrid w:val="0"/>
        <w:spacing w:after="200" w:line="220" w:lineRule="atLeast"/>
        <w:ind w:firstLineChars="0"/>
        <w:jc w:val="left"/>
        <w:rPr>
          <w:rFonts w:ascii="宋体"/>
          <w:sz w:val="24"/>
          <w:szCs w:val="24"/>
        </w:rPr>
      </w:pPr>
      <w:r>
        <w:rPr>
          <w:rFonts w:hint="eastAsia" w:ascii="宋体" w:hAnsi="宋体"/>
          <w:sz w:val="24"/>
          <w:szCs w:val="24"/>
        </w:rPr>
        <w:t>厂区管线布置图；</w:t>
      </w:r>
    </w:p>
    <w:p>
      <w:pPr>
        <w:pStyle w:val="127"/>
        <w:widowControl/>
        <w:numPr>
          <w:ilvl w:val="0"/>
          <w:numId w:val="7"/>
        </w:numPr>
        <w:adjustRightInd w:val="0"/>
        <w:snapToGrid w:val="0"/>
        <w:spacing w:after="200" w:line="220" w:lineRule="atLeast"/>
        <w:ind w:firstLineChars="0"/>
        <w:jc w:val="left"/>
        <w:rPr>
          <w:rFonts w:ascii="宋体"/>
          <w:sz w:val="24"/>
          <w:szCs w:val="24"/>
        </w:rPr>
      </w:pPr>
      <w:r>
        <w:rPr>
          <w:rFonts w:hint="eastAsia" w:ascii="宋体" w:hAnsi="宋体"/>
          <w:sz w:val="24"/>
          <w:szCs w:val="24"/>
        </w:rPr>
        <w:t>环境敏感目标分布图；</w:t>
      </w:r>
    </w:p>
    <w:p>
      <w:pPr>
        <w:pStyle w:val="127"/>
        <w:widowControl/>
        <w:numPr>
          <w:ilvl w:val="0"/>
          <w:numId w:val="7"/>
        </w:numPr>
        <w:adjustRightInd w:val="0"/>
        <w:snapToGrid w:val="0"/>
        <w:spacing w:after="200" w:line="220" w:lineRule="atLeast"/>
        <w:ind w:firstLineChars="0"/>
        <w:jc w:val="left"/>
        <w:rPr>
          <w:rFonts w:ascii="宋体"/>
          <w:sz w:val="24"/>
          <w:szCs w:val="24"/>
        </w:rPr>
      </w:pPr>
      <w:r>
        <w:rPr>
          <w:rFonts w:hint="eastAsia" w:ascii="宋体" w:hAnsi="宋体"/>
          <w:sz w:val="24"/>
          <w:szCs w:val="24"/>
        </w:rPr>
        <w:t>与生态保护红线位置关系图；</w:t>
      </w:r>
    </w:p>
    <w:p>
      <w:pPr>
        <w:pStyle w:val="127"/>
        <w:widowControl/>
        <w:numPr>
          <w:ilvl w:val="0"/>
          <w:numId w:val="7"/>
        </w:numPr>
        <w:adjustRightInd w:val="0"/>
        <w:snapToGrid w:val="0"/>
        <w:spacing w:after="200" w:line="220" w:lineRule="atLeast"/>
        <w:ind w:firstLineChars="0"/>
        <w:jc w:val="left"/>
        <w:rPr>
          <w:rFonts w:ascii="宋体"/>
          <w:sz w:val="24"/>
          <w:szCs w:val="24"/>
        </w:rPr>
      </w:pPr>
      <w:r>
        <w:rPr>
          <w:rFonts w:hint="eastAsia" w:ascii="宋体" w:hAnsi="宋体"/>
          <w:sz w:val="24"/>
          <w:szCs w:val="24"/>
        </w:rPr>
        <w:t>纳污河温村水（潭榄溪）流域水系图；</w:t>
      </w:r>
    </w:p>
    <w:p>
      <w:pPr>
        <w:pStyle w:val="127"/>
        <w:widowControl/>
        <w:numPr>
          <w:ilvl w:val="0"/>
          <w:numId w:val="7"/>
        </w:numPr>
        <w:adjustRightInd w:val="0"/>
        <w:snapToGrid w:val="0"/>
        <w:spacing w:after="200" w:line="220" w:lineRule="atLeast"/>
        <w:ind w:firstLineChars="0"/>
        <w:jc w:val="left"/>
        <w:rPr>
          <w:rFonts w:ascii="宋体"/>
          <w:sz w:val="24"/>
          <w:szCs w:val="24"/>
        </w:rPr>
      </w:pPr>
      <w:r>
        <w:rPr>
          <w:rFonts w:hint="eastAsia" w:ascii="宋体" w:hAnsi="宋体"/>
          <w:sz w:val="24"/>
          <w:szCs w:val="24"/>
        </w:rPr>
        <w:t>南渡江流域环境敏感区分布图；</w:t>
      </w:r>
    </w:p>
    <w:p>
      <w:pPr>
        <w:pStyle w:val="127"/>
        <w:widowControl/>
        <w:numPr>
          <w:ilvl w:val="0"/>
          <w:numId w:val="7"/>
        </w:numPr>
        <w:adjustRightInd w:val="0"/>
        <w:snapToGrid w:val="0"/>
        <w:spacing w:after="200" w:line="220" w:lineRule="atLeast"/>
        <w:ind w:firstLineChars="0"/>
        <w:jc w:val="left"/>
        <w:rPr>
          <w:rFonts w:ascii="宋体"/>
          <w:sz w:val="24"/>
          <w:szCs w:val="24"/>
        </w:rPr>
      </w:pPr>
      <w:r>
        <w:rPr>
          <w:rFonts w:hint="eastAsia" w:ascii="宋体" w:hAnsi="宋体"/>
          <w:sz w:val="24"/>
          <w:szCs w:val="24"/>
        </w:rPr>
        <w:t>现场照片。</w:t>
      </w:r>
    </w:p>
    <w:p>
      <w:pPr>
        <w:pStyle w:val="127"/>
        <w:spacing w:line="220" w:lineRule="atLeast"/>
        <w:ind w:left="360" w:firstLine="0" w:firstLineChars="0"/>
        <w:jc w:val="left"/>
        <w:rPr>
          <w:rFonts w:ascii="宋体"/>
          <w:b/>
          <w:bCs/>
          <w:sz w:val="28"/>
          <w:szCs w:val="28"/>
        </w:rPr>
      </w:pPr>
      <w:r>
        <w:rPr>
          <w:rFonts w:hint="eastAsia" w:ascii="宋体" w:hAnsi="宋体"/>
          <w:b/>
          <w:bCs/>
          <w:sz w:val="28"/>
          <w:szCs w:val="28"/>
        </w:rPr>
        <w:t>附件</w:t>
      </w:r>
    </w:p>
    <w:p>
      <w:pPr>
        <w:pStyle w:val="127"/>
        <w:widowControl/>
        <w:numPr>
          <w:ilvl w:val="0"/>
          <w:numId w:val="8"/>
        </w:numPr>
        <w:adjustRightInd w:val="0"/>
        <w:snapToGrid w:val="0"/>
        <w:spacing w:after="200" w:line="220" w:lineRule="atLeast"/>
        <w:ind w:firstLineChars="0"/>
        <w:jc w:val="left"/>
        <w:rPr>
          <w:rFonts w:ascii="宋体"/>
          <w:sz w:val="24"/>
          <w:szCs w:val="24"/>
        </w:rPr>
      </w:pPr>
      <w:r>
        <w:rPr>
          <w:rFonts w:hint="eastAsia" w:ascii="宋体" w:hAnsi="宋体"/>
          <w:sz w:val="24"/>
          <w:szCs w:val="24"/>
        </w:rPr>
        <w:t>关于定安县定城污水处理厂二期改扩建工程可行性研究报告的批复；</w:t>
      </w:r>
    </w:p>
    <w:p>
      <w:pPr>
        <w:pStyle w:val="127"/>
        <w:widowControl/>
        <w:numPr>
          <w:ilvl w:val="0"/>
          <w:numId w:val="8"/>
        </w:numPr>
        <w:adjustRightInd w:val="0"/>
        <w:snapToGrid w:val="0"/>
        <w:spacing w:after="200" w:line="220" w:lineRule="atLeast"/>
        <w:ind w:firstLineChars="0"/>
        <w:jc w:val="left"/>
        <w:rPr>
          <w:rFonts w:ascii="宋体"/>
          <w:sz w:val="24"/>
          <w:szCs w:val="24"/>
        </w:rPr>
      </w:pPr>
      <w:r>
        <w:rPr>
          <w:rFonts w:hint="eastAsia" w:ascii="宋体" w:hAnsi="宋体"/>
          <w:sz w:val="24"/>
          <w:szCs w:val="24"/>
        </w:rPr>
        <w:t>关于定安县定城污水处理厂二期改扩建工程入河排污口设置论证的批复；</w:t>
      </w:r>
    </w:p>
    <w:p>
      <w:pPr>
        <w:pStyle w:val="127"/>
        <w:widowControl/>
        <w:numPr>
          <w:ilvl w:val="0"/>
          <w:numId w:val="8"/>
        </w:numPr>
        <w:adjustRightInd w:val="0"/>
        <w:snapToGrid w:val="0"/>
        <w:spacing w:after="200" w:line="220" w:lineRule="atLeast"/>
        <w:ind w:firstLineChars="0"/>
        <w:jc w:val="left"/>
        <w:rPr>
          <w:rFonts w:ascii="宋体"/>
          <w:sz w:val="24"/>
          <w:szCs w:val="24"/>
        </w:rPr>
      </w:pPr>
      <w:r>
        <w:rPr>
          <w:rFonts w:hint="eastAsia" w:ascii="宋体" w:hAnsi="宋体"/>
          <w:sz w:val="24"/>
          <w:szCs w:val="24"/>
        </w:rPr>
        <w:t>关于定安县定城污水处理设施项目环境影响报告表的批复；</w:t>
      </w:r>
    </w:p>
    <w:p>
      <w:pPr>
        <w:pStyle w:val="127"/>
        <w:widowControl/>
        <w:numPr>
          <w:ilvl w:val="0"/>
          <w:numId w:val="8"/>
        </w:numPr>
        <w:adjustRightInd w:val="0"/>
        <w:snapToGrid w:val="0"/>
        <w:spacing w:after="200" w:line="220" w:lineRule="atLeast"/>
        <w:ind w:firstLineChars="0"/>
        <w:jc w:val="left"/>
        <w:rPr>
          <w:rFonts w:ascii="宋体"/>
          <w:sz w:val="24"/>
          <w:szCs w:val="24"/>
        </w:rPr>
      </w:pPr>
      <w:r>
        <w:rPr>
          <w:rFonts w:hint="eastAsia" w:ascii="宋体" w:hAnsi="宋体"/>
          <w:sz w:val="24"/>
          <w:szCs w:val="24"/>
        </w:rPr>
        <w:t>关于批复定安县定城污水处理设施项目竣工环境保护验收的函；</w:t>
      </w:r>
    </w:p>
    <w:p>
      <w:pPr>
        <w:pStyle w:val="127"/>
        <w:widowControl/>
        <w:numPr>
          <w:ilvl w:val="0"/>
          <w:numId w:val="8"/>
        </w:numPr>
        <w:adjustRightInd w:val="0"/>
        <w:snapToGrid w:val="0"/>
        <w:spacing w:after="200" w:line="220" w:lineRule="atLeast"/>
        <w:ind w:firstLineChars="0"/>
        <w:jc w:val="left"/>
        <w:rPr>
          <w:rFonts w:ascii="宋体"/>
          <w:sz w:val="24"/>
          <w:szCs w:val="24"/>
        </w:rPr>
      </w:pPr>
      <w:r>
        <w:rPr>
          <w:rFonts w:hint="eastAsia" w:ascii="宋体" w:hAnsi="宋体"/>
          <w:sz w:val="24"/>
          <w:szCs w:val="24"/>
        </w:rPr>
        <w:t>排污许可证；</w:t>
      </w:r>
    </w:p>
    <w:p>
      <w:pPr>
        <w:pStyle w:val="127"/>
        <w:widowControl/>
        <w:numPr>
          <w:ilvl w:val="0"/>
          <w:numId w:val="8"/>
        </w:numPr>
        <w:adjustRightInd w:val="0"/>
        <w:snapToGrid w:val="0"/>
        <w:spacing w:after="200" w:line="220" w:lineRule="atLeast"/>
        <w:ind w:firstLineChars="0"/>
        <w:jc w:val="left"/>
        <w:rPr>
          <w:rFonts w:ascii="宋体"/>
          <w:sz w:val="24"/>
          <w:szCs w:val="24"/>
        </w:rPr>
      </w:pPr>
      <w:r>
        <w:rPr>
          <w:rFonts w:hint="eastAsia" w:ascii="宋体" w:hAnsi="宋体"/>
          <w:sz w:val="24"/>
          <w:szCs w:val="24"/>
        </w:rPr>
        <w:t>危险废物处置合同；</w:t>
      </w:r>
    </w:p>
    <w:p>
      <w:pPr>
        <w:pStyle w:val="127"/>
        <w:widowControl/>
        <w:numPr>
          <w:ilvl w:val="0"/>
          <w:numId w:val="8"/>
        </w:numPr>
        <w:adjustRightInd w:val="0"/>
        <w:snapToGrid w:val="0"/>
        <w:spacing w:after="200" w:line="220" w:lineRule="atLeast"/>
        <w:ind w:firstLineChars="0"/>
        <w:jc w:val="left"/>
        <w:rPr>
          <w:rFonts w:ascii="宋体"/>
          <w:sz w:val="24"/>
          <w:szCs w:val="24"/>
        </w:rPr>
      </w:pPr>
      <w:r>
        <w:rPr>
          <w:rFonts w:hint="eastAsia" w:ascii="宋体" w:hAnsi="宋体"/>
          <w:sz w:val="24"/>
          <w:szCs w:val="24"/>
        </w:rPr>
        <w:t>土地证；</w:t>
      </w:r>
    </w:p>
    <w:p>
      <w:pPr>
        <w:pStyle w:val="127"/>
        <w:widowControl/>
        <w:numPr>
          <w:ilvl w:val="0"/>
          <w:numId w:val="8"/>
        </w:numPr>
        <w:adjustRightInd w:val="0"/>
        <w:snapToGrid w:val="0"/>
        <w:spacing w:after="200" w:line="220" w:lineRule="atLeast"/>
        <w:ind w:firstLineChars="0"/>
        <w:jc w:val="left"/>
        <w:rPr>
          <w:rFonts w:ascii="宋体"/>
          <w:sz w:val="24"/>
          <w:szCs w:val="24"/>
        </w:rPr>
      </w:pPr>
      <w:r>
        <w:rPr>
          <w:rFonts w:hint="eastAsia" w:ascii="宋体" w:hAnsi="宋体"/>
          <w:sz w:val="24"/>
          <w:szCs w:val="24"/>
        </w:rPr>
        <w:t>企业事业单位突发环境事件应急预案备案表；</w:t>
      </w:r>
    </w:p>
    <w:p>
      <w:pPr>
        <w:pStyle w:val="127"/>
        <w:widowControl/>
        <w:numPr>
          <w:ilvl w:val="0"/>
          <w:numId w:val="8"/>
        </w:numPr>
        <w:adjustRightInd w:val="0"/>
        <w:snapToGrid w:val="0"/>
        <w:spacing w:after="200" w:line="220" w:lineRule="atLeast"/>
        <w:ind w:firstLineChars="0"/>
        <w:jc w:val="left"/>
        <w:rPr>
          <w:rFonts w:ascii="宋体"/>
          <w:sz w:val="24"/>
          <w:szCs w:val="24"/>
        </w:rPr>
      </w:pPr>
      <w:r>
        <w:rPr>
          <w:rFonts w:hint="eastAsia" w:ascii="宋体" w:hAnsi="宋体"/>
          <w:sz w:val="24"/>
          <w:szCs w:val="24"/>
        </w:rPr>
        <w:t>定安县定城镇环城北路污水处理厂环境监测检测报告；</w:t>
      </w:r>
    </w:p>
    <w:p>
      <w:pPr>
        <w:pStyle w:val="127"/>
        <w:spacing w:line="360" w:lineRule="auto"/>
        <w:ind w:firstLine="0" w:firstLineChars="0"/>
        <w:rPr>
          <w:rFonts w:ascii="宋体"/>
          <w:sz w:val="24"/>
          <w:szCs w:val="24"/>
        </w:rPr>
      </w:pPr>
      <w:r>
        <w:rPr>
          <w:rFonts w:ascii="宋体" w:hAnsi="宋体"/>
          <w:sz w:val="24"/>
          <w:szCs w:val="24"/>
        </w:rPr>
        <w:t>10</w:t>
      </w:r>
      <w:r>
        <w:rPr>
          <w:rFonts w:hint="eastAsia" w:ascii="宋体" w:hAnsi="宋体"/>
          <w:sz w:val="24"/>
          <w:szCs w:val="24"/>
        </w:rPr>
        <w:t>、定安县顶城污水处理厂二期改扩建工程监测报告。</w:t>
      </w:r>
    </w:p>
    <w:p>
      <w:pPr>
        <w:spacing w:line="220" w:lineRule="atLeast"/>
        <w:jc w:val="left"/>
        <w:rPr>
          <w:rFonts w:ascii="宋体"/>
          <w:b/>
          <w:bCs/>
          <w:sz w:val="28"/>
          <w:szCs w:val="28"/>
        </w:rPr>
      </w:pPr>
      <w:r>
        <w:rPr>
          <w:rFonts w:hint="eastAsia" w:ascii="宋体" w:hAnsi="宋体"/>
          <w:b/>
          <w:bCs/>
          <w:sz w:val="28"/>
          <w:szCs w:val="28"/>
        </w:rPr>
        <w:t>附表</w:t>
      </w:r>
    </w:p>
    <w:p>
      <w:pPr>
        <w:pStyle w:val="2"/>
        <w:numPr>
          <w:ilvl w:val="0"/>
          <w:numId w:val="9"/>
        </w:numPr>
        <w:spacing w:line="360" w:lineRule="auto"/>
      </w:pPr>
      <w:r>
        <w:rPr>
          <w:rFonts w:hint="eastAsia"/>
        </w:rPr>
        <w:t>大气环境影响评价自查表</w:t>
      </w:r>
    </w:p>
    <w:p>
      <w:pPr>
        <w:pStyle w:val="2"/>
        <w:numPr>
          <w:ilvl w:val="0"/>
          <w:numId w:val="9"/>
        </w:numPr>
        <w:spacing w:line="360" w:lineRule="auto"/>
      </w:pPr>
      <w:r>
        <w:rPr>
          <w:rFonts w:hint="eastAsia"/>
        </w:rPr>
        <w:t>地表水环境影响评价自查表</w:t>
      </w:r>
    </w:p>
    <w:p>
      <w:pPr>
        <w:pStyle w:val="2"/>
        <w:numPr>
          <w:ilvl w:val="0"/>
          <w:numId w:val="9"/>
        </w:numPr>
        <w:spacing w:line="360" w:lineRule="auto"/>
      </w:pPr>
      <w:r>
        <w:rPr>
          <w:rFonts w:hint="eastAsia"/>
        </w:rPr>
        <w:t>土壤环境影响评价自查表</w:t>
      </w:r>
    </w:p>
    <w:p>
      <w:pPr>
        <w:pStyle w:val="2"/>
        <w:numPr>
          <w:ilvl w:val="0"/>
          <w:numId w:val="9"/>
        </w:numPr>
        <w:spacing w:line="360" w:lineRule="auto"/>
      </w:pPr>
      <w:r>
        <w:rPr>
          <w:rFonts w:hint="eastAsia"/>
        </w:rPr>
        <w:t>环境风险影响评价自查表</w:t>
      </w:r>
    </w:p>
    <w:p>
      <w:pPr>
        <w:spacing w:line="220" w:lineRule="atLeast"/>
        <w:rPr>
          <w:rFonts w:ascii="宋体"/>
          <w:sz w:val="24"/>
          <w:szCs w:val="24"/>
        </w:rPr>
      </w:pPr>
      <w:r>
        <w:rPr>
          <w:rFonts w:ascii="Times New Roman" w:hAnsi="Times New Roman"/>
          <w:sz w:val="24"/>
          <w:szCs w:val="24"/>
        </w:rPr>
        <w:t>5</w:t>
      </w:r>
      <w:r>
        <w:rPr>
          <w:rFonts w:hint="eastAsia" w:ascii="Times New Roman" w:hAnsi="宋体"/>
          <w:sz w:val="24"/>
          <w:szCs w:val="24"/>
        </w:rPr>
        <w:t>、</w:t>
      </w:r>
      <w:r>
        <w:rPr>
          <w:rFonts w:hint="eastAsia" w:ascii="宋体" w:hAnsi="宋体"/>
          <w:sz w:val="24"/>
          <w:szCs w:val="24"/>
        </w:rPr>
        <w:t>建设项目环评审批基础信息表</w:t>
      </w:r>
    </w:p>
    <w:p>
      <w:pPr>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魏碑">
    <w:altName w:val="黑体"/>
    <w:panose1 w:val="00000000000000000000"/>
    <w:charset w:val="86"/>
    <w:family w:val="modern"/>
    <w:pitch w:val="default"/>
    <w:sig w:usb0="00000000" w:usb1="00000000" w:usb2="00000010" w:usb3="00000000" w:csb0="00040000" w:csb1="00000000"/>
  </w:font>
  <w:font w:name="长城楷体">
    <w:altName w:val="黑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Impact">
    <w:panose1 w:val="020B0806030902050204"/>
    <w:charset w:val="00"/>
    <w:family w:val="swiss"/>
    <w:pitch w:val="default"/>
    <w:sig w:usb0="00000287" w:usb1="00000000" w:usb2="00000000" w:usb3="00000000" w:csb0="2000009F" w:csb1="DFD70000"/>
  </w:font>
  <w:font w:name="Arial Black">
    <w:panose1 w:val="020B0A04020102020204"/>
    <w:charset w:val="00"/>
    <w:family w:val="swiss"/>
    <w:pitch w:val="default"/>
    <w:sig w:usb0="00000287" w:usb1="00000000" w:usb2="00000000" w:usb3="00000000" w:csb0="2000009F" w:csb1="DFD70000"/>
  </w:font>
  <w:font w:name="MS Mincho">
    <w:panose1 w:val="02020609040205080304"/>
    <w:charset w:val="80"/>
    <w:family w:val="modern"/>
    <w:pitch w:val="default"/>
    <w:sig w:usb0="E00002FF" w:usb1="6AC7FDFB" w:usb2="00000012" w:usb3="00000000" w:csb0="4002009F" w:csb1="DFD70000"/>
  </w:font>
  <w:font w:name="等线">
    <w:altName w:val="宋体"/>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Cambria Math">
    <w:panose1 w:val="02040503050406030204"/>
    <w:charset w:val="00"/>
    <w:family w:val="roman"/>
    <w:pitch w:val="default"/>
    <w:sig w:usb0="E00002FF" w:usb1="420024FF" w:usb2="00000000" w:usb3="00000000" w:csb0="2000019F" w:csb1="00000000"/>
  </w:font>
  <w:font w:name="Calibri">
    <w:panose1 w:val="020F0502020204030204"/>
    <w:charset w:val="01"/>
    <w:family w:val="auto"/>
    <w:pitch w:val="default"/>
    <w:sig w:usb0="E00002FF" w:usb1="4000ACFF" w:usb2="00000001" w:usb3="00000000" w:csb0="2000019F" w:csb1="00000000"/>
  </w:font>
  <w:font w:name="等线">
    <w:altName w:val="Segoe Print"/>
    <w:panose1 w:val="00000000000000000000"/>
    <w:charset w:val="01"/>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fldChar w:fldCharType="begin"/>
    </w:r>
    <w:r>
      <w:instrText xml:space="preserve">PAGE   \* MERGEFORMAT</w:instrText>
    </w:r>
    <w:r>
      <w:fldChar w:fldCharType="separate"/>
    </w:r>
    <w:r>
      <w:rPr>
        <w:lang w:val="zh-CN"/>
      </w:rPr>
      <w:t>14</w:t>
    </w:r>
    <w:r>
      <w:rPr>
        <w:lang w:val="zh-CN"/>
      </w:rPr>
      <w:fldChar w:fldCharType="end"/>
    </w:r>
  </w:p>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58215A"/>
    <w:multiLevelType w:val="singleLevel"/>
    <w:tmpl w:val="DE58215A"/>
    <w:lvl w:ilvl="0" w:tentative="0">
      <w:start w:val="1"/>
      <w:numFmt w:val="decimal"/>
      <w:suff w:val="nothing"/>
      <w:lvlText w:val="（%1）"/>
      <w:lvlJc w:val="left"/>
      <w:rPr>
        <w:rFonts w:cs="Times New Roman"/>
      </w:rPr>
    </w:lvl>
  </w:abstractNum>
  <w:abstractNum w:abstractNumId="1">
    <w:nsid w:val="FFFFFFFB"/>
    <w:multiLevelType w:val="multilevel"/>
    <w:tmpl w:val="FFFFFFFB"/>
    <w:lvl w:ilvl="0" w:tentative="0">
      <w:start w:val="1"/>
      <w:numFmt w:val="decimal"/>
      <w:pStyle w:val="3"/>
      <w:lvlText w:val="%1."/>
      <w:legacy w:legacy="1" w:legacySpace="144" w:legacyIndent="0"/>
      <w:lvlJc w:val="left"/>
      <w:rPr>
        <w:rFonts w:hint="eastAsia" w:ascii="宋体" w:eastAsia="宋体" w:cs="Times New Roman"/>
        <w:b/>
        <w:i w:val="0"/>
        <w:sz w:val="30"/>
      </w:rPr>
    </w:lvl>
    <w:lvl w:ilvl="1" w:tentative="0">
      <w:start w:val="1"/>
      <w:numFmt w:val="decimal"/>
      <w:pStyle w:val="4"/>
      <w:lvlText w:val="%1.%2."/>
      <w:legacy w:legacy="1" w:legacySpace="144" w:legacyIndent="0"/>
      <w:lvlJc w:val="left"/>
      <w:rPr>
        <w:rFonts w:hint="default" w:ascii="Times New Roman" w:hAnsi="Times New Roman" w:cs="Times New Roman"/>
        <w:b w:val="0"/>
        <w:i w:val="0"/>
        <w:sz w:val="28"/>
      </w:rPr>
    </w:lvl>
    <w:lvl w:ilvl="2" w:tentative="0">
      <w:start w:val="1"/>
      <w:numFmt w:val="decimal"/>
      <w:lvlText w:val="%1.%2.%3."/>
      <w:legacy w:legacy="1" w:legacySpace="144" w:legacyIndent="0"/>
      <w:lvlJc w:val="left"/>
      <w:rPr>
        <w:rFonts w:hint="default" w:ascii="Times New Roman" w:hAnsi="Times New Roman" w:cs="Times New Roman"/>
        <w:b w:val="0"/>
        <w:i w:val="0"/>
        <w:sz w:val="28"/>
      </w:rPr>
    </w:lvl>
    <w:lvl w:ilvl="3" w:tentative="0">
      <w:start w:val="1"/>
      <w:numFmt w:val="decimal"/>
      <w:pStyle w:val="7"/>
      <w:lvlText w:val="%1.%2.%3.%4."/>
      <w:legacy w:legacy="1" w:legacySpace="144" w:legacyIndent="0"/>
      <w:lvlJc w:val="left"/>
      <w:rPr>
        <w:rFonts w:hint="default" w:ascii="Times New Roman" w:hAnsi="Times New Roman" w:cs="Times New Roman"/>
        <w:b w:val="0"/>
        <w:i w:val="0"/>
        <w:sz w:val="28"/>
      </w:rPr>
    </w:lvl>
    <w:lvl w:ilvl="4" w:tentative="0">
      <w:start w:val="1"/>
      <w:numFmt w:val="decimal"/>
      <w:pStyle w:val="8"/>
      <w:lvlText w:val="%1.%2.%3.%4.%5."/>
      <w:legacy w:legacy="1" w:legacySpace="144" w:legacyIndent="0"/>
      <w:lvlJc w:val="left"/>
      <w:rPr>
        <w:rFonts w:hint="default" w:ascii="Times New Roman" w:hAnsi="Times New Roman" w:cs="Times New Roman"/>
        <w:b w:val="0"/>
        <w:i w:val="0"/>
        <w:sz w:val="24"/>
      </w:rPr>
    </w:lvl>
    <w:lvl w:ilvl="5" w:tentative="0">
      <w:start w:val="1"/>
      <w:numFmt w:val="decimal"/>
      <w:pStyle w:val="9"/>
      <w:lvlText w:val="%1.%2.%3.%4.%5..%6"/>
      <w:legacy w:legacy="1" w:legacySpace="144" w:legacyIndent="0"/>
      <w:lvlJc w:val="left"/>
      <w:rPr>
        <w:rFonts w:cs="Times New Roman"/>
      </w:rPr>
    </w:lvl>
    <w:lvl w:ilvl="6" w:tentative="0">
      <w:start w:val="1"/>
      <w:numFmt w:val="decimal"/>
      <w:pStyle w:val="10"/>
      <w:lvlText w:val="%1.%2.%3.%4.%5..%6.%7"/>
      <w:legacy w:legacy="1" w:legacySpace="144" w:legacyIndent="0"/>
      <w:lvlJc w:val="left"/>
      <w:rPr>
        <w:rFonts w:cs="Times New Roman"/>
      </w:rPr>
    </w:lvl>
    <w:lvl w:ilvl="7" w:tentative="0">
      <w:start w:val="1"/>
      <w:numFmt w:val="decimal"/>
      <w:pStyle w:val="11"/>
      <w:lvlText w:val="%1.%2.%3.%4.%5..%6.%7.%8"/>
      <w:legacy w:legacy="1" w:legacySpace="144" w:legacyIndent="0"/>
      <w:lvlJc w:val="left"/>
      <w:rPr>
        <w:rFonts w:cs="Times New Roman"/>
      </w:rPr>
    </w:lvl>
    <w:lvl w:ilvl="8" w:tentative="0">
      <w:start w:val="1"/>
      <w:numFmt w:val="decimal"/>
      <w:pStyle w:val="12"/>
      <w:lvlText w:val="%1.%2.%3.%4.%5..%6.%7.%8.%9"/>
      <w:legacy w:legacy="1" w:legacySpace="144" w:legacyIndent="0"/>
      <w:lvlJc w:val="left"/>
      <w:rPr>
        <w:rFonts w:cs="Times New Roman"/>
      </w:rPr>
    </w:lvl>
  </w:abstractNum>
  <w:abstractNum w:abstractNumId="2">
    <w:nsid w:val="01223327"/>
    <w:multiLevelType w:val="multilevel"/>
    <w:tmpl w:val="01223327"/>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hint="eastAsia" w:cs="Times New Roman"/>
      </w:rPr>
    </w:lvl>
    <w:lvl w:ilvl="2" w:tentative="0">
      <w:start w:val="1"/>
      <w:numFmt w:val="lowerRoman"/>
      <w:lvlText w:val="%3."/>
      <w:lvlJc w:val="right"/>
      <w:pPr>
        <w:ind w:left="1260" w:hanging="420"/>
      </w:pPr>
      <w:rPr>
        <w:rFonts w:hint="eastAsia" w:cs="Times New Roman"/>
      </w:rPr>
    </w:lvl>
    <w:lvl w:ilvl="3" w:tentative="0">
      <w:start w:val="1"/>
      <w:numFmt w:val="decimal"/>
      <w:lvlText w:val="%4."/>
      <w:lvlJc w:val="left"/>
      <w:pPr>
        <w:ind w:left="1680" w:hanging="420"/>
      </w:pPr>
      <w:rPr>
        <w:rFonts w:hint="eastAsia" w:cs="Times New Roman"/>
      </w:rPr>
    </w:lvl>
    <w:lvl w:ilvl="4" w:tentative="0">
      <w:start w:val="1"/>
      <w:numFmt w:val="lowerLetter"/>
      <w:lvlText w:val="%5)"/>
      <w:lvlJc w:val="left"/>
      <w:pPr>
        <w:ind w:left="2100" w:hanging="420"/>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3">
    <w:nsid w:val="08406879"/>
    <w:multiLevelType w:val="singleLevel"/>
    <w:tmpl w:val="08406879"/>
    <w:lvl w:ilvl="0" w:tentative="0">
      <w:start w:val="1"/>
      <w:numFmt w:val="upperLetter"/>
      <w:suff w:val="nothing"/>
      <w:lvlText w:val="%1、"/>
      <w:lvlJc w:val="left"/>
      <w:rPr>
        <w:rFonts w:cs="Times New Roman"/>
      </w:rPr>
    </w:lvl>
  </w:abstractNum>
  <w:abstractNum w:abstractNumId="4">
    <w:nsid w:val="2A4D7E48"/>
    <w:multiLevelType w:val="multilevel"/>
    <w:tmpl w:val="2A4D7E48"/>
    <w:lvl w:ilvl="0" w:tentative="0">
      <w:start w:val="1"/>
      <w:numFmt w:val="decimal"/>
      <w:suff w:val="nothing"/>
      <w:lvlText w:val="%1、"/>
      <w:lvlJc w:val="left"/>
      <w:pPr>
        <w:ind w:left="360" w:hanging="360"/>
      </w:pPr>
      <w:rPr>
        <w:rFonts w:hint="default" w:cs="Times New Roman"/>
      </w:rPr>
    </w:lvl>
    <w:lvl w:ilvl="1" w:tentative="0">
      <w:start w:val="1"/>
      <w:numFmt w:val="lowerLetter"/>
      <w:lvlText w:val="%2)"/>
      <w:lvlJc w:val="left"/>
      <w:pPr>
        <w:ind w:left="840" w:hanging="420"/>
      </w:pPr>
      <w:rPr>
        <w:rFonts w:hint="eastAsia" w:cs="Times New Roman"/>
      </w:rPr>
    </w:lvl>
    <w:lvl w:ilvl="2" w:tentative="0">
      <w:start w:val="1"/>
      <w:numFmt w:val="lowerRoman"/>
      <w:lvlText w:val="%3."/>
      <w:lvlJc w:val="right"/>
      <w:pPr>
        <w:ind w:left="1260" w:hanging="420"/>
      </w:pPr>
      <w:rPr>
        <w:rFonts w:hint="eastAsia" w:cs="Times New Roman"/>
      </w:rPr>
    </w:lvl>
    <w:lvl w:ilvl="3" w:tentative="0">
      <w:start w:val="1"/>
      <w:numFmt w:val="decimal"/>
      <w:lvlText w:val="%4."/>
      <w:lvlJc w:val="left"/>
      <w:pPr>
        <w:ind w:left="1680" w:hanging="420"/>
      </w:pPr>
      <w:rPr>
        <w:rFonts w:hint="eastAsia" w:cs="Times New Roman"/>
      </w:rPr>
    </w:lvl>
    <w:lvl w:ilvl="4" w:tentative="0">
      <w:start w:val="1"/>
      <w:numFmt w:val="lowerLetter"/>
      <w:lvlText w:val="%5)"/>
      <w:lvlJc w:val="left"/>
      <w:pPr>
        <w:ind w:left="2100" w:hanging="420"/>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5">
    <w:nsid w:val="34A73251"/>
    <w:multiLevelType w:val="multilevel"/>
    <w:tmpl w:val="34A73251"/>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3FAE4587"/>
    <w:multiLevelType w:val="singleLevel"/>
    <w:tmpl w:val="3FAE4587"/>
    <w:lvl w:ilvl="0" w:tentative="0">
      <w:start w:val="1"/>
      <w:numFmt w:val="decimal"/>
      <w:lvlText w:val="%1."/>
      <w:lvlJc w:val="left"/>
      <w:pPr>
        <w:tabs>
          <w:tab w:val="left" w:pos="842"/>
        </w:tabs>
        <w:ind w:firstLine="482"/>
      </w:pPr>
      <w:rPr>
        <w:rFonts w:hint="eastAsia" w:cs="Times New Roman"/>
      </w:rPr>
    </w:lvl>
  </w:abstractNum>
  <w:abstractNum w:abstractNumId="7">
    <w:nsid w:val="6A767C96"/>
    <w:multiLevelType w:val="multilevel"/>
    <w:tmpl w:val="6A767C96"/>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6BB00126"/>
    <w:multiLevelType w:val="singleLevel"/>
    <w:tmpl w:val="6BB00126"/>
    <w:lvl w:ilvl="0" w:tentative="0">
      <w:start w:val="2"/>
      <w:numFmt w:val="chineseCounting"/>
      <w:suff w:val="nothing"/>
      <w:lvlText w:val="%1、"/>
      <w:lvlJc w:val="left"/>
      <w:rPr>
        <w:rFonts w:hint="eastAsia" w:cs="Times New Roman"/>
      </w:rPr>
    </w:lvl>
  </w:abstractNum>
  <w:num w:numId="1">
    <w:abstractNumId w:val="1"/>
  </w:num>
  <w:num w:numId="2">
    <w:abstractNumId w:val="6"/>
  </w:num>
  <w:num w:numId="3">
    <w:abstractNumId w:val="2"/>
  </w:num>
  <w:num w:numId="4">
    <w:abstractNumId w:val="8"/>
  </w:num>
  <w:num w:numId="5">
    <w:abstractNumId w:val="3"/>
  </w:num>
  <w:num w:numId="6">
    <w:abstractNumId w:val="0"/>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49"/>
    <w:rsid w:val="00000767"/>
    <w:rsid w:val="00000937"/>
    <w:rsid w:val="0000169A"/>
    <w:rsid w:val="000029DD"/>
    <w:rsid w:val="00002C87"/>
    <w:rsid w:val="000030D0"/>
    <w:rsid w:val="00006043"/>
    <w:rsid w:val="000068BF"/>
    <w:rsid w:val="00007BD0"/>
    <w:rsid w:val="00010225"/>
    <w:rsid w:val="00017772"/>
    <w:rsid w:val="000200B6"/>
    <w:rsid w:val="00020D8F"/>
    <w:rsid w:val="00021C8C"/>
    <w:rsid w:val="00022BA7"/>
    <w:rsid w:val="0002300C"/>
    <w:rsid w:val="0002331E"/>
    <w:rsid w:val="00023594"/>
    <w:rsid w:val="000235E2"/>
    <w:rsid w:val="00023A15"/>
    <w:rsid w:val="000242A4"/>
    <w:rsid w:val="000254DB"/>
    <w:rsid w:val="0002734A"/>
    <w:rsid w:val="000308A2"/>
    <w:rsid w:val="0003289B"/>
    <w:rsid w:val="00032BB3"/>
    <w:rsid w:val="00033A02"/>
    <w:rsid w:val="0003481B"/>
    <w:rsid w:val="0003755B"/>
    <w:rsid w:val="00037F88"/>
    <w:rsid w:val="00041C07"/>
    <w:rsid w:val="00041E31"/>
    <w:rsid w:val="000438E5"/>
    <w:rsid w:val="00043978"/>
    <w:rsid w:val="00043D91"/>
    <w:rsid w:val="00045292"/>
    <w:rsid w:val="00045734"/>
    <w:rsid w:val="00046A6A"/>
    <w:rsid w:val="00046ADA"/>
    <w:rsid w:val="0005149C"/>
    <w:rsid w:val="00051787"/>
    <w:rsid w:val="00053168"/>
    <w:rsid w:val="000539A1"/>
    <w:rsid w:val="00053EFB"/>
    <w:rsid w:val="00055565"/>
    <w:rsid w:val="00056524"/>
    <w:rsid w:val="000568AF"/>
    <w:rsid w:val="00057261"/>
    <w:rsid w:val="00060BA8"/>
    <w:rsid w:val="00061DE6"/>
    <w:rsid w:val="00062590"/>
    <w:rsid w:val="000634A5"/>
    <w:rsid w:val="000644B0"/>
    <w:rsid w:val="0006552D"/>
    <w:rsid w:val="00065BB3"/>
    <w:rsid w:val="000663EB"/>
    <w:rsid w:val="000703A8"/>
    <w:rsid w:val="00072883"/>
    <w:rsid w:val="00073617"/>
    <w:rsid w:val="00074918"/>
    <w:rsid w:val="00074E0F"/>
    <w:rsid w:val="000753A1"/>
    <w:rsid w:val="00076255"/>
    <w:rsid w:val="00080BD8"/>
    <w:rsid w:val="00082ADA"/>
    <w:rsid w:val="00082E32"/>
    <w:rsid w:val="00082F98"/>
    <w:rsid w:val="000830C9"/>
    <w:rsid w:val="0008470C"/>
    <w:rsid w:val="0008503B"/>
    <w:rsid w:val="000860C6"/>
    <w:rsid w:val="0009092A"/>
    <w:rsid w:val="000910BE"/>
    <w:rsid w:val="00091662"/>
    <w:rsid w:val="00091773"/>
    <w:rsid w:val="00093564"/>
    <w:rsid w:val="00093A26"/>
    <w:rsid w:val="00093B9D"/>
    <w:rsid w:val="00093DAE"/>
    <w:rsid w:val="00094270"/>
    <w:rsid w:val="0009455C"/>
    <w:rsid w:val="000949C9"/>
    <w:rsid w:val="00096DA4"/>
    <w:rsid w:val="000A1078"/>
    <w:rsid w:val="000A227D"/>
    <w:rsid w:val="000A3458"/>
    <w:rsid w:val="000A5C34"/>
    <w:rsid w:val="000A5DD5"/>
    <w:rsid w:val="000A5EC1"/>
    <w:rsid w:val="000A7341"/>
    <w:rsid w:val="000A7563"/>
    <w:rsid w:val="000B1362"/>
    <w:rsid w:val="000B1DA3"/>
    <w:rsid w:val="000B2226"/>
    <w:rsid w:val="000B4B7A"/>
    <w:rsid w:val="000B643E"/>
    <w:rsid w:val="000C23A4"/>
    <w:rsid w:val="000C25E2"/>
    <w:rsid w:val="000C2ADD"/>
    <w:rsid w:val="000C30DC"/>
    <w:rsid w:val="000C376B"/>
    <w:rsid w:val="000C3FB3"/>
    <w:rsid w:val="000C4707"/>
    <w:rsid w:val="000C47B0"/>
    <w:rsid w:val="000C4A52"/>
    <w:rsid w:val="000C4CDF"/>
    <w:rsid w:val="000C64E9"/>
    <w:rsid w:val="000C77C6"/>
    <w:rsid w:val="000C7DAE"/>
    <w:rsid w:val="000C7DBA"/>
    <w:rsid w:val="000C7F38"/>
    <w:rsid w:val="000D1198"/>
    <w:rsid w:val="000D1D4E"/>
    <w:rsid w:val="000D2D8E"/>
    <w:rsid w:val="000D33ED"/>
    <w:rsid w:val="000D4CC7"/>
    <w:rsid w:val="000D50B1"/>
    <w:rsid w:val="000D5CDD"/>
    <w:rsid w:val="000D7078"/>
    <w:rsid w:val="000D733B"/>
    <w:rsid w:val="000D74D1"/>
    <w:rsid w:val="000E0F4C"/>
    <w:rsid w:val="000E1AF1"/>
    <w:rsid w:val="000E1B2E"/>
    <w:rsid w:val="000E1EEC"/>
    <w:rsid w:val="000E2C40"/>
    <w:rsid w:val="000E2CDC"/>
    <w:rsid w:val="000E38AE"/>
    <w:rsid w:val="000E3A5E"/>
    <w:rsid w:val="000E4D29"/>
    <w:rsid w:val="000E5C52"/>
    <w:rsid w:val="000E5D51"/>
    <w:rsid w:val="000E60B8"/>
    <w:rsid w:val="000E76A9"/>
    <w:rsid w:val="000F0764"/>
    <w:rsid w:val="000F1738"/>
    <w:rsid w:val="000F41CD"/>
    <w:rsid w:val="000F48F8"/>
    <w:rsid w:val="000F4ECA"/>
    <w:rsid w:val="000F50B0"/>
    <w:rsid w:val="000F7686"/>
    <w:rsid w:val="000F796D"/>
    <w:rsid w:val="00100046"/>
    <w:rsid w:val="00101174"/>
    <w:rsid w:val="00103601"/>
    <w:rsid w:val="00103A05"/>
    <w:rsid w:val="00103D1D"/>
    <w:rsid w:val="00104399"/>
    <w:rsid w:val="00104D58"/>
    <w:rsid w:val="00106386"/>
    <w:rsid w:val="001063C5"/>
    <w:rsid w:val="00106E56"/>
    <w:rsid w:val="00106F22"/>
    <w:rsid w:val="00110642"/>
    <w:rsid w:val="00111A7B"/>
    <w:rsid w:val="00111D67"/>
    <w:rsid w:val="00113487"/>
    <w:rsid w:val="00113F6B"/>
    <w:rsid w:val="00114134"/>
    <w:rsid w:val="00114C8B"/>
    <w:rsid w:val="001160AD"/>
    <w:rsid w:val="001168A2"/>
    <w:rsid w:val="001201F7"/>
    <w:rsid w:val="00120BB1"/>
    <w:rsid w:val="001218E5"/>
    <w:rsid w:val="00121C28"/>
    <w:rsid w:val="00122054"/>
    <w:rsid w:val="0012210A"/>
    <w:rsid w:val="0012355B"/>
    <w:rsid w:val="00124D70"/>
    <w:rsid w:val="00125571"/>
    <w:rsid w:val="00125866"/>
    <w:rsid w:val="00126731"/>
    <w:rsid w:val="001301A3"/>
    <w:rsid w:val="0013040F"/>
    <w:rsid w:val="00130795"/>
    <w:rsid w:val="00131E54"/>
    <w:rsid w:val="001348CF"/>
    <w:rsid w:val="00134CF1"/>
    <w:rsid w:val="00135FDA"/>
    <w:rsid w:val="00136C9E"/>
    <w:rsid w:val="0014326D"/>
    <w:rsid w:val="001432EE"/>
    <w:rsid w:val="001440E4"/>
    <w:rsid w:val="001455A2"/>
    <w:rsid w:val="001463C6"/>
    <w:rsid w:val="0015034F"/>
    <w:rsid w:val="001505E7"/>
    <w:rsid w:val="00150FFB"/>
    <w:rsid w:val="001519D4"/>
    <w:rsid w:val="0015281C"/>
    <w:rsid w:val="001544A6"/>
    <w:rsid w:val="00154F7F"/>
    <w:rsid w:val="001563CC"/>
    <w:rsid w:val="0016128D"/>
    <w:rsid w:val="00161464"/>
    <w:rsid w:val="00161A41"/>
    <w:rsid w:val="00161C70"/>
    <w:rsid w:val="001623AF"/>
    <w:rsid w:val="00163C07"/>
    <w:rsid w:val="0016545B"/>
    <w:rsid w:val="00166638"/>
    <w:rsid w:val="00172E9E"/>
    <w:rsid w:val="00174EAC"/>
    <w:rsid w:val="00181596"/>
    <w:rsid w:val="00184743"/>
    <w:rsid w:val="00184D8B"/>
    <w:rsid w:val="001875BA"/>
    <w:rsid w:val="001875ED"/>
    <w:rsid w:val="00190003"/>
    <w:rsid w:val="00190E9B"/>
    <w:rsid w:val="0019168F"/>
    <w:rsid w:val="00192229"/>
    <w:rsid w:val="00193446"/>
    <w:rsid w:val="00193C6E"/>
    <w:rsid w:val="00194D65"/>
    <w:rsid w:val="00195068"/>
    <w:rsid w:val="00195C63"/>
    <w:rsid w:val="00196F51"/>
    <w:rsid w:val="0019764D"/>
    <w:rsid w:val="0019795D"/>
    <w:rsid w:val="001A1092"/>
    <w:rsid w:val="001A18F6"/>
    <w:rsid w:val="001A2427"/>
    <w:rsid w:val="001A28AF"/>
    <w:rsid w:val="001A2BC3"/>
    <w:rsid w:val="001A5C42"/>
    <w:rsid w:val="001A6623"/>
    <w:rsid w:val="001A6A14"/>
    <w:rsid w:val="001A7E28"/>
    <w:rsid w:val="001B2456"/>
    <w:rsid w:val="001B4A0E"/>
    <w:rsid w:val="001B50FA"/>
    <w:rsid w:val="001B5746"/>
    <w:rsid w:val="001B6602"/>
    <w:rsid w:val="001B7BA9"/>
    <w:rsid w:val="001C055D"/>
    <w:rsid w:val="001C16E5"/>
    <w:rsid w:val="001C3D29"/>
    <w:rsid w:val="001C5134"/>
    <w:rsid w:val="001C65FD"/>
    <w:rsid w:val="001C7A9F"/>
    <w:rsid w:val="001D078C"/>
    <w:rsid w:val="001D0FAB"/>
    <w:rsid w:val="001D1699"/>
    <w:rsid w:val="001D21D7"/>
    <w:rsid w:val="001D254A"/>
    <w:rsid w:val="001D33BA"/>
    <w:rsid w:val="001D3642"/>
    <w:rsid w:val="001D472E"/>
    <w:rsid w:val="001D660E"/>
    <w:rsid w:val="001D6BE3"/>
    <w:rsid w:val="001D6FF4"/>
    <w:rsid w:val="001D7398"/>
    <w:rsid w:val="001E11E0"/>
    <w:rsid w:val="001E158E"/>
    <w:rsid w:val="001E3362"/>
    <w:rsid w:val="001E3A91"/>
    <w:rsid w:val="001E44CE"/>
    <w:rsid w:val="001E59FF"/>
    <w:rsid w:val="001E7210"/>
    <w:rsid w:val="001F04BE"/>
    <w:rsid w:val="001F0F9B"/>
    <w:rsid w:val="001F13E2"/>
    <w:rsid w:val="001F23D0"/>
    <w:rsid w:val="001F24AD"/>
    <w:rsid w:val="001F4CC1"/>
    <w:rsid w:val="001F5C06"/>
    <w:rsid w:val="001F7EA3"/>
    <w:rsid w:val="00201903"/>
    <w:rsid w:val="00203701"/>
    <w:rsid w:val="00205C73"/>
    <w:rsid w:val="00206149"/>
    <w:rsid w:val="00207CCF"/>
    <w:rsid w:val="0021103C"/>
    <w:rsid w:val="002111ED"/>
    <w:rsid w:val="00211972"/>
    <w:rsid w:val="00213C05"/>
    <w:rsid w:val="00215062"/>
    <w:rsid w:val="002165A2"/>
    <w:rsid w:val="00217097"/>
    <w:rsid w:val="00217958"/>
    <w:rsid w:val="002209FD"/>
    <w:rsid w:val="00222127"/>
    <w:rsid w:val="00226047"/>
    <w:rsid w:val="0022673B"/>
    <w:rsid w:val="002271E0"/>
    <w:rsid w:val="0023103C"/>
    <w:rsid w:val="002317E3"/>
    <w:rsid w:val="002331B5"/>
    <w:rsid w:val="002338FC"/>
    <w:rsid w:val="002342AF"/>
    <w:rsid w:val="00234BDE"/>
    <w:rsid w:val="0023648C"/>
    <w:rsid w:val="002366A5"/>
    <w:rsid w:val="002374A2"/>
    <w:rsid w:val="0024057C"/>
    <w:rsid w:val="00241371"/>
    <w:rsid w:val="002420FB"/>
    <w:rsid w:val="00243FA2"/>
    <w:rsid w:val="00244462"/>
    <w:rsid w:val="0025067A"/>
    <w:rsid w:val="00250E1F"/>
    <w:rsid w:val="002527D7"/>
    <w:rsid w:val="00252D6A"/>
    <w:rsid w:val="00252E9E"/>
    <w:rsid w:val="00253470"/>
    <w:rsid w:val="0025505D"/>
    <w:rsid w:val="00255AE9"/>
    <w:rsid w:val="00260162"/>
    <w:rsid w:val="0026075C"/>
    <w:rsid w:val="00262745"/>
    <w:rsid w:val="00262D4C"/>
    <w:rsid w:val="00266736"/>
    <w:rsid w:val="00271736"/>
    <w:rsid w:val="002717C5"/>
    <w:rsid w:val="0027277B"/>
    <w:rsid w:val="00280336"/>
    <w:rsid w:val="002823D7"/>
    <w:rsid w:val="00283E9F"/>
    <w:rsid w:val="00284093"/>
    <w:rsid w:val="00284C10"/>
    <w:rsid w:val="00284F11"/>
    <w:rsid w:val="00285342"/>
    <w:rsid w:val="00290E0D"/>
    <w:rsid w:val="00291307"/>
    <w:rsid w:val="00291979"/>
    <w:rsid w:val="00291A7E"/>
    <w:rsid w:val="002935E0"/>
    <w:rsid w:val="00294B3C"/>
    <w:rsid w:val="002952D3"/>
    <w:rsid w:val="002A0125"/>
    <w:rsid w:val="002A08E0"/>
    <w:rsid w:val="002A16C0"/>
    <w:rsid w:val="002A39B0"/>
    <w:rsid w:val="002A7EBF"/>
    <w:rsid w:val="002B0F49"/>
    <w:rsid w:val="002B117E"/>
    <w:rsid w:val="002B2DAC"/>
    <w:rsid w:val="002B315A"/>
    <w:rsid w:val="002B3254"/>
    <w:rsid w:val="002B3565"/>
    <w:rsid w:val="002B399D"/>
    <w:rsid w:val="002B3C4F"/>
    <w:rsid w:val="002B406A"/>
    <w:rsid w:val="002B4199"/>
    <w:rsid w:val="002B4E66"/>
    <w:rsid w:val="002B5146"/>
    <w:rsid w:val="002B6012"/>
    <w:rsid w:val="002C0F33"/>
    <w:rsid w:val="002C4128"/>
    <w:rsid w:val="002C45A7"/>
    <w:rsid w:val="002C566F"/>
    <w:rsid w:val="002C5C02"/>
    <w:rsid w:val="002C7406"/>
    <w:rsid w:val="002D15EF"/>
    <w:rsid w:val="002D2DCA"/>
    <w:rsid w:val="002D30AA"/>
    <w:rsid w:val="002D32B6"/>
    <w:rsid w:val="002D3706"/>
    <w:rsid w:val="002D40C0"/>
    <w:rsid w:val="002D4A93"/>
    <w:rsid w:val="002D6380"/>
    <w:rsid w:val="002D6698"/>
    <w:rsid w:val="002D6E31"/>
    <w:rsid w:val="002E041F"/>
    <w:rsid w:val="002E0645"/>
    <w:rsid w:val="002E2061"/>
    <w:rsid w:val="002E2B10"/>
    <w:rsid w:val="002E68AF"/>
    <w:rsid w:val="002F1078"/>
    <w:rsid w:val="002F19BF"/>
    <w:rsid w:val="002F2065"/>
    <w:rsid w:val="002F4D00"/>
    <w:rsid w:val="002F5EA2"/>
    <w:rsid w:val="002F7F41"/>
    <w:rsid w:val="00300B56"/>
    <w:rsid w:val="00302415"/>
    <w:rsid w:val="00303110"/>
    <w:rsid w:val="003037ED"/>
    <w:rsid w:val="003039A2"/>
    <w:rsid w:val="0030480F"/>
    <w:rsid w:val="00310373"/>
    <w:rsid w:val="003110DE"/>
    <w:rsid w:val="00311164"/>
    <w:rsid w:val="00312CDE"/>
    <w:rsid w:val="00313643"/>
    <w:rsid w:val="003138DD"/>
    <w:rsid w:val="00315E4F"/>
    <w:rsid w:val="0031608B"/>
    <w:rsid w:val="00316EF5"/>
    <w:rsid w:val="00317FBE"/>
    <w:rsid w:val="00320AC1"/>
    <w:rsid w:val="003218A1"/>
    <w:rsid w:val="00321C82"/>
    <w:rsid w:val="00322A37"/>
    <w:rsid w:val="00322DD0"/>
    <w:rsid w:val="00323541"/>
    <w:rsid w:val="0032532D"/>
    <w:rsid w:val="00326757"/>
    <w:rsid w:val="003301E1"/>
    <w:rsid w:val="00330842"/>
    <w:rsid w:val="00331890"/>
    <w:rsid w:val="003323BB"/>
    <w:rsid w:val="00333835"/>
    <w:rsid w:val="0033499A"/>
    <w:rsid w:val="00335C0F"/>
    <w:rsid w:val="00337D15"/>
    <w:rsid w:val="00337F33"/>
    <w:rsid w:val="00337FAD"/>
    <w:rsid w:val="0034002D"/>
    <w:rsid w:val="00340CE3"/>
    <w:rsid w:val="00343FFC"/>
    <w:rsid w:val="003447E6"/>
    <w:rsid w:val="00344B01"/>
    <w:rsid w:val="00346625"/>
    <w:rsid w:val="003507A1"/>
    <w:rsid w:val="00350931"/>
    <w:rsid w:val="00352654"/>
    <w:rsid w:val="00352C3B"/>
    <w:rsid w:val="00353F2F"/>
    <w:rsid w:val="00354172"/>
    <w:rsid w:val="003552EB"/>
    <w:rsid w:val="00356E2B"/>
    <w:rsid w:val="00361620"/>
    <w:rsid w:val="00361BA9"/>
    <w:rsid w:val="0036212B"/>
    <w:rsid w:val="003622FD"/>
    <w:rsid w:val="003631EC"/>
    <w:rsid w:val="0036386C"/>
    <w:rsid w:val="003647CD"/>
    <w:rsid w:val="00364953"/>
    <w:rsid w:val="00364DF5"/>
    <w:rsid w:val="00366208"/>
    <w:rsid w:val="003675C0"/>
    <w:rsid w:val="00367EAA"/>
    <w:rsid w:val="003716A8"/>
    <w:rsid w:val="00374180"/>
    <w:rsid w:val="00374501"/>
    <w:rsid w:val="00375092"/>
    <w:rsid w:val="003766CA"/>
    <w:rsid w:val="0038014A"/>
    <w:rsid w:val="00380576"/>
    <w:rsid w:val="00382899"/>
    <w:rsid w:val="00383A6D"/>
    <w:rsid w:val="0038746F"/>
    <w:rsid w:val="00387710"/>
    <w:rsid w:val="003900C9"/>
    <w:rsid w:val="0039271C"/>
    <w:rsid w:val="003933C1"/>
    <w:rsid w:val="00393D9E"/>
    <w:rsid w:val="00394AE4"/>
    <w:rsid w:val="0039506D"/>
    <w:rsid w:val="00396582"/>
    <w:rsid w:val="003978CF"/>
    <w:rsid w:val="003A28F9"/>
    <w:rsid w:val="003A36EA"/>
    <w:rsid w:val="003A417B"/>
    <w:rsid w:val="003A5D44"/>
    <w:rsid w:val="003B01FD"/>
    <w:rsid w:val="003B1490"/>
    <w:rsid w:val="003B1B3A"/>
    <w:rsid w:val="003B2483"/>
    <w:rsid w:val="003B3BFE"/>
    <w:rsid w:val="003B3E6C"/>
    <w:rsid w:val="003B40D1"/>
    <w:rsid w:val="003B456B"/>
    <w:rsid w:val="003B55D1"/>
    <w:rsid w:val="003B6482"/>
    <w:rsid w:val="003C0484"/>
    <w:rsid w:val="003C129F"/>
    <w:rsid w:val="003C1310"/>
    <w:rsid w:val="003C15B0"/>
    <w:rsid w:val="003C1B52"/>
    <w:rsid w:val="003C334A"/>
    <w:rsid w:val="003C34D9"/>
    <w:rsid w:val="003C3BB7"/>
    <w:rsid w:val="003C3E27"/>
    <w:rsid w:val="003C5292"/>
    <w:rsid w:val="003C53DF"/>
    <w:rsid w:val="003C6DB3"/>
    <w:rsid w:val="003C77DB"/>
    <w:rsid w:val="003D02C4"/>
    <w:rsid w:val="003D0D67"/>
    <w:rsid w:val="003D1298"/>
    <w:rsid w:val="003D2AAC"/>
    <w:rsid w:val="003D3AAC"/>
    <w:rsid w:val="003D3AF7"/>
    <w:rsid w:val="003D774D"/>
    <w:rsid w:val="003D7A45"/>
    <w:rsid w:val="003D7A76"/>
    <w:rsid w:val="003E1AB9"/>
    <w:rsid w:val="003E3378"/>
    <w:rsid w:val="003E49C9"/>
    <w:rsid w:val="003E65C3"/>
    <w:rsid w:val="003F01BE"/>
    <w:rsid w:val="003F1434"/>
    <w:rsid w:val="003F252C"/>
    <w:rsid w:val="003F59E3"/>
    <w:rsid w:val="003F6BE6"/>
    <w:rsid w:val="00400C15"/>
    <w:rsid w:val="00403ACE"/>
    <w:rsid w:val="00403EFA"/>
    <w:rsid w:val="00412710"/>
    <w:rsid w:val="004145F3"/>
    <w:rsid w:val="00414A96"/>
    <w:rsid w:val="00415204"/>
    <w:rsid w:val="00415227"/>
    <w:rsid w:val="0041547B"/>
    <w:rsid w:val="00415C6C"/>
    <w:rsid w:val="004165F1"/>
    <w:rsid w:val="00416882"/>
    <w:rsid w:val="00416F85"/>
    <w:rsid w:val="00420C56"/>
    <w:rsid w:val="00420EF5"/>
    <w:rsid w:val="00421B06"/>
    <w:rsid w:val="004229C1"/>
    <w:rsid w:val="00423318"/>
    <w:rsid w:val="00423E3D"/>
    <w:rsid w:val="00424543"/>
    <w:rsid w:val="004248CD"/>
    <w:rsid w:val="00424EF5"/>
    <w:rsid w:val="00424FA0"/>
    <w:rsid w:val="00425BEF"/>
    <w:rsid w:val="0043047C"/>
    <w:rsid w:val="004320C0"/>
    <w:rsid w:val="00432BE9"/>
    <w:rsid w:val="00432EDC"/>
    <w:rsid w:val="004335BF"/>
    <w:rsid w:val="00433973"/>
    <w:rsid w:val="004348E4"/>
    <w:rsid w:val="0043544A"/>
    <w:rsid w:val="0044009B"/>
    <w:rsid w:val="00443D8E"/>
    <w:rsid w:val="004462E4"/>
    <w:rsid w:val="004477F2"/>
    <w:rsid w:val="00447BA1"/>
    <w:rsid w:val="004508C4"/>
    <w:rsid w:val="004516AA"/>
    <w:rsid w:val="004517E2"/>
    <w:rsid w:val="004522AF"/>
    <w:rsid w:val="004535D4"/>
    <w:rsid w:val="00454508"/>
    <w:rsid w:val="00456070"/>
    <w:rsid w:val="00456F7B"/>
    <w:rsid w:val="00457F25"/>
    <w:rsid w:val="0046135C"/>
    <w:rsid w:val="004634BC"/>
    <w:rsid w:val="00464E90"/>
    <w:rsid w:val="0046601E"/>
    <w:rsid w:val="00467DAD"/>
    <w:rsid w:val="00470A5A"/>
    <w:rsid w:val="00470FA5"/>
    <w:rsid w:val="004713AE"/>
    <w:rsid w:val="0047276A"/>
    <w:rsid w:val="00475C96"/>
    <w:rsid w:val="00483D67"/>
    <w:rsid w:val="00483F08"/>
    <w:rsid w:val="00484ADA"/>
    <w:rsid w:val="004850EC"/>
    <w:rsid w:val="00486A32"/>
    <w:rsid w:val="00486FAE"/>
    <w:rsid w:val="004925BC"/>
    <w:rsid w:val="00493296"/>
    <w:rsid w:val="00493C9B"/>
    <w:rsid w:val="00493D70"/>
    <w:rsid w:val="004953BD"/>
    <w:rsid w:val="00495501"/>
    <w:rsid w:val="00495D6A"/>
    <w:rsid w:val="004964B2"/>
    <w:rsid w:val="004964E8"/>
    <w:rsid w:val="004A163B"/>
    <w:rsid w:val="004A2D2F"/>
    <w:rsid w:val="004A48A9"/>
    <w:rsid w:val="004B1280"/>
    <w:rsid w:val="004B19E8"/>
    <w:rsid w:val="004B1DDA"/>
    <w:rsid w:val="004B2B9C"/>
    <w:rsid w:val="004B5263"/>
    <w:rsid w:val="004C007E"/>
    <w:rsid w:val="004C0443"/>
    <w:rsid w:val="004C0D60"/>
    <w:rsid w:val="004C17D4"/>
    <w:rsid w:val="004C1E79"/>
    <w:rsid w:val="004C23A9"/>
    <w:rsid w:val="004C5760"/>
    <w:rsid w:val="004D0982"/>
    <w:rsid w:val="004D0B6F"/>
    <w:rsid w:val="004D4055"/>
    <w:rsid w:val="004D5467"/>
    <w:rsid w:val="004D7D8F"/>
    <w:rsid w:val="004E331D"/>
    <w:rsid w:val="004E346A"/>
    <w:rsid w:val="004E4924"/>
    <w:rsid w:val="004E64E5"/>
    <w:rsid w:val="004E7D10"/>
    <w:rsid w:val="004F1CC1"/>
    <w:rsid w:val="004F2E90"/>
    <w:rsid w:val="004F46E6"/>
    <w:rsid w:val="005005C6"/>
    <w:rsid w:val="00501854"/>
    <w:rsid w:val="00501BC8"/>
    <w:rsid w:val="005050E6"/>
    <w:rsid w:val="00506282"/>
    <w:rsid w:val="0050629D"/>
    <w:rsid w:val="005064B6"/>
    <w:rsid w:val="005071DD"/>
    <w:rsid w:val="00512F83"/>
    <w:rsid w:val="0051485A"/>
    <w:rsid w:val="00516A01"/>
    <w:rsid w:val="00516AD5"/>
    <w:rsid w:val="005174EB"/>
    <w:rsid w:val="00521231"/>
    <w:rsid w:val="0052200D"/>
    <w:rsid w:val="00523BDB"/>
    <w:rsid w:val="00523C8C"/>
    <w:rsid w:val="00523ED6"/>
    <w:rsid w:val="005244EB"/>
    <w:rsid w:val="00526D8E"/>
    <w:rsid w:val="00527DEC"/>
    <w:rsid w:val="00527E28"/>
    <w:rsid w:val="0053086C"/>
    <w:rsid w:val="00531181"/>
    <w:rsid w:val="00533965"/>
    <w:rsid w:val="00534447"/>
    <w:rsid w:val="0053550C"/>
    <w:rsid w:val="00536664"/>
    <w:rsid w:val="0053700A"/>
    <w:rsid w:val="005379BC"/>
    <w:rsid w:val="00537EF3"/>
    <w:rsid w:val="00540E34"/>
    <w:rsid w:val="005417BF"/>
    <w:rsid w:val="005423D1"/>
    <w:rsid w:val="00543798"/>
    <w:rsid w:val="00543E3D"/>
    <w:rsid w:val="00544CB4"/>
    <w:rsid w:val="00545471"/>
    <w:rsid w:val="00550182"/>
    <w:rsid w:val="00551A7F"/>
    <w:rsid w:val="00551C54"/>
    <w:rsid w:val="0055519F"/>
    <w:rsid w:val="00556F5F"/>
    <w:rsid w:val="00557E2E"/>
    <w:rsid w:val="00557E9F"/>
    <w:rsid w:val="00557FCE"/>
    <w:rsid w:val="005604F1"/>
    <w:rsid w:val="00560FDC"/>
    <w:rsid w:val="0056293F"/>
    <w:rsid w:val="00562972"/>
    <w:rsid w:val="005646A7"/>
    <w:rsid w:val="005662D3"/>
    <w:rsid w:val="00567CD5"/>
    <w:rsid w:val="00571DEC"/>
    <w:rsid w:val="005751FA"/>
    <w:rsid w:val="0057582C"/>
    <w:rsid w:val="0057664D"/>
    <w:rsid w:val="00577FA3"/>
    <w:rsid w:val="00581D33"/>
    <w:rsid w:val="00582783"/>
    <w:rsid w:val="00583984"/>
    <w:rsid w:val="00584040"/>
    <w:rsid w:val="005866C3"/>
    <w:rsid w:val="00586FE5"/>
    <w:rsid w:val="00590CAB"/>
    <w:rsid w:val="00591463"/>
    <w:rsid w:val="00591AB0"/>
    <w:rsid w:val="00592226"/>
    <w:rsid w:val="005937D7"/>
    <w:rsid w:val="00594E45"/>
    <w:rsid w:val="005950DF"/>
    <w:rsid w:val="00596C04"/>
    <w:rsid w:val="00597190"/>
    <w:rsid w:val="005975FF"/>
    <w:rsid w:val="005A0F06"/>
    <w:rsid w:val="005A118C"/>
    <w:rsid w:val="005A1D1C"/>
    <w:rsid w:val="005A25FE"/>
    <w:rsid w:val="005A6BFB"/>
    <w:rsid w:val="005A6CD2"/>
    <w:rsid w:val="005A769E"/>
    <w:rsid w:val="005A783B"/>
    <w:rsid w:val="005B13A1"/>
    <w:rsid w:val="005B1ECF"/>
    <w:rsid w:val="005B79DD"/>
    <w:rsid w:val="005C0E3F"/>
    <w:rsid w:val="005C1801"/>
    <w:rsid w:val="005C1903"/>
    <w:rsid w:val="005C221F"/>
    <w:rsid w:val="005C404C"/>
    <w:rsid w:val="005C4156"/>
    <w:rsid w:val="005C51BA"/>
    <w:rsid w:val="005C6AAF"/>
    <w:rsid w:val="005C74DF"/>
    <w:rsid w:val="005C753D"/>
    <w:rsid w:val="005C7A32"/>
    <w:rsid w:val="005C7B2E"/>
    <w:rsid w:val="005D02FD"/>
    <w:rsid w:val="005D047B"/>
    <w:rsid w:val="005D2AF6"/>
    <w:rsid w:val="005D34AE"/>
    <w:rsid w:val="005D4DBA"/>
    <w:rsid w:val="005D5A38"/>
    <w:rsid w:val="005D60EA"/>
    <w:rsid w:val="005D7D35"/>
    <w:rsid w:val="005E1235"/>
    <w:rsid w:val="005E1771"/>
    <w:rsid w:val="005E33D9"/>
    <w:rsid w:val="005E39C8"/>
    <w:rsid w:val="005E49C7"/>
    <w:rsid w:val="005E4FFF"/>
    <w:rsid w:val="005E5442"/>
    <w:rsid w:val="005E7C4C"/>
    <w:rsid w:val="005F0FA8"/>
    <w:rsid w:val="005F11F1"/>
    <w:rsid w:val="005F364C"/>
    <w:rsid w:val="005F373F"/>
    <w:rsid w:val="005F3A3A"/>
    <w:rsid w:val="005F3BA4"/>
    <w:rsid w:val="005F3D40"/>
    <w:rsid w:val="005F40D9"/>
    <w:rsid w:val="005F434E"/>
    <w:rsid w:val="005F64A4"/>
    <w:rsid w:val="005F6C66"/>
    <w:rsid w:val="005F7B39"/>
    <w:rsid w:val="005F7C61"/>
    <w:rsid w:val="00600560"/>
    <w:rsid w:val="006029AD"/>
    <w:rsid w:val="006032A0"/>
    <w:rsid w:val="00603442"/>
    <w:rsid w:val="006035BE"/>
    <w:rsid w:val="006040BA"/>
    <w:rsid w:val="006048C4"/>
    <w:rsid w:val="00604B08"/>
    <w:rsid w:val="00605673"/>
    <w:rsid w:val="00607A35"/>
    <w:rsid w:val="006109A5"/>
    <w:rsid w:val="006155B2"/>
    <w:rsid w:val="0061659D"/>
    <w:rsid w:val="0061738F"/>
    <w:rsid w:val="006202A2"/>
    <w:rsid w:val="00620A80"/>
    <w:rsid w:val="006218C1"/>
    <w:rsid w:val="0062190B"/>
    <w:rsid w:val="00626272"/>
    <w:rsid w:val="006275F3"/>
    <w:rsid w:val="006315A0"/>
    <w:rsid w:val="0063203A"/>
    <w:rsid w:val="00632E3A"/>
    <w:rsid w:val="006349A8"/>
    <w:rsid w:val="006378EF"/>
    <w:rsid w:val="006402EB"/>
    <w:rsid w:val="00643A37"/>
    <w:rsid w:val="006440B8"/>
    <w:rsid w:val="00645748"/>
    <w:rsid w:val="00646277"/>
    <w:rsid w:val="00646599"/>
    <w:rsid w:val="00646DB7"/>
    <w:rsid w:val="00646E7E"/>
    <w:rsid w:val="00650CBC"/>
    <w:rsid w:val="00651515"/>
    <w:rsid w:val="006522E2"/>
    <w:rsid w:val="00652D6C"/>
    <w:rsid w:val="00653FA9"/>
    <w:rsid w:val="00654B76"/>
    <w:rsid w:val="006569BE"/>
    <w:rsid w:val="006572C7"/>
    <w:rsid w:val="00660928"/>
    <w:rsid w:val="00661D8B"/>
    <w:rsid w:val="0066215C"/>
    <w:rsid w:val="0066297B"/>
    <w:rsid w:val="00663E56"/>
    <w:rsid w:val="00666DB7"/>
    <w:rsid w:val="006715F2"/>
    <w:rsid w:val="00671E1F"/>
    <w:rsid w:val="0067421B"/>
    <w:rsid w:val="006755C4"/>
    <w:rsid w:val="00677AEE"/>
    <w:rsid w:val="00677C1F"/>
    <w:rsid w:val="00677F2D"/>
    <w:rsid w:val="00681788"/>
    <w:rsid w:val="0068225F"/>
    <w:rsid w:val="00682F07"/>
    <w:rsid w:val="00684034"/>
    <w:rsid w:val="00687823"/>
    <w:rsid w:val="00687A60"/>
    <w:rsid w:val="006916B1"/>
    <w:rsid w:val="006922FC"/>
    <w:rsid w:val="006924FD"/>
    <w:rsid w:val="00692A6F"/>
    <w:rsid w:val="006936D7"/>
    <w:rsid w:val="00693F23"/>
    <w:rsid w:val="00694881"/>
    <w:rsid w:val="006960F5"/>
    <w:rsid w:val="0069709A"/>
    <w:rsid w:val="00697398"/>
    <w:rsid w:val="006A0F47"/>
    <w:rsid w:val="006A1532"/>
    <w:rsid w:val="006A3145"/>
    <w:rsid w:val="006A3901"/>
    <w:rsid w:val="006A3EEF"/>
    <w:rsid w:val="006A4318"/>
    <w:rsid w:val="006A4B4A"/>
    <w:rsid w:val="006A5840"/>
    <w:rsid w:val="006A69FD"/>
    <w:rsid w:val="006A7D91"/>
    <w:rsid w:val="006B1E86"/>
    <w:rsid w:val="006B27A6"/>
    <w:rsid w:val="006B2E04"/>
    <w:rsid w:val="006B324F"/>
    <w:rsid w:val="006B3DA1"/>
    <w:rsid w:val="006C2C3F"/>
    <w:rsid w:val="006C351D"/>
    <w:rsid w:val="006C3D75"/>
    <w:rsid w:val="006C5449"/>
    <w:rsid w:val="006C5722"/>
    <w:rsid w:val="006C6698"/>
    <w:rsid w:val="006D2FB9"/>
    <w:rsid w:val="006D364A"/>
    <w:rsid w:val="006D4FF3"/>
    <w:rsid w:val="006D50EC"/>
    <w:rsid w:val="006D55EC"/>
    <w:rsid w:val="006D6DEF"/>
    <w:rsid w:val="006D7709"/>
    <w:rsid w:val="006E1E68"/>
    <w:rsid w:val="006E2585"/>
    <w:rsid w:val="006E2C07"/>
    <w:rsid w:val="006E5766"/>
    <w:rsid w:val="006E6F54"/>
    <w:rsid w:val="006F0808"/>
    <w:rsid w:val="006F3746"/>
    <w:rsid w:val="006F381A"/>
    <w:rsid w:val="006F447A"/>
    <w:rsid w:val="006F6CFA"/>
    <w:rsid w:val="006F6E38"/>
    <w:rsid w:val="006F6F40"/>
    <w:rsid w:val="006F7210"/>
    <w:rsid w:val="00702C8E"/>
    <w:rsid w:val="007032DF"/>
    <w:rsid w:val="00704513"/>
    <w:rsid w:val="00705CC0"/>
    <w:rsid w:val="00705CEF"/>
    <w:rsid w:val="00706E99"/>
    <w:rsid w:val="00710B54"/>
    <w:rsid w:val="00711548"/>
    <w:rsid w:val="007115EB"/>
    <w:rsid w:val="00711A6E"/>
    <w:rsid w:val="00711C39"/>
    <w:rsid w:val="00712909"/>
    <w:rsid w:val="00712DE6"/>
    <w:rsid w:val="00714D1B"/>
    <w:rsid w:val="007156E5"/>
    <w:rsid w:val="00716A64"/>
    <w:rsid w:val="00721F5E"/>
    <w:rsid w:val="0072270A"/>
    <w:rsid w:val="007255FD"/>
    <w:rsid w:val="00733780"/>
    <w:rsid w:val="007337F9"/>
    <w:rsid w:val="00733966"/>
    <w:rsid w:val="00734370"/>
    <w:rsid w:val="007347E9"/>
    <w:rsid w:val="007348D3"/>
    <w:rsid w:val="0073547A"/>
    <w:rsid w:val="007363B0"/>
    <w:rsid w:val="0073660C"/>
    <w:rsid w:val="0074016D"/>
    <w:rsid w:val="0074126C"/>
    <w:rsid w:val="0074142D"/>
    <w:rsid w:val="00741E7E"/>
    <w:rsid w:val="0074386C"/>
    <w:rsid w:val="00744C01"/>
    <w:rsid w:val="007454BA"/>
    <w:rsid w:val="00745599"/>
    <w:rsid w:val="00746551"/>
    <w:rsid w:val="007522B1"/>
    <w:rsid w:val="00752915"/>
    <w:rsid w:val="00752F33"/>
    <w:rsid w:val="00760B25"/>
    <w:rsid w:val="00762CB8"/>
    <w:rsid w:val="00763194"/>
    <w:rsid w:val="007640B2"/>
    <w:rsid w:val="00765B02"/>
    <w:rsid w:val="00766725"/>
    <w:rsid w:val="007709C5"/>
    <w:rsid w:val="0077549D"/>
    <w:rsid w:val="00775AF0"/>
    <w:rsid w:val="00776351"/>
    <w:rsid w:val="00777F58"/>
    <w:rsid w:val="00780565"/>
    <w:rsid w:val="007830C0"/>
    <w:rsid w:val="0078442B"/>
    <w:rsid w:val="00784539"/>
    <w:rsid w:val="007846C6"/>
    <w:rsid w:val="00787CA3"/>
    <w:rsid w:val="0079034C"/>
    <w:rsid w:val="0079039E"/>
    <w:rsid w:val="00791470"/>
    <w:rsid w:val="00791F16"/>
    <w:rsid w:val="007928FD"/>
    <w:rsid w:val="00793F1D"/>
    <w:rsid w:val="007942F5"/>
    <w:rsid w:val="00795273"/>
    <w:rsid w:val="00795D7E"/>
    <w:rsid w:val="00795E7A"/>
    <w:rsid w:val="007967A3"/>
    <w:rsid w:val="00797991"/>
    <w:rsid w:val="007A1085"/>
    <w:rsid w:val="007A296B"/>
    <w:rsid w:val="007A297C"/>
    <w:rsid w:val="007A49DA"/>
    <w:rsid w:val="007A60E6"/>
    <w:rsid w:val="007A7097"/>
    <w:rsid w:val="007B032E"/>
    <w:rsid w:val="007B17A7"/>
    <w:rsid w:val="007B1C14"/>
    <w:rsid w:val="007B2A89"/>
    <w:rsid w:val="007B2DAA"/>
    <w:rsid w:val="007B34EC"/>
    <w:rsid w:val="007B3902"/>
    <w:rsid w:val="007B5261"/>
    <w:rsid w:val="007B71CE"/>
    <w:rsid w:val="007C0B94"/>
    <w:rsid w:val="007C1729"/>
    <w:rsid w:val="007C18D3"/>
    <w:rsid w:val="007C19C2"/>
    <w:rsid w:val="007C2915"/>
    <w:rsid w:val="007C3769"/>
    <w:rsid w:val="007C409B"/>
    <w:rsid w:val="007C4110"/>
    <w:rsid w:val="007C72B0"/>
    <w:rsid w:val="007D0F0C"/>
    <w:rsid w:val="007D1B15"/>
    <w:rsid w:val="007D2729"/>
    <w:rsid w:val="007D2B9F"/>
    <w:rsid w:val="007D35A6"/>
    <w:rsid w:val="007D53F3"/>
    <w:rsid w:val="007D6417"/>
    <w:rsid w:val="007D7FF4"/>
    <w:rsid w:val="007E07C9"/>
    <w:rsid w:val="007E1BB0"/>
    <w:rsid w:val="007E22FC"/>
    <w:rsid w:val="007E2EFA"/>
    <w:rsid w:val="007E33A9"/>
    <w:rsid w:val="007E61BC"/>
    <w:rsid w:val="007E7625"/>
    <w:rsid w:val="007E7F1F"/>
    <w:rsid w:val="007F0420"/>
    <w:rsid w:val="007F0970"/>
    <w:rsid w:val="007F1373"/>
    <w:rsid w:val="007F3ED6"/>
    <w:rsid w:val="007F485F"/>
    <w:rsid w:val="007F5390"/>
    <w:rsid w:val="007F59BA"/>
    <w:rsid w:val="007F678D"/>
    <w:rsid w:val="007F7D8C"/>
    <w:rsid w:val="008028ED"/>
    <w:rsid w:val="0081006E"/>
    <w:rsid w:val="00810FBC"/>
    <w:rsid w:val="0081118D"/>
    <w:rsid w:val="0081212F"/>
    <w:rsid w:val="0081316F"/>
    <w:rsid w:val="0081484F"/>
    <w:rsid w:val="00814CDA"/>
    <w:rsid w:val="00815157"/>
    <w:rsid w:val="0081545F"/>
    <w:rsid w:val="008157E4"/>
    <w:rsid w:val="00815F45"/>
    <w:rsid w:val="00817791"/>
    <w:rsid w:val="008211BB"/>
    <w:rsid w:val="00823EBB"/>
    <w:rsid w:val="00823F04"/>
    <w:rsid w:val="00824457"/>
    <w:rsid w:val="00824E6D"/>
    <w:rsid w:val="00825250"/>
    <w:rsid w:val="00825D21"/>
    <w:rsid w:val="00826149"/>
    <w:rsid w:val="0082746C"/>
    <w:rsid w:val="0083089F"/>
    <w:rsid w:val="00832912"/>
    <w:rsid w:val="00834B56"/>
    <w:rsid w:val="0083516A"/>
    <w:rsid w:val="00835623"/>
    <w:rsid w:val="00835851"/>
    <w:rsid w:val="00835A81"/>
    <w:rsid w:val="0083785B"/>
    <w:rsid w:val="00840108"/>
    <w:rsid w:val="00840AAE"/>
    <w:rsid w:val="008418C8"/>
    <w:rsid w:val="008440D4"/>
    <w:rsid w:val="00850892"/>
    <w:rsid w:val="00851F83"/>
    <w:rsid w:val="00854813"/>
    <w:rsid w:val="00854A12"/>
    <w:rsid w:val="00857C85"/>
    <w:rsid w:val="00860293"/>
    <w:rsid w:val="00860837"/>
    <w:rsid w:val="008612EB"/>
    <w:rsid w:val="00861E19"/>
    <w:rsid w:val="00862540"/>
    <w:rsid w:val="008639D1"/>
    <w:rsid w:val="008644EE"/>
    <w:rsid w:val="0086493A"/>
    <w:rsid w:val="008668E3"/>
    <w:rsid w:val="0086691B"/>
    <w:rsid w:val="00866A09"/>
    <w:rsid w:val="00866A66"/>
    <w:rsid w:val="00870A6B"/>
    <w:rsid w:val="0087145C"/>
    <w:rsid w:val="00872479"/>
    <w:rsid w:val="00874437"/>
    <w:rsid w:val="00880CB1"/>
    <w:rsid w:val="00882388"/>
    <w:rsid w:val="008829AF"/>
    <w:rsid w:val="00885109"/>
    <w:rsid w:val="00885DE5"/>
    <w:rsid w:val="00886C70"/>
    <w:rsid w:val="00887DD7"/>
    <w:rsid w:val="008939FF"/>
    <w:rsid w:val="00893DBA"/>
    <w:rsid w:val="00894335"/>
    <w:rsid w:val="00894832"/>
    <w:rsid w:val="008A0B66"/>
    <w:rsid w:val="008A235E"/>
    <w:rsid w:val="008A3211"/>
    <w:rsid w:val="008A350E"/>
    <w:rsid w:val="008A7A9F"/>
    <w:rsid w:val="008B0D4D"/>
    <w:rsid w:val="008B194D"/>
    <w:rsid w:val="008B239F"/>
    <w:rsid w:val="008B36F6"/>
    <w:rsid w:val="008B37DF"/>
    <w:rsid w:val="008B3984"/>
    <w:rsid w:val="008B61CA"/>
    <w:rsid w:val="008C3EA6"/>
    <w:rsid w:val="008C501C"/>
    <w:rsid w:val="008D02B9"/>
    <w:rsid w:val="008D1EB0"/>
    <w:rsid w:val="008D21FC"/>
    <w:rsid w:val="008D484D"/>
    <w:rsid w:val="008D4C84"/>
    <w:rsid w:val="008D7C4E"/>
    <w:rsid w:val="008D7DBB"/>
    <w:rsid w:val="008E0E53"/>
    <w:rsid w:val="008E2892"/>
    <w:rsid w:val="008E3A8C"/>
    <w:rsid w:val="008E7A80"/>
    <w:rsid w:val="008F07BB"/>
    <w:rsid w:val="008F0FDC"/>
    <w:rsid w:val="008F380C"/>
    <w:rsid w:val="008F3F6E"/>
    <w:rsid w:val="008F4541"/>
    <w:rsid w:val="008F4BE3"/>
    <w:rsid w:val="008F7BB4"/>
    <w:rsid w:val="008F7BE6"/>
    <w:rsid w:val="00900336"/>
    <w:rsid w:val="00900C94"/>
    <w:rsid w:val="009016AE"/>
    <w:rsid w:val="009020CB"/>
    <w:rsid w:val="009020F4"/>
    <w:rsid w:val="00902FDE"/>
    <w:rsid w:val="00905B5B"/>
    <w:rsid w:val="0090617E"/>
    <w:rsid w:val="00906C3C"/>
    <w:rsid w:val="00906EC3"/>
    <w:rsid w:val="00907585"/>
    <w:rsid w:val="00910FD4"/>
    <w:rsid w:val="009124F8"/>
    <w:rsid w:val="00914C47"/>
    <w:rsid w:val="00915132"/>
    <w:rsid w:val="00915E07"/>
    <w:rsid w:val="00917AA4"/>
    <w:rsid w:val="0092054D"/>
    <w:rsid w:val="00920CFE"/>
    <w:rsid w:val="0092162A"/>
    <w:rsid w:val="00921B0A"/>
    <w:rsid w:val="00921D92"/>
    <w:rsid w:val="00922E6B"/>
    <w:rsid w:val="00922E80"/>
    <w:rsid w:val="00925929"/>
    <w:rsid w:val="00926A70"/>
    <w:rsid w:val="00926A73"/>
    <w:rsid w:val="00926F83"/>
    <w:rsid w:val="00927039"/>
    <w:rsid w:val="00930052"/>
    <w:rsid w:val="00930751"/>
    <w:rsid w:val="009318C1"/>
    <w:rsid w:val="00932CBE"/>
    <w:rsid w:val="009360B9"/>
    <w:rsid w:val="009408B3"/>
    <w:rsid w:val="00941412"/>
    <w:rsid w:val="00941875"/>
    <w:rsid w:val="009455E2"/>
    <w:rsid w:val="009461E3"/>
    <w:rsid w:val="00950EBB"/>
    <w:rsid w:val="00955289"/>
    <w:rsid w:val="00955B41"/>
    <w:rsid w:val="00955C28"/>
    <w:rsid w:val="00956C0A"/>
    <w:rsid w:val="00956D26"/>
    <w:rsid w:val="00957184"/>
    <w:rsid w:val="00957396"/>
    <w:rsid w:val="009573A3"/>
    <w:rsid w:val="009606D9"/>
    <w:rsid w:val="009625EE"/>
    <w:rsid w:val="009626DE"/>
    <w:rsid w:val="00965370"/>
    <w:rsid w:val="00965540"/>
    <w:rsid w:val="00965E94"/>
    <w:rsid w:val="00967108"/>
    <w:rsid w:val="00970203"/>
    <w:rsid w:val="0097552D"/>
    <w:rsid w:val="00977911"/>
    <w:rsid w:val="0098002C"/>
    <w:rsid w:val="00982F4D"/>
    <w:rsid w:val="00983609"/>
    <w:rsid w:val="009840DD"/>
    <w:rsid w:val="00984344"/>
    <w:rsid w:val="00984CFA"/>
    <w:rsid w:val="00984D39"/>
    <w:rsid w:val="009858DC"/>
    <w:rsid w:val="00985BEE"/>
    <w:rsid w:val="00987210"/>
    <w:rsid w:val="00987598"/>
    <w:rsid w:val="00987E63"/>
    <w:rsid w:val="0099166E"/>
    <w:rsid w:val="009935A3"/>
    <w:rsid w:val="009935EC"/>
    <w:rsid w:val="00995CE5"/>
    <w:rsid w:val="00997263"/>
    <w:rsid w:val="00997678"/>
    <w:rsid w:val="009A0DE3"/>
    <w:rsid w:val="009A16C8"/>
    <w:rsid w:val="009A18DD"/>
    <w:rsid w:val="009A375D"/>
    <w:rsid w:val="009A47F3"/>
    <w:rsid w:val="009A4A63"/>
    <w:rsid w:val="009A57E4"/>
    <w:rsid w:val="009A5DA9"/>
    <w:rsid w:val="009B00E5"/>
    <w:rsid w:val="009B0185"/>
    <w:rsid w:val="009B08F5"/>
    <w:rsid w:val="009B090B"/>
    <w:rsid w:val="009B14D2"/>
    <w:rsid w:val="009B27A9"/>
    <w:rsid w:val="009B6DF4"/>
    <w:rsid w:val="009B7BD8"/>
    <w:rsid w:val="009C0053"/>
    <w:rsid w:val="009C1BDA"/>
    <w:rsid w:val="009C3146"/>
    <w:rsid w:val="009C4093"/>
    <w:rsid w:val="009C5CB7"/>
    <w:rsid w:val="009C68D5"/>
    <w:rsid w:val="009C735C"/>
    <w:rsid w:val="009C78A8"/>
    <w:rsid w:val="009C7B4F"/>
    <w:rsid w:val="009D0DE7"/>
    <w:rsid w:val="009D0F8A"/>
    <w:rsid w:val="009D19A5"/>
    <w:rsid w:val="009D1D4F"/>
    <w:rsid w:val="009D4766"/>
    <w:rsid w:val="009D5CE3"/>
    <w:rsid w:val="009E19FD"/>
    <w:rsid w:val="009E1FBB"/>
    <w:rsid w:val="009E29B4"/>
    <w:rsid w:val="009E2D3E"/>
    <w:rsid w:val="009E446C"/>
    <w:rsid w:val="009E4593"/>
    <w:rsid w:val="009E59EF"/>
    <w:rsid w:val="009E5E31"/>
    <w:rsid w:val="009E6EBD"/>
    <w:rsid w:val="009F070F"/>
    <w:rsid w:val="009F19D8"/>
    <w:rsid w:val="009F1F8C"/>
    <w:rsid w:val="009F2F3F"/>
    <w:rsid w:val="009F3DAE"/>
    <w:rsid w:val="009F41C7"/>
    <w:rsid w:val="009F5A31"/>
    <w:rsid w:val="009F7E42"/>
    <w:rsid w:val="00A00611"/>
    <w:rsid w:val="00A00DDD"/>
    <w:rsid w:val="00A037A9"/>
    <w:rsid w:val="00A03CB5"/>
    <w:rsid w:val="00A03DC8"/>
    <w:rsid w:val="00A0637B"/>
    <w:rsid w:val="00A07196"/>
    <w:rsid w:val="00A07B2B"/>
    <w:rsid w:val="00A07DF4"/>
    <w:rsid w:val="00A119DF"/>
    <w:rsid w:val="00A11C0C"/>
    <w:rsid w:val="00A1316D"/>
    <w:rsid w:val="00A13CD5"/>
    <w:rsid w:val="00A17DA8"/>
    <w:rsid w:val="00A204F3"/>
    <w:rsid w:val="00A21402"/>
    <w:rsid w:val="00A21410"/>
    <w:rsid w:val="00A218A3"/>
    <w:rsid w:val="00A239AB"/>
    <w:rsid w:val="00A271BA"/>
    <w:rsid w:val="00A30845"/>
    <w:rsid w:val="00A30D1C"/>
    <w:rsid w:val="00A311E9"/>
    <w:rsid w:val="00A3461B"/>
    <w:rsid w:val="00A35313"/>
    <w:rsid w:val="00A360F3"/>
    <w:rsid w:val="00A363AD"/>
    <w:rsid w:val="00A36BF5"/>
    <w:rsid w:val="00A3712E"/>
    <w:rsid w:val="00A372C1"/>
    <w:rsid w:val="00A4066B"/>
    <w:rsid w:val="00A4096F"/>
    <w:rsid w:val="00A4117F"/>
    <w:rsid w:val="00A41AFE"/>
    <w:rsid w:val="00A42B80"/>
    <w:rsid w:val="00A42D34"/>
    <w:rsid w:val="00A4401F"/>
    <w:rsid w:val="00A45018"/>
    <w:rsid w:val="00A46281"/>
    <w:rsid w:val="00A5039E"/>
    <w:rsid w:val="00A50A9E"/>
    <w:rsid w:val="00A50DBE"/>
    <w:rsid w:val="00A514A5"/>
    <w:rsid w:val="00A52BF6"/>
    <w:rsid w:val="00A53D0C"/>
    <w:rsid w:val="00A54BDB"/>
    <w:rsid w:val="00A55745"/>
    <w:rsid w:val="00A55C87"/>
    <w:rsid w:val="00A56B65"/>
    <w:rsid w:val="00A57B75"/>
    <w:rsid w:val="00A60A3C"/>
    <w:rsid w:val="00A60E41"/>
    <w:rsid w:val="00A61823"/>
    <w:rsid w:val="00A620E7"/>
    <w:rsid w:val="00A65817"/>
    <w:rsid w:val="00A70266"/>
    <w:rsid w:val="00A703BD"/>
    <w:rsid w:val="00A71C54"/>
    <w:rsid w:val="00A72D04"/>
    <w:rsid w:val="00A739C6"/>
    <w:rsid w:val="00A764B5"/>
    <w:rsid w:val="00A7682C"/>
    <w:rsid w:val="00A77E99"/>
    <w:rsid w:val="00A80286"/>
    <w:rsid w:val="00A805CA"/>
    <w:rsid w:val="00A80F17"/>
    <w:rsid w:val="00A8274A"/>
    <w:rsid w:val="00A82968"/>
    <w:rsid w:val="00A8441F"/>
    <w:rsid w:val="00A850D4"/>
    <w:rsid w:val="00A91C9E"/>
    <w:rsid w:val="00A91ECF"/>
    <w:rsid w:val="00A920B9"/>
    <w:rsid w:val="00A92AAD"/>
    <w:rsid w:val="00A94679"/>
    <w:rsid w:val="00A949FE"/>
    <w:rsid w:val="00A94A85"/>
    <w:rsid w:val="00A9716E"/>
    <w:rsid w:val="00AA29B1"/>
    <w:rsid w:val="00AA39F6"/>
    <w:rsid w:val="00AA3BDA"/>
    <w:rsid w:val="00AA4650"/>
    <w:rsid w:val="00AA504E"/>
    <w:rsid w:val="00AA5421"/>
    <w:rsid w:val="00AA5EF6"/>
    <w:rsid w:val="00AA60D4"/>
    <w:rsid w:val="00AA61DF"/>
    <w:rsid w:val="00AA7021"/>
    <w:rsid w:val="00AA74C2"/>
    <w:rsid w:val="00AB0EEC"/>
    <w:rsid w:val="00AB25DC"/>
    <w:rsid w:val="00AB5D03"/>
    <w:rsid w:val="00AB6DA0"/>
    <w:rsid w:val="00AB7868"/>
    <w:rsid w:val="00AC0E06"/>
    <w:rsid w:val="00AC220E"/>
    <w:rsid w:val="00AC2B3C"/>
    <w:rsid w:val="00AC31CC"/>
    <w:rsid w:val="00AC4A0B"/>
    <w:rsid w:val="00AC4BB9"/>
    <w:rsid w:val="00AC56E2"/>
    <w:rsid w:val="00AC758A"/>
    <w:rsid w:val="00AC759A"/>
    <w:rsid w:val="00AC7DEA"/>
    <w:rsid w:val="00AD0EFA"/>
    <w:rsid w:val="00AD14C3"/>
    <w:rsid w:val="00AD341C"/>
    <w:rsid w:val="00AD45A6"/>
    <w:rsid w:val="00AD6CBB"/>
    <w:rsid w:val="00AE0D15"/>
    <w:rsid w:val="00AE19A5"/>
    <w:rsid w:val="00AE1CFD"/>
    <w:rsid w:val="00AE2BEF"/>
    <w:rsid w:val="00AE35B7"/>
    <w:rsid w:val="00AE5051"/>
    <w:rsid w:val="00AE6E37"/>
    <w:rsid w:val="00AF02FF"/>
    <w:rsid w:val="00AF0D72"/>
    <w:rsid w:val="00AF234A"/>
    <w:rsid w:val="00AF4677"/>
    <w:rsid w:val="00AF5720"/>
    <w:rsid w:val="00AF70B5"/>
    <w:rsid w:val="00AF739F"/>
    <w:rsid w:val="00B0151A"/>
    <w:rsid w:val="00B01BBA"/>
    <w:rsid w:val="00B02761"/>
    <w:rsid w:val="00B033ED"/>
    <w:rsid w:val="00B03ADC"/>
    <w:rsid w:val="00B048EE"/>
    <w:rsid w:val="00B05A22"/>
    <w:rsid w:val="00B11470"/>
    <w:rsid w:val="00B1188A"/>
    <w:rsid w:val="00B118D0"/>
    <w:rsid w:val="00B12AFA"/>
    <w:rsid w:val="00B13858"/>
    <w:rsid w:val="00B140F8"/>
    <w:rsid w:val="00B212DC"/>
    <w:rsid w:val="00B22D0E"/>
    <w:rsid w:val="00B23B30"/>
    <w:rsid w:val="00B24C60"/>
    <w:rsid w:val="00B26985"/>
    <w:rsid w:val="00B30F06"/>
    <w:rsid w:val="00B3206F"/>
    <w:rsid w:val="00B32A61"/>
    <w:rsid w:val="00B34CC4"/>
    <w:rsid w:val="00B37E5D"/>
    <w:rsid w:val="00B4071F"/>
    <w:rsid w:val="00B41C85"/>
    <w:rsid w:val="00B420B8"/>
    <w:rsid w:val="00B43941"/>
    <w:rsid w:val="00B439CC"/>
    <w:rsid w:val="00B4552C"/>
    <w:rsid w:val="00B45EBE"/>
    <w:rsid w:val="00B46B7B"/>
    <w:rsid w:val="00B5085C"/>
    <w:rsid w:val="00B51136"/>
    <w:rsid w:val="00B512FC"/>
    <w:rsid w:val="00B51BC2"/>
    <w:rsid w:val="00B5210A"/>
    <w:rsid w:val="00B52581"/>
    <w:rsid w:val="00B556CD"/>
    <w:rsid w:val="00B56E6B"/>
    <w:rsid w:val="00B57024"/>
    <w:rsid w:val="00B60EB7"/>
    <w:rsid w:val="00B61FED"/>
    <w:rsid w:val="00B624E2"/>
    <w:rsid w:val="00B66B29"/>
    <w:rsid w:val="00B67C42"/>
    <w:rsid w:val="00B704DC"/>
    <w:rsid w:val="00B706EB"/>
    <w:rsid w:val="00B715F5"/>
    <w:rsid w:val="00B72448"/>
    <w:rsid w:val="00B73CE1"/>
    <w:rsid w:val="00B743FA"/>
    <w:rsid w:val="00B766EA"/>
    <w:rsid w:val="00B802C3"/>
    <w:rsid w:val="00B81579"/>
    <w:rsid w:val="00B8187D"/>
    <w:rsid w:val="00B81A00"/>
    <w:rsid w:val="00B81B48"/>
    <w:rsid w:val="00B81CDF"/>
    <w:rsid w:val="00B81DDD"/>
    <w:rsid w:val="00B82074"/>
    <w:rsid w:val="00B869C3"/>
    <w:rsid w:val="00B87A3B"/>
    <w:rsid w:val="00B90C51"/>
    <w:rsid w:val="00B90F7D"/>
    <w:rsid w:val="00B91466"/>
    <w:rsid w:val="00B928BD"/>
    <w:rsid w:val="00B944BC"/>
    <w:rsid w:val="00B9465E"/>
    <w:rsid w:val="00B949F5"/>
    <w:rsid w:val="00B96685"/>
    <w:rsid w:val="00B96780"/>
    <w:rsid w:val="00BA0004"/>
    <w:rsid w:val="00BA0023"/>
    <w:rsid w:val="00BA0BB4"/>
    <w:rsid w:val="00BA1FC1"/>
    <w:rsid w:val="00BA2AD5"/>
    <w:rsid w:val="00BA588C"/>
    <w:rsid w:val="00BA59F5"/>
    <w:rsid w:val="00BA7854"/>
    <w:rsid w:val="00BB06CA"/>
    <w:rsid w:val="00BB115D"/>
    <w:rsid w:val="00BB1252"/>
    <w:rsid w:val="00BB4AE4"/>
    <w:rsid w:val="00BB4C77"/>
    <w:rsid w:val="00BB6392"/>
    <w:rsid w:val="00BB681C"/>
    <w:rsid w:val="00BB7A90"/>
    <w:rsid w:val="00BB7F50"/>
    <w:rsid w:val="00BC04DD"/>
    <w:rsid w:val="00BC1361"/>
    <w:rsid w:val="00BC212D"/>
    <w:rsid w:val="00BC3058"/>
    <w:rsid w:val="00BC3344"/>
    <w:rsid w:val="00BC3ADB"/>
    <w:rsid w:val="00BC5272"/>
    <w:rsid w:val="00BD30BE"/>
    <w:rsid w:val="00BD44CA"/>
    <w:rsid w:val="00BD4AC9"/>
    <w:rsid w:val="00BE067E"/>
    <w:rsid w:val="00BE0C3C"/>
    <w:rsid w:val="00BE2925"/>
    <w:rsid w:val="00BE3690"/>
    <w:rsid w:val="00BE3AAA"/>
    <w:rsid w:val="00BE4064"/>
    <w:rsid w:val="00BE711A"/>
    <w:rsid w:val="00BE7199"/>
    <w:rsid w:val="00BE7F63"/>
    <w:rsid w:val="00BF2CAC"/>
    <w:rsid w:val="00BF3346"/>
    <w:rsid w:val="00BF792D"/>
    <w:rsid w:val="00C00203"/>
    <w:rsid w:val="00C004A9"/>
    <w:rsid w:val="00C0184B"/>
    <w:rsid w:val="00C01ACC"/>
    <w:rsid w:val="00C02CF8"/>
    <w:rsid w:val="00C0347F"/>
    <w:rsid w:val="00C0429A"/>
    <w:rsid w:val="00C04594"/>
    <w:rsid w:val="00C0515D"/>
    <w:rsid w:val="00C05E81"/>
    <w:rsid w:val="00C06840"/>
    <w:rsid w:val="00C1192C"/>
    <w:rsid w:val="00C121B3"/>
    <w:rsid w:val="00C124E4"/>
    <w:rsid w:val="00C12DF4"/>
    <w:rsid w:val="00C13A34"/>
    <w:rsid w:val="00C14184"/>
    <w:rsid w:val="00C14270"/>
    <w:rsid w:val="00C14BB2"/>
    <w:rsid w:val="00C160A0"/>
    <w:rsid w:val="00C17E32"/>
    <w:rsid w:val="00C20F61"/>
    <w:rsid w:val="00C2220E"/>
    <w:rsid w:val="00C23059"/>
    <w:rsid w:val="00C2364E"/>
    <w:rsid w:val="00C25F06"/>
    <w:rsid w:val="00C31EFC"/>
    <w:rsid w:val="00C34102"/>
    <w:rsid w:val="00C343A5"/>
    <w:rsid w:val="00C345B3"/>
    <w:rsid w:val="00C34DA1"/>
    <w:rsid w:val="00C370CC"/>
    <w:rsid w:val="00C37FD8"/>
    <w:rsid w:val="00C40DDC"/>
    <w:rsid w:val="00C422AB"/>
    <w:rsid w:val="00C427F0"/>
    <w:rsid w:val="00C434D6"/>
    <w:rsid w:val="00C43CFE"/>
    <w:rsid w:val="00C45003"/>
    <w:rsid w:val="00C46AC4"/>
    <w:rsid w:val="00C46BDD"/>
    <w:rsid w:val="00C47934"/>
    <w:rsid w:val="00C505C4"/>
    <w:rsid w:val="00C50BB8"/>
    <w:rsid w:val="00C50DD0"/>
    <w:rsid w:val="00C51096"/>
    <w:rsid w:val="00C51504"/>
    <w:rsid w:val="00C534AB"/>
    <w:rsid w:val="00C54E06"/>
    <w:rsid w:val="00C55300"/>
    <w:rsid w:val="00C574A1"/>
    <w:rsid w:val="00C57D69"/>
    <w:rsid w:val="00C627C7"/>
    <w:rsid w:val="00C62A73"/>
    <w:rsid w:val="00C62BC5"/>
    <w:rsid w:val="00C63C73"/>
    <w:rsid w:val="00C640B3"/>
    <w:rsid w:val="00C65C4D"/>
    <w:rsid w:val="00C70F19"/>
    <w:rsid w:val="00C71E43"/>
    <w:rsid w:val="00C729AF"/>
    <w:rsid w:val="00C72FF3"/>
    <w:rsid w:val="00C73670"/>
    <w:rsid w:val="00C7443E"/>
    <w:rsid w:val="00C7537F"/>
    <w:rsid w:val="00C76A83"/>
    <w:rsid w:val="00C77537"/>
    <w:rsid w:val="00C81229"/>
    <w:rsid w:val="00C8131F"/>
    <w:rsid w:val="00C81A68"/>
    <w:rsid w:val="00C83888"/>
    <w:rsid w:val="00C83D6F"/>
    <w:rsid w:val="00C8442A"/>
    <w:rsid w:val="00C84690"/>
    <w:rsid w:val="00C85186"/>
    <w:rsid w:val="00C9081B"/>
    <w:rsid w:val="00C90E18"/>
    <w:rsid w:val="00C91C25"/>
    <w:rsid w:val="00C947E2"/>
    <w:rsid w:val="00C94E92"/>
    <w:rsid w:val="00C94EBB"/>
    <w:rsid w:val="00C95904"/>
    <w:rsid w:val="00C967E1"/>
    <w:rsid w:val="00C97ACC"/>
    <w:rsid w:val="00CA08C1"/>
    <w:rsid w:val="00CA23D0"/>
    <w:rsid w:val="00CA31F0"/>
    <w:rsid w:val="00CA327B"/>
    <w:rsid w:val="00CA4962"/>
    <w:rsid w:val="00CA54AA"/>
    <w:rsid w:val="00CA57DF"/>
    <w:rsid w:val="00CB041E"/>
    <w:rsid w:val="00CB0650"/>
    <w:rsid w:val="00CB1118"/>
    <w:rsid w:val="00CB4292"/>
    <w:rsid w:val="00CB58D9"/>
    <w:rsid w:val="00CB5B32"/>
    <w:rsid w:val="00CB76F1"/>
    <w:rsid w:val="00CB7D72"/>
    <w:rsid w:val="00CC1725"/>
    <w:rsid w:val="00CC177D"/>
    <w:rsid w:val="00CC1E93"/>
    <w:rsid w:val="00CC2D4F"/>
    <w:rsid w:val="00CC4986"/>
    <w:rsid w:val="00CD0AA7"/>
    <w:rsid w:val="00CD28F9"/>
    <w:rsid w:val="00CD2EC2"/>
    <w:rsid w:val="00CD5397"/>
    <w:rsid w:val="00CE1165"/>
    <w:rsid w:val="00CE23B8"/>
    <w:rsid w:val="00CE3BF6"/>
    <w:rsid w:val="00CE3DC2"/>
    <w:rsid w:val="00CE4B1B"/>
    <w:rsid w:val="00CE5BAB"/>
    <w:rsid w:val="00CF11DA"/>
    <w:rsid w:val="00CF14C3"/>
    <w:rsid w:val="00CF3F89"/>
    <w:rsid w:val="00CF649D"/>
    <w:rsid w:val="00CF6B38"/>
    <w:rsid w:val="00CF7B97"/>
    <w:rsid w:val="00D00052"/>
    <w:rsid w:val="00D00681"/>
    <w:rsid w:val="00D044B4"/>
    <w:rsid w:val="00D048E6"/>
    <w:rsid w:val="00D0581F"/>
    <w:rsid w:val="00D059AF"/>
    <w:rsid w:val="00D07A9F"/>
    <w:rsid w:val="00D117FC"/>
    <w:rsid w:val="00D135AB"/>
    <w:rsid w:val="00D14238"/>
    <w:rsid w:val="00D14400"/>
    <w:rsid w:val="00D16724"/>
    <w:rsid w:val="00D17B46"/>
    <w:rsid w:val="00D17FBA"/>
    <w:rsid w:val="00D20141"/>
    <w:rsid w:val="00D20949"/>
    <w:rsid w:val="00D20EF1"/>
    <w:rsid w:val="00D22006"/>
    <w:rsid w:val="00D22689"/>
    <w:rsid w:val="00D22846"/>
    <w:rsid w:val="00D2417F"/>
    <w:rsid w:val="00D25CFB"/>
    <w:rsid w:val="00D2628A"/>
    <w:rsid w:val="00D274A0"/>
    <w:rsid w:val="00D27E23"/>
    <w:rsid w:val="00D30273"/>
    <w:rsid w:val="00D30BAD"/>
    <w:rsid w:val="00D3129D"/>
    <w:rsid w:val="00D31B53"/>
    <w:rsid w:val="00D35F59"/>
    <w:rsid w:val="00D371C0"/>
    <w:rsid w:val="00D4044F"/>
    <w:rsid w:val="00D40D44"/>
    <w:rsid w:val="00D41207"/>
    <w:rsid w:val="00D416AD"/>
    <w:rsid w:val="00D4243B"/>
    <w:rsid w:val="00D43160"/>
    <w:rsid w:val="00D45984"/>
    <w:rsid w:val="00D46542"/>
    <w:rsid w:val="00D46EBA"/>
    <w:rsid w:val="00D47374"/>
    <w:rsid w:val="00D51CD8"/>
    <w:rsid w:val="00D5253D"/>
    <w:rsid w:val="00D528F0"/>
    <w:rsid w:val="00D53C68"/>
    <w:rsid w:val="00D5459B"/>
    <w:rsid w:val="00D54BF7"/>
    <w:rsid w:val="00D558D0"/>
    <w:rsid w:val="00D561F2"/>
    <w:rsid w:val="00D56655"/>
    <w:rsid w:val="00D57E02"/>
    <w:rsid w:val="00D60138"/>
    <w:rsid w:val="00D601AD"/>
    <w:rsid w:val="00D60D78"/>
    <w:rsid w:val="00D641A4"/>
    <w:rsid w:val="00D6524B"/>
    <w:rsid w:val="00D657D7"/>
    <w:rsid w:val="00D72273"/>
    <w:rsid w:val="00D744E0"/>
    <w:rsid w:val="00D76385"/>
    <w:rsid w:val="00D801E5"/>
    <w:rsid w:val="00D80B7A"/>
    <w:rsid w:val="00D80DA8"/>
    <w:rsid w:val="00D81D08"/>
    <w:rsid w:val="00D81E68"/>
    <w:rsid w:val="00D832D5"/>
    <w:rsid w:val="00D8330A"/>
    <w:rsid w:val="00D838ED"/>
    <w:rsid w:val="00D90D96"/>
    <w:rsid w:val="00D90F13"/>
    <w:rsid w:val="00D91008"/>
    <w:rsid w:val="00D91129"/>
    <w:rsid w:val="00D91CC6"/>
    <w:rsid w:val="00D92B33"/>
    <w:rsid w:val="00D94249"/>
    <w:rsid w:val="00D950AC"/>
    <w:rsid w:val="00D9521B"/>
    <w:rsid w:val="00D952C0"/>
    <w:rsid w:val="00D9535D"/>
    <w:rsid w:val="00D95AE0"/>
    <w:rsid w:val="00D95BF2"/>
    <w:rsid w:val="00D96910"/>
    <w:rsid w:val="00DA02C9"/>
    <w:rsid w:val="00DA062A"/>
    <w:rsid w:val="00DA2208"/>
    <w:rsid w:val="00DA35D1"/>
    <w:rsid w:val="00DA400D"/>
    <w:rsid w:val="00DA6010"/>
    <w:rsid w:val="00DB02BB"/>
    <w:rsid w:val="00DB0FFB"/>
    <w:rsid w:val="00DB2AC3"/>
    <w:rsid w:val="00DB2C5E"/>
    <w:rsid w:val="00DB30B1"/>
    <w:rsid w:val="00DC02BE"/>
    <w:rsid w:val="00DC4871"/>
    <w:rsid w:val="00DC7389"/>
    <w:rsid w:val="00DD08EA"/>
    <w:rsid w:val="00DD16D0"/>
    <w:rsid w:val="00DD21F2"/>
    <w:rsid w:val="00DD231F"/>
    <w:rsid w:val="00DD30DE"/>
    <w:rsid w:val="00DD50FB"/>
    <w:rsid w:val="00DD5240"/>
    <w:rsid w:val="00DD6C8F"/>
    <w:rsid w:val="00DD7A09"/>
    <w:rsid w:val="00DD7E2D"/>
    <w:rsid w:val="00DE0AB6"/>
    <w:rsid w:val="00DE63CE"/>
    <w:rsid w:val="00DF14C4"/>
    <w:rsid w:val="00DF24FA"/>
    <w:rsid w:val="00DF45D2"/>
    <w:rsid w:val="00DF48FE"/>
    <w:rsid w:val="00DF5DB9"/>
    <w:rsid w:val="00DF5DEB"/>
    <w:rsid w:val="00DF6A92"/>
    <w:rsid w:val="00DF7C97"/>
    <w:rsid w:val="00E01A3A"/>
    <w:rsid w:val="00E03A60"/>
    <w:rsid w:val="00E051A5"/>
    <w:rsid w:val="00E076FE"/>
    <w:rsid w:val="00E10A5C"/>
    <w:rsid w:val="00E13509"/>
    <w:rsid w:val="00E14032"/>
    <w:rsid w:val="00E24379"/>
    <w:rsid w:val="00E2628B"/>
    <w:rsid w:val="00E2670E"/>
    <w:rsid w:val="00E276E6"/>
    <w:rsid w:val="00E27C2B"/>
    <w:rsid w:val="00E27F14"/>
    <w:rsid w:val="00E30AB2"/>
    <w:rsid w:val="00E33237"/>
    <w:rsid w:val="00E346B3"/>
    <w:rsid w:val="00E35716"/>
    <w:rsid w:val="00E36160"/>
    <w:rsid w:val="00E432E2"/>
    <w:rsid w:val="00E4437F"/>
    <w:rsid w:val="00E44C87"/>
    <w:rsid w:val="00E459EA"/>
    <w:rsid w:val="00E473EE"/>
    <w:rsid w:val="00E50C2E"/>
    <w:rsid w:val="00E518C9"/>
    <w:rsid w:val="00E53A22"/>
    <w:rsid w:val="00E53AC7"/>
    <w:rsid w:val="00E549C7"/>
    <w:rsid w:val="00E60102"/>
    <w:rsid w:val="00E61307"/>
    <w:rsid w:val="00E663DC"/>
    <w:rsid w:val="00E66421"/>
    <w:rsid w:val="00E72D2F"/>
    <w:rsid w:val="00E76028"/>
    <w:rsid w:val="00E7722E"/>
    <w:rsid w:val="00E80237"/>
    <w:rsid w:val="00E8083C"/>
    <w:rsid w:val="00E82E23"/>
    <w:rsid w:val="00E83DB4"/>
    <w:rsid w:val="00E83FFA"/>
    <w:rsid w:val="00E85AB4"/>
    <w:rsid w:val="00E87E13"/>
    <w:rsid w:val="00E908BF"/>
    <w:rsid w:val="00E91C40"/>
    <w:rsid w:val="00E93AB9"/>
    <w:rsid w:val="00E961E7"/>
    <w:rsid w:val="00E973D0"/>
    <w:rsid w:val="00EA1109"/>
    <w:rsid w:val="00EA164A"/>
    <w:rsid w:val="00EA230D"/>
    <w:rsid w:val="00EA2E1C"/>
    <w:rsid w:val="00EA3158"/>
    <w:rsid w:val="00EA31D3"/>
    <w:rsid w:val="00EA4CB9"/>
    <w:rsid w:val="00EA57BE"/>
    <w:rsid w:val="00EA5CC8"/>
    <w:rsid w:val="00EA738C"/>
    <w:rsid w:val="00EA77B4"/>
    <w:rsid w:val="00EA7BBA"/>
    <w:rsid w:val="00EB0AB5"/>
    <w:rsid w:val="00EB19BD"/>
    <w:rsid w:val="00EB1DBC"/>
    <w:rsid w:val="00EB2137"/>
    <w:rsid w:val="00EB28C0"/>
    <w:rsid w:val="00EB43AE"/>
    <w:rsid w:val="00EB4961"/>
    <w:rsid w:val="00EC0561"/>
    <w:rsid w:val="00EC0F8A"/>
    <w:rsid w:val="00EC12F5"/>
    <w:rsid w:val="00EC22C1"/>
    <w:rsid w:val="00EC3DFE"/>
    <w:rsid w:val="00EC6AFC"/>
    <w:rsid w:val="00EC6DED"/>
    <w:rsid w:val="00EC76C3"/>
    <w:rsid w:val="00EC7967"/>
    <w:rsid w:val="00ED2E08"/>
    <w:rsid w:val="00ED337B"/>
    <w:rsid w:val="00ED4640"/>
    <w:rsid w:val="00ED4A30"/>
    <w:rsid w:val="00ED4E0E"/>
    <w:rsid w:val="00ED53E2"/>
    <w:rsid w:val="00ED61D7"/>
    <w:rsid w:val="00ED659F"/>
    <w:rsid w:val="00ED6902"/>
    <w:rsid w:val="00ED7EF6"/>
    <w:rsid w:val="00EE2D97"/>
    <w:rsid w:val="00EE3508"/>
    <w:rsid w:val="00EE49F9"/>
    <w:rsid w:val="00EE5E5F"/>
    <w:rsid w:val="00EE6199"/>
    <w:rsid w:val="00EE6275"/>
    <w:rsid w:val="00EE68EF"/>
    <w:rsid w:val="00EE7C9B"/>
    <w:rsid w:val="00EF0EC7"/>
    <w:rsid w:val="00EF6505"/>
    <w:rsid w:val="00F01CBF"/>
    <w:rsid w:val="00F020D5"/>
    <w:rsid w:val="00F04954"/>
    <w:rsid w:val="00F0535B"/>
    <w:rsid w:val="00F055BF"/>
    <w:rsid w:val="00F0693A"/>
    <w:rsid w:val="00F07D9E"/>
    <w:rsid w:val="00F11E71"/>
    <w:rsid w:val="00F12104"/>
    <w:rsid w:val="00F121C4"/>
    <w:rsid w:val="00F12FF8"/>
    <w:rsid w:val="00F13330"/>
    <w:rsid w:val="00F1613A"/>
    <w:rsid w:val="00F20116"/>
    <w:rsid w:val="00F2072F"/>
    <w:rsid w:val="00F23320"/>
    <w:rsid w:val="00F24AD1"/>
    <w:rsid w:val="00F2543D"/>
    <w:rsid w:val="00F304CE"/>
    <w:rsid w:val="00F316F3"/>
    <w:rsid w:val="00F32A4D"/>
    <w:rsid w:val="00F3340E"/>
    <w:rsid w:val="00F33A0B"/>
    <w:rsid w:val="00F34244"/>
    <w:rsid w:val="00F34686"/>
    <w:rsid w:val="00F35AA2"/>
    <w:rsid w:val="00F36EA6"/>
    <w:rsid w:val="00F43B2A"/>
    <w:rsid w:val="00F43F28"/>
    <w:rsid w:val="00F44A46"/>
    <w:rsid w:val="00F45469"/>
    <w:rsid w:val="00F504A3"/>
    <w:rsid w:val="00F51C7E"/>
    <w:rsid w:val="00F51F04"/>
    <w:rsid w:val="00F53586"/>
    <w:rsid w:val="00F53EF1"/>
    <w:rsid w:val="00F547D2"/>
    <w:rsid w:val="00F54CD5"/>
    <w:rsid w:val="00F5518A"/>
    <w:rsid w:val="00F554DE"/>
    <w:rsid w:val="00F5606D"/>
    <w:rsid w:val="00F60FAA"/>
    <w:rsid w:val="00F62664"/>
    <w:rsid w:val="00F65DE3"/>
    <w:rsid w:val="00F66847"/>
    <w:rsid w:val="00F67139"/>
    <w:rsid w:val="00F67F0C"/>
    <w:rsid w:val="00F7025B"/>
    <w:rsid w:val="00F7042C"/>
    <w:rsid w:val="00F70628"/>
    <w:rsid w:val="00F71A7D"/>
    <w:rsid w:val="00F720EB"/>
    <w:rsid w:val="00F728C6"/>
    <w:rsid w:val="00F7518A"/>
    <w:rsid w:val="00F77AFD"/>
    <w:rsid w:val="00F80080"/>
    <w:rsid w:val="00F8125B"/>
    <w:rsid w:val="00F81736"/>
    <w:rsid w:val="00F81E2B"/>
    <w:rsid w:val="00F8252A"/>
    <w:rsid w:val="00F8520D"/>
    <w:rsid w:val="00F86C80"/>
    <w:rsid w:val="00F876EC"/>
    <w:rsid w:val="00F87DB0"/>
    <w:rsid w:val="00F91413"/>
    <w:rsid w:val="00F91CEA"/>
    <w:rsid w:val="00F92BDE"/>
    <w:rsid w:val="00F92EFB"/>
    <w:rsid w:val="00F931AB"/>
    <w:rsid w:val="00F9322D"/>
    <w:rsid w:val="00F940D6"/>
    <w:rsid w:val="00F94B8D"/>
    <w:rsid w:val="00F94BF2"/>
    <w:rsid w:val="00F956ED"/>
    <w:rsid w:val="00F95EC2"/>
    <w:rsid w:val="00F96F1E"/>
    <w:rsid w:val="00F97631"/>
    <w:rsid w:val="00F97829"/>
    <w:rsid w:val="00FA0FF6"/>
    <w:rsid w:val="00FA1C18"/>
    <w:rsid w:val="00FA26E4"/>
    <w:rsid w:val="00FA5DED"/>
    <w:rsid w:val="00FA6CFE"/>
    <w:rsid w:val="00FB14A6"/>
    <w:rsid w:val="00FB3530"/>
    <w:rsid w:val="00FB39A1"/>
    <w:rsid w:val="00FB3BD4"/>
    <w:rsid w:val="00FB6086"/>
    <w:rsid w:val="00FB6A83"/>
    <w:rsid w:val="00FC0F1D"/>
    <w:rsid w:val="00FC101E"/>
    <w:rsid w:val="00FC1396"/>
    <w:rsid w:val="00FD0E90"/>
    <w:rsid w:val="00FD0FD1"/>
    <w:rsid w:val="00FD2C26"/>
    <w:rsid w:val="00FD3E33"/>
    <w:rsid w:val="00FD47D3"/>
    <w:rsid w:val="00FD4AF2"/>
    <w:rsid w:val="00FD4B1D"/>
    <w:rsid w:val="00FD4CFB"/>
    <w:rsid w:val="00FD4DE2"/>
    <w:rsid w:val="00FD5302"/>
    <w:rsid w:val="00FD65CB"/>
    <w:rsid w:val="00FD65F3"/>
    <w:rsid w:val="00FE1B6D"/>
    <w:rsid w:val="00FE355D"/>
    <w:rsid w:val="00FE4B47"/>
    <w:rsid w:val="00FE7635"/>
    <w:rsid w:val="00FF003A"/>
    <w:rsid w:val="00FF0745"/>
    <w:rsid w:val="00FF12FF"/>
    <w:rsid w:val="00FF606A"/>
    <w:rsid w:val="00FF6432"/>
    <w:rsid w:val="00FF672F"/>
    <w:rsid w:val="01143C53"/>
    <w:rsid w:val="01202F47"/>
    <w:rsid w:val="03552EBF"/>
    <w:rsid w:val="057040C1"/>
    <w:rsid w:val="124B040B"/>
    <w:rsid w:val="16B7691D"/>
    <w:rsid w:val="1BD028CB"/>
    <w:rsid w:val="1FEB0CC5"/>
    <w:rsid w:val="20C51323"/>
    <w:rsid w:val="230F3079"/>
    <w:rsid w:val="2BB81DC8"/>
    <w:rsid w:val="2FCC6657"/>
    <w:rsid w:val="324A7B05"/>
    <w:rsid w:val="35325D7A"/>
    <w:rsid w:val="379D1C38"/>
    <w:rsid w:val="37D84432"/>
    <w:rsid w:val="3C605B4C"/>
    <w:rsid w:val="4186226A"/>
    <w:rsid w:val="422A5803"/>
    <w:rsid w:val="493C5710"/>
    <w:rsid w:val="494F113F"/>
    <w:rsid w:val="501A567B"/>
    <w:rsid w:val="5DE20868"/>
    <w:rsid w:val="5E2D2969"/>
    <w:rsid w:val="5F503E2B"/>
    <w:rsid w:val="607C4126"/>
    <w:rsid w:val="616B40A8"/>
    <w:rsid w:val="62430459"/>
    <w:rsid w:val="66815090"/>
    <w:rsid w:val="789B1E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uiPriority="0" w:semiHidden="0" w:name="toc 2"/>
    <w:lsdException w:unhideWhenUsed="0" w:uiPriority="9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qFormat="1" w:unhideWhenUsed="0" w:uiPriority="99" w:semiHidden="0" w:name="Normal Indent"/>
    <w:lsdException w:uiPriority="99" w:name="footnote text" w:locked="1"/>
    <w:lsdException w:qFormat="1" w:unhideWhenUsed="0" w:uiPriority="99" w:semiHidden="0" w:name="annotation text" w:locked="1"/>
    <w:lsdException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unhideWhenUsed="0" w:uiPriority="99"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name="Body Text"/>
    <w:lsdException w:unhideWhenUsed="0" w:uiPriority="99"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nhideWhenUsed="0" w:uiPriority="99" w:name="Body Text 2"/>
    <w:lsdException w:uiPriority="99" w:name="Body Text 3" w:locked="1"/>
    <w:lsdException w:qFormat="1" w:unhideWhenUsed="0" w:uiPriority="99" w:name="Body Text Indent 2"/>
    <w:lsdException w:qFormat="1" w:unhideWhenUsed="0" w:uiPriority="99" w:name="Body Text Indent 3"/>
    <w:lsdException w:qFormat="1" w:unhideWhenUsed="0" w:uiPriority="99" w:name="Block Text"/>
    <w:lsdException w:qFormat="1" w:unhideWhenUsed="0" w:uiPriority="99" w:semiHidden="0" w:name="Hyperlink"/>
    <w:lsdException w:uiPriority="99" w:name="FollowedHyperlink" w:locked="1"/>
    <w:lsdException w:qFormat="1" w:unhideWhenUsed="0" w:uiPriority="99" w:semiHidden="0" w:name="Strong"/>
    <w:lsdException w:qFormat="1" w:unhideWhenUsed="0" w:uiPriority="0" w:semiHidden="0" w:name="Emphasis"/>
    <w:lsdException w:qFormat="1" w:unhideWhenUsed="0" w:uiPriority="99" w:name="Document Map"/>
    <w:lsdException w:qFormat="1" w:unhideWhenUsed="0" w:uiPriority="99" w:semiHidden="0" w:name="Plain Text" w:locked="1"/>
    <w:lsdException w:uiPriority="99" w:name="E-mail Signature" w:locked="1"/>
    <w:lsdException w:unhideWhenUsed="0" w:uiPriority="99"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nhideWhenUsed="0"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nhideWhenUsed="0" w:uiPriority="99" w:semiHidden="0" w:name="Table Grid 5"/>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0"/>
    <w:qFormat/>
    <w:uiPriority w:val="99"/>
    <w:pPr>
      <w:keepNext/>
      <w:keepLines/>
      <w:numPr>
        <w:ilvl w:val="0"/>
        <w:numId w:val="1"/>
      </w:numPr>
      <w:autoSpaceDE w:val="0"/>
      <w:autoSpaceDN w:val="0"/>
      <w:adjustRightInd w:val="0"/>
      <w:spacing w:before="120" w:after="60" w:line="288" w:lineRule="auto"/>
      <w:jc w:val="left"/>
      <w:textAlignment w:val="baseline"/>
      <w:outlineLvl w:val="0"/>
    </w:pPr>
    <w:rPr>
      <w:rFonts w:ascii="Times New Roman" w:hAnsi="Times New Roman" w:eastAsia="魏碑"/>
      <w:b/>
      <w:kern w:val="0"/>
      <w:sz w:val="36"/>
      <w:szCs w:val="20"/>
    </w:rPr>
  </w:style>
  <w:style w:type="paragraph" w:styleId="4">
    <w:name w:val="heading 2"/>
    <w:basedOn w:val="1"/>
    <w:next w:val="1"/>
    <w:link w:val="66"/>
    <w:qFormat/>
    <w:uiPriority w:val="99"/>
    <w:pPr>
      <w:keepNext/>
      <w:keepLines/>
      <w:numPr>
        <w:ilvl w:val="1"/>
        <w:numId w:val="1"/>
      </w:numPr>
      <w:autoSpaceDE w:val="0"/>
      <w:autoSpaceDN w:val="0"/>
      <w:adjustRightInd w:val="0"/>
      <w:spacing w:before="100" w:after="60" w:line="288" w:lineRule="auto"/>
      <w:jc w:val="left"/>
      <w:textAlignment w:val="baseline"/>
      <w:outlineLvl w:val="1"/>
    </w:pPr>
    <w:rPr>
      <w:rFonts w:ascii="Times New Roman" w:hAnsi="Times New Roman" w:eastAsia="黑体"/>
      <w:kern w:val="0"/>
      <w:sz w:val="30"/>
      <w:szCs w:val="20"/>
    </w:rPr>
  </w:style>
  <w:style w:type="paragraph" w:styleId="5">
    <w:name w:val="heading 3"/>
    <w:basedOn w:val="1"/>
    <w:next w:val="6"/>
    <w:link w:val="42"/>
    <w:qFormat/>
    <w:uiPriority w:val="99"/>
    <w:pPr>
      <w:keepNext/>
      <w:keepLines/>
      <w:spacing w:before="120" w:after="120" w:line="400" w:lineRule="exact"/>
      <w:outlineLvl w:val="2"/>
    </w:pPr>
    <w:rPr>
      <w:rFonts w:ascii="Times New Roman" w:hAnsi="Times New Roman" w:eastAsia="黑体"/>
      <w:b/>
      <w:kern w:val="0"/>
      <w:sz w:val="28"/>
      <w:szCs w:val="20"/>
    </w:rPr>
  </w:style>
  <w:style w:type="paragraph" w:styleId="7">
    <w:name w:val="heading 4"/>
    <w:basedOn w:val="1"/>
    <w:next w:val="1"/>
    <w:link w:val="43"/>
    <w:qFormat/>
    <w:uiPriority w:val="99"/>
    <w:pPr>
      <w:keepNext/>
      <w:keepLines/>
      <w:numPr>
        <w:ilvl w:val="3"/>
        <w:numId w:val="1"/>
      </w:numPr>
      <w:autoSpaceDE w:val="0"/>
      <w:autoSpaceDN w:val="0"/>
      <w:adjustRightInd w:val="0"/>
      <w:spacing w:before="20" w:line="288" w:lineRule="auto"/>
      <w:jc w:val="left"/>
      <w:textAlignment w:val="baseline"/>
      <w:outlineLvl w:val="3"/>
    </w:pPr>
    <w:rPr>
      <w:rFonts w:ascii="Times New Roman" w:hAnsi="Times New Roman" w:eastAsia="长城楷体"/>
      <w:b/>
      <w:kern w:val="0"/>
      <w:sz w:val="28"/>
      <w:szCs w:val="20"/>
    </w:rPr>
  </w:style>
  <w:style w:type="paragraph" w:styleId="8">
    <w:name w:val="heading 5"/>
    <w:basedOn w:val="1"/>
    <w:next w:val="1"/>
    <w:link w:val="44"/>
    <w:qFormat/>
    <w:uiPriority w:val="99"/>
    <w:pPr>
      <w:keepNext/>
      <w:keepLines/>
      <w:numPr>
        <w:ilvl w:val="4"/>
        <w:numId w:val="1"/>
      </w:numPr>
      <w:autoSpaceDE w:val="0"/>
      <w:autoSpaceDN w:val="0"/>
      <w:adjustRightInd w:val="0"/>
      <w:spacing w:line="288" w:lineRule="auto"/>
      <w:jc w:val="left"/>
      <w:textAlignment w:val="baseline"/>
      <w:outlineLvl w:val="4"/>
    </w:pPr>
    <w:rPr>
      <w:rFonts w:ascii="Times New Roman" w:hAnsi="Times New Roman"/>
      <w:b/>
      <w:kern w:val="0"/>
      <w:sz w:val="24"/>
      <w:szCs w:val="20"/>
    </w:rPr>
  </w:style>
  <w:style w:type="paragraph" w:styleId="9">
    <w:name w:val="heading 6"/>
    <w:basedOn w:val="1"/>
    <w:next w:val="1"/>
    <w:link w:val="45"/>
    <w:qFormat/>
    <w:uiPriority w:val="99"/>
    <w:pPr>
      <w:keepNext/>
      <w:keepLines/>
      <w:numPr>
        <w:ilvl w:val="5"/>
        <w:numId w:val="1"/>
      </w:numPr>
      <w:autoSpaceDE w:val="0"/>
      <w:autoSpaceDN w:val="0"/>
      <w:adjustRightInd w:val="0"/>
      <w:spacing w:before="240" w:after="64" w:line="320" w:lineRule="auto"/>
      <w:jc w:val="left"/>
      <w:textAlignment w:val="baseline"/>
      <w:outlineLvl w:val="5"/>
    </w:pPr>
    <w:rPr>
      <w:rFonts w:ascii="Arial" w:hAnsi="Arial" w:eastAsia="黑体"/>
      <w:b/>
      <w:kern w:val="0"/>
      <w:sz w:val="24"/>
      <w:szCs w:val="20"/>
    </w:rPr>
  </w:style>
  <w:style w:type="paragraph" w:styleId="10">
    <w:name w:val="heading 7"/>
    <w:basedOn w:val="1"/>
    <w:next w:val="1"/>
    <w:link w:val="46"/>
    <w:qFormat/>
    <w:uiPriority w:val="99"/>
    <w:pPr>
      <w:keepNext/>
      <w:keepLines/>
      <w:numPr>
        <w:ilvl w:val="6"/>
        <w:numId w:val="1"/>
      </w:numPr>
      <w:autoSpaceDE w:val="0"/>
      <w:autoSpaceDN w:val="0"/>
      <w:adjustRightInd w:val="0"/>
      <w:spacing w:before="240" w:after="64" w:line="320" w:lineRule="auto"/>
      <w:jc w:val="left"/>
      <w:textAlignment w:val="baseline"/>
      <w:outlineLvl w:val="6"/>
    </w:pPr>
    <w:rPr>
      <w:rFonts w:ascii="Times New Roman" w:hAnsi="Times New Roman"/>
      <w:b/>
      <w:kern w:val="0"/>
      <w:sz w:val="24"/>
      <w:szCs w:val="20"/>
    </w:rPr>
  </w:style>
  <w:style w:type="paragraph" w:styleId="11">
    <w:name w:val="heading 8"/>
    <w:basedOn w:val="1"/>
    <w:next w:val="1"/>
    <w:link w:val="47"/>
    <w:qFormat/>
    <w:uiPriority w:val="99"/>
    <w:pPr>
      <w:keepNext/>
      <w:keepLines/>
      <w:numPr>
        <w:ilvl w:val="7"/>
        <w:numId w:val="1"/>
      </w:numPr>
      <w:autoSpaceDE w:val="0"/>
      <w:autoSpaceDN w:val="0"/>
      <w:adjustRightInd w:val="0"/>
      <w:spacing w:before="240" w:after="64" w:line="320" w:lineRule="auto"/>
      <w:jc w:val="left"/>
      <w:textAlignment w:val="baseline"/>
      <w:outlineLvl w:val="7"/>
    </w:pPr>
    <w:rPr>
      <w:rFonts w:ascii="Arial" w:hAnsi="Arial" w:eastAsia="黑体"/>
      <w:kern w:val="0"/>
      <w:sz w:val="24"/>
      <w:szCs w:val="20"/>
    </w:rPr>
  </w:style>
  <w:style w:type="paragraph" w:styleId="12">
    <w:name w:val="heading 9"/>
    <w:basedOn w:val="1"/>
    <w:next w:val="1"/>
    <w:link w:val="48"/>
    <w:qFormat/>
    <w:uiPriority w:val="99"/>
    <w:pPr>
      <w:keepNext/>
      <w:keepLines/>
      <w:numPr>
        <w:ilvl w:val="8"/>
        <w:numId w:val="1"/>
      </w:numPr>
      <w:autoSpaceDE w:val="0"/>
      <w:autoSpaceDN w:val="0"/>
      <w:adjustRightInd w:val="0"/>
      <w:spacing w:before="240" w:after="64" w:line="320" w:lineRule="auto"/>
      <w:jc w:val="left"/>
      <w:textAlignment w:val="baseline"/>
      <w:outlineLvl w:val="8"/>
    </w:pPr>
    <w:rPr>
      <w:rFonts w:ascii="Arial" w:hAnsi="Arial" w:eastAsia="黑体"/>
      <w:kern w:val="0"/>
      <w:szCs w:val="20"/>
    </w:rPr>
  </w:style>
  <w:style w:type="character" w:default="1" w:styleId="32">
    <w:name w:val="Default Paragraph Font"/>
    <w:unhideWhenUsed/>
    <w:qFormat/>
    <w:uiPriority w:val="1"/>
  </w:style>
  <w:style w:type="table" w:default="1" w:styleId="37">
    <w:name w:val="Normal Table"/>
    <w:unhideWhenUsed/>
    <w:uiPriority w:val="99"/>
    <w:tblPr>
      <w:tblLayout w:type="fixed"/>
      <w:tblCellMar>
        <w:top w:w="0" w:type="dxa"/>
        <w:left w:w="108" w:type="dxa"/>
        <w:bottom w:w="0" w:type="dxa"/>
        <w:right w:w="108" w:type="dxa"/>
      </w:tblCellMar>
    </w:tblPr>
  </w:style>
  <w:style w:type="paragraph" w:styleId="2">
    <w:name w:val="Body Text"/>
    <w:basedOn w:val="1"/>
    <w:link w:val="49"/>
    <w:semiHidden/>
    <w:qFormat/>
    <w:uiPriority w:val="99"/>
    <w:rPr>
      <w:rFonts w:ascii="Times New Roman" w:hAnsi="Times New Roman"/>
      <w:sz w:val="24"/>
      <w:szCs w:val="20"/>
    </w:rPr>
  </w:style>
  <w:style w:type="paragraph" w:styleId="6">
    <w:name w:val="Normal Indent"/>
    <w:basedOn w:val="1"/>
    <w:link w:val="113"/>
    <w:qFormat/>
    <w:uiPriority w:val="99"/>
    <w:pPr>
      <w:ind w:firstLine="420" w:firstLineChars="200"/>
    </w:pPr>
    <w:rPr>
      <w:rFonts w:ascii="Times New Roman" w:hAnsi="Times New Roman"/>
      <w:sz w:val="24"/>
      <w:szCs w:val="20"/>
    </w:rPr>
  </w:style>
  <w:style w:type="paragraph" w:styleId="13">
    <w:name w:val="annotation subject"/>
    <w:basedOn w:val="14"/>
    <w:next w:val="14"/>
    <w:link w:val="62"/>
    <w:semiHidden/>
    <w:locked/>
    <w:uiPriority w:val="99"/>
    <w:rPr>
      <w:b/>
      <w:bCs/>
    </w:rPr>
  </w:style>
  <w:style w:type="paragraph" w:styleId="14">
    <w:name w:val="annotation text"/>
    <w:basedOn w:val="1"/>
    <w:link w:val="51"/>
    <w:qFormat/>
    <w:locked/>
    <w:uiPriority w:val="99"/>
    <w:pPr>
      <w:jc w:val="left"/>
    </w:pPr>
  </w:style>
  <w:style w:type="paragraph" w:styleId="15">
    <w:name w:val="Body Text First Indent"/>
    <w:basedOn w:val="2"/>
    <w:link w:val="63"/>
    <w:qFormat/>
    <w:uiPriority w:val="99"/>
    <w:pPr>
      <w:spacing w:after="120"/>
      <w:ind w:firstLine="420" w:firstLineChars="100"/>
    </w:pPr>
    <w:rPr>
      <w:sz w:val="21"/>
      <w:szCs w:val="24"/>
    </w:rPr>
  </w:style>
  <w:style w:type="paragraph" w:styleId="16">
    <w:name w:val="caption"/>
    <w:basedOn w:val="1"/>
    <w:next w:val="1"/>
    <w:link w:val="82"/>
    <w:qFormat/>
    <w:uiPriority w:val="99"/>
    <w:pPr>
      <w:snapToGrid w:val="0"/>
      <w:spacing w:before="6" w:after="6" w:line="240" w:lineRule="atLeast"/>
    </w:pPr>
    <w:rPr>
      <w:rFonts w:ascii="Arial" w:hAnsi="Arial" w:cs="Arial"/>
      <w:kern w:val="24"/>
      <w:sz w:val="24"/>
      <w:szCs w:val="28"/>
    </w:rPr>
  </w:style>
  <w:style w:type="paragraph" w:styleId="17">
    <w:name w:val="Document Map"/>
    <w:basedOn w:val="1"/>
    <w:link w:val="50"/>
    <w:semiHidden/>
    <w:qFormat/>
    <w:uiPriority w:val="99"/>
    <w:rPr>
      <w:rFonts w:ascii="宋体" w:hAnsi="Times New Roman"/>
      <w:sz w:val="18"/>
      <w:szCs w:val="18"/>
    </w:rPr>
  </w:style>
  <w:style w:type="paragraph" w:styleId="18">
    <w:name w:val="Body Text Indent"/>
    <w:basedOn w:val="1"/>
    <w:link w:val="52"/>
    <w:semiHidden/>
    <w:uiPriority w:val="99"/>
    <w:pPr>
      <w:autoSpaceDE w:val="0"/>
      <w:autoSpaceDN w:val="0"/>
      <w:adjustRightInd w:val="0"/>
      <w:spacing w:line="500" w:lineRule="exact"/>
      <w:ind w:firstLine="560" w:firstLineChars="200"/>
      <w:jc w:val="left"/>
    </w:pPr>
    <w:rPr>
      <w:rFonts w:ascii="仿宋_GB2312" w:hAnsi="宋体" w:eastAsia="仿宋_GB2312"/>
      <w:kern w:val="0"/>
      <w:sz w:val="28"/>
      <w:szCs w:val="24"/>
    </w:rPr>
  </w:style>
  <w:style w:type="paragraph" w:styleId="19">
    <w:name w:val="Block Text"/>
    <w:basedOn w:val="1"/>
    <w:semiHidden/>
    <w:qFormat/>
    <w:uiPriority w:val="99"/>
    <w:pPr>
      <w:adjustRightInd w:val="0"/>
      <w:spacing w:before="120" w:line="440" w:lineRule="exact"/>
      <w:ind w:left="284" w:right="284" w:firstLine="567"/>
      <w:textAlignment w:val="baseline"/>
    </w:pPr>
    <w:rPr>
      <w:rFonts w:ascii="楷体_GB2312" w:hAnsi="Times New Roman" w:eastAsia="楷体_GB2312"/>
      <w:spacing w:val="-2"/>
      <w:kern w:val="0"/>
      <w:sz w:val="28"/>
      <w:szCs w:val="20"/>
    </w:rPr>
  </w:style>
  <w:style w:type="paragraph" w:styleId="20">
    <w:name w:val="toc 3"/>
    <w:basedOn w:val="1"/>
    <w:next w:val="1"/>
    <w:uiPriority w:val="99"/>
    <w:pPr>
      <w:ind w:left="840" w:leftChars="400"/>
    </w:pPr>
    <w:rPr>
      <w:rFonts w:ascii="Times New Roman" w:hAnsi="Times New Roman"/>
      <w:szCs w:val="24"/>
    </w:rPr>
  </w:style>
  <w:style w:type="paragraph" w:styleId="21">
    <w:name w:val="Plain Text"/>
    <w:basedOn w:val="1"/>
    <w:link w:val="53"/>
    <w:qFormat/>
    <w:locked/>
    <w:uiPriority w:val="99"/>
    <w:pPr>
      <w:spacing w:line="440" w:lineRule="exact"/>
      <w:ind w:firstLine="425"/>
    </w:pPr>
    <w:rPr>
      <w:rFonts w:ascii="宋体" w:hAnsi="Courier New"/>
      <w:sz w:val="28"/>
      <w:szCs w:val="20"/>
    </w:rPr>
  </w:style>
  <w:style w:type="paragraph" w:styleId="22">
    <w:name w:val="Body Text Indent 2"/>
    <w:basedOn w:val="1"/>
    <w:link w:val="54"/>
    <w:semiHidden/>
    <w:qFormat/>
    <w:uiPriority w:val="99"/>
    <w:pPr>
      <w:spacing w:line="500" w:lineRule="exact"/>
      <w:ind w:firstLine="560" w:firstLineChars="200"/>
    </w:pPr>
    <w:rPr>
      <w:rFonts w:ascii="仿宋_GB2312" w:hAnsi="宋体" w:eastAsia="仿宋_GB2312" w:cs="Arial"/>
      <w:sz w:val="28"/>
      <w:szCs w:val="21"/>
    </w:rPr>
  </w:style>
  <w:style w:type="paragraph" w:styleId="23">
    <w:name w:val="Balloon Text"/>
    <w:basedOn w:val="1"/>
    <w:link w:val="55"/>
    <w:semiHidden/>
    <w:qFormat/>
    <w:uiPriority w:val="99"/>
    <w:rPr>
      <w:rFonts w:ascii="Times New Roman" w:hAnsi="Times New Roman"/>
      <w:sz w:val="18"/>
      <w:szCs w:val="18"/>
    </w:rPr>
  </w:style>
  <w:style w:type="paragraph" w:styleId="24">
    <w:name w:val="footer"/>
    <w:basedOn w:val="1"/>
    <w:link w:val="56"/>
    <w:qFormat/>
    <w:uiPriority w:val="99"/>
    <w:pPr>
      <w:tabs>
        <w:tab w:val="center" w:pos="4153"/>
        <w:tab w:val="right" w:pos="8306"/>
      </w:tabs>
      <w:snapToGrid w:val="0"/>
      <w:jc w:val="left"/>
    </w:pPr>
    <w:rPr>
      <w:sz w:val="18"/>
      <w:szCs w:val="18"/>
    </w:rPr>
  </w:style>
  <w:style w:type="paragraph" w:styleId="25">
    <w:name w:val="header"/>
    <w:basedOn w:val="1"/>
    <w:link w:val="57"/>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99"/>
    <w:pPr>
      <w:tabs>
        <w:tab w:val="right" w:leader="dot" w:pos="9344"/>
      </w:tabs>
    </w:pPr>
    <w:rPr>
      <w:rFonts w:ascii="Times New Roman" w:hAnsi="Times New Roman"/>
      <w:b/>
      <w:bCs/>
      <w:color w:val="000000"/>
      <w:sz w:val="30"/>
      <w:szCs w:val="30"/>
    </w:rPr>
  </w:style>
  <w:style w:type="paragraph" w:styleId="27">
    <w:name w:val="Subtitle"/>
    <w:basedOn w:val="1"/>
    <w:next w:val="1"/>
    <w:link w:val="58"/>
    <w:qFormat/>
    <w:uiPriority w:val="99"/>
    <w:pPr>
      <w:jc w:val="center"/>
    </w:pPr>
    <w:rPr>
      <w:rFonts w:ascii="宋体" w:hAnsi="宋体"/>
      <w:szCs w:val="21"/>
    </w:rPr>
  </w:style>
  <w:style w:type="paragraph" w:styleId="28">
    <w:name w:val="Body Text Indent 3"/>
    <w:basedOn w:val="1"/>
    <w:link w:val="59"/>
    <w:semiHidden/>
    <w:qFormat/>
    <w:uiPriority w:val="99"/>
    <w:pPr>
      <w:widowControl/>
      <w:ind w:firstLine="552" w:firstLineChars="200"/>
    </w:pPr>
    <w:rPr>
      <w:rFonts w:ascii="Times New Roman" w:hAnsi="Times New Roman"/>
      <w:spacing w:val="-2"/>
      <w:kern w:val="0"/>
      <w:sz w:val="28"/>
      <w:szCs w:val="20"/>
    </w:rPr>
  </w:style>
  <w:style w:type="paragraph" w:styleId="29">
    <w:name w:val="Body Text 2"/>
    <w:basedOn w:val="1"/>
    <w:link w:val="60"/>
    <w:semiHidden/>
    <w:uiPriority w:val="99"/>
    <w:pPr>
      <w:spacing w:line="480" w:lineRule="exact"/>
    </w:pPr>
    <w:rPr>
      <w:rFonts w:ascii="Times New Roman" w:hAnsi="Times New Roman"/>
      <w:bCs/>
      <w:sz w:val="24"/>
      <w:szCs w:val="24"/>
    </w:rPr>
  </w:style>
  <w:style w:type="paragraph" w:styleId="30">
    <w:name w:val="Normal (Web)"/>
    <w:basedOn w:val="1"/>
    <w:semiHidden/>
    <w:uiPriority w:val="99"/>
    <w:pPr>
      <w:widowControl/>
      <w:spacing w:before="100" w:beforeAutospacing="1" w:after="100" w:afterAutospacing="1"/>
      <w:jc w:val="left"/>
    </w:pPr>
    <w:rPr>
      <w:rFonts w:ascii="宋体" w:hAnsi="宋体"/>
      <w:kern w:val="0"/>
      <w:sz w:val="24"/>
      <w:szCs w:val="24"/>
    </w:rPr>
  </w:style>
  <w:style w:type="paragraph" w:styleId="31">
    <w:name w:val="Title"/>
    <w:basedOn w:val="1"/>
    <w:next w:val="1"/>
    <w:link w:val="61"/>
    <w:qFormat/>
    <w:uiPriority w:val="99"/>
    <w:pPr>
      <w:spacing w:before="240" w:after="60"/>
      <w:jc w:val="center"/>
      <w:outlineLvl w:val="0"/>
    </w:pPr>
    <w:rPr>
      <w:rFonts w:ascii="Cambria" w:hAnsi="Cambria"/>
      <w:b/>
      <w:bCs/>
      <w:sz w:val="32"/>
      <w:szCs w:val="32"/>
    </w:rPr>
  </w:style>
  <w:style w:type="character" w:styleId="33">
    <w:name w:val="Strong"/>
    <w:qFormat/>
    <w:uiPriority w:val="99"/>
    <w:rPr>
      <w:rFonts w:cs="Times New Roman"/>
      <w:b/>
    </w:rPr>
  </w:style>
  <w:style w:type="character" w:styleId="34">
    <w:name w:val="page number"/>
    <w:semiHidden/>
    <w:uiPriority w:val="99"/>
    <w:rPr>
      <w:rFonts w:cs="Times New Roman"/>
    </w:rPr>
  </w:style>
  <w:style w:type="character" w:styleId="35">
    <w:name w:val="Hyperlink"/>
    <w:qFormat/>
    <w:uiPriority w:val="99"/>
    <w:rPr>
      <w:rFonts w:cs="Times New Roman"/>
      <w:color w:val="0000FF"/>
      <w:u w:val="single"/>
    </w:rPr>
  </w:style>
  <w:style w:type="character" w:styleId="36">
    <w:name w:val="annotation reference"/>
    <w:semiHidden/>
    <w:qFormat/>
    <w:locked/>
    <w:uiPriority w:val="99"/>
    <w:rPr>
      <w:rFonts w:cs="Times New Roman"/>
      <w:sz w:val="21"/>
      <w:szCs w:val="21"/>
    </w:rPr>
  </w:style>
  <w:style w:type="table" w:styleId="38">
    <w:name w:val="Table Grid"/>
    <w:basedOn w:val="37"/>
    <w:qFormat/>
    <w:uiPriority w:val="9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9">
    <w:name w:val="Table Grid 5"/>
    <w:basedOn w:val="37"/>
    <w:uiPriority w:val="99"/>
    <w:pPr>
      <w:widowControl w:val="0"/>
      <w:tabs>
        <w:tab w:val="left" w:pos="1021"/>
      </w:tabs>
      <w:spacing w:line="360" w:lineRule="auto"/>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blStylePr w:type="firstRow">
      <w:rPr>
        <w:rFonts w:cs="Times New Roman"/>
      </w:rPr>
      <w:tblPr>
        <w:tblLayout w:type="fixed"/>
      </w:tblPr>
      <w:tcPr>
        <w:tcBorders>
          <w:bottom w:val="single" w:color="000000" w:sz="12" w:space="0"/>
          <w:tl2br w:val="nil"/>
          <w:tr2bl w:val="nil"/>
        </w:tcBorders>
      </w:tcPr>
    </w:tblStylePr>
    <w:tblStylePr w:type="lastRow">
      <w:rPr>
        <w:rFonts w:cs="Times New Roman"/>
        <w:b/>
        <w:bCs/>
      </w:rPr>
      <w:tblPr>
        <w:tblLayout w:type="fixed"/>
      </w:tblPr>
      <w:tcPr>
        <w:tcBorders>
          <w:tl2br w:val="nil"/>
          <w:tr2bl w:val="nil"/>
        </w:tcBorders>
      </w:tcPr>
    </w:tblStylePr>
    <w:tblStylePr w:type="lastCol">
      <w:rPr>
        <w:rFonts w:cs="Times New Roman"/>
        <w:b/>
        <w:bCs/>
      </w:rPr>
      <w:tblPr>
        <w:tblLayout w:type="fixed"/>
      </w:tblPr>
      <w:tcPr>
        <w:tcBorders>
          <w:tl2br w:val="nil"/>
          <w:tr2bl w:val="nil"/>
        </w:tcBorders>
      </w:tcPr>
    </w:tblStylePr>
    <w:tblStylePr w:type="nwCell">
      <w:rPr>
        <w:rFonts w:cs="Times New Roman"/>
      </w:rPr>
      <w:tblPr>
        <w:tblLayout w:type="fixed"/>
      </w:tblPr>
      <w:tcPr>
        <w:tcBorders>
          <w:tl2br w:val="single" w:color="000000" w:sz="6" w:space="0"/>
          <w:tr2bl w:val="nil"/>
        </w:tcBorders>
      </w:tcPr>
    </w:tblStylePr>
  </w:style>
  <w:style w:type="character" w:customStyle="1" w:styleId="40">
    <w:name w:val="标题 1 字符"/>
    <w:link w:val="3"/>
    <w:qFormat/>
    <w:locked/>
    <w:uiPriority w:val="99"/>
    <w:rPr>
      <w:rFonts w:ascii="Times New Roman" w:hAnsi="Times New Roman" w:eastAsia="魏碑" w:cs="Times New Roman"/>
      <w:b/>
      <w:kern w:val="0"/>
      <w:sz w:val="20"/>
      <w:szCs w:val="20"/>
    </w:rPr>
  </w:style>
  <w:style w:type="character" w:customStyle="1" w:styleId="41">
    <w:name w:val="Heading 2 Char"/>
    <w:semiHidden/>
    <w:locked/>
    <w:uiPriority w:val="99"/>
    <w:rPr>
      <w:rFonts w:ascii="Cambria" w:hAnsi="Cambria" w:eastAsia="宋体" w:cs="Times New Roman"/>
      <w:b/>
      <w:bCs/>
      <w:sz w:val="32"/>
      <w:szCs w:val="32"/>
    </w:rPr>
  </w:style>
  <w:style w:type="character" w:customStyle="1" w:styleId="42">
    <w:name w:val="标题 3 字符"/>
    <w:link w:val="5"/>
    <w:qFormat/>
    <w:locked/>
    <w:uiPriority w:val="99"/>
    <w:rPr>
      <w:rFonts w:ascii="Times New Roman" w:hAnsi="Times New Roman" w:eastAsia="黑体" w:cs="Times New Roman"/>
      <w:b/>
      <w:kern w:val="0"/>
      <w:sz w:val="20"/>
      <w:szCs w:val="20"/>
    </w:rPr>
  </w:style>
  <w:style w:type="character" w:customStyle="1" w:styleId="43">
    <w:name w:val="标题 4 字符"/>
    <w:link w:val="7"/>
    <w:qFormat/>
    <w:locked/>
    <w:uiPriority w:val="99"/>
    <w:rPr>
      <w:rFonts w:ascii="Times New Roman" w:hAnsi="Times New Roman" w:eastAsia="长城楷体" w:cs="Times New Roman"/>
      <w:b/>
      <w:kern w:val="0"/>
      <w:sz w:val="20"/>
      <w:szCs w:val="20"/>
    </w:rPr>
  </w:style>
  <w:style w:type="character" w:customStyle="1" w:styleId="44">
    <w:name w:val="标题 5 字符"/>
    <w:link w:val="8"/>
    <w:qFormat/>
    <w:locked/>
    <w:uiPriority w:val="99"/>
    <w:rPr>
      <w:rFonts w:ascii="Times New Roman" w:hAnsi="Times New Roman" w:eastAsia="宋体" w:cs="Times New Roman"/>
      <w:b/>
      <w:kern w:val="0"/>
      <w:sz w:val="20"/>
      <w:szCs w:val="20"/>
    </w:rPr>
  </w:style>
  <w:style w:type="character" w:customStyle="1" w:styleId="45">
    <w:name w:val="标题 6 字符"/>
    <w:link w:val="9"/>
    <w:qFormat/>
    <w:locked/>
    <w:uiPriority w:val="99"/>
    <w:rPr>
      <w:rFonts w:ascii="Arial" w:hAnsi="Arial" w:eastAsia="黑体" w:cs="Times New Roman"/>
      <w:b/>
      <w:kern w:val="0"/>
      <w:sz w:val="20"/>
      <w:szCs w:val="20"/>
    </w:rPr>
  </w:style>
  <w:style w:type="character" w:customStyle="1" w:styleId="46">
    <w:name w:val="标题 7 字符"/>
    <w:link w:val="10"/>
    <w:locked/>
    <w:uiPriority w:val="99"/>
    <w:rPr>
      <w:rFonts w:ascii="Times New Roman" w:hAnsi="Times New Roman" w:eastAsia="宋体" w:cs="Times New Roman"/>
      <w:b/>
      <w:kern w:val="0"/>
      <w:sz w:val="20"/>
      <w:szCs w:val="20"/>
    </w:rPr>
  </w:style>
  <w:style w:type="character" w:customStyle="1" w:styleId="47">
    <w:name w:val="标题 8 字符"/>
    <w:link w:val="11"/>
    <w:qFormat/>
    <w:locked/>
    <w:uiPriority w:val="99"/>
    <w:rPr>
      <w:rFonts w:ascii="Arial" w:hAnsi="Arial" w:eastAsia="黑体" w:cs="Times New Roman"/>
      <w:kern w:val="0"/>
      <w:sz w:val="20"/>
      <w:szCs w:val="20"/>
    </w:rPr>
  </w:style>
  <w:style w:type="character" w:customStyle="1" w:styleId="48">
    <w:name w:val="标题 9 字符"/>
    <w:link w:val="12"/>
    <w:qFormat/>
    <w:locked/>
    <w:uiPriority w:val="99"/>
    <w:rPr>
      <w:rFonts w:ascii="Arial" w:hAnsi="Arial" w:eastAsia="黑体" w:cs="Times New Roman"/>
      <w:kern w:val="0"/>
      <w:sz w:val="20"/>
      <w:szCs w:val="20"/>
    </w:rPr>
  </w:style>
  <w:style w:type="character" w:customStyle="1" w:styleId="49">
    <w:name w:val="正文文本 字符"/>
    <w:link w:val="2"/>
    <w:semiHidden/>
    <w:qFormat/>
    <w:locked/>
    <w:uiPriority w:val="99"/>
    <w:rPr>
      <w:rFonts w:ascii="Times New Roman" w:hAnsi="Times New Roman" w:eastAsia="宋体" w:cs="Times New Roman"/>
      <w:sz w:val="20"/>
      <w:szCs w:val="20"/>
    </w:rPr>
  </w:style>
  <w:style w:type="character" w:customStyle="1" w:styleId="50">
    <w:name w:val="文档结构图 字符"/>
    <w:link w:val="17"/>
    <w:semiHidden/>
    <w:locked/>
    <w:uiPriority w:val="99"/>
    <w:rPr>
      <w:rFonts w:ascii="宋体" w:hAnsi="Times New Roman" w:eastAsia="宋体" w:cs="Times New Roman"/>
      <w:sz w:val="18"/>
      <w:szCs w:val="18"/>
    </w:rPr>
  </w:style>
  <w:style w:type="character" w:customStyle="1" w:styleId="51">
    <w:name w:val="批注文字 字符"/>
    <w:link w:val="14"/>
    <w:qFormat/>
    <w:locked/>
    <w:uiPriority w:val="99"/>
    <w:rPr>
      <w:rFonts w:ascii="Calibri" w:hAnsi="Calibri" w:eastAsia="宋体" w:cs="Times New Roman"/>
      <w:kern w:val="2"/>
      <w:sz w:val="22"/>
    </w:rPr>
  </w:style>
  <w:style w:type="character" w:customStyle="1" w:styleId="52">
    <w:name w:val="正文文本缩进 字符"/>
    <w:link w:val="18"/>
    <w:semiHidden/>
    <w:qFormat/>
    <w:locked/>
    <w:uiPriority w:val="99"/>
    <w:rPr>
      <w:rFonts w:ascii="仿宋_GB2312" w:hAnsi="宋体" w:eastAsia="仿宋_GB2312" w:cs="Times New Roman"/>
      <w:kern w:val="0"/>
      <w:sz w:val="24"/>
      <w:szCs w:val="24"/>
    </w:rPr>
  </w:style>
  <w:style w:type="character" w:customStyle="1" w:styleId="53">
    <w:name w:val="纯文本 字符"/>
    <w:link w:val="21"/>
    <w:qFormat/>
    <w:locked/>
    <w:uiPriority w:val="99"/>
    <w:rPr>
      <w:rFonts w:ascii="宋体" w:hAnsi="Courier New" w:cs="Times New Roman"/>
      <w:kern w:val="2"/>
      <w:sz w:val="28"/>
    </w:rPr>
  </w:style>
  <w:style w:type="character" w:customStyle="1" w:styleId="54">
    <w:name w:val="正文文本缩进 2 字符"/>
    <w:link w:val="22"/>
    <w:semiHidden/>
    <w:qFormat/>
    <w:locked/>
    <w:uiPriority w:val="99"/>
    <w:rPr>
      <w:rFonts w:ascii="仿宋_GB2312" w:hAnsi="宋体" w:eastAsia="仿宋_GB2312" w:cs="Arial"/>
      <w:sz w:val="21"/>
      <w:szCs w:val="21"/>
    </w:rPr>
  </w:style>
  <w:style w:type="character" w:customStyle="1" w:styleId="55">
    <w:name w:val="批注框文本 字符"/>
    <w:link w:val="23"/>
    <w:semiHidden/>
    <w:qFormat/>
    <w:locked/>
    <w:uiPriority w:val="99"/>
    <w:rPr>
      <w:rFonts w:ascii="Times New Roman" w:hAnsi="Times New Roman" w:eastAsia="宋体" w:cs="Times New Roman"/>
      <w:sz w:val="18"/>
      <w:szCs w:val="18"/>
    </w:rPr>
  </w:style>
  <w:style w:type="character" w:customStyle="1" w:styleId="56">
    <w:name w:val="页脚 字符"/>
    <w:link w:val="24"/>
    <w:qFormat/>
    <w:locked/>
    <w:uiPriority w:val="99"/>
    <w:rPr>
      <w:rFonts w:cs="Times New Roman"/>
      <w:sz w:val="18"/>
      <w:szCs w:val="18"/>
    </w:rPr>
  </w:style>
  <w:style w:type="character" w:customStyle="1" w:styleId="57">
    <w:name w:val="页眉 字符"/>
    <w:link w:val="25"/>
    <w:semiHidden/>
    <w:qFormat/>
    <w:locked/>
    <w:uiPriority w:val="99"/>
    <w:rPr>
      <w:rFonts w:cs="Times New Roman"/>
      <w:sz w:val="18"/>
      <w:szCs w:val="18"/>
    </w:rPr>
  </w:style>
  <w:style w:type="character" w:customStyle="1" w:styleId="58">
    <w:name w:val="副标题 字符"/>
    <w:link w:val="27"/>
    <w:locked/>
    <w:uiPriority w:val="99"/>
    <w:rPr>
      <w:rFonts w:ascii="Cambria" w:hAnsi="Cambria" w:cs="Times New Roman"/>
      <w:b/>
      <w:bCs/>
      <w:kern w:val="28"/>
      <w:sz w:val="32"/>
      <w:szCs w:val="32"/>
    </w:rPr>
  </w:style>
  <w:style w:type="character" w:customStyle="1" w:styleId="59">
    <w:name w:val="正文文本缩进 3 字符"/>
    <w:link w:val="28"/>
    <w:semiHidden/>
    <w:qFormat/>
    <w:locked/>
    <w:uiPriority w:val="99"/>
    <w:rPr>
      <w:rFonts w:ascii="Times New Roman" w:hAnsi="Times New Roman" w:eastAsia="宋体" w:cs="Times New Roman"/>
      <w:spacing w:val="-2"/>
      <w:kern w:val="0"/>
      <w:sz w:val="20"/>
      <w:szCs w:val="20"/>
    </w:rPr>
  </w:style>
  <w:style w:type="character" w:customStyle="1" w:styleId="60">
    <w:name w:val="正文文本 2 字符"/>
    <w:link w:val="29"/>
    <w:semiHidden/>
    <w:qFormat/>
    <w:locked/>
    <w:uiPriority w:val="99"/>
    <w:rPr>
      <w:rFonts w:ascii="Times New Roman" w:hAnsi="Times New Roman" w:eastAsia="宋体" w:cs="Times New Roman"/>
      <w:bCs/>
      <w:sz w:val="24"/>
      <w:szCs w:val="24"/>
    </w:rPr>
  </w:style>
  <w:style w:type="character" w:customStyle="1" w:styleId="61">
    <w:name w:val="标题 字符"/>
    <w:link w:val="31"/>
    <w:qFormat/>
    <w:locked/>
    <w:uiPriority w:val="99"/>
    <w:rPr>
      <w:rFonts w:ascii="Cambria" w:hAnsi="Cambria" w:eastAsia="宋体" w:cs="Times New Roman"/>
      <w:b/>
      <w:bCs/>
      <w:sz w:val="32"/>
      <w:szCs w:val="32"/>
    </w:rPr>
  </w:style>
  <w:style w:type="character" w:customStyle="1" w:styleId="62">
    <w:name w:val="批注主题 字符"/>
    <w:link w:val="13"/>
    <w:semiHidden/>
    <w:qFormat/>
    <w:locked/>
    <w:uiPriority w:val="99"/>
    <w:rPr>
      <w:rFonts w:ascii="Calibri" w:hAnsi="Calibri" w:eastAsia="宋体" w:cs="Times New Roman"/>
      <w:b/>
      <w:bCs/>
      <w:kern w:val="2"/>
      <w:sz w:val="22"/>
    </w:rPr>
  </w:style>
  <w:style w:type="character" w:customStyle="1" w:styleId="63">
    <w:name w:val="正文文本首行缩进 字符"/>
    <w:link w:val="15"/>
    <w:qFormat/>
    <w:locked/>
    <w:uiPriority w:val="99"/>
    <w:rPr>
      <w:rFonts w:ascii="Times New Roman" w:hAnsi="Times New Roman" w:eastAsia="宋体" w:cs="Times New Roman"/>
      <w:sz w:val="24"/>
      <w:szCs w:val="24"/>
    </w:rPr>
  </w:style>
  <w:style w:type="character" w:customStyle="1" w:styleId="64">
    <w:name w:val="Heading 2 Char3"/>
    <w:semiHidden/>
    <w:qFormat/>
    <w:locked/>
    <w:uiPriority w:val="99"/>
    <w:rPr>
      <w:rFonts w:ascii="Cambria" w:hAnsi="Cambria" w:eastAsia="宋体" w:cs="Times New Roman"/>
      <w:b/>
      <w:bCs/>
      <w:sz w:val="32"/>
      <w:szCs w:val="32"/>
    </w:rPr>
  </w:style>
  <w:style w:type="character" w:customStyle="1" w:styleId="65">
    <w:name w:val="Heading 2 Char2"/>
    <w:semiHidden/>
    <w:locked/>
    <w:uiPriority w:val="99"/>
    <w:rPr>
      <w:rFonts w:ascii="Cambria" w:hAnsi="Cambria" w:eastAsia="宋体" w:cs="Times New Roman"/>
      <w:b/>
      <w:bCs/>
      <w:sz w:val="32"/>
      <w:szCs w:val="32"/>
    </w:rPr>
  </w:style>
  <w:style w:type="character" w:customStyle="1" w:styleId="66">
    <w:name w:val="标题 2 字符"/>
    <w:link w:val="4"/>
    <w:qFormat/>
    <w:locked/>
    <w:uiPriority w:val="99"/>
    <w:rPr>
      <w:rFonts w:ascii="Times New Roman" w:hAnsi="Times New Roman" w:eastAsia="黑体" w:cs="Times New Roman"/>
      <w:kern w:val="0"/>
      <w:sz w:val="20"/>
      <w:szCs w:val="20"/>
    </w:rPr>
  </w:style>
  <w:style w:type="paragraph" w:customStyle="1" w:styleId="67">
    <w:name w:val="样式1"/>
    <w:basedOn w:val="1"/>
    <w:link w:val="80"/>
    <w:uiPriority w:val="99"/>
    <w:pPr>
      <w:spacing w:after="40" w:line="300" w:lineRule="atLeast"/>
      <w:jc w:val="center"/>
      <w:outlineLvl w:val="2"/>
    </w:pPr>
    <w:rPr>
      <w:rFonts w:ascii="Times New Roman" w:hAnsi="Times New Roman" w:eastAsia="楷体_GB2312"/>
      <w:szCs w:val="20"/>
    </w:rPr>
  </w:style>
  <w:style w:type="paragraph" w:customStyle="1" w:styleId="68">
    <w:name w:val="表格 32"/>
    <w:basedOn w:val="1"/>
    <w:qFormat/>
    <w:uiPriority w:val="99"/>
    <w:pPr>
      <w:autoSpaceDE w:val="0"/>
      <w:autoSpaceDN w:val="0"/>
      <w:adjustRightInd w:val="0"/>
      <w:jc w:val="center"/>
      <w:textAlignment w:val="baseline"/>
    </w:pPr>
    <w:rPr>
      <w:rFonts w:ascii="宋体" w:hAnsi="Impact"/>
      <w:kern w:val="24"/>
      <w:sz w:val="24"/>
      <w:szCs w:val="20"/>
    </w:rPr>
  </w:style>
  <w:style w:type="paragraph" w:customStyle="1" w:styleId="69">
    <w:name w:val="表格2"/>
    <w:basedOn w:val="1"/>
    <w:next w:val="1"/>
    <w:qFormat/>
    <w:uiPriority w:val="99"/>
    <w:pPr>
      <w:topLinePunct/>
      <w:autoSpaceDE w:val="0"/>
      <w:autoSpaceDN w:val="0"/>
      <w:adjustRightInd w:val="0"/>
      <w:jc w:val="center"/>
      <w:textAlignment w:val="baseline"/>
    </w:pPr>
    <w:rPr>
      <w:rFonts w:ascii="宋体" w:hAnsi="Impact"/>
      <w:kern w:val="24"/>
      <w:position w:val="-28"/>
      <w:szCs w:val="20"/>
    </w:rPr>
  </w:style>
  <w:style w:type="paragraph" w:customStyle="1" w:styleId="70">
    <w:name w:val="xl31"/>
    <w:basedOn w:val="1"/>
    <w:qFormat/>
    <w:uiPriority w:val="99"/>
    <w:pPr>
      <w:widowControl/>
      <w:spacing w:before="100" w:beforeAutospacing="1" w:after="100" w:afterAutospacing="1"/>
      <w:jc w:val="center"/>
    </w:pPr>
    <w:rPr>
      <w:rFonts w:ascii="Times New Roman" w:hAnsi="Times New Roman"/>
      <w:kern w:val="0"/>
      <w:sz w:val="24"/>
      <w:szCs w:val="24"/>
    </w:rPr>
  </w:style>
  <w:style w:type="character" w:customStyle="1" w:styleId="71">
    <w:name w:val="h31"/>
    <w:uiPriority w:val="99"/>
    <w:rPr>
      <w:rFonts w:cs="Times New Roman"/>
      <w:spacing w:val="330"/>
      <w:sz w:val="21"/>
      <w:szCs w:val="21"/>
    </w:rPr>
  </w:style>
  <w:style w:type="paragraph" w:customStyle="1" w:styleId="72">
    <w:name w:val="表文字"/>
    <w:basedOn w:val="1"/>
    <w:link w:val="83"/>
    <w:uiPriority w:val="99"/>
    <w:pPr>
      <w:overflowPunct w:val="0"/>
      <w:autoSpaceDE w:val="0"/>
      <w:autoSpaceDN w:val="0"/>
      <w:adjustRightInd w:val="0"/>
      <w:spacing w:line="240" w:lineRule="atLeast"/>
      <w:textAlignment w:val="baseline"/>
    </w:pPr>
    <w:rPr>
      <w:rFonts w:ascii="Times New Roman" w:hAnsi="Times New Roman"/>
      <w:kern w:val="0"/>
      <w:sz w:val="24"/>
      <w:szCs w:val="20"/>
    </w:rPr>
  </w:style>
  <w:style w:type="paragraph" w:customStyle="1" w:styleId="73">
    <w:name w:val="标题1"/>
    <w:basedOn w:val="1"/>
    <w:uiPriority w:val="99"/>
    <w:pPr>
      <w:spacing w:before="62" w:after="62" w:line="360" w:lineRule="auto"/>
    </w:pPr>
    <w:rPr>
      <w:rFonts w:ascii="宋体" w:hAnsi="Times New Roman"/>
      <w:b/>
      <w:sz w:val="28"/>
      <w:szCs w:val="20"/>
    </w:rPr>
  </w:style>
  <w:style w:type="paragraph" w:customStyle="1" w:styleId="74">
    <w:name w:val="Char"/>
    <w:basedOn w:val="1"/>
    <w:qFormat/>
    <w:uiPriority w:val="99"/>
    <w:rPr>
      <w:rFonts w:ascii="Times New Roman" w:hAnsi="Times New Roman"/>
      <w:szCs w:val="24"/>
    </w:rPr>
  </w:style>
  <w:style w:type="paragraph" w:customStyle="1" w:styleId="75">
    <w:name w:val="TOC 标题1"/>
    <w:basedOn w:val="3"/>
    <w:next w:val="1"/>
    <w:qFormat/>
    <w:uiPriority w:val="99"/>
    <w:pPr>
      <w:widowControl/>
      <w:numPr>
        <w:numId w:val="0"/>
      </w:numPr>
      <w:autoSpaceDE/>
      <w:autoSpaceDN/>
      <w:adjustRightInd/>
      <w:spacing w:before="480" w:after="0" w:line="276" w:lineRule="auto"/>
      <w:textAlignment w:val="auto"/>
      <w:outlineLvl w:val="9"/>
    </w:pPr>
    <w:rPr>
      <w:rFonts w:ascii="Cambria" w:hAnsi="Cambria" w:eastAsia="宋体"/>
      <w:bCs/>
      <w:color w:val="365F91"/>
      <w:sz w:val="28"/>
      <w:szCs w:val="28"/>
    </w:rPr>
  </w:style>
  <w:style w:type="character" w:customStyle="1" w:styleId="76">
    <w:name w:val="表格文字 Char"/>
    <w:link w:val="77"/>
    <w:qFormat/>
    <w:locked/>
    <w:uiPriority w:val="99"/>
    <w:rPr>
      <w:rFonts w:ascii="Times New Roman" w:hAnsi="Times New Roman" w:eastAsia="宋体" w:cs="Times New Roman"/>
      <w:kern w:val="2"/>
      <w:sz w:val="18"/>
      <w:szCs w:val="18"/>
    </w:rPr>
  </w:style>
  <w:style w:type="paragraph" w:customStyle="1" w:styleId="77">
    <w:name w:val="表格文字"/>
    <w:basedOn w:val="1"/>
    <w:link w:val="76"/>
    <w:uiPriority w:val="99"/>
    <w:pPr>
      <w:adjustRightInd w:val="0"/>
      <w:snapToGrid w:val="0"/>
      <w:spacing w:line="240" w:lineRule="atLeast"/>
      <w:jc w:val="center"/>
      <w:textAlignment w:val="center"/>
    </w:pPr>
    <w:rPr>
      <w:rFonts w:ascii="Times New Roman" w:hAnsi="Times New Roman"/>
      <w:szCs w:val="18"/>
    </w:rPr>
  </w:style>
  <w:style w:type="paragraph" w:customStyle="1" w:styleId="78">
    <w:name w:val="Default"/>
    <w:qFormat/>
    <w:uiPriority w:val="99"/>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79">
    <w:name w:val="apple-converted-space"/>
    <w:uiPriority w:val="99"/>
    <w:rPr>
      <w:rFonts w:cs="Times New Roman"/>
    </w:rPr>
  </w:style>
  <w:style w:type="character" w:customStyle="1" w:styleId="80">
    <w:name w:val="样式1 Char"/>
    <w:link w:val="67"/>
    <w:locked/>
    <w:uiPriority w:val="99"/>
    <w:rPr>
      <w:rFonts w:ascii="Times New Roman" w:hAnsi="Times New Roman" w:eastAsia="楷体_GB2312" w:cs="Times New Roman"/>
      <w:kern w:val="2"/>
      <w:sz w:val="21"/>
    </w:rPr>
  </w:style>
  <w:style w:type="paragraph" w:customStyle="1" w:styleId="81">
    <w:name w:val="Char1"/>
    <w:basedOn w:val="1"/>
    <w:qFormat/>
    <w:uiPriority w:val="99"/>
    <w:rPr>
      <w:rFonts w:ascii="Times New Roman" w:hAnsi="Times New Roman"/>
      <w:szCs w:val="24"/>
    </w:rPr>
  </w:style>
  <w:style w:type="character" w:customStyle="1" w:styleId="82">
    <w:name w:val="题注 字符"/>
    <w:link w:val="16"/>
    <w:semiHidden/>
    <w:qFormat/>
    <w:locked/>
    <w:uiPriority w:val="99"/>
    <w:rPr>
      <w:rFonts w:ascii="Arial" w:hAnsi="Arial" w:cs="Arial"/>
      <w:snapToGrid w:val="0"/>
      <w:kern w:val="24"/>
      <w:sz w:val="28"/>
      <w:szCs w:val="28"/>
    </w:rPr>
  </w:style>
  <w:style w:type="character" w:customStyle="1" w:styleId="83">
    <w:name w:val="表文字 Char"/>
    <w:link w:val="72"/>
    <w:qFormat/>
    <w:locked/>
    <w:uiPriority w:val="99"/>
    <w:rPr>
      <w:rFonts w:ascii="Times New Roman" w:hAnsi="Times New Roman" w:cs="Times New Roman"/>
      <w:sz w:val="24"/>
    </w:rPr>
  </w:style>
  <w:style w:type="paragraph" w:customStyle="1" w:styleId="84">
    <w:name w:val="reader-word-layer"/>
    <w:basedOn w:val="1"/>
    <w:uiPriority w:val="99"/>
    <w:pPr>
      <w:widowControl/>
      <w:spacing w:before="100" w:beforeAutospacing="1" w:after="100" w:afterAutospacing="1"/>
      <w:jc w:val="left"/>
    </w:pPr>
    <w:rPr>
      <w:rFonts w:ascii="宋体" w:hAnsi="宋体" w:cs="宋体"/>
      <w:kern w:val="0"/>
      <w:sz w:val="24"/>
      <w:szCs w:val="24"/>
    </w:rPr>
  </w:style>
  <w:style w:type="character" w:customStyle="1" w:styleId="85">
    <w:name w:val="标题 3 Char Char Char1"/>
    <w:qFormat/>
    <w:uiPriority w:val="99"/>
    <w:rPr>
      <w:rFonts w:ascii="Arial" w:hAnsi="Arial" w:eastAsia="宋体" w:cs="Arial"/>
      <w:b/>
      <w:bCs/>
      <w:sz w:val="26"/>
      <w:szCs w:val="26"/>
      <w:lang w:val="en-US" w:eastAsia="zh-CN" w:bidi="ar-SA"/>
    </w:rPr>
  </w:style>
  <w:style w:type="character" w:customStyle="1" w:styleId="86">
    <w:name w:val="纯文本 Char"/>
    <w:semiHidden/>
    <w:uiPriority w:val="99"/>
    <w:rPr>
      <w:rFonts w:ascii="宋体" w:hAnsi="Courier New" w:cs="Courier New"/>
      <w:kern w:val="2"/>
      <w:sz w:val="21"/>
      <w:szCs w:val="21"/>
    </w:rPr>
  </w:style>
  <w:style w:type="character" w:customStyle="1" w:styleId="87">
    <w:name w:val="正文首行缩进 Char2"/>
    <w:uiPriority w:val="99"/>
    <w:rPr>
      <w:rFonts w:eastAsia="宋体" w:cs="Times New Roman"/>
      <w:kern w:val="2"/>
      <w:sz w:val="24"/>
      <w:szCs w:val="24"/>
      <w:lang w:val="en-US" w:eastAsia="zh-CN" w:bidi="ar-SA"/>
    </w:rPr>
  </w:style>
  <w:style w:type="character" w:customStyle="1" w:styleId="88">
    <w:name w:val="题注 Char1"/>
    <w:qFormat/>
    <w:uiPriority w:val="99"/>
    <w:rPr>
      <w:rFonts w:eastAsia="宋体"/>
      <w:b/>
      <w:kern w:val="2"/>
      <w:sz w:val="21"/>
      <w:lang w:eastAsia="zh-CN"/>
    </w:rPr>
  </w:style>
  <w:style w:type="paragraph" w:customStyle="1" w:styleId="89">
    <w:name w:val="样式 样式 样式 样式 正文首行缩进 2Char2 + 首行缩进:  2 字符 + 首行缩进:  2 字符 + 首行缩进:  2..."/>
    <w:basedOn w:val="1"/>
    <w:uiPriority w:val="99"/>
    <w:pPr>
      <w:ind w:firstLine="480"/>
    </w:pPr>
    <w:rPr>
      <w:rFonts w:ascii="宋体" w:hAnsi="宋体"/>
      <w:sz w:val="20"/>
      <w:szCs w:val="20"/>
    </w:rPr>
  </w:style>
  <w:style w:type="paragraph" w:customStyle="1" w:styleId="90">
    <w:name w:val="样式 左 行距: 1.5 倍行距"/>
    <w:basedOn w:val="1"/>
    <w:qFormat/>
    <w:uiPriority w:val="99"/>
    <w:pPr>
      <w:ind w:firstLine="592"/>
    </w:pPr>
    <w:rPr>
      <w:spacing w:val="8"/>
      <w:sz w:val="20"/>
      <w:szCs w:val="20"/>
    </w:rPr>
  </w:style>
  <w:style w:type="paragraph" w:customStyle="1" w:styleId="91">
    <w:name w:val="样式 加粗 左 行距: 1.5 倍行距"/>
    <w:basedOn w:val="1"/>
    <w:qFormat/>
    <w:uiPriority w:val="99"/>
    <w:pPr>
      <w:ind w:firstLine="593"/>
    </w:pPr>
    <w:rPr>
      <w:b/>
      <w:spacing w:val="8"/>
      <w:sz w:val="20"/>
      <w:szCs w:val="20"/>
    </w:rPr>
  </w:style>
  <w:style w:type="paragraph" w:customStyle="1" w:styleId="92">
    <w:name w:val="p0"/>
    <w:basedOn w:val="1"/>
    <w:qFormat/>
    <w:uiPriority w:val="99"/>
    <w:pPr>
      <w:widowControl/>
      <w:spacing w:before="100" w:beforeAutospacing="1" w:after="100" w:afterAutospacing="1"/>
      <w:jc w:val="left"/>
    </w:pPr>
    <w:rPr>
      <w:rFonts w:ascii="宋体" w:hAnsi="宋体" w:cs="宋体"/>
      <w:kern w:val="0"/>
      <w:sz w:val="24"/>
    </w:rPr>
  </w:style>
  <w:style w:type="paragraph" w:customStyle="1" w:styleId="93">
    <w:name w:val="Quote"/>
    <w:basedOn w:val="1"/>
    <w:next w:val="1"/>
    <w:link w:val="94"/>
    <w:qFormat/>
    <w:uiPriority w:val="99"/>
    <w:pPr>
      <w:jc w:val="center"/>
    </w:pPr>
    <w:rPr>
      <w:b/>
      <w:iCs/>
      <w:color w:val="000000"/>
    </w:rPr>
  </w:style>
  <w:style w:type="character" w:customStyle="1" w:styleId="94">
    <w:name w:val="引用 字符"/>
    <w:link w:val="93"/>
    <w:locked/>
    <w:uiPriority w:val="99"/>
    <w:rPr>
      <w:rFonts w:cs="Times New Roman"/>
      <w:i/>
      <w:iCs/>
      <w:color w:val="000000"/>
    </w:rPr>
  </w:style>
  <w:style w:type="paragraph" w:customStyle="1" w:styleId="95">
    <w:name w:val="Intense Quote"/>
    <w:basedOn w:val="1"/>
    <w:next w:val="1"/>
    <w:link w:val="96"/>
    <w:qFormat/>
    <w:uiPriority w:val="99"/>
    <w:pPr>
      <w:jc w:val="center"/>
    </w:pPr>
    <w:rPr>
      <w:bCs/>
      <w:iCs/>
    </w:rPr>
  </w:style>
  <w:style w:type="character" w:customStyle="1" w:styleId="96">
    <w:name w:val="明显引用 字符"/>
    <w:link w:val="95"/>
    <w:locked/>
    <w:uiPriority w:val="99"/>
    <w:rPr>
      <w:rFonts w:cs="Times New Roman"/>
      <w:b/>
      <w:bCs/>
      <w:i/>
      <w:iCs/>
      <w:color w:val="4F81BD"/>
    </w:rPr>
  </w:style>
  <w:style w:type="paragraph" w:customStyle="1" w:styleId="97">
    <w:name w:val="样式 表格文字 + 居中1"/>
    <w:basedOn w:val="1"/>
    <w:qFormat/>
    <w:uiPriority w:val="99"/>
    <w:pPr>
      <w:adjustRightInd w:val="0"/>
      <w:snapToGrid w:val="0"/>
      <w:spacing w:line="400" w:lineRule="exact"/>
      <w:jc w:val="center"/>
    </w:pPr>
    <w:rPr>
      <w:rFonts w:cs="宋体"/>
      <w:szCs w:val="20"/>
    </w:rPr>
  </w:style>
  <w:style w:type="paragraph" w:customStyle="1" w:styleId="98">
    <w:name w:val="xl25"/>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99">
    <w:name w:val="报告书正文"/>
    <w:basedOn w:val="1"/>
    <w:qFormat/>
    <w:uiPriority w:val="99"/>
    <w:pPr>
      <w:spacing w:line="360" w:lineRule="auto"/>
      <w:ind w:firstLine="480" w:firstLineChars="200"/>
    </w:pPr>
    <w:rPr>
      <w:kern w:val="0"/>
      <w:sz w:val="24"/>
    </w:rPr>
  </w:style>
  <w:style w:type="paragraph" w:customStyle="1" w:styleId="100">
    <w:name w:val="样式正文无级"/>
    <w:basedOn w:val="1"/>
    <w:qFormat/>
    <w:uiPriority w:val="99"/>
    <w:pPr>
      <w:spacing w:line="360" w:lineRule="auto"/>
      <w:ind w:firstLine="480" w:firstLineChars="200"/>
    </w:pPr>
    <w:rPr>
      <w:rFonts w:ascii="Times New Roman" w:hAnsi="Times New Roman"/>
      <w:kern w:val="0"/>
      <w:sz w:val="24"/>
      <w:szCs w:val="24"/>
    </w:rPr>
  </w:style>
  <w:style w:type="paragraph" w:customStyle="1" w:styleId="101">
    <w:name w:val="表格"/>
    <w:basedOn w:val="1"/>
    <w:uiPriority w:val="99"/>
    <w:pPr>
      <w:jc w:val="center"/>
    </w:pPr>
  </w:style>
  <w:style w:type="paragraph" w:customStyle="1" w:styleId="102">
    <w:name w:val="Char Char Char Char Char Char Char"/>
    <w:basedOn w:val="1"/>
    <w:qFormat/>
    <w:uiPriority w:val="99"/>
    <w:pPr>
      <w:spacing w:line="360" w:lineRule="auto"/>
      <w:ind w:firstLine="200" w:firstLineChars="200"/>
    </w:pPr>
    <w:rPr>
      <w:rFonts w:ascii="宋体" w:hAnsi="Times New Roman" w:eastAsia="仿宋_GB2312"/>
      <w:kern w:val="0"/>
      <w:sz w:val="24"/>
      <w:szCs w:val="24"/>
    </w:rPr>
  </w:style>
  <w:style w:type="character" w:customStyle="1" w:styleId="103">
    <w:name w:val="表格正文 Char"/>
    <w:link w:val="104"/>
    <w:locked/>
    <w:uiPriority w:val="99"/>
    <w:rPr>
      <w:kern w:val="2"/>
      <w:sz w:val="21"/>
    </w:rPr>
  </w:style>
  <w:style w:type="paragraph" w:customStyle="1" w:styleId="104">
    <w:name w:val="表格正文"/>
    <w:basedOn w:val="1"/>
    <w:link w:val="103"/>
    <w:qFormat/>
    <w:uiPriority w:val="99"/>
    <w:pPr>
      <w:spacing w:line="360" w:lineRule="exact"/>
      <w:jc w:val="center"/>
    </w:pPr>
    <w:rPr>
      <w:szCs w:val="20"/>
    </w:rPr>
  </w:style>
  <w:style w:type="paragraph" w:customStyle="1" w:styleId="105">
    <w:name w:val="表的格式（小四）"/>
    <w:basedOn w:val="1"/>
    <w:qFormat/>
    <w:uiPriority w:val="99"/>
    <w:pPr>
      <w:adjustRightInd w:val="0"/>
      <w:spacing w:line="360" w:lineRule="atLeast"/>
      <w:jc w:val="center"/>
    </w:pPr>
    <w:rPr>
      <w:rFonts w:ascii="Times New Roman" w:hAnsi="Times New Roman"/>
      <w:kern w:val="0"/>
      <w:sz w:val="24"/>
      <w:szCs w:val="20"/>
    </w:rPr>
  </w:style>
  <w:style w:type="paragraph" w:customStyle="1" w:styleId="106">
    <w:name w:val="图标标题"/>
    <w:basedOn w:val="1"/>
    <w:link w:val="107"/>
    <w:qFormat/>
    <w:uiPriority w:val="99"/>
    <w:pPr>
      <w:snapToGrid w:val="0"/>
      <w:ind w:firstLine="620" w:firstLineChars="294"/>
      <w:contextualSpacing/>
      <w:jc w:val="center"/>
    </w:pPr>
    <w:rPr>
      <w:rFonts w:ascii="Times New Roman" w:hAnsi="Times New Roman"/>
      <w:b/>
      <w:szCs w:val="20"/>
    </w:rPr>
  </w:style>
  <w:style w:type="character" w:customStyle="1" w:styleId="107">
    <w:name w:val="图标标题 字符"/>
    <w:link w:val="106"/>
    <w:qFormat/>
    <w:locked/>
    <w:uiPriority w:val="99"/>
    <w:rPr>
      <w:rFonts w:ascii="Times New Roman" w:hAnsi="Times New Roman" w:eastAsia="宋体"/>
      <w:b/>
      <w:kern w:val="2"/>
      <w:sz w:val="21"/>
    </w:rPr>
  </w:style>
  <w:style w:type="paragraph" w:customStyle="1" w:styleId="108">
    <w:name w:val="表中正文居中"/>
    <w:uiPriority w:val="99"/>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109">
    <w:name w:val="表内"/>
    <w:basedOn w:val="1"/>
    <w:link w:val="110"/>
    <w:qFormat/>
    <w:uiPriority w:val="99"/>
    <w:pPr>
      <w:spacing w:line="240" w:lineRule="exact"/>
      <w:jc w:val="center"/>
    </w:pPr>
    <w:rPr>
      <w:rFonts w:ascii="Times New Roman" w:hAnsi="Times New Roman"/>
      <w:color w:val="000000"/>
      <w:szCs w:val="21"/>
    </w:rPr>
  </w:style>
  <w:style w:type="character" w:customStyle="1" w:styleId="110">
    <w:name w:val="表内 字符"/>
    <w:link w:val="109"/>
    <w:locked/>
    <w:uiPriority w:val="99"/>
    <w:rPr>
      <w:rFonts w:ascii="Times New Roman" w:hAnsi="Times New Roman" w:eastAsia="宋体" w:cs="Times New Roman"/>
      <w:color w:val="000000"/>
      <w:kern w:val="2"/>
      <w:sz w:val="21"/>
      <w:szCs w:val="21"/>
    </w:rPr>
  </w:style>
  <w:style w:type="paragraph" w:customStyle="1" w:styleId="111">
    <w:name w:val="图表标题"/>
    <w:basedOn w:val="1"/>
    <w:link w:val="112"/>
    <w:qFormat/>
    <w:uiPriority w:val="99"/>
    <w:pPr>
      <w:tabs>
        <w:tab w:val="left" w:pos="0"/>
      </w:tabs>
      <w:jc w:val="center"/>
    </w:pPr>
    <w:rPr>
      <w:rFonts w:ascii="Times New Roman" w:hAnsi="Times New Roman"/>
      <w:b/>
      <w:sz w:val="24"/>
      <w:szCs w:val="20"/>
    </w:rPr>
  </w:style>
  <w:style w:type="character" w:customStyle="1" w:styleId="112">
    <w:name w:val="图表标题 字符"/>
    <w:link w:val="111"/>
    <w:qFormat/>
    <w:locked/>
    <w:uiPriority w:val="99"/>
    <w:rPr>
      <w:rFonts w:ascii="Times New Roman" w:hAnsi="Times New Roman" w:eastAsia="宋体" w:cs="Times New Roman"/>
      <w:b/>
      <w:kern w:val="2"/>
      <w:sz w:val="24"/>
    </w:rPr>
  </w:style>
  <w:style w:type="character" w:customStyle="1" w:styleId="113">
    <w:name w:val="正文缩进 字符"/>
    <w:link w:val="6"/>
    <w:qFormat/>
    <w:locked/>
    <w:uiPriority w:val="99"/>
    <w:rPr>
      <w:rFonts w:ascii="Times New Roman" w:hAnsi="Times New Roman" w:eastAsia="宋体"/>
      <w:kern w:val="2"/>
      <w:sz w:val="24"/>
    </w:rPr>
  </w:style>
  <w:style w:type="paragraph" w:customStyle="1" w:styleId="114">
    <w:name w:val="我的正文"/>
    <w:basedOn w:val="2"/>
    <w:link w:val="116"/>
    <w:qFormat/>
    <w:uiPriority w:val="0"/>
    <w:pPr>
      <w:spacing w:line="360" w:lineRule="auto"/>
      <w:ind w:firstLine="480" w:firstLineChars="200"/>
    </w:pPr>
    <w:rPr>
      <w:bCs/>
      <w:szCs w:val="28"/>
    </w:rPr>
  </w:style>
  <w:style w:type="paragraph" w:customStyle="1" w:styleId="115">
    <w:name w:val="图片格式"/>
    <w:basedOn w:val="2"/>
    <w:link w:val="117"/>
    <w:uiPriority w:val="99"/>
    <w:pPr>
      <w:jc w:val="center"/>
    </w:pPr>
    <w:rPr>
      <w:b/>
      <w:bCs/>
      <w:szCs w:val="28"/>
    </w:rPr>
  </w:style>
  <w:style w:type="character" w:customStyle="1" w:styleId="116">
    <w:name w:val="我的正文 字符"/>
    <w:link w:val="114"/>
    <w:qFormat/>
    <w:locked/>
    <w:uiPriority w:val="0"/>
    <w:rPr>
      <w:rFonts w:ascii="Times New Roman" w:hAnsi="Times New Roman" w:eastAsia="宋体" w:cs="Times New Roman"/>
      <w:bCs/>
      <w:kern w:val="2"/>
      <w:sz w:val="28"/>
      <w:szCs w:val="28"/>
    </w:rPr>
  </w:style>
  <w:style w:type="character" w:customStyle="1" w:styleId="117">
    <w:name w:val="图片格式 字符"/>
    <w:link w:val="115"/>
    <w:locked/>
    <w:uiPriority w:val="99"/>
    <w:rPr>
      <w:rFonts w:ascii="Times New Roman" w:hAnsi="Times New Roman" w:eastAsia="宋体" w:cs="Times New Roman"/>
      <w:b/>
      <w:bCs/>
      <w:kern w:val="2"/>
      <w:sz w:val="28"/>
      <w:szCs w:val="28"/>
    </w:rPr>
  </w:style>
  <w:style w:type="paragraph" w:customStyle="1" w:styleId="118">
    <w:name w:val="正文(首行缩进)"/>
    <w:basedOn w:val="1"/>
    <w:link w:val="119"/>
    <w:uiPriority w:val="99"/>
    <w:pPr>
      <w:spacing w:line="360" w:lineRule="auto"/>
      <w:ind w:firstLine="540" w:firstLineChars="225"/>
    </w:pPr>
    <w:rPr>
      <w:rFonts w:ascii="Times New Roman" w:hAnsi="Times New Roman"/>
      <w:color w:val="000000"/>
      <w:kern w:val="0"/>
      <w:sz w:val="24"/>
      <w:szCs w:val="24"/>
    </w:rPr>
  </w:style>
  <w:style w:type="character" w:customStyle="1" w:styleId="119">
    <w:name w:val="正文(首行缩进) Char1"/>
    <w:link w:val="118"/>
    <w:locked/>
    <w:uiPriority w:val="99"/>
    <w:rPr>
      <w:rFonts w:ascii="Times New Roman" w:hAnsi="Times New Roman" w:eastAsia="宋体" w:cs="Times New Roman"/>
      <w:snapToGrid w:val="0"/>
      <w:color w:val="000000"/>
      <w:sz w:val="24"/>
      <w:szCs w:val="24"/>
    </w:rPr>
  </w:style>
  <w:style w:type="paragraph" w:customStyle="1" w:styleId="120">
    <w:name w:val="Revision1"/>
    <w:hidden/>
    <w:semiHidden/>
    <w:uiPriority w:val="99"/>
    <w:rPr>
      <w:rFonts w:ascii="Calibri" w:hAnsi="Calibri" w:eastAsia="宋体" w:cs="Times New Roman"/>
      <w:kern w:val="2"/>
      <w:sz w:val="21"/>
      <w:szCs w:val="22"/>
      <w:lang w:val="en-US" w:eastAsia="zh-CN" w:bidi="ar-SA"/>
    </w:rPr>
  </w:style>
  <w:style w:type="paragraph" w:customStyle="1" w:styleId="121">
    <w:name w:val="Char Char Char Char Char Char Char1"/>
    <w:basedOn w:val="1"/>
    <w:uiPriority w:val="99"/>
    <w:pPr>
      <w:snapToGrid w:val="0"/>
      <w:spacing w:line="360" w:lineRule="auto"/>
      <w:ind w:firstLine="529" w:firstLineChars="200"/>
    </w:pPr>
    <w:rPr>
      <w:rFonts w:ascii="宋体" w:hAnsi="宋体" w:cs="宋体"/>
      <w:sz w:val="24"/>
      <w:szCs w:val="24"/>
    </w:rPr>
  </w:style>
  <w:style w:type="paragraph" w:customStyle="1" w:styleId="122">
    <w:name w:val="表格标题"/>
    <w:basedOn w:val="1"/>
    <w:link w:val="123"/>
    <w:uiPriority w:val="99"/>
    <w:pPr>
      <w:spacing w:line="240" w:lineRule="atLeast"/>
      <w:jc w:val="center"/>
    </w:pPr>
    <w:rPr>
      <w:rFonts w:ascii="Times New Roman" w:hAnsi="Times New Roman"/>
      <w:b/>
      <w:sz w:val="24"/>
      <w:szCs w:val="20"/>
      <w:lang w:val="zh-CN"/>
    </w:rPr>
  </w:style>
  <w:style w:type="character" w:customStyle="1" w:styleId="123">
    <w:name w:val="表格标题 字符"/>
    <w:link w:val="122"/>
    <w:locked/>
    <w:uiPriority w:val="99"/>
    <w:rPr>
      <w:rFonts w:ascii="Times New Roman" w:hAnsi="Times New Roman" w:eastAsia="宋体"/>
      <w:b/>
      <w:kern w:val="2"/>
      <w:sz w:val="24"/>
      <w:lang w:val="zh-CN" w:eastAsia="zh-CN"/>
    </w:rPr>
  </w:style>
  <w:style w:type="paragraph" w:customStyle="1" w:styleId="124">
    <w:name w:val="表内表头"/>
    <w:basedOn w:val="21"/>
    <w:link w:val="125"/>
    <w:uiPriority w:val="99"/>
    <w:pPr>
      <w:spacing w:line="240" w:lineRule="atLeast"/>
      <w:ind w:firstLine="0"/>
      <w:jc w:val="center"/>
    </w:pPr>
    <w:rPr>
      <w:rFonts w:ascii="Times New Roman" w:hAnsi="Times New Roman"/>
      <w:b/>
      <w:sz w:val="21"/>
      <w:lang w:val="zh-CN"/>
    </w:rPr>
  </w:style>
  <w:style w:type="character" w:customStyle="1" w:styleId="125">
    <w:name w:val="表内表头 字符"/>
    <w:link w:val="124"/>
    <w:locked/>
    <w:uiPriority w:val="99"/>
    <w:rPr>
      <w:rFonts w:ascii="Times New Roman" w:hAnsi="Times New Roman" w:eastAsia="宋体"/>
      <w:b/>
      <w:kern w:val="2"/>
      <w:sz w:val="21"/>
      <w:lang w:val="zh-CN" w:eastAsia="zh-CN"/>
    </w:rPr>
  </w:style>
  <w:style w:type="paragraph" w:customStyle="1" w:styleId="126">
    <w:name w:val="xc标题"/>
    <w:basedOn w:val="1"/>
    <w:uiPriority w:val="99"/>
    <w:pPr>
      <w:adjustRightInd w:val="0"/>
      <w:snapToGrid w:val="0"/>
      <w:jc w:val="center"/>
    </w:pPr>
    <w:rPr>
      <w:rFonts w:ascii="Arial Black" w:hAnsi="Arial Black" w:eastAsia="仿宋_GB2312"/>
      <w:b/>
      <w:szCs w:val="24"/>
    </w:rPr>
  </w:style>
  <w:style w:type="paragraph" w:customStyle="1" w:styleId="127">
    <w:name w:val="List Paragraph"/>
    <w:basedOn w:val="1"/>
    <w:qFormat/>
    <w:uiPriority w:val="99"/>
    <w:pPr>
      <w:ind w:firstLine="420" w:firstLineChars="200"/>
    </w:pPr>
  </w:style>
  <w:style w:type="character" w:customStyle="1" w:styleId="128">
    <w:name w:val="font21"/>
    <w:uiPriority w:val="99"/>
    <w:rPr>
      <w:rFonts w:ascii="宋体" w:hAnsi="宋体" w:eastAsia="宋体" w:cs="Times New Roman"/>
      <w:color w:val="000000"/>
      <w:sz w:val="22"/>
      <w:szCs w:val="22"/>
      <w:u w:val="none"/>
    </w:rPr>
  </w:style>
  <w:style w:type="character" w:customStyle="1" w:styleId="129">
    <w:name w:val="font11"/>
    <w:uiPriority w:val="99"/>
    <w:rPr>
      <w:rFonts w:ascii="宋体" w:hAnsi="宋体" w:eastAsia="宋体" w:cs="Times New Roman"/>
      <w:color w:val="000000"/>
      <w:sz w:val="22"/>
      <w:szCs w:val="22"/>
      <w:u w:val="none"/>
    </w:rPr>
  </w:style>
  <w:style w:type="character" w:customStyle="1" w:styleId="130">
    <w:name w:val="font31"/>
    <w:uiPriority w:val="99"/>
    <w:rPr>
      <w:rFonts w:ascii="Times New Roman" w:hAnsi="Times New Roman" w:cs="Times New Roman"/>
      <w:color w:val="000000"/>
      <w:sz w:val="22"/>
      <w:szCs w:val="22"/>
      <w:u w:val="none"/>
    </w:rPr>
  </w:style>
  <w:style w:type="character" w:customStyle="1" w:styleId="131">
    <w:name w:val="font01"/>
    <w:uiPriority w:val="99"/>
    <w:rPr>
      <w:rFonts w:ascii="宋体" w:hAnsi="宋体" w:eastAsia="宋体" w:cs="Times New Roman"/>
      <w:color w:val="000000"/>
      <w:sz w:val="22"/>
      <w:szCs w:val="22"/>
      <w:u w:val="none"/>
    </w:rPr>
  </w:style>
  <w:style w:type="character" w:customStyle="1" w:styleId="132">
    <w:name w:val="font41"/>
    <w:uiPriority w:val="99"/>
    <w:rPr>
      <w:rFonts w:ascii="Times New Roman" w:hAnsi="Times New Roman" w:cs="Times New Roman"/>
      <w:color w:val="000000"/>
      <w:sz w:val="22"/>
      <w:szCs w:val="22"/>
      <w:u w:val="none"/>
    </w:rPr>
  </w:style>
  <w:style w:type="paragraph" w:customStyle="1" w:styleId="133">
    <w:name w:val="正文格式"/>
    <w:basedOn w:val="1"/>
    <w:uiPriority w:val="99"/>
    <w:pPr>
      <w:spacing w:line="360" w:lineRule="auto"/>
      <w:ind w:firstLine="482"/>
    </w:pPr>
    <w:rPr>
      <w:rFonts w:ascii="宋体" w:hAnsi="宋体"/>
      <w:kern w:val="0"/>
      <w:szCs w:val="21"/>
    </w:rPr>
  </w:style>
  <w:style w:type="paragraph" w:customStyle="1" w:styleId="134">
    <w:name w:val="0正文"/>
    <w:basedOn w:val="18"/>
    <w:semiHidden/>
    <w:uiPriority w:val="99"/>
    <w:pPr>
      <w:autoSpaceDE/>
      <w:autoSpaceDN/>
      <w:adjustRightInd/>
      <w:spacing w:line="360" w:lineRule="auto"/>
      <w:ind w:firstLine="720"/>
      <w:jc w:val="both"/>
    </w:pPr>
    <w:rPr>
      <w:rFonts w:ascii="Times New Roman" w:hAnsi="Times New Roman" w:eastAsia="宋体"/>
      <w:kern w:val="2"/>
      <w:sz w:val="24"/>
    </w:rPr>
  </w:style>
  <w:style w:type="paragraph" w:customStyle="1" w:styleId="135">
    <w:name w:val="样式3"/>
    <w:basedOn w:val="1"/>
    <w:uiPriority w:val="99"/>
    <w:pPr>
      <w:spacing w:line="360" w:lineRule="auto"/>
      <w:ind w:firstLine="200" w:firstLineChars="200"/>
    </w:pPr>
    <w:rPr>
      <w:rFonts w:ascii="宋体" w:hAnsi="宋体"/>
      <w:color w:val="7B0300"/>
      <w:sz w:val="24"/>
      <w:szCs w:val="24"/>
    </w:rPr>
  </w:style>
  <w:style w:type="character" w:customStyle="1" w:styleId="136">
    <w:name w:val="[正文格式] Char"/>
    <w:link w:val="137"/>
    <w:locked/>
    <w:uiPriority w:val="0"/>
    <w:rPr>
      <w:rFonts w:ascii="宋体" w:hAnsi="宋体"/>
      <w:kern w:val="2"/>
      <w:sz w:val="24"/>
    </w:rPr>
  </w:style>
  <w:style w:type="paragraph" w:customStyle="1" w:styleId="137">
    <w:name w:val="[正文格式]"/>
    <w:basedOn w:val="1"/>
    <w:link w:val="136"/>
    <w:qFormat/>
    <w:uiPriority w:val="0"/>
    <w:pPr>
      <w:spacing w:line="440" w:lineRule="exact"/>
      <w:ind w:firstLine="500" w:firstLineChars="200"/>
    </w:pPr>
    <w:rPr>
      <w:rFonts w:ascii="宋体" w:hAnsi="宋体"/>
      <w:sz w:val="24"/>
      <w:szCs w:val="20"/>
    </w:rPr>
  </w:style>
  <w:style w:type="character" w:customStyle="1" w:styleId="138">
    <w:name w:val="标准正文 Char"/>
    <w:link w:val="139"/>
    <w:locked/>
    <w:uiPriority w:val="0"/>
    <w:rPr>
      <w:rFonts w:ascii="宋体" w:hAnsi="宋体"/>
      <w:kern w:val="2"/>
      <w:sz w:val="24"/>
      <w:szCs w:val="22"/>
    </w:rPr>
  </w:style>
  <w:style w:type="paragraph" w:customStyle="1" w:styleId="139">
    <w:name w:val="标准正文"/>
    <w:basedOn w:val="1"/>
    <w:link w:val="138"/>
    <w:qFormat/>
    <w:uiPriority w:val="0"/>
    <w:pPr>
      <w:spacing w:line="360" w:lineRule="auto"/>
      <w:ind w:firstLine="480" w:firstLineChars="200"/>
      <w:jc w:val="left"/>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1.png"/><Relationship Id="rId69" Type="http://schemas.openxmlformats.org/officeDocument/2006/relationships/customXml" Target="../customXml/item1.xml"/><Relationship Id="rId68" Type="http://schemas.openxmlformats.org/officeDocument/2006/relationships/image" Target="media/image46.jpeg"/><Relationship Id="rId67" Type="http://schemas.openxmlformats.org/officeDocument/2006/relationships/image" Target="media/image45.jpeg"/><Relationship Id="rId66" Type="http://schemas.openxmlformats.org/officeDocument/2006/relationships/image" Target="media/image44.jpe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jpeg"/><Relationship Id="rId62" Type="http://schemas.openxmlformats.org/officeDocument/2006/relationships/chart" Target="charts/chart14.xml"/><Relationship Id="rId61" Type="http://schemas.openxmlformats.org/officeDocument/2006/relationships/chart" Target="charts/chart13.xml"/><Relationship Id="rId60" Type="http://schemas.openxmlformats.org/officeDocument/2006/relationships/image" Target="media/image40.wmf"/><Relationship Id="rId6" Type="http://schemas.openxmlformats.org/officeDocument/2006/relationships/theme" Target="theme/theme1.xml"/><Relationship Id="rId59" Type="http://schemas.openxmlformats.org/officeDocument/2006/relationships/oleObject" Target="embeddings/oleObject2.bin"/><Relationship Id="rId58" Type="http://schemas.openxmlformats.org/officeDocument/2006/relationships/image" Target="media/image39.jpe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jpe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jpeg"/><Relationship Id="rId51" Type="http://schemas.openxmlformats.org/officeDocument/2006/relationships/image" Target="media/image32.wmf"/><Relationship Id="rId50" Type="http://schemas.openxmlformats.org/officeDocument/2006/relationships/oleObject" Target="embeddings/oleObject1.bin"/><Relationship Id="rId5" Type="http://schemas.openxmlformats.org/officeDocument/2006/relationships/footer" Target="footer2.xml"/><Relationship Id="rId49" Type="http://schemas.openxmlformats.org/officeDocument/2006/relationships/image" Target="media/image31.emf"/><Relationship Id="rId48" Type="http://schemas.openxmlformats.org/officeDocument/2006/relationships/image" Target="media/image30.png"/><Relationship Id="rId47" Type="http://schemas.openxmlformats.org/officeDocument/2006/relationships/image" Target="media/image29.jpeg"/><Relationship Id="rId46" Type="http://schemas.openxmlformats.org/officeDocument/2006/relationships/image" Target="media/image28.emf"/><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hart" Target="charts/chart12.xml"/><Relationship Id="rId18" Type="http://schemas.openxmlformats.org/officeDocument/2006/relationships/chart" Target="charts/chart11.xml"/><Relationship Id="rId17" Type="http://schemas.openxmlformats.org/officeDocument/2006/relationships/chart" Target="charts/chart10.xml"/><Relationship Id="rId16" Type="http://schemas.openxmlformats.org/officeDocument/2006/relationships/chart" Target="charts/chart9.xml"/><Relationship Id="rId15" Type="http://schemas.openxmlformats.org/officeDocument/2006/relationships/chart" Target="charts/chart8.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gonghanni\Desktop\&#27987;&#24230;&#35745;&#31639;&#8212;&#8212;&#8212;&#23450;&#23433;.xls"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gonghanni\Desktop\&#27987;&#24230;&#35745;&#31639;&#8212;&#8212;&#8212;&#23450;&#2343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39033;&#30446;\&#36827;&#34892;&#20013;\&#23450;&#22478;&#27745;&#27700;&#21378;\&#23433;&#23450;&#29615;&#20445;&#21488;&#36134;2019&#24180;1~3&#26376;&#32479;&#35745;&#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en-US"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月实际进水</a:t>
            </a:r>
            <a:r>
              <a:rPr lang="en-US" altLang="zh-CN" sz="1200">
                <a:latin typeface="Times New Roman" panose="02020603050405020304" charset="0"/>
                <a:ea typeface="宋体" panose="02010600030101010101" charset="-122"/>
                <a:cs typeface="Times New Roman" panose="02020603050405020304" charset="0"/>
              </a:rPr>
              <a:t>COD</a:t>
            </a:r>
            <a:r>
              <a:rPr lang="zh-CN" altLang="en-US" sz="1200">
                <a:latin typeface="Times New Roman" panose="02020603050405020304" charset="0"/>
                <a:ea typeface="宋体" panose="02010600030101010101" charset="-122"/>
                <a:cs typeface="Times New Roman" panose="02020603050405020304" charset="0"/>
              </a:rPr>
              <a:t>含量变化图</a:t>
            </a:r>
            <a:endParaRPr lang="en-US"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197598825570532"/>
          <c:y val="0.0415486307837583"/>
        </c:manualLayout>
      </c:layout>
      <c:overlay val="0"/>
    </c:title>
    <c:autoTitleDeleted val="0"/>
    <c:plotArea>
      <c:layout>
        <c:manualLayout>
          <c:layoutTarget val="inner"/>
          <c:xMode val="edge"/>
          <c:yMode val="edge"/>
          <c:x val="0.116637139107612"/>
          <c:y val="0.165312773403325"/>
          <c:w val="0.812107611548557"/>
          <c:h val="0.678086176727909"/>
        </c:manualLayout>
      </c:layout>
      <c:scatterChart>
        <c:scatterStyle val="smoothMarker"/>
        <c:varyColors val="0"/>
        <c:ser>
          <c:idx val="0"/>
          <c:order val="0"/>
          <c:tx>
            <c:strRef>
              <c:f>实际进水COD含量</c:f>
              <c:strCache>
                <c:ptCount val="1"/>
                <c:pt idx="0">
                  <c:v>实际进水COD含量</c:v>
                </c:pt>
              </c:strCache>
            </c:strRef>
          </c:tx>
          <c:spPr>
            <a:ln w="15875" cap="rnd" cmpd="sng" algn="ctr">
              <a:solidFill>
                <a:schemeClr val="accent1">
                  <a:shade val="95000"/>
                  <a:satMod val="105000"/>
                </a:schemeClr>
              </a:solidFill>
              <a:prstDash val="solid"/>
              <a:round/>
            </a:ln>
          </c:spPr>
          <c:marker>
            <c:symbol val="none"/>
          </c:marker>
          <c:dPt>
            <c:idx val="10"/>
            <c:marker>
              <c:symbol val="triangle"/>
              <c:size val="6"/>
              <c:spPr>
                <a:solidFill>
                  <a:srgbClr val="FF0000"/>
                </a:solidFill>
                <a:ln w="9525" cap="flat" cmpd="sng" algn="ctr">
                  <a:solidFill>
                    <a:srgbClr val="FF0000"/>
                  </a:solidFill>
                  <a:prstDash val="solid"/>
                  <a:round/>
                </a:ln>
              </c:spPr>
            </c:marker>
            <c:bubble3D val="0"/>
          </c:dPt>
          <c:dPt>
            <c:idx val="71"/>
            <c:marker>
              <c:symbol val="triangle"/>
              <c:size val="5"/>
              <c:spPr>
                <a:solidFill>
                  <a:srgbClr val="FF0000"/>
                </a:solidFill>
                <a:ln w="9525" cap="flat" cmpd="sng" algn="ctr">
                  <a:solidFill>
                    <a:srgbClr val="FF0000"/>
                  </a:solidFill>
                  <a:prstDash val="solid"/>
                  <a:round/>
                </a:ln>
              </c:spPr>
            </c:marker>
            <c:bubble3D val="0"/>
            <c:spPr>
              <a:ln w="15875" cap="rnd" cmpd="sng" algn="ctr">
                <a:solidFill>
                  <a:schemeClr val="accent1"/>
                </a:solidFill>
                <a:prstDash val="solid"/>
                <a:round/>
              </a:ln>
            </c:spPr>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0.0458333333333334"/>
                  <c:y val="-0.065843621399177"/>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altLang="zh-CN" sz="800">
                        <a:latin typeface="Times New Roman" panose="02020603050405020304" charset="0"/>
                        <a:ea typeface="宋体" panose="02010600030101010101" charset="-122"/>
                        <a:cs typeface="Times New Roman" panose="02020603050405020304" charset="0"/>
                      </a:rPr>
                      <a:t>1</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11</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altLang="zh-CN" sz="800">
                        <a:latin typeface="Times New Roman" panose="02020603050405020304" charset="0"/>
                        <a:ea typeface="宋体" panose="02010600030101010101" charset="-122"/>
                        <a:cs typeface="Times New Roman" panose="02020603050405020304" charset="0"/>
                      </a:rPr>
                      <a:t>830mg/L</a:t>
                    </a:r>
                    <a:endParaRPr lang="en-US" altLang="en-US" sz="800">
                      <a:latin typeface="Times New Roman" panose="02020603050405020304" charset="0"/>
                      <a:ea typeface="宋体" panose="02010600030101010101" charset="-122"/>
                      <a:cs typeface="Times New Roman" panose="02020603050405020304" charset="0"/>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layout>
                <c:manualLayout>
                  <c:x val="0.00903954802259887"/>
                  <c:y val="0.045325779036827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3</a:t>
                    </a:r>
                    <a:r>
                      <a:rPr lang="zh-CN" altLang="en-US" sz="800">
                        <a:latin typeface="Times New Roman" panose="02020603050405020304" charset="0"/>
                        <a:cs typeface="Times New Roman" panose="02020603050405020304" charset="0"/>
                      </a:rPr>
                      <a:t>月</a:t>
                    </a:r>
                    <a:r>
                      <a:rPr lang="en-US" altLang="zh-CN" sz="800">
                        <a:latin typeface="Times New Roman" panose="02020603050405020304" charset="0"/>
                        <a:cs typeface="Times New Roman" panose="02020603050405020304" charset="0"/>
                      </a:rPr>
                      <a:t>13</a:t>
                    </a:r>
                    <a:r>
                      <a:rPr lang="zh-CN" altLang="en-US" sz="800">
                        <a:latin typeface="Times New Roman" panose="02020603050405020304" charset="0"/>
                        <a:cs typeface="Times New Roman" panose="02020603050405020304" charset="0"/>
                      </a:rPr>
                      <a:t>日</a:t>
                    </a:r>
                    <a:endParaRPr lang="zh-CN" altLang="en-US" sz="800">
                      <a:latin typeface="Times New Roman" panose="02020603050405020304" charset="0"/>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141.2mg/L</a:t>
                    </a:r>
                    <a:endParaRPr lang="en-US" altLang="zh-CN" sz="800">
                      <a:latin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绘图数据!$B$3:$B$92</c:f>
              <c:numCache>
                <c:formatCode>General</c:formatCode>
                <c:ptCount val="90"/>
                <c:pt idx="0">
                  <c:v>372.357723577236</c:v>
                </c:pt>
                <c:pt idx="1">
                  <c:v>287.175452399685</c:v>
                </c:pt>
                <c:pt idx="2">
                  <c:v>396.825396825397</c:v>
                </c:pt>
                <c:pt idx="3">
                  <c:v>356.589147286822</c:v>
                </c:pt>
                <c:pt idx="4">
                  <c:v>640.096618357488</c:v>
                </c:pt>
                <c:pt idx="5">
                  <c:v>542.96875</c:v>
                </c:pt>
                <c:pt idx="6">
                  <c:v>378.90625</c:v>
                </c:pt>
                <c:pt idx="7">
                  <c:v>403.149606299213</c:v>
                </c:pt>
                <c:pt idx="8">
                  <c:v>348.175182481752</c:v>
                </c:pt>
                <c:pt idx="9">
                  <c:v>536.875495638382</c:v>
                </c:pt>
                <c:pt idx="10">
                  <c:v>830.827067669173</c:v>
                </c:pt>
                <c:pt idx="11">
                  <c:v>501.158301158301</c:v>
                </c:pt>
                <c:pt idx="12">
                  <c:v>471.538461538462</c:v>
                </c:pt>
                <c:pt idx="13">
                  <c:v>573.78277153558</c:v>
                </c:pt>
                <c:pt idx="14">
                  <c:v>556.756756756757</c:v>
                </c:pt>
                <c:pt idx="15">
                  <c:v>405.46875</c:v>
                </c:pt>
                <c:pt idx="16">
                  <c:v>429.6875</c:v>
                </c:pt>
                <c:pt idx="17">
                  <c:v>413.145539906103</c:v>
                </c:pt>
                <c:pt idx="18">
                  <c:v>545.112781954887</c:v>
                </c:pt>
                <c:pt idx="19">
                  <c:v>482.861400894188</c:v>
                </c:pt>
                <c:pt idx="20">
                  <c:v>440.957238132601</c:v>
                </c:pt>
                <c:pt idx="21">
                  <c:v>445.098039215686</c:v>
                </c:pt>
                <c:pt idx="22">
                  <c:v>462.109375</c:v>
                </c:pt>
                <c:pt idx="23">
                  <c:v>524.705882352941</c:v>
                </c:pt>
                <c:pt idx="24">
                  <c:v>603.076923076923</c:v>
                </c:pt>
                <c:pt idx="25">
                  <c:v>707.148347425058</c:v>
                </c:pt>
                <c:pt idx="26">
                  <c:v>598.841698841699</c:v>
                </c:pt>
                <c:pt idx="27">
                  <c:v>536.679536679537</c:v>
                </c:pt>
                <c:pt idx="28">
                  <c:v>496</c:v>
                </c:pt>
                <c:pt idx="29">
                  <c:v>486.792452830189</c:v>
                </c:pt>
                <c:pt idx="30">
                  <c:v>470.229007633588</c:v>
                </c:pt>
                <c:pt idx="31">
                  <c:v>486.608826857789</c:v>
                </c:pt>
                <c:pt idx="32">
                  <c:v>375.93984962406</c:v>
                </c:pt>
                <c:pt idx="33">
                  <c:v>456.273764258555</c:v>
                </c:pt>
                <c:pt idx="34">
                  <c:v>591.016548463357</c:v>
                </c:pt>
                <c:pt idx="35">
                  <c:v>583.794466403162</c:v>
                </c:pt>
                <c:pt idx="36">
                  <c:v>492.4</c:v>
                </c:pt>
                <c:pt idx="37">
                  <c:v>525.925925925926</c:v>
                </c:pt>
                <c:pt idx="38">
                  <c:v>514.595808383234</c:v>
                </c:pt>
                <c:pt idx="39">
                  <c:v>428.517964071856</c:v>
                </c:pt>
                <c:pt idx="40">
                  <c:v>355.538922155689</c:v>
                </c:pt>
                <c:pt idx="41">
                  <c:v>582.771535580524</c:v>
                </c:pt>
                <c:pt idx="42">
                  <c:v>563.076923076923</c:v>
                </c:pt>
                <c:pt idx="43">
                  <c:v>636.363636363636</c:v>
                </c:pt>
                <c:pt idx="44">
                  <c:v>476.923076923077</c:v>
                </c:pt>
                <c:pt idx="45">
                  <c:v>349.809885931559</c:v>
                </c:pt>
                <c:pt idx="46">
                  <c:v>250.85910652921</c:v>
                </c:pt>
                <c:pt idx="47">
                  <c:v>217.80303030303</c:v>
                </c:pt>
                <c:pt idx="48">
                  <c:v>248.091603053435</c:v>
                </c:pt>
                <c:pt idx="49">
                  <c:v>186.567164179104</c:v>
                </c:pt>
                <c:pt idx="50">
                  <c:v>250.868390582787</c:v>
                </c:pt>
                <c:pt idx="51">
                  <c:v>410</c:v>
                </c:pt>
                <c:pt idx="52">
                  <c:v>488.679245283019</c:v>
                </c:pt>
                <c:pt idx="53">
                  <c:v>306.201550387597</c:v>
                </c:pt>
                <c:pt idx="54">
                  <c:v>337.164750957854</c:v>
                </c:pt>
                <c:pt idx="55">
                  <c:v>362.595419847328</c:v>
                </c:pt>
                <c:pt idx="56">
                  <c:v>358.778625954198</c:v>
                </c:pt>
                <c:pt idx="57">
                  <c:v>318.702290076336</c:v>
                </c:pt>
                <c:pt idx="58">
                  <c:v>242.80303030303</c:v>
                </c:pt>
                <c:pt idx="59">
                  <c:v>371.212121212121</c:v>
                </c:pt>
                <c:pt idx="60">
                  <c:v>337.164750957854</c:v>
                </c:pt>
                <c:pt idx="61">
                  <c:v>668</c:v>
                </c:pt>
                <c:pt idx="62">
                  <c:v>580.769230769231</c:v>
                </c:pt>
                <c:pt idx="63">
                  <c:v>377.099236641221</c:v>
                </c:pt>
                <c:pt idx="64">
                  <c:v>344</c:v>
                </c:pt>
                <c:pt idx="65">
                  <c:v>366.037735849057</c:v>
                </c:pt>
                <c:pt idx="66">
                  <c:v>227</c:v>
                </c:pt>
                <c:pt idx="67">
                  <c:v>650.375939849624</c:v>
                </c:pt>
                <c:pt idx="68">
                  <c:v>607.462686567164</c:v>
                </c:pt>
                <c:pt idx="69">
                  <c:v>593.869731800766</c:v>
                </c:pt>
                <c:pt idx="70">
                  <c:v>185.328185328185</c:v>
                </c:pt>
                <c:pt idx="71">
                  <c:v>141.221374045801</c:v>
                </c:pt>
                <c:pt idx="72">
                  <c:v>188.461538461538</c:v>
                </c:pt>
                <c:pt idx="73">
                  <c:v>461.538461538462</c:v>
                </c:pt>
                <c:pt idx="74">
                  <c:v>187.022900763359</c:v>
                </c:pt>
                <c:pt idx="75">
                  <c:v>191.40625</c:v>
                </c:pt>
                <c:pt idx="76">
                  <c:v>337.786259541985</c:v>
                </c:pt>
                <c:pt idx="77">
                  <c:v>353.846153846154</c:v>
                </c:pt>
                <c:pt idx="78">
                  <c:v>176.582038651004</c:v>
                </c:pt>
                <c:pt idx="79">
                  <c:v>374.045801526718</c:v>
                </c:pt>
                <c:pt idx="80">
                  <c:v>263.035921205098</c:v>
                </c:pt>
                <c:pt idx="81">
                  <c:v>244.274809160305</c:v>
                </c:pt>
                <c:pt idx="82">
                  <c:v>407.692307692308</c:v>
                </c:pt>
                <c:pt idx="83">
                  <c:v>219.062259800154</c:v>
                </c:pt>
                <c:pt idx="84">
                  <c:v>651.923076923077</c:v>
                </c:pt>
                <c:pt idx="85">
                  <c:v>806</c:v>
                </c:pt>
                <c:pt idx="86">
                  <c:v>296.934865900383</c:v>
                </c:pt>
                <c:pt idx="87">
                  <c:v>311</c:v>
                </c:pt>
                <c:pt idx="88">
                  <c:v>471.698113207547</c:v>
                </c:pt>
              </c:numCache>
            </c:numRef>
          </c:yVal>
          <c:smooth val="1"/>
        </c:ser>
        <c:ser>
          <c:idx val="1"/>
          <c:order val="1"/>
          <c:tx>
            <c:strRef>
              <c:f>设计进水COD含量标准</c:f>
              <c:strCache>
                <c:ptCount val="1"/>
                <c:pt idx="0">
                  <c:v>设计进水COD含量标准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绘图数据!$P$3:$P$92</c:f>
              <c:numCache>
                <c:formatCode>General</c:formatCode>
                <c:ptCount val="90"/>
                <c:pt idx="0">
                  <c:v>300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pt idx="20">
                  <c:v>300</c:v>
                </c:pt>
                <c:pt idx="21">
                  <c:v>300</c:v>
                </c:pt>
                <c:pt idx="22">
                  <c:v>300</c:v>
                </c:pt>
                <c:pt idx="23">
                  <c:v>300</c:v>
                </c:pt>
                <c:pt idx="24">
                  <c:v>300</c:v>
                </c:pt>
                <c:pt idx="25">
                  <c:v>300</c:v>
                </c:pt>
                <c:pt idx="26">
                  <c:v>300</c:v>
                </c:pt>
                <c:pt idx="27">
                  <c:v>300</c:v>
                </c:pt>
                <c:pt idx="28">
                  <c:v>300</c:v>
                </c:pt>
                <c:pt idx="29">
                  <c:v>300</c:v>
                </c:pt>
                <c:pt idx="30">
                  <c:v>300</c:v>
                </c:pt>
                <c:pt idx="31">
                  <c:v>300</c:v>
                </c:pt>
                <c:pt idx="32">
                  <c:v>300</c:v>
                </c:pt>
                <c:pt idx="33">
                  <c:v>300</c:v>
                </c:pt>
                <c:pt idx="34">
                  <c:v>300</c:v>
                </c:pt>
                <c:pt idx="35">
                  <c:v>300</c:v>
                </c:pt>
                <c:pt idx="36">
                  <c:v>300</c:v>
                </c:pt>
                <c:pt idx="37">
                  <c:v>300</c:v>
                </c:pt>
                <c:pt idx="38">
                  <c:v>300</c:v>
                </c:pt>
                <c:pt idx="39">
                  <c:v>300</c:v>
                </c:pt>
                <c:pt idx="40">
                  <c:v>300</c:v>
                </c:pt>
                <c:pt idx="41">
                  <c:v>300</c:v>
                </c:pt>
                <c:pt idx="42">
                  <c:v>300</c:v>
                </c:pt>
                <c:pt idx="43">
                  <c:v>300</c:v>
                </c:pt>
                <c:pt idx="44">
                  <c:v>300</c:v>
                </c:pt>
                <c:pt idx="45">
                  <c:v>300</c:v>
                </c:pt>
                <c:pt idx="46">
                  <c:v>300</c:v>
                </c:pt>
                <c:pt idx="47">
                  <c:v>300</c:v>
                </c:pt>
                <c:pt idx="48">
                  <c:v>300</c:v>
                </c:pt>
                <c:pt idx="49">
                  <c:v>300</c:v>
                </c:pt>
                <c:pt idx="50">
                  <c:v>300</c:v>
                </c:pt>
                <c:pt idx="51">
                  <c:v>300</c:v>
                </c:pt>
                <c:pt idx="52">
                  <c:v>300</c:v>
                </c:pt>
                <c:pt idx="53">
                  <c:v>300</c:v>
                </c:pt>
                <c:pt idx="54">
                  <c:v>300</c:v>
                </c:pt>
                <c:pt idx="55">
                  <c:v>300</c:v>
                </c:pt>
                <c:pt idx="56">
                  <c:v>300</c:v>
                </c:pt>
                <c:pt idx="57">
                  <c:v>300</c:v>
                </c:pt>
                <c:pt idx="58">
                  <c:v>300</c:v>
                </c:pt>
                <c:pt idx="59">
                  <c:v>300</c:v>
                </c:pt>
                <c:pt idx="60">
                  <c:v>300</c:v>
                </c:pt>
                <c:pt idx="61">
                  <c:v>300</c:v>
                </c:pt>
                <c:pt idx="62">
                  <c:v>300</c:v>
                </c:pt>
                <c:pt idx="63">
                  <c:v>300</c:v>
                </c:pt>
                <c:pt idx="64">
                  <c:v>300</c:v>
                </c:pt>
                <c:pt idx="65">
                  <c:v>300</c:v>
                </c:pt>
                <c:pt idx="66">
                  <c:v>300</c:v>
                </c:pt>
                <c:pt idx="67">
                  <c:v>300</c:v>
                </c:pt>
                <c:pt idx="68">
                  <c:v>300</c:v>
                </c:pt>
                <c:pt idx="69">
                  <c:v>300</c:v>
                </c:pt>
                <c:pt idx="70">
                  <c:v>300</c:v>
                </c:pt>
                <c:pt idx="71">
                  <c:v>300</c:v>
                </c:pt>
                <c:pt idx="72">
                  <c:v>300</c:v>
                </c:pt>
                <c:pt idx="73">
                  <c:v>300</c:v>
                </c:pt>
                <c:pt idx="74">
                  <c:v>300</c:v>
                </c:pt>
                <c:pt idx="75">
                  <c:v>300</c:v>
                </c:pt>
                <c:pt idx="76">
                  <c:v>300</c:v>
                </c:pt>
                <c:pt idx="77">
                  <c:v>300</c:v>
                </c:pt>
                <c:pt idx="78">
                  <c:v>300</c:v>
                </c:pt>
                <c:pt idx="79">
                  <c:v>300</c:v>
                </c:pt>
                <c:pt idx="80">
                  <c:v>300</c:v>
                </c:pt>
                <c:pt idx="81">
                  <c:v>300</c:v>
                </c:pt>
                <c:pt idx="82">
                  <c:v>300</c:v>
                </c:pt>
                <c:pt idx="83">
                  <c:v>300</c:v>
                </c:pt>
                <c:pt idx="84">
                  <c:v>300</c:v>
                </c:pt>
                <c:pt idx="85">
                  <c:v>300</c:v>
                </c:pt>
                <c:pt idx="86">
                  <c:v>300</c:v>
                </c:pt>
                <c:pt idx="87">
                  <c:v>300</c:v>
                </c:pt>
                <c:pt idx="88">
                  <c:v>300</c:v>
                </c:pt>
                <c:pt idx="89">
                  <c:v>300</c:v>
                </c:pt>
              </c:numCache>
            </c:numRef>
          </c:yVal>
          <c:smooth val="1"/>
        </c:ser>
        <c:dLbls>
          <c:showLegendKey val="0"/>
          <c:showVal val="0"/>
          <c:showCatName val="0"/>
          <c:showSerName val="0"/>
          <c:showPercent val="0"/>
          <c:showBubbleSize val="0"/>
        </c:dLbls>
        <c:axId val="135567616"/>
        <c:axId val="135585792"/>
      </c:scatterChart>
      <c:valAx>
        <c:axId val="135567616"/>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5585792"/>
        <c:crosses val="autoZero"/>
        <c:crossBetween val="midCat"/>
        <c:majorUnit val="11"/>
      </c:valAx>
      <c:valAx>
        <c:axId val="135585792"/>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COD(mg/L)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5567616"/>
        <c:crossesAt val="43460"/>
        <c:crossBetween val="midCat"/>
      </c:valAx>
      <c:spPr>
        <a:noFill/>
        <a:ln w="25400">
          <a:noFill/>
        </a:ln>
      </c:spPr>
    </c:plotArea>
    <c:legend>
      <c:legendPos val="r"/>
      <c:layout>
        <c:manualLayout>
          <c:xMode val="edge"/>
          <c:yMode val="edge"/>
          <c:x val="0.582754215045153"/>
          <c:y val="0.128574126534466"/>
          <c:w val="0.260757151118822"/>
          <c:h val="0.0900472143531633"/>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月实际出水氨氮含量变化图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193434939276658"/>
          <c:y val="0.0679886685552408"/>
        </c:manualLayout>
      </c:layout>
      <c:overlay val="0"/>
    </c:title>
    <c:autoTitleDeleted val="0"/>
    <c:plotArea>
      <c:layout>
        <c:manualLayout>
          <c:layoutTarget val="inner"/>
          <c:xMode val="edge"/>
          <c:yMode val="edge"/>
          <c:x val="0.109857555941101"/>
          <c:y val="0.17664413761311"/>
          <c:w val="0.812107611548558"/>
          <c:h val="0.678086176727908"/>
        </c:manualLayout>
      </c:layout>
      <c:scatterChart>
        <c:scatterStyle val="smoothMarker"/>
        <c:varyColors val="0"/>
        <c:ser>
          <c:idx val="0"/>
          <c:order val="0"/>
          <c:tx>
            <c:strRef>
              <c:f>实际出水氨氮含量</c:f>
              <c:strCache>
                <c:ptCount val="1"/>
                <c:pt idx="0">
                  <c:v>实际出水氨氮含量</c:v>
                </c:pt>
              </c:strCache>
            </c:strRef>
          </c:tx>
          <c:spPr>
            <a:ln w="15875" cap="rnd" cmpd="sng" algn="ctr">
              <a:solidFill>
                <a:schemeClr val="accent1">
                  <a:shade val="95000"/>
                  <a:satMod val="105000"/>
                </a:schemeClr>
              </a:solidFill>
              <a:prstDash val="solid"/>
              <a:round/>
            </a:ln>
          </c:spPr>
          <c:marker>
            <c:symbol val="none"/>
          </c:marker>
          <c:dPt>
            <c:idx val="44"/>
            <c:marker>
              <c:symbol val="triangle"/>
              <c:size val="6"/>
              <c:spPr>
                <a:solidFill>
                  <a:srgbClr val="FF0000"/>
                </a:solidFill>
                <a:ln w="9525" cap="flat" cmpd="sng" algn="ctr">
                  <a:solidFill>
                    <a:srgbClr val="FF0000"/>
                  </a:solidFill>
                  <a:prstDash val="solid"/>
                  <a:round/>
                </a:ln>
              </c:spPr>
            </c:marker>
            <c:bubble3D val="0"/>
          </c:dPt>
          <c:dPt>
            <c:idx val="86"/>
            <c:marker>
              <c:symbol val="triangle"/>
              <c:size val="5"/>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2</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14</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33.04mg/L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extLst>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layout>
                <c:manualLayout>
                  <c:x val="-0.133833946954746"/>
                  <c:y val="0.0409013641790713"/>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3</a:t>
                    </a:r>
                    <a:r>
                      <a:rPr lang="zh-CN" altLang="en-US" sz="800">
                        <a:latin typeface="Times New Roman" panose="02020603050405020304" charset="0"/>
                        <a:cs typeface="Times New Roman" panose="02020603050405020304" charset="0"/>
                      </a:rPr>
                      <a:t>月</a:t>
                    </a:r>
                    <a:r>
                      <a:rPr lang="en-US" altLang="zh-CN" sz="800">
                        <a:latin typeface="Times New Roman" panose="02020603050405020304" charset="0"/>
                        <a:cs typeface="Times New Roman" panose="02020603050405020304" charset="0"/>
                      </a:rPr>
                      <a:t>28</a:t>
                    </a:r>
                    <a:r>
                      <a:rPr lang="zh-CN" altLang="en-US" sz="800">
                        <a:latin typeface="Times New Roman" panose="02020603050405020304" charset="0"/>
                        <a:cs typeface="Times New Roman" panose="02020603050405020304" charset="0"/>
                      </a:rPr>
                      <a:t>日</a:t>
                    </a:r>
                    <a:endParaRPr lang="zh-CN" altLang="en-US" sz="800">
                      <a:latin typeface="Times New Roman" panose="02020603050405020304" charset="0"/>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11.82mg/L</a:t>
                    </a:r>
                    <a:endParaRPr lang="en-US" altLang="zh-CN" sz="800">
                      <a:latin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绘图数据!$I$3:$I$92</c:f>
              <c:numCache>
                <c:formatCode>General</c:formatCode>
                <c:ptCount val="90"/>
                <c:pt idx="0">
                  <c:v>14.3513513513513</c:v>
                </c:pt>
                <c:pt idx="1">
                  <c:v>15.4</c:v>
                </c:pt>
                <c:pt idx="2">
                  <c:v>15.4864864864865</c:v>
                </c:pt>
                <c:pt idx="3">
                  <c:v>13.3783783783784</c:v>
                </c:pt>
                <c:pt idx="4">
                  <c:v>16.1081081081081</c:v>
                </c:pt>
                <c:pt idx="5">
                  <c:v>14.8918918918919</c:v>
                </c:pt>
                <c:pt idx="6">
                  <c:v>15.5945945945946</c:v>
                </c:pt>
                <c:pt idx="7">
                  <c:v>19</c:v>
                </c:pt>
                <c:pt idx="8">
                  <c:v>13.2702702702703</c:v>
                </c:pt>
                <c:pt idx="9">
                  <c:v>13.2162162162162</c:v>
                </c:pt>
                <c:pt idx="10">
                  <c:v>16.4054054054054</c:v>
                </c:pt>
                <c:pt idx="11">
                  <c:v>13.1621621621622</c:v>
                </c:pt>
                <c:pt idx="12">
                  <c:v>14.9459459459459</c:v>
                </c:pt>
                <c:pt idx="13">
                  <c:v>13.6486486486486</c:v>
                </c:pt>
                <c:pt idx="14">
                  <c:v>13.5405405405405</c:v>
                </c:pt>
                <c:pt idx="15">
                  <c:v>12.1891891891892</c:v>
                </c:pt>
                <c:pt idx="16">
                  <c:v>13.972972972973</c:v>
                </c:pt>
                <c:pt idx="17">
                  <c:v>12.6</c:v>
                </c:pt>
                <c:pt idx="18">
                  <c:v>13.1081081081081</c:v>
                </c:pt>
                <c:pt idx="19">
                  <c:v>15.1081081081081</c:v>
                </c:pt>
                <c:pt idx="20">
                  <c:v>14.8918918918919</c:v>
                </c:pt>
                <c:pt idx="21">
                  <c:v>12.2432432432432</c:v>
                </c:pt>
                <c:pt idx="22">
                  <c:v>15</c:v>
                </c:pt>
                <c:pt idx="23">
                  <c:v>12.2972972972973</c:v>
                </c:pt>
                <c:pt idx="24">
                  <c:v>13.1621621621622</c:v>
                </c:pt>
                <c:pt idx="25">
                  <c:v>16.8918918918919</c:v>
                </c:pt>
                <c:pt idx="26">
                  <c:v>17.1621621621622</c:v>
                </c:pt>
                <c:pt idx="27">
                  <c:v>18.1891891891892</c:v>
                </c:pt>
                <c:pt idx="28">
                  <c:v>15.5945945945946</c:v>
                </c:pt>
                <c:pt idx="29">
                  <c:v>16.6756756756757</c:v>
                </c:pt>
                <c:pt idx="30">
                  <c:v>16.1891891891892</c:v>
                </c:pt>
                <c:pt idx="31">
                  <c:v>17.1897435897436</c:v>
                </c:pt>
                <c:pt idx="32">
                  <c:v>14.0615384615385</c:v>
                </c:pt>
                <c:pt idx="33">
                  <c:v>15.4974358974359</c:v>
                </c:pt>
                <c:pt idx="34">
                  <c:v>14.0102564102564</c:v>
                </c:pt>
                <c:pt idx="35">
                  <c:v>13.8564102564103</c:v>
                </c:pt>
                <c:pt idx="36">
                  <c:v>15.7538461538462</c:v>
                </c:pt>
                <c:pt idx="37">
                  <c:v>15.6</c:v>
                </c:pt>
                <c:pt idx="38">
                  <c:v>14.9846153846154</c:v>
                </c:pt>
                <c:pt idx="39">
                  <c:v>13.0358974358974</c:v>
                </c:pt>
                <c:pt idx="40">
                  <c:v>12.8820512820513</c:v>
                </c:pt>
                <c:pt idx="41">
                  <c:v>14.5230769230769</c:v>
                </c:pt>
                <c:pt idx="42">
                  <c:v>15.1384615384615</c:v>
                </c:pt>
                <c:pt idx="43">
                  <c:v>12.4717948717949</c:v>
                </c:pt>
                <c:pt idx="44">
                  <c:v>33.0358974358974</c:v>
                </c:pt>
                <c:pt idx="45">
                  <c:v>29.2923076923077</c:v>
                </c:pt>
                <c:pt idx="46">
                  <c:v>23.2923076923077</c:v>
                </c:pt>
                <c:pt idx="47">
                  <c:v>27.2410256410256</c:v>
                </c:pt>
                <c:pt idx="48">
                  <c:v>25.7538461538462</c:v>
                </c:pt>
                <c:pt idx="49">
                  <c:v>21.3948717948718</c:v>
                </c:pt>
                <c:pt idx="50">
                  <c:v>26.8307692307692</c:v>
                </c:pt>
                <c:pt idx="51">
                  <c:v>24.1641025641026</c:v>
                </c:pt>
                <c:pt idx="52">
                  <c:v>19.3948717948718</c:v>
                </c:pt>
                <c:pt idx="53">
                  <c:v>18.4717948717949</c:v>
                </c:pt>
                <c:pt idx="54">
                  <c:v>20.9846153846154</c:v>
                </c:pt>
                <c:pt idx="55">
                  <c:v>24.3692307692308</c:v>
                </c:pt>
                <c:pt idx="56">
                  <c:v>22.0102564102564</c:v>
                </c:pt>
                <c:pt idx="57">
                  <c:v>25.4461538461538</c:v>
                </c:pt>
                <c:pt idx="58">
                  <c:v>26.0055555555556</c:v>
                </c:pt>
                <c:pt idx="59">
                  <c:v>20.95</c:v>
                </c:pt>
                <c:pt idx="60">
                  <c:v>25.8388888888889</c:v>
                </c:pt>
                <c:pt idx="61">
                  <c:v>20.6166666666667</c:v>
                </c:pt>
                <c:pt idx="62">
                  <c:v>22.6166666666667</c:v>
                </c:pt>
                <c:pt idx="63">
                  <c:v>26</c:v>
                </c:pt>
                <c:pt idx="64">
                  <c:v>26.45</c:v>
                </c:pt>
                <c:pt idx="65">
                  <c:v>25.6722222222222</c:v>
                </c:pt>
                <c:pt idx="66">
                  <c:v>23.5611111111111</c:v>
                </c:pt>
                <c:pt idx="67">
                  <c:v>24.6444444444444</c:v>
                </c:pt>
                <c:pt idx="68">
                  <c:v>21.9222222222222</c:v>
                </c:pt>
                <c:pt idx="69">
                  <c:v>19.3972222222222</c:v>
                </c:pt>
                <c:pt idx="70">
                  <c:v>21.0611111111111</c:v>
                </c:pt>
                <c:pt idx="71">
                  <c:v>19.5972222222222</c:v>
                </c:pt>
                <c:pt idx="72">
                  <c:v>19.95</c:v>
                </c:pt>
                <c:pt idx="73">
                  <c:v>15.0138888888889</c:v>
                </c:pt>
                <c:pt idx="74">
                  <c:v>16.3388888888889</c:v>
                </c:pt>
                <c:pt idx="75">
                  <c:v>18.8111111111111</c:v>
                </c:pt>
                <c:pt idx="76">
                  <c:v>22.5888888888889</c:v>
                </c:pt>
                <c:pt idx="77">
                  <c:v>22.5138888888889</c:v>
                </c:pt>
                <c:pt idx="78">
                  <c:v>22.7916666666667</c:v>
                </c:pt>
                <c:pt idx="79">
                  <c:v>23.7638888888889</c:v>
                </c:pt>
                <c:pt idx="80">
                  <c:v>21</c:v>
                </c:pt>
                <c:pt idx="81">
                  <c:v>21.4027777777778</c:v>
                </c:pt>
                <c:pt idx="82">
                  <c:v>20.7777777777778</c:v>
                </c:pt>
                <c:pt idx="83">
                  <c:v>16.6805555555556</c:v>
                </c:pt>
                <c:pt idx="84">
                  <c:v>16.2</c:v>
                </c:pt>
                <c:pt idx="85">
                  <c:v>14.2</c:v>
                </c:pt>
                <c:pt idx="86">
                  <c:v>11.8194444444444</c:v>
                </c:pt>
                <c:pt idx="87">
                  <c:v>12.8</c:v>
                </c:pt>
                <c:pt idx="88">
                  <c:v>13.4833333333333</c:v>
                </c:pt>
                <c:pt idx="89">
                  <c:v>17</c:v>
                </c:pt>
              </c:numCache>
            </c:numRef>
          </c:yVal>
          <c:smooth val="1"/>
        </c:ser>
        <c:ser>
          <c:idx val="1"/>
          <c:order val="1"/>
          <c:tx>
            <c:strRef>
              <c:f>设计出水氨氮含量标准</c:f>
              <c:strCache>
                <c:ptCount val="1"/>
                <c:pt idx="0">
                  <c:v>设计出水氨氮含量标准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绘图数据!$W$3:$W$92</c:f>
              <c:numCache>
                <c:formatCode>General</c:formatCode>
                <c:ptCount val="9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numCache>
            </c:numRef>
          </c:yVal>
          <c:smooth val="1"/>
        </c:ser>
        <c:dLbls>
          <c:showLegendKey val="0"/>
          <c:showVal val="0"/>
          <c:showCatName val="0"/>
          <c:showSerName val="0"/>
          <c:showPercent val="0"/>
          <c:showBubbleSize val="0"/>
        </c:dLbls>
        <c:axId val="146018688"/>
        <c:axId val="146020224"/>
      </c:scatterChart>
      <c:valAx>
        <c:axId val="146018688"/>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020224"/>
        <c:crosses val="autoZero"/>
        <c:crossBetween val="midCat"/>
        <c:majorUnit val="11"/>
      </c:valAx>
      <c:valAx>
        <c:axId val="146020224"/>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zh-CN" altLang="en-US">
                    <a:latin typeface="Times New Roman" panose="02020603050405020304" charset="0"/>
                    <a:cs typeface="Times New Roman" panose="02020603050405020304" charset="0"/>
                  </a:rPr>
                  <a:t>氨氮</a:t>
                </a:r>
                <a:r>
                  <a:rPr lang="en-US" altLang="zh-CN">
                    <a:latin typeface="Times New Roman" panose="02020603050405020304" charset="0"/>
                    <a:cs typeface="Times New Roman" panose="02020603050405020304" charset="0"/>
                  </a:rPr>
                  <a:t>(mg/L)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018688"/>
        <c:crossesAt val="43460"/>
        <c:crossBetween val="midCat"/>
      </c:valAx>
      <c:spPr>
        <a:noFill/>
        <a:ln w="25400">
          <a:noFill/>
        </a:ln>
      </c:spPr>
    </c:plotArea>
    <c:legend>
      <c:legendPos val="r"/>
      <c:layout>
        <c:manualLayout>
          <c:xMode val="edge"/>
          <c:yMode val="edge"/>
          <c:x val="0.600833311090351"/>
          <c:y val="0.139905571293673"/>
          <c:w val="0.317254326260065"/>
          <c:h val="0.0938243626062326"/>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月实际出水</a:t>
            </a:r>
            <a:r>
              <a:rPr lang="en-US" altLang="zh-CN" sz="1200">
                <a:latin typeface="Times New Roman" panose="02020603050405020304" charset="0"/>
                <a:ea typeface="宋体" panose="02010600030101010101" charset="-122"/>
                <a:cs typeface="Times New Roman" panose="02020603050405020304" charset="0"/>
              </a:rPr>
              <a:t> TN</a:t>
            </a:r>
            <a:r>
              <a:rPr lang="zh-CN" altLang="en-US" sz="1200">
                <a:latin typeface="Times New Roman" panose="02020603050405020304" charset="0"/>
                <a:ea typeface="宋体" panose="02010600030101010101" charset="-122"/>
                <a:cs typeface="Times New Roman" panose="02020603050405020304" charset="0"/>
              </a:rPr>
              <a:t>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200214600293607"/>
          <c:y val="0.0528800755429651"/>
        </c:manualLayout>
      </c:layout>
      <c:overlay val="0"/>
    </c:title>
    <c:autoTitleDeleted val="0"/>
    <c:plotArea>
      <c:layout>
        <c:manualLayout>
          <c:layoutTarget val="inner"/>
          <c:xMode val="edge"/>
          <c:yMode val="edge"/>
          <c:x val="0.116637139107612"/>
          <c:y val="0.165312773403325"/>
          <c:w val="0.812107611548559"/>
          <c:h val="0.678086176727908"/>
        </c:manualLayout>
      </c:layout>
      <c:scatterChart>
        <c:scatterStyle val="smoothMarker"/>
        <c:varyColors val="0"/>
        <c:ser>
          <c:idx val="0"/>
          <c:order val="0"/>
          <c:tx>
            <c:strRef>
              <c:f>实际出水TN含量</c:f>
              <c:strCache>
                <c:ptCount val="1"/>
                <c:pt idx="0">
                  <c:v>实际出水TN含量</c:v>
                </c:pt>
              </c:strCache>
            </c:strRef>
          </c:tx>
          <c:spPr>
            <a:ln w="15875" cap="rnd" cmpd="sng" algn="ctr">
              <a:solidFill>
                <a:schemeClr val="accent1">
                  <a:shade val="95000"/>
                  <a:satMod val="105000"/>
                </a:schemeClr>
              </a:solidFill>
              <a:prstDash val="solid"/>
              <a:round/>
            </a:ln>
          </c:spPr>
          <c:marker>
            <c:symbol val="none"/>
          </c:marker>
          <c:dPt>
            <c:idx val="43"/>
            <c:marker>
              <c:symbol val="triangle"/>
              <c:size val="6"/>
              <c:spPr>
                <a:solidFill>
                  <a:srgbClr val="FF0000"/>
                </a:solidFill>
                <a:ln w="9525" cap="flat" cmpd="sng" algn="ctr">
                  <a:solidFill>
                    <a:srgbClr val="FF0000"/>
                  </a:solidFill>
                  <a:prstDash val="solid"/>
                  <a:round/>
                </a:ln>
              </c:spPr>
            </c:marker>
            <c:bubble3D val="0"/>
          </c:dPt>
          <c:dPt>
            <c:idx val="72"/>
            <c:marker>
              <c:symbol val="triangle"/>
              <c:size val="5"/>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layout>
                <c:manualLayout>
                  <c:x val="-0.00225988700564972"/>
                  <c:y val="0.018885741265344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2</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13</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43.55mg/L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0"/>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绘图数据!$M$3:$M$92</c:f>
              <c:numCache>
                <c:formatCode>General</c:formatCode>
                <c:ptCount val="90"/>
                <c:pt idx="0">
                  <c:v>25.4036697247706</c:v>
                </c:pt>
                <c:pt idx="1">
                  <c:v>29.302752293578</c:v>
                </c:pt>
                <c:pt idx="2">
                  <c:v>26.894495412844</c:v>
                </c:pt>
                <c:pt idx="3">
                  <c:v>26.6949541284404</c:v>
                </c:pt>
                <c:pt idx="4">
                  <c:v>23.2</c:v>
                </c:pt>
                <c:pt idx="5">
                  <c:v>21.4816513761468</c:v>
                </c:pt>
                <c:pt idx="6">
                  <c:v>26.2981651376147</c:v>
                </c:pt>
                <c:pt idx="7">
                  <c:v>36.6</c:v>
                </c:pt>
                <c:pt idx="8">
                  <c:v>30.8</c:v>
                </c:pt>
                <c:pt idx="9">
                  <c:v>33.1788990825688</c:v>
                </c:pt>
                <c:pt idx="10">
                  <c:v>31.4357798165138</c:v>
                </c:pt>
                <c:pt idx="11">
                  <c:v>27.2614678899082</c:v>
                </c:pt>
                <c:pt idx="12">
                  <c:v>24.7155963302752</c:v>
                </c:pt>
                <c:pt idx="13">
                  <c:v>32.4449541284404</c:v>
                </c:pt>
                <c:pt idx="14">
                  <c:v>30.105504587156</c:v>
                </c:pt>
                <c:pt idx="15">
                  <c:v>22.2385321100917</c:v>
                </c:pt>
                <c:pt idx="16">
                  <c:v>26.3440366972477</c:v>
                </c:pt>
                <c:pt idx="17">
                  <c:v>25.5871559633027</c:v>
                </c:pt>
                <c:pt idx="18">
                  <c:v>25.105504587156</c:v>
                </c:pt>
                <c:pt idx="19">
                  <c:v>27.9954128440367</c:v>
                </c:pt>
                <c:pt idx="20">
                  <c:v>28.6834862385321</c:v>
                </c:pt>
                <c:pt idx="21">
                  <c:v>28.906880733945</c:v>
                </c:pt>
                <c:pt idx="22">
                  <c:v>28.7568807339449</c:v>
                </c:pt>
                <c:pt idx="23">
                  <c:v>29.4449541284404</c:v>
                </c:pt>
                <c:pt idx="24">
                  <c:v>30.6376146788991</c:v>
                </c:pt>
                <c:pt idx="25">
                  <c:v>28.2</c:v>
                </c:pt>
                <c:pt idx="26">
                  <c:v>26.2</c:v>
                </c:pt>
                <c:pt idx="27">
                  <c:v>42.1743119266055</c:v>
                </c:pt>
                <c:pt idx="28">
                  <c:v>39.4220183486239</c:v>
                </c:pt>
                <c:pt idx="29">
                  <c:v>36.0275229357798</c:v>
                </c:pt>
                <c:pt idx="30">
                  <c:v>35.2477064220183</c:v>
                </c:pt>
                <c:pt idx="31">
                  <c:v>33.3669724770642</c:v>
                </c:pt>
                <c:pt idx="32">
                  <c:v>36.4862385321101</c:v>
                </c:pt>
                <c:pt idx="33">
                  <c:v>39.1926605504587</c:v>
                </c:pt>
                <c:pt idx="34">
                  <c:v>31.1651376146789</c:v>
                </c:pt>
                <c:pt idx="35">
                  <c:v>34.2385321100917</c:v>
                </c:pt>
                <c:pt idx="36">
                  <c:v>36.6697247706422</c:v>
                </c:pt>
                <c:pt idx="37">
                  <c:v>32.5183486238532</c:v>
                </c:pt>
                <c:pt idx="38">
                  <c:v>32.6330275229358</c:v>
                </c:pt>
                <c:pt idx="39">
                  <c:v>27.2</c:v>
                </c:pt>
                <c:pt idx="40">
                  <c:v>26.5779816513761</c:v>
                </c:pt>
                <c:pt idx="41">
                  <c:v>26.4862385321101</c:v>
                </c:pt>
                <c:pt idx="42">
                  <c:v>25.8440366972477</c:v>
                </c:pt>
                <c:pt idx="43">
                  <c:v>43.5504587155963</c:v>
                </c:pt>
                <c:pt idx="44">
                  <c:v>34.743119266055</c:v>
                </c:pt>
                <c:pt idx="45">
                  <c:v>22.7706422018349</c:v>
                </c:pt>
                <c:pt idx="46">
                  <c:v>26</c:v>
                </c:pt>
                <c:pt idx="47">
                  <c:v>37.0366972477064</c:v>
                </c:pt>
                <c:pt idx="48">
                  <c:v>39.0091743119266</c:v>
                </c:pt>
                <c:pt idx="49">
                  <c:v>33.045871559633</c:v>
                </c:pt>
                <c:pt idx="50">
                  <c:v>32.7706422018349</c:v>
                </c:pt>
                <c:pt idx="51">
                  <c:v>34.3073394495413</c:v>
                </c:pt>
                <c:pt idx="52">
                  <c:v>30.1559633027523</c:v>
                </c:pt>
                <c:pt idx="53">
                  <c:v>28.1834862385321</c:v>
                </c:pt>
                <c:pt idx="54">
                  <c:v>28.4587155963303</c:v>
                </c:pt>
                <c:pt idx="55">
                  <c:v>30.4311926605505</c:v>
                </c:pt>
                <c:pt idx="56">
                  <c:v>27.4954128440367</c:v>
                </c:pt>
                <c:pt idx="57">
                  <c:v>27.7706422018349</c:v>
                </c:pt>
                <c:pt idx="58">
                  <c:v>31.5779816513761</c:v>
                </c:pt>
                <c:pt idx="59">
                  <c:v>33</c:v>
                </c:pt>
                <c:pt idx="60">
                  <c:v>27.954128440367</c:v>
                </c:pt>
                <c:pt idx="61">
                  <c:v>28.2752293577982</c:v>
                </c:pt>
                <c:pt idx="62">
                  <c:v>30.8440366972477</c:v>
                </c:pt>
                <c:pt idx="63">
                  <c:v>28.2</c:v>
                </c:pt>
                <c:pt idx="64">
                  <c:v>24.4</c:v>
                </c:pt>
                <c:pt idx="65">
                  <c:v>24.8348623853211</c:v>
                </c:pt>
                <c:pt idx="66">
                  <c:v>29.743119266055</c:v>
                </c:pt>
                <c:pt idx="67">
                  <c:v>25.102752293578</c:v>
                </c:pt>
                <c:pt idx="68">
                  <c:v>29.4908256880734</c:v>
                </c:pt>
                <c:pt idx="69">
                  <c:v>23.1146788990826</c:v>
                </c:pt>
                <c:pt idx="70">
                  <c:v>22.7935779816514</c:v>
                </c:pt>
                <c:pt idx="71">
                  <c:v>23.6880733944954</c:v>
                </c:pt>
                <c:pt idx="72">
                  <c:v>14.7889908256881</c:v>
                </c:pt>
                <c:pt idx="73">
                  <c:v>19.2385321100917</c:v>
                </c:pt>
                <c:pt idx="74">
                  <c:v>18.0229357798165</c:v>
                </c:pt>
                <c:pt idx="75">
                  <c:v>19.2045871559633</c:v>
                </c:pt>
                <c:pt idx="76">
                  <c:v>24.3192660550459</c:v>
                </c:pt>
                <c:pt idx="77">
                  <c:v>24.0091743119266</c:v>
                </c:pt>
                <c:pt idx="78">
                  <c:v>23.2293577981651</c:v>
                </c:pt>
                <c:pt idx="79">
                  <c:v>24.5596330275229</c:v>
                </c:pt>
                <c:pt idx="80">
                  <c:v>20.0091743119266</c:v>
                </c:pt>
                <c:pt idx="81">
                  <c:v>24.4</c:v>
                </c:pt>
                <c:pt idx="82">
                  <c:v>23.6651376146789</c:v>
                </c:pt>
                <c:pt idx="83">
                  <c:v>15.3238532110092</c:v>
                </c:pt>
                <c:pt idx="84">
                  <c:v>16.5779816513761</c:v>
                </c:pt>
                <c:pt idx="85">
                  <c:v>17.4036697247706</c:v>
                </c:pt>
                <c:pt idx="86">
                  <c:v>17.3119266055046</c:v>
                </c:pt>
                <c:pt idx="87">
                  <c:v>19.9134615384615</c:v>
                </c:pt>
                <c:pt idx="88">
                  <c:v>19.5</c:v>
                </c:pt>
                <c:pt idx="89">
                  <c:v>21.5836538461538</c:v>
                </c:pt>
              </c:numCache>
            </c:numRef>
          </c:yVal>
          <c:smooth val="1"/>
        </c:ser>
        <c:ser>
          <c:idx val="1"/>
          <c:order val="1"/>
          <c:tx>
            <c:strRef>
              <c:f>设计出水TN含量标准</c:f>
              <c:strCache>
                <c:ptCount val="1"/>
                <c:pt idx="0">
                  <c:v>设计出水TN含量标准</c:v>
                </c:pt>
              </c:strCache>
            </c:strRef>
          </c:tx>
          <c:spPr>
            <a:ln w="15875" cap="rnd" cmpd="sng" algn="ctr">
              <a:solidFill>
                <a:srgbClr val="FF0000"/>
              </a:solidFill>
              <a:prstDash val="sysDash"/>
              <a:round/>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delete val="1"/>
            </c:dLbl>
            <c:dLbl>
              <c:idx val="72"/>
              <c:layout>
                <c:manualLayout>
                  <c:x val="0.0067911714770798"/>
                  <c:y val="0.047795381361382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3</a:t>
                    </a:r>
                    <a:r>
                      <a:rPr lang="zh-CN" altLang="en-US" sz="800">
                        <a:latin typeface="Times New Roman" panose="02020603050405020304" charset="0"/>
                        <a:cs typeface="Times New Roman" panose="02020603050405020304" charset="0"/>
                      </a:rPr>
                      <a:t>月</a:t>
                    </a:r>
                    <a:r>
                      <a:rPr lang="en-US" altLang="zh-CN" sz="800">
                        <a:latin typeface="Times New Roman" panose="02020603050405020304" charset="0"/>
                        <a:cs typeface="Times New Roman" panose="02020603050405020304" charset="0"/>
                      </a:rPr>
                      <a:t>14</a:t>
                    </a:r>
                    <a:r>
                      <a:rPr lang="zh-CN" altLang="en-US" sz="800">
                        <a:latin typeface="Times New Roman" panose="02020603050405020304" charset="0"/>
                        <a:cs typeface="Times New Roman" panose="02020603050405020304" charset="0"/>
                      </a:rPr>
                      <a:t>日</a:t>
                    </a:r>
                    <a:endParaRPr lang="zh-CN" altLang="en-US" sz="800">
                      <a:latin typeface="Times New Roman" panose="02020603050405020304" charset="0"/>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14.79mg/L</a:t>
                    </a:r>
                    <a:endParaRPr lang="en-US" altLang="zh-CN" sz="800">
                      <a:latin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绘图数据!$Y$3:$Y$92</c:f>
              <c:numCache>
                <c:formatCode>General</c:formatCode>
                <c:ptCount val="90"/>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15</c:v>
                </c:pt>
                <c:pt idx="54">
                  <c:v>15</c:v>
                </c:pt>
                <c:pt idx="55">
                  <c:v>15</c:v>
                </c:pt>
                <c:pt idx="56">
                  <c:v>15</c:v>
                </c:pt>
                <c:pt idx="57">
                  <c:v>15</c:v>
                </c:pt>
                <c:pt idx="58">
                  <c:v>15</c:v>
                </c:pt>
                <c:pt idx="59">
                  <c:v>15</c:v>
                </c:pt>
                <c:pt idx="60">
                  <c:v>15</c:v>
                </c:pt>
                <c:pt idx="61">
                  <c:v>15</c:v>
                </c:pt>
                <c:pt idx="62">
                  <c:v>15</c:v>
                </c:pt>
                <c:pt idx="63">
                  <c:v>15</c:v>
                </c:pt>
                <c:pt idx="64">
                  <c:v>15</c:v>
                </c:pt>
                <c:pt idx="65">
                  <c:v>15</c:v>
                </c:pt>
                <c:pt idx="66">
                  <c:v>15</c:v>
                </c:pt>
                <c:pt idx="67">
                  <c:v>15</c:v>
                </c:pt>
                <c:pt idx="68">
                  <c:v>15</c:v>
                </c:pt>
                <c:pt idx="69">
                  <c:v>15</c:v>
                </c:pt>
                <c:pt idx="70">
                  <c:v>15</c:v>
                </c:pt>
                <c:pt idx="71">
                  <c:v>15</c:v>
                </c:pt>
                <c:pt idx="72">
                  <c:v>15</c:v>
                </c:pt>
                <c:pt idx="73">
                  <c:v>15</c:v>
                </c:pt>
                <c:pt idx="74">
                  <c:v>15</c:v>
                </c:pt>
                <c:pt idx="75">
                  <c:v>15</c:v>
                </c:pt>
                <c:pt idx="76">
                  <c:v>15</c:v>
                </c:pt>
                <c:pt idx="77">
                  <c:v>15</c:v>
                </c:pt>
                <c:pt idx="78">
                  <c:v>15</c:v>
                </c:pt>
                <c:pt idx="79">
                  <c:v>15</c:v>
                </c:pt>
                <c:pt idx="80">
                  <c:v>15</c:v>
                </c:pt>
                <c:pt idx="81">
                  <c:v>15</c:v>
                </c:pt>
                <c:pt idx="82">
                  <c:v>15</c:v>
                </c:pt>
                <c:pt idx="83">
                  <c:v>15</c:v>
                </c:pt>
                <c:pt idx="84">
                  <c:v>15</c:v>
                </c:pt>
                <c:pt idx="85">
                  <c:v>15</c:v>
                </c:pt>
                <c:pt idx="86">
                  <c:v>15</c:v>
                </c:pt>
                <c:pt idx="87">
                  <c:v>15</c:v>
                </c:pt>
                <c:pt idx="88">
                  <c:v>15</c:v>
                </c:pt>
                <c:pt idx="89">
                  <c:v>15</c:v>
                </c:pt>
              </c:numCache>
            </c:numRef>
          </c:yVal>
          <c:smooth val="1"/>
        </c:ser>
        <c:dLbls>
          <c:showLegendKey val="0"/>
          <c:showVal val="0"/>
          <c:showCatName val="0"/>
          <c:showSerName val="0"/>
          <c:showPercent val="0"/>
          <c:showBubbleSize val="0"/>
        </c:dLbls>
        <c:axId val="146222464"/>
        <c:axId val="146236544"/>
      </c:scatterChart>
      <c:valAx>
        <c:axId val="146222464"/>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236544"/>
        <c:crosses val="autoZero"/>
        <c:crossBetween val="midCat"/>
        <c:majorUnit val="11"/>
      </c:valAx>
      <c:valAx>
        <c:axId val="146236544"/>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TN(mg/L)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222464"/>
        <c:crossesAt val="43460"/>
        <c:crossBetween val="midCat"/>
      </c:valAx>
      <c:spPr>
        <a:noFill/>
        <a:ln w="25400">
          <a:noFill/>
        </a:ln>
      </c:spPr>
    </c:plotArea>
    <c:legend>
      <c:legendPos val="r"/>
      <c:layout>
        <c:manualLayout>
          <c:xMode val="edge"/>
          <c:yMode val="edge"/>
          <c:x val="0.580494328039504"/>
          <c:y val="0.132351274787535"/>
          <c:w val="0.317254326260065"/>
          <c:h val="0.0938243626062329"/>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月实际出水</a:t>
            </a:r>
            <a:r>
              <a:rPr lang="en-US" altLang="zh-CN" sz="1200">
                <a:latin typeface="Times New Roman" panose="02020603050405020304" charset="0"/>
                <a:ea typeface="宋体" panose="02010600030101010101" charset="-122"/>
                <a:cs typeface="Times New Roman" panose="02020603050405020304" charset="0"/>
              </a:rPr>
              <a:t> TP</a:t>
            </a:r>
            <a:r>
              <a:rPr lang="zh-CN" altLang="en-US" sz="1200">
                <a:latin typeface="Times New Roman" panose="02020603050405020304" charset="0"/>
                <a:ea typeface="宋体" panose="02010600030101010101" charset="-122"/>
                <a:cs typeface="Times New Roman" panose="02020603050405020304" charset="0"/>
              </a:rPr>
              <a:t>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211514035321856"/>
          <c:y val="0.0453257790368272"/>
        </c:manualLayout>
      </c:layout>
      <c:overlay val="0"/>
    </c:title>
    <c:autoTitleDeleted val="0"/>
    <c:plotArea>
      <c:layout>
        <c:manualLayout>
          <c:layoutTarget val="inner"/>
          <c:xMode val="edge"/>
          <c:yMode val="edge"/>
          <c:x val="0.116637139107612"/>
          <c:y val="0.165312773403325"/>
          <c:w val="0.812107611548558"/>
          <c:h val="0.678086176727908"/>
        </c:manualLayout>
      </c:layout>
      <c:scatterChart>
        <c:scatterStyle val="smoothMarker"/>
        <c:varyColors val="0"/>
        <c:ser>
          <c:idx val="0"/>
          <c:order val="0"/>
          <c:tx>
            <c:strRef>
              <c:f>实际出水TP含量</c:f>
              <c:strCache>
                <c:ptCount val="1"/>
                <c:pt idx="0">
                  <c:v>实际出水TP含量</c:v>
                </c:pt>
              </c:strCache>
            </c:strRef>
          </c:tx>
          <c:spPr>
            <a:ln w="15875" cap="rnd" cmpd="sng" algn="ctr">
              <a:solidFill>
                <a:schemeClr val="accent1">
                  <a:shade val="95000"/>
                  <a:satMod val="105000"/>
                </a:schemeClr>
              </a:solidFill>
              <a:prstDash val="solid"/>
              <a:round/>
            </a:ln>
          </c:spPr>
          <c:marker>
            <c:symbol val="none"/>
          </c:marker>
          <c:dPt>
            <c:idx val="54"/>
            <c:marker>
              <c:symbol val="triangle"/>
              <c:size val="5"/>
              <c:spPr>
                <a:solidFill>
                  <a:srgbClr val="FF0000"/>
                </a:solidFill>
                <a:ln w="9525" cap="flat" cmpd="sng" algn="ctr">
                  <a:solidFill>
                    <a:srgbClr val="FF0000"/>
                  </a:solidFill>
                  <a:prstDash val="solid"/>
                  <a:round/>
                </a:ln>
              </c:spPr>
            </c:marker>
            <c:bubble3D val="0"/>
          </c:dPt>
          <c:dPt>
            <c:idx val="61"/>
            <c:marker>
              <c:symbol val="triangle"/>
              <c:size val="6"/>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layout>
                <c:manualLayout>
                  <c:x val="0.0113418599114191"/>
                  <c:y val="-0.045669885198005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2</a:t>
                    </a:r>
                    <a:r>
                      <a:rPr lang="zh-CN" altLang="en-US" sz="800">
                        <a:latin typeface="Times New Roman" panose="02020603050405020304" charset="0"/>
                        <a:cs typeface="Times New Roman" panose="02020603050405020304" charset="0"/>
                      </a:rPr>
                      <a:t>月</a:t>
                    </a:r>
                    <a:r>
                      <a:rPr lang="en-US" altLang="zh-CN" sz="800">
                        <a:latin typeface="Times New Roman" panose="02020603050405020304" charset="0"/>
                        <a:cs typeface="Times New Roman" panose="02020603050405020304" charset="0"/>
                      </a:rPr>
                      <a:t>24</a:t>
                    </a:r>
                    <a:r>
                      <a:rPr lang="zh-CN" altLang="en-US" sz="800">
                        <a:latin typeface="Times New Roman" panose="02020603050405020304" charset="0"/>
                        <a:cs typeface="Times New Roman" panose="02020603050405020304" charset="0"/>
                      </a:rPr>
                      <a:t>日</a:t>
                    </a:r>
                    <a:endParaRPr lang="zh-CN" altLang="en-US" sz="800">
                      <a:latin typeface="Times New Roman" panose="02020603050405020304" charset="0"/>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0.017mg/L</a:t>
                    </a:r>
                    <a:endParaRPr lang="en-US" altLang="zh-CN" sz="800">
                      <a:latin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55"/>
              <c:delete val="1"/>
            </c:dLbl>
            <c:dLbl>
              <c:idx val="56"/>
              <c:delete val="1"/>
            </c:dLbl>
            <c:dLbl>
              <c:idx val="57"/>
              <c:delete val="1"/>
            </c:dLbl>
            <c:dLbl>
              <c:idx val="58"/>
              <c:delete val="1"/>
            </c:dLbl>
            <c:dLbl>
              <c:idx val="59"/>
              <c:delete val="1"/>
            </c:dLbl>
            <c:dLbl>
              <c:idx val="60"/>
              <c:delete val="1"/>
            </c:dLbl>
            <c:dLbl>
              <c:idx val="61"/>
              <c:layout>
                <c:manualLayout>
                  <c:x val="-0.0610169491525424"/>
                  <c:y val="-0.056657223796034"/>
                </c:manualLayout>
              </c:layout>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altLang="zh-CN" sz="800">
                        <a:latin typeface="Times New Roman" panose="02020603050405020304" charset="0"/>
                        <a:ea typeface="宋体" panose="02010600030101010101" charset="-122"/>
                        <a:cs typeface="Times New Roman" panose="02020603050405020304" charset="0"/>
                      </a:rPr>
                      <a:t>3</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3</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en-US" altLang="zh-CN" sz="800">
                        <a:latin typeface="Times New Roman" panose="02020603050405020304" charset="0"/>
                        <a:ea typeface="宋体" panose="02010600030101010101" charset="-122"/>
                        <a:cs typeface="Times New Roman" panose="02020603050405020304" charset="0"/>
                      </a:rPr>
                      <a:t>2.19mg/L</a:t>
                    </a:r>
                    <a:endParaRPr lang="en-US" altLang="en-US" sz="800">
                      <a:latin typeface="Times New Roman" panose="02020603050405020304" charset="0"/>
                      <a:ea typeface="宋体" panose="02010600030101010101" charset="-122"/>
                      <a:cs typeface="Times New Roman" panose="02020603050405020304" charset="0"/>
                    </a:endParaRPr>
                  </a:p>
                </c:rich>
              </c:tx>
              <c:numFmt formatCode="General" sourceLinked="1"/>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r"/>
              <c:showLegendKey val="0"/>
              <c:showVal val="1"/>
              <c:showCatName val="0"/>
              <c:showSerName val="0"/>
              <c:showPercent val="0"/>
              <c:showBubbleSize val="0"/>
              <c:extLst>
                <c:ext xmlns:c15="http://schemas.microsoft.com/office/drawing/2012/chart" uri="{CE6537A1-D6FC-4f65-9D91-7224C49458BB}">
                  <c15:layout/>
                </c:ext>
              </c:extLst>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绘图数据!$K$3:$K$92</c:f>
              <c:numCache>
                <c:formatCode>General</c:formatCode>
                <c:ptCount val="90"/>
                <c:pt idx="0">
                  <c:v>0.624242424242424</c:v>
                </c:pt>
                <c:pt idx="1">
                  <c:v>1.02828282828283</c:v>
                </c:pt>
                <c:pt idx="2">
                  <c:v>0.361616161616162</c:v>
                </c:pt>
                <c:pt idx="3">
                  <c:v>0.644444444444444</c:v>
                </c:pt>
                <c:pt idx="4">
                  <c:v>0.533333333333333</c:v>
                </c:pt>
                <c:pt idx="5">
                  <c:v>0.456565656565657</c:v>
                </c:pt>
                <c:pt idx="6">
                  <c:v>0.537373737373737</c:v>
                </c:pt>
                <c:pt idx="7">
                  <c:v>1.26464646464646</c:v>
                </c:pt>
                <c:pt idx="8">
                  <c:v>1.50707070707071</c:v>
                </c:pt>
                <c:pt idx="9">
                  <c:v>0.698989898989899</c:v>
                </c:pt>
                <c:pt idx="10">
                  <c:v>0.416161616161616</c:v>
                </c:pt>
                <c:pt idx="11">
                  <c:v>0.587878787878788</c:v>
                </c:pt>
                <c:pt idx="12">
                  <c:v>0.416161616161616</c:v>
                </c:pt>
                <c:pt idx="13">
                  <c:v>0.375757575757576</c:v>
                </c:pt>
                <c:pt idx="14">
                  <c:v>0.446464646464646</c:v>
                </c:pt>
                <c:pt idx="15">
                  <c:v>0.375757575757576</c:v>
                </c:pt>
                <c:pt idx="16">
                  <c:v>0.234343434343434</c:v>
                </c:pt>
                <c:pt idx="17">
                  <c:v>0.325252525252525</c:v>
                </c:pt>
                <c:pt idx="18">
                  <c:v>0.587878787878788</c:v>
                </c:pt>
                <c:pt idx="19">
                  <c:v>0.678787878787879</c:v>
                </c:pt>
                <c:pt idx="20">
                  <c:v>0.436363636363636</c:v>
                </c:pt>
                <c:pt idx="21">
                  <c:v>0.365656565656566</c:v>
                </c:pt>
                <c:pt idx="22">
                  <c:v>0.284848484848485</c:v>
                </c:pt>
                <c:pt idx="23">
                  <c:v>0.335353535353535</c:v>
                </c:pt>
                <c:pt idx="24">
                  <c:v>0.234343434343434</c:v>
                </c:pt>
                <c:pt idx="25">
                  <c:v>0.253763440860215</c:v>
                </c:pt>
                <c:pt idx="26">
                  <c:v>0.533333333333333</c:v>
                </c:pt>
                <c:pt idx="27">
                  <c:v>0.87741935483871</c:v>
                </c:pt>
                <c:pt idx="28">
                  <c:v>1.64086021505376</c:v>
                </c:pt>
                <c:pt idx="29">
                  <c:v>0.812903225806452</c:v>
                </c:pt>
                <c:pt idx="30">
                  <c:v>0.963440860215054</c:v>
                </c:pt>
                <c:pt idx="31">
                  <c:v>1.3505376344086</c:v>
                </c:pt>
                <c:pt idx="32">
                  <c:v>1.28</c:v>
                </c:pt>
                <c:pt idx="33">
                  <c:v>1.09247311827957</c:v>
                </c:pt>
                <c:pt idx="34">
                  <c:v>0.909677419354839</c:v>
                </c:pt>
                <c:pt idx="35">
                  <c:v>0.87741935483871</c:v>
                </c:pt>
                <c:pt idx="36">
                  <c:v>0.748387096774194</c:v>
                </c:pt>
                <c:pt idx="37">
                  <c:v>0.490322580645161</c:v>
                </c:pt>
                <c:pt idx="38">
                  <c:v>0.425806451612903</c:v>
                </c:pt>
                <c:pt idx="39">
                  <c:v>0.361290322580645</c:v>
                </c:pt>
                <c:pt idx="40">
                  <c:v>0.26</c:v>
                </c:pt>
                <c:pt idx="41">
                  <c:v>0.189247311827957</c:v>
                </c:pt>
                <c:pt idx="42">
                  <c:v>0.318279569892473</c:v>
                </c:pt>
                <c:pt idx="43">
                  <c:v>0.243010752688172</c:v>
                </c:pt>
                <c:pt idx="44">
                  <c:v>0.286021505376344</c:v>
                </c:pt>
                <c:pt idx="45">
                  <c:v>0.178494623655914</c:v>
                </c:pt>
                <c:pt idx="46">
                  <c:v>0.350537634408602</c:v>
                </c:pt>
                <c:pt idx="47">
                  <c:v>0.275268817204301</c:v>
                </c:pt>
                <c:pt idx="48">
                  <c:v>0.619354838709677</c:v>
                </c:pt>
                <c:pt idx="49">
                  <c:v>0.350537634408602</c:v>
                </c:pt>
                <c:pt idx="50">
                  <c:v>0.167741935483871</c:v>
                </c:pt>
                <c:pt idx="51">
                  <c:v>0.0602150537634409</c:v>
                </c:pt>
                <c:pt idx="52">
                  <c:v>0.113978494623656</c:v>
                </c:pt>
                <c:pt idx="53">
                  <c:v>0.178494623655914</c:v>
                </c:pt>
                <c:pt idx="54">
                  <c:v>0.0172043010752688</c:v>
                </c:pt>
                <c:pt idx="55">
                  <c:v>0.0387096774193548</c:v>
                </c:pt>
                <c:pt idx="56">
                  <c:v>0.0817204301075269</c:v>
                </c:pt>
                <c:pt idx="57">
                  <c:v>0.113978494623656</c:v>
                </c:pt>
                <c:pt idx="58">
                  <c:v>0.361290322580645</c:v>
                </c:pt>
                <c:pt idx="59">
                  <c:v>0.490322580645161</c:v>
                </c:pt>
                <c:pt idx="60">
                  <c:v>0.447311827956989</c:v>
                </c:pt>
                <c:pt idx="61">
                  <c:v>2.18924731182796</c:v>
                </c:pt>
                <c:pt idx="62">
                  <c:v>1.47956989247312</c:v>
                </c:pt>
                <c:pt idx="63">
                  <c:v>0.640860215053763</c:v>
                </c:pt>
                <c:pt idx="64">
                  <c:v>0.528888888888889</c:v>
                </c:pt>
                <c:pt idx="65">
                  <c:v>0.484444444444445</c:v>
                </c:pt>
                <c:pt idx="66">
                  <c:v>0.595555555555556</c:v>
                </c:pt>
                <c:pt idx="67">
                  <c:v>0.38</c:v>
                </c:pt>
                <c:pt idx="68">
                  <c:v>0.273333333333333</c:v>
                </c:pt>
                <c:pt idx="69">
                  <c:v>0.173333333333333</c:v>
                </c:pt>
                <c:pt idx="70">
                  <c:v>0.106666666666667</c:v>
                </c:pt>
                <c:pt idx="71">
                  <c:v>0.0177777777777777</c:v>
                </c:pt>
                <c:pt idx="72">
                  <c:v>0.04</c:v>
                </c:pt>
                <c:pt idx="73">
                  <c:v>0.0177777777777778</c:v>
                </c:pt>
                <c:pt idx="74">
                  <c:v>0.0511111111111111</c:v>
                </c:pt>
                <c:pt idx="75">
                  <c:v>0.0622222222222222</c:v>
                </c:pt>
                <c:pt idx="76">
                  <c:v>0.317777777777778</c:v>
                </c:pt>
                <c:pt idx="77">
                  <c:v>0.0622222222222222</c:v>
                </c:pt>
                <c:pt idx="78">
                  <c:v>0.0622222222222222</c:v>
                </c:pt>
                <c:pt idx="79">
                  <c:v>0.0177777777777777</c:v>
                </c:pt>
                <c:pt idx="80">
                  <c:v>0.04</c:v>
                </c:pt>
                <c:pt idx="81">
                  <c:v>0.04</c:v>
                </c:pt>
                <c:pt idx="82">
                  <c:v>0.04</c:v>
                </c:pt>
                <c:pt idx="83">
                  <c:v>0.0177777777777777</c:v>
                </c:pt>
                <c:pt idx="84">
                  <c:v>0.0622222222222222</c:v>
                </c:pt>
                <c:pt idx="85">
                  <c:v>0.0511111111111111</c:v>
                </c:pt>
                <c:pt idx="86">
                  <c:v>0.0177777777777778</c:v>
                </c:pt>
                <c:pt idx="87">
                  <c:v>0.0288888888888889</c:v>
                </c:pt>
                <c:pt idx="88">
                  <c:v>0.186363636363636</c:v>
                </c:pt>
                <c:pt idx="89">
                  <c:v>0.0272727272727272</c:v>
                </c:pt>
              </c:numCache>
            </c:numRef>
          </c:yVal>
          <c:smooth val="1"/>
        </c:ser>
        <c:ser>
          <c:idx val="1"/>
          <c:order val="1"/>
          <c:tx>
            <c:strRef>
              <c:f>设计出水TP含量标准</c:f>
              <c:strCache>
                <c:ptCount val="1"/>
                <c:pt idx="0">
                  <c:v>设计出水TP含量标准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绘图数据!$AA$3:$AA$92</c:f>
              <c:numCache>
                <c:formatCode>General</c:formatCode>
                <c:ptCount val="90"/>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numCache>
            </c:numRef>
          </c:yVal>
          <c:smooth val="1"/>
        </c:ser>
        <c:dLbls>
          <c:showLegendKey val="0"/>
          <c:showVal val="0"/>
          <c:showCatName val="0"/>
          <c:showSerName val="0"/>
          <c:showPercent val="0"/>
          <c:showBubbleSize val="0"/>
        </c:dLbls>
        <c:axId val="146106624"/>
        <c:axId val="146120704"/>
      </c:scatterChart>
      <c:valAx>
        <c:axId val="146106624"/>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120704"/>
        <c:crosses val="autoZero"/>
        <c:crossBetween val="midCat"/>
        <c:majorUnit val="11"/>
      </c:valAx>
      <c:valAx>
        <c:axId val="146120704"/>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TP(mg/L)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106624"/>
        <c:crossesAt val="43460"/>
        <c:crossBetween val="midCat"/>
      </c:valAx>
      <c:spPr>
        <a:noFill/>
        <a:ln w="25400">
          <a:noFill/>
        </a:ln>
      </c:spPr>
    </c:plotArea>
    <c:legend>
      <c:legendPos val="r"/>
      <c:layout>
        <c:manualLayout>
          <c:xMode val="edge"/>
          <c:yMode val="edge"/>
          <c:x val="0.171454780016905"/>
          <c:y val="0.136128423040604"/>
          <c:w val="0.317254326260065"/>
          <c:h val="0.0938243626062328"/>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137439202396"/>
          <c:y val="0.0509259259259259"/>
          <c:w val="0.77770476734026"/>
          <c:h val="0.737276538349373"/>
        </c:manualLayout>
      </c:layout>
      <c:scatterChart>
        <c:scatterStyle val="smoothMarker"/>
        <c:varyColors val="0"/>
        <c:ser>
          <c:idx val="0"/>
          <c:order val="0"/>
          <c:tx>
            <c:strRef>
              <c:f>事故发生处NH3-N浓度</c:f>
              <c:strCache>
                <c:ptCount val="1"/>
                <c:pt idx="0">
                  <c:v>事故发生处NH3-N浓度</c:v>
                </c:pt>
              </c:strCache>
            </c:strRef>
          </c:tx>
          <c:spPr>
            <a:ln w="19050" cap="rnd" cmpd="sng" algn="ctr">
              <a:solidFill>
                <a:schemeClr val="accent1"/>
              </a:solidFill>
              <a:prstDash val="solid"/>
              <a:round/>
            </a:ln>
            <a:effectLst/>
          </c:spPr>
          <c:marker>
            <c:symbol val="circle"/>
            <c:size val="4"/>
            <c:spPr>
              <a:solidFill>
                <a:schemeClr val="accent1"/>
              </a:solidFill>
              <a:ln w="9525" cap="flat" cmpd="sng" algn="ctr">
                <a:solidFill>
                  <a:schemeClr val="accent1"/>
                </a:solidFill>
                <a:prstDash val="solid"/>
                <a:round/>
              </a:ln>
              <a:effectLst/>
            </c:spPr>
          </c:marker>
          <c:dLbls>
            <c:delete val="1"/>
          </c:dLbls>
          <c:xVal>
            <c:numRef>
              <c:f>Sheet1!$N$146:$AE$146</c:f>
              <c:numCache>
                <c:formatCode>General</c:formatCode>
                <c:ptCount val="18"/>
                <c:pt idx="0">
                  <c:v>0</c:v>
                </c:pt>
                <c:pt idx="1">
                  <c:v>1</c:v>
                </c:pt>
                <c:pt idx="2">
                  <c:v>50</c:v>
                </c:pt>
                <c:pt idx="3">
                  <c:v>100</c:v>
                </c:pt>
                <c:pt idx="4">
                  <c:v>150</c:v>
                </c:pt>
                <c:pt idx="5">
                  <c:v>200</c:v>
                </c:pt>
                <c:pt idx="6">
                  <c:v>250</c:v>
                </c:pt>
                <c:pt idx="7">
                  <c:v>300</c:v>
                </c:pt>
                <c:pt idx="8">
                  <c:v>365</c:v>
                </c:pt>
                <c:pt idx="9">
                  <c:v>730</c:v>
                </c:pt>
                <c:pt idx="10">
                  <c:v>1825</c:v>
                </c:pt>
                <c:pt idx="11">
                  <c:v>3650</c:v>
                </c:pt>
                <c:pt idx="12">
                  <c:v>5475</c:v>
                </c:pt>
                <c:pt idx="13">
                  <c:v>7300</c:v>
                </c:pt>
                <c:pt idx="14">
                  <c:v>18250</c:v>
                </c:pt>
                <c:pt idx="15">
                  <c:v>36500</c:v>
                </c:pt>
                <c:pt idx="16">
                  <c:v>73000</c:v>
                </c:pt>
                <c:pt idx="17">
                  <c:v>91250</c:v>
                </c:pt>
              </c:numCache>
            </c:numRef>
          </c:xVal>
          <c:yVal>
            <c:numRef>
              <c:f>Sheet1!$N$147:$AE$147</c:f>
              <c:numCache>
                <c:formatCode>General</c:formatCode>
                <c:ptCount val="18"/>
                <c:pt idx="0">
                  <c:v>0</c:v>
                </c:pt>
                <c:pt idx="1">
                  <c:v>74158.6179893163</c:v>
                </c:pt>
                <c:pt idx="2">
                  <c:v>1481.13884398738</c:v>
                </c:pt>
                <c:pt idx="3">
                  <c:v>739.53335091879</c:v>
                </c:pt>
                <c:pt idx="4">
                  <c:v>492.332486218365</c:v>
                </c:pt>
                <c:pt idx="5">
                  <c:v>368.732777596052</c:v>
                </c:pt>
                <c:pt idx="6">
                  <c:v>294.573530594976</c:v>
                </c:pt>
                <c:pt idx="7">
                  <c:v>245.134513730456</c:v>
                </c:pt>
                <c:pt idx="8">
                  <c:v>201.114061611463</c:v>
                </c:pt>
                <c:pt idx="9">
                  <c:v>99.534572301107</c:v>
                </c:pt>
                <c:pt idx="10">
                  <c:v>38.6116611383212</c:v>
                </c:pt>
                <c:pt idx="11">
                  <c:v>18.3440851371451</c:v>
                </c:pt>
                <c:pt idx="12">
                  <c:v>11.6201668821704</c:v>
                </c:pt>
                <c:pt idx="13">
                  <c:v>8.28096969840582</c:v>
                </c:pt>
                <c:pt idx="14">
                  <c:v>2.43773553565829</c:v>
                </c:pt>
                <c:pt idx="15">
                  <c:v>0.731193398202635</c:v>
                </c:pt>
                <c:pt idx="16">
                  <c:v>0.131569009136412</c:v>
                </c:pt>
                <c:pt idx="17">
                  <c:v>0.0631421346451369</c:v>
                </c:pt>
              </c:numCache>
            </c:numRef>
          </c:yVal>
          <c:smooth val="1"/>
        </c:ser>
        <c:dLbls>
          <c:showLegendKey val="0"/>
          <c:showVal val="0"/>
          <c:showCatName val="0"/>
          <c:showSerName val="0"/>
          <c:showPercent val="0"/>
          <c:showBubbleSize val="0"/>
        </c:dLbls>
        <c:axId val="1181882464"/>
        <c:axId val="1"/>
      </c:scatterChart>
      <c:scatterChart>
        <c:scatterStyle val="smoothMarker"/>
        <c:varyColors val="0"/>
        <c:ser>
          <c:idx val="1"/>
          <c:order val="1"/>
          <c:tx>
            <c:strRef>
              <c:f>III类标准值</c:f>
              <c:strCache>
                <c:ptCount val="1"/>
                <c:pt idx="0">
                  <c:v>III类标准值</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Sheet1!$N$146:$AE$146</c:f>
              <c:numCache>
                <c:formatCode>General</c:formatCode>
                <c:ptCount val="18"/>
                <c:pt idx="0">
                  <c:v>0</c:v>
                </c:pt>
                <c:pt idx="1">
                  <c:v>1</c:v>
                </c:pt>
                <c:pt idx="2">
                  <c:v>50</c:v>
                </c:pt>
                <c:pt idx="3">
                  <c:v>100</c:v>
                </c:pt>
                <c:pt idx="4">
                  <c:v>150</c:v>
                </c:pt>
                <c:pt idx="5">
                  <c:v>200</c:v>
                </c:pt>
                <c:pt idx="6">
                  <c:v>250</c:v>
                </c:pt>
                <c:pt idx="7">
                  <c:v>300</c:v>
                </c:pt>
                <c:pt idx="8">
                  <c:v>365</c:v>
                </c:pt>
                <c:pt idx="9">
                  <c:v>730</c:v>
                </c:pt>
                <c:pt idx="10">
                  <c:v>1825</c:v>
                </c:pt>
                <c:pt idx="11">
                  <c:v>3650</c:v>
                </c:pt>
                <c:pt idx="12">
                  <c:v>5475</c:v>
                </c:pt>
                <c:pt idx="13">
                  <c:v>7300</c:v>
                </c:pt>
                <c:pt idx="14">
                  <c:v>18250</c:v>
                </c:pt>
                <c:pt idx="15">
                  <c:v>36500</c:v>
                </c:pt>
                <c:pt idx="16">
                  <c:v>73000</c:v>
                </c:pt>
                <c:pt idx="17">
                  <c:v>91250</c:v>
                </c:pt>
              </c:numCache>
            </c:numRef>
          </c:xVal>
          <c:yVal>
            <c:numRef>
              <c:f>Sheet1!$N$144:$AE$144</c:f>
              <c:numCache>
                <c:formatCode>0.00E+00</c:formatCode>
                <c:ptCount val="18"/>
                <c:pt idx="0">
                  <c:v>0.5</c:v>
                </c:pt>
                <c:pt idx="1">
                  <c:v>0.5</c:v>
                </c:pt>
                <c:pt idx="2">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numCache>
            </c:numRef>
          </c:yVal>
          <c:smooth val="1"/>
        </c:ser>
        <c:dLbls>
          <c:showLegendKey val="0"/>
          <c:showVal val="0"/>
          <c:showCatName val="0"/>
          <c:showSerName val="0"/>
          <c:showPercent val="0"/>
          <c:showBubbleSize val="0"/>
        </c:dLbls>
        <c:axId val="1208662096"/>
        <c:axId val="1260446112"/>
      </c:scatterChart>
      <c:valAx>
        <c:axId val="1181882464"/>
        <c:scaling>
          <c:orientation val="minMax"/>
          <c:min val="0"/>
        </c:scaling>
        <c:delete val="0"/>
        <c:axPos val="b"/>
        <c:title>
          <c:tx>
            <c:rich>
              <a:bodyPr rot="0" spcFirstLastPara="0" vertOverflow="ellipsis" vert="horz" wrap="square" anchor="ctr" anchorCtr="1"/>
              <a:lstStyle/>
              <a:p>
                <a:pPr>
                  <a:defRPr lang="zh-CN" sz="1100" b="0" i="0" u="none" strike="noStrike" kern="1200" baseline="0">
                    <a:solidFill>
                      <a:srgbClr val="000000"/>
                    </a:solidFill>
                    <a:latin typeface="Calibri" panose="020F0502020204030204"/>
                    <a:ea typeface="Calibri" panose="020F0502020204030204"/>
                    <a:cs typeface="Calibri" panose="020F0502020204030204"/>
                  </a:defRPr>
                </a:pPr>
                <a:r>
                  <a:rPr lang="zh-CN" altLang="en-US" sz="1000" b="0" i="0" u="none" strike="noStrike" baseline="0">
                    <a:solidFill>
                      <a:srgbClr val="333333"/>
                    </a:solidFill>
                    <a:latin typeface="等线" panose="02010600030101010101" charset="-122"/>
                    <a:ea typeface="等线" panose="02010600030101010101" charset="-122"/>
                  </a:rPr>
                  <a:t>时间（</a:t>
                </a:r>
                <a:r>
                  <a:rPr lang="zh-CN" altLang="en-US" sz="1000" b="0" i="0" u="none" strike="noStrike" baseline="0">
                    <a:solidFill>
                      <a:srgbClr val="333333"/>
                    </a:solidFill>
                    <a:latin typeface="Calibri" panose="020F0502020204030204" pitchFamily="2" charset="0"/>
                    <a:ea typeface="等线" panose="02010600030101010101" charset="-122"/>
                    <a:cs typeface="Calibri" panose="020F0502020204030204" pitchFamily="2" charset="0"/>
                  </a:rPr>
                  <a:t>d</a:t>
                </a:r>
                <a:r>
                  <a:rPr lang="zh-CN" altLang="en-US" sz="1000" b="0" i="0" u="none" strike="noStrike" baseline="0">
                    <a:solidFill>
                      <a:srgbClr val="333333"/>
                    </a:solidFill>
                    <a:latin typeface="等线" panose="02010600030101010101" charset="-122"/>
                    <a:ea typeface="等线" panose="02010600030101010101" charset="-122"/>
                    <a:cs typeface="Calibri" panose="020F0502020204030204" pitchFamily="2" charset="0"/>
                  </a:rPr>
                  <a:t>）</a:t>
                </a:r>
                <a:endParaRPr lang="zh-CN" altLang="en-US" sz="1000" b="0" i="0" u="none" strike="noStrike" baseline="0">
                  <a:solidFill>
                    <a:srgbClr val="333333"/>
                  </a:solidFill>
                  <a:latin typeface="等线" panose="02010600030101010101" charset="-122"/>
                  <a:ea typeface="等线" panose="02010600030101010101" charset="-122"/>
                </a:endParaRPr>
              </a:p>
            </c:rich>
          </c:tx>
          <c:layout>
            <c:manualLayout>
              <c:xMode val="edge"/>
              <c:yMode val="edge"/>
              <c:x val="0.520821585903308"/>
              <c:y val="0.90949819367027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等线"/>
                <a:ea typeface="等线"/>
                <a:cs typeface="等线"/>
              </a:defRPr>
            </a:pPr>
          </a:p>
        </c:txPr>
        <c:crossAx val="1"/>
        <c:crosses val="autoZero"/>
        <c:crossBetween val="midCat"/>
      </c:valAx>
      <c:valAx>
        <c:axId val="1"/>
        <c:scaling>
          <c:orientation val="minMax"/>
          <c:min val="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100" b="0" i="0" u="none" strike="noStrike" kern="1200" baseline="0">
                    <a:solidFill>
                      <a:srgbClr val="000000"/>
                    </a:solidFill>
                    <a:latin typeface="Calibri" panose="020F0502020204030204"/>
                    <a:ea typeface="Calibri" panose="020F0502020204030204"/>
                    <a:cs typeface="Calibri" panose="020F0502020204030204"/>
                  </a:defRPr>
                </a:pPr>
                <a:r>
                  <a:rPr lang="zh-CN" altLang="en-US" sz="1000" b="0" i="0" u="none" strike="noStrike" baseline="0">
                    <a:solidFill>
                      <a:srgbClr val="333333"/>
                    </a:solidFill>
                    <a:latin typeface="等线" panose="02010600030101010101" charset="-122"/>
                    <a:ea typeface="等线" panose="02010600030101010101" charset="-122"/>
                  </a:rPr>
                  <a:t>污染物</a:t>
                </a:r>
                <a:r>
                  <a:rPr lang="zh-CN" altLang="en-US" sz="1000" b="0" i="0" u="none" strike="noStrike" baseline="0">
                    <a:solidFill>
                      <a:srgbClr val="333333"/>
                    </a:solidFill>
                    <a:latin typeface="Calibri" panose="020F0502020204030204" pitchFamily="2" charset="0"/>
                    <a:ea typeface="等线" panose="02010600030101010101" charset="-122"/>
                    <a:cs typeface="Calibri" panose="020F0502020204030204" pitchFamily="2" charset="0"/>
                  </a:rPr>
                  <a:t>NH</a:t>
                </a:r>
                <a:r>
                  <a:rPr lang="zh-CN" altLang="en-US" sz="1000" b="0" i="0" u="none" strike="noStrike" baseline="-25000">
                    <a:solidFill>
                      <a:srgbClr val="333333"/>
                    </a:solidFill>
                    <a:latin typeface="Calibri" panose="020F0502020204030204" pitchFamily="2" charset="0"/>
                    <a:ea typeface="等线" panose="02010600030101010101" charset="-122"/>
                    <a:cs typeface="Calibri" panose="020F0502020204030204" pitchFamily="2" charset="0"/>
                  </a:rPr>
                  <a:t>3</a:t>
                </a:r>
                <a:r>
                  <a:rPr lang="zh-CN" altLang="en-US" sz="1000" b="0" i="0" u="none" strike="noStrike" baseline="0">
                    <a:solidFill>
                      <a:srgbClr val="333333"/>
                    </a:solidFill>
                    <a:latin typeface="Calibri" panose="020F0502020204030204" pitchFamily="2" charset="0"/>
                    <a:ea typeface="等线" panose="02010600030101010101" charset="-122"/>
                    <a:cs typeface="Calibri" panose="020F0502020204030204" pitchFamily="2" charset="0"/>
                  </a:rPr>
                  <a:t>-N</a:t>
                </a:r>
                <a:r>
                  <a:rPr lang="zh-CN" altLang="en-US" sz="1000" b="0" i="0" u="none" strike="noStrike" baseline="0">
                    <a:solidFill>
                      <a:srgbClr val="333333"/>
                    </a:solidFill>
                    <a:latin typeface="等线" panose="02010600030101010101" charset="-122"/>
                    <a:ea typeface="等线" panose="02010600030101010101" charset="-122"/>
                    <a:cs typeface="Calibri" panose="020F0502020204030204" pitchFamily="2" charset="0"/>
                  </a:rPr>
                  <a:t>浓度（</a:t>
                </a:r>
                <a:r>
                  <a:rPr lang="zh-CN" altLang="en-US" sz="1000" b="0" i="0" u="none" strike="noStrike" baseline="0">
                    <a:solidFill>
                      <a:srgbClr val="333333"/>
                    </a:solidFill>
                    <a:latin typeface="Calibri" panose="020F0502020204030204" pitchFamily="2" charset="0"/>
                    <a:ea typeface="等线" panose="02010600030101010101" charset="-122"/>
                    <a:cs typeface="Calibri" panose="020F0502020204030204" pitchFamily="2" charset="0"/>
                  </a:rPr>
                  <a:t>mg/L</a:t>
                </a:r>
                <a:r>
                  <a:rPr lang="zh-CN" altLang="en-US" sz="1000" b="0" i="0" u="none" strike="noStrike" baseline="0">
                    <a:solidFill>
                      <a:srgbClr val="333333"/>
                    </a:solidFill>
                    <a:latin typeface="等线" panose="02010600030101010101" charset="-122"/>
                    <a:ea typeface="等线" panose="02010600030101010101" charset="-122"/>
                    <a:cs typeface="Calibri" panose="020F0502020204030204" pitchFamily="2" charset="0"/>
                  </a:rPr>
                  <a:t>）</a:t>
                </a:r>
                <a:endParaRPr lang="zh-CN" altLang="en-US" sz="1000" b="0" i="0" u="none" strike="noStrike" baseline="0">
                  <a:solidFill>
                    <a:srgbClr val="333333"/>
                  </a:solidFill>
                  <a:latin typeface="等线" panose="02010600030101010101" charset="-122"/>
                  <a:ea typeface="等线" panose="02010600030101010101" charset="-122"/>
                </a:endParaRPr>
              </a:p>
            </c:rich>
          </c:tx>
          <c:layout>
            <c:manualLayout>
              <c:xMode val="edge"/>
              <c:yMode val="edge"/>
              <c:x val="0.00180831308850986"/>
              <c:y val="0.2297832601495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等线"/>
                <a:ea typeface="等线"/>
                <a:cs typeface="等线"/>
              </a:defRPr>
            </a:pPr>
          </a:p>
        </c:txPr>
        <c:crossAx val="1181882464"/>
        <c:crossesAt val="0"/>
        <c:crossBetween val="midCat"/>
      </c:valAx>
      <c:valAx>
        <c:axId val="120866209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等线"/>
                <a:ea typeface="等线"/>
                <a:cs typeface="等线"/>
              </a:defRPr>
            </a:pPr>
          </a:p>
        </c:txPr>
        <c:crossAx val="1260446112"/>
        <c:crosses val="autoZero"/>
        <c:crossBetween val="midCat"/>
      </c:valAx>
      <c:valAx>
        <c:axId val="1260446112"/>
        <c:scaling>
          <c:orientation val="minMax"/>
        </c:scaling>
        <c:delete val="0"/>
        <c:axPos val="r"/>
        <c:numFmt formatCode="0.00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000000"/>
                </a:solidFill>
                <a:latin typeface="等线"/>
                <a:ea typeface="等线"/>
                <a:cs typeface="等线"/>
              </a:defRPr>
            </a:pPr>
          </a:p>
        </c:txPr>
        <c:crossAx val="1208662096"/>
        <c:crosses val="max"/>
        <c:crossBetween val="midCat"/>
      </c:valAx>
      <c:spPr>
        <a:noFill/>
        <a:ln w="25400">
          <a:noFill/>
        </a:ln>
      </c:spPr>
    </c:plotArea>
    <c:legend>
      <c:legendPos val="r"/>
      <c:layout>
        <c:manualLayout>
          <c:xMode val="edge"/>
          <c:yMode val="edge"/>
          <c:x val="0.592040785477732"/>
          <c:y val="0.0551010970417148"/>
          <c:w val="0.277824591297816"/>
          <c:h val="0.114586933456608"/>
        </c:manualLayout>
      </c:layout>
      <c:overlay val="0"/>
      <c:spPr>
        <a:noFill/>
        <a:ln>
          <a:noFill/>
        </a:ln>
        <a:effectLst/>
      </c:spPr>
      <c:txPr>
        <a:bodyPr rot="0" spcFirstLastPara="0" vertOverflow="ellipsis" vert="horz" wrap="square" anchor="ctr" anchorCtr="1"/>
        <a:lstStyle/>
        <a:p>
          <a:pPr>
            <a:defRPr lang="zh-CN" sz="825" b="0" i="0" u="none" strike="noStrike" kern="1200" baseline="0">
              <a:solidFill>
                <a:srgbClr val="333333"/>
              </a:solidFill>
              <a:latin typeface="等线"/>
              <a:ea typeface="等线"/>
              <a:cs typeface="等线"/>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等线"/>
          <a:ea typeface="等线"/>
          <a:cs typeface="等线"/>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070007742609"/>
          <c:y val="0.0509259259259259"/>
          <c:w val="0.831837531894538"/>
          <c:h val="0.775603102747119"/>
        </c:manualLayout>
      </c:layout>
      <c:scatterChart>
        <c:scatterStyle val="smoothMarker"/>
        <c:varyColors val="0"/>
        <c:ser>
          <c:idx val="0"/>
          <c:order val="0"/>
          <c:tx>
            <c:strRef>
              <c:f>下游厂界处污染物浓度</c:f>
              <c:strCache>
                <c:ptCount val="1"/>
                <c:pt idx="0">
                  <c:v>下游厂界处污染物浓度</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Sheet1!$K$168:$AC$168</c:f>
              <c:numCache>
                <c:formatCode>General</c:formatCode>
                <c:ptCount val="19"/>
                <c:pt idx="0">
                  <c:v>0</c:v>
                </c:pt>
                <c:pt idx="1">
                  <c:v>1</c:v>
                </c:pt>
                <c:pt idx="2">
                  <c:v>50</c:v>
                </c:pt>
                <c:pt idx="3">
                  <c:v>100</c:v>
                </c:pt>
                <c:pt idx="4">
                  <c:v>150</c:v>
                </c:pt>
                <c:pt idx="5">
                  <c:v>200</c:v>
                </c:pt>
                <c:pt idx="6">
                  <c:v>250</c:v>
                </c:pt>
                <c:pt idx="7">
                  <c:v>300</c:v>
                </c:pt>
                <c:pt idx="8">
                  <c:v>365</c:v>
                </c:pt>
                <c:pt idx="9">
                  <c:v>730</c:v>
                </c:pt>
                <c:pt idx="10">
                  <c:v>1825</c:v>
                </c:pt>
                <c:pt idx="11">
                  <c:v>3650</c:v>
                </c:pt>
                <c:pt idx="12">
                  <c:v>5475</c:v>
                </c:pt>
                <c:pt idx="13">
                  <c:v>7300</c:v>
                </c:pt>
                <c:pt idx="14">
                  <c:v>18250</c:v>
                </c:pt>
                <c:pt idx="15">
                  <c:v>36500</c:v>
                </c:pt>
                <c:pt idx="16">
                  <c:v>73000</c:v>
                </c:pt>
                <c:pt idx="17">
                  <c:v>91250</c:v>
                </c:pt>
                <c:pt idx="18">
                  <c:v>109500</c:v>
                </c:pt>
              </c:numCache>
            </c:numRef>
          </c:xVal>
          <c:yVal>
            <c:numRef>
              <c:f>Sheet1!$K$169:$AC$169</c:f>
              <c:numCache>
                <c:formatCode>General</c:formatCode>
                <c:ptCount val="19"/>
                <c:pt idx="0">
                  <c:v>0</c:v>
                </c:pt>
                <c:pt idx="1" c:formatCode="0.00E+00">
                  <c:v>0</c:v>
                </c:pt>
                <c:pt idx="2" c:formatCode="0.00E+00">
                  <c:v>0</c:v>
                </c:pt>
                <c:pt idx="3" c:formatCode="0.00E+00">
                  <c:v>4.00889644576438e-239</c:v>
                </c:pt>
                <c:pt idx="4" c:formatCode="0.00E+00">
                  <c:v>1.62261330977969e-158</c:v>
                </c:pt>
                <c:pt idx="5" c:formatCode="0.00E+00">
                  <c:v>2.99649128544547e-118</c:v>
                </c:pt>
                <c:pt idx="6" c:formatCode="0.00E+00">
                  <c:v>4.11397676153835e-94</c:v>
                </c:pt>
                <c:pt idx="7" c:formatCode="0.00E+00">
                  <c:v>4.91191077964398e-78</c:v>
                </c:pt>
                <c:pt idx="8" c:formatCode="0.00E+00">
                  <c:v>9.80529222364816e-64</c:v>
                </c:pt>
                <c:pt idx="9" c:formatCode="0.00E+00">
                  <c:v>7.6709781208245e-31</c:v>
                </c:pt>
                <c:pt idx="10" c:formatCode="0.00E+00">
                  <c:v>2.47121474456845e-11</c:v>
                </c:pt>
                <c:pt idx="11" c:formatCode="0.00E+00">
                  <c:v>5.12223848455942e-5</c:v>
                </c:pt>
                <c:pt idx="12" c:formatCode="0.00E+00">
                  <c:v>0.00530192217127227</c:v>
                </c:pt>
                <c:pt idx="13" c:formatCode="0.00E+00">
                  <c:v>0.0482981839692455</c:v>
                </c:pt>
                <c:pt idx="14" c:formatCode="0.00E+00">
                  <c:v>1.39562170561689</c:v>
                </c:pt>
                <c:pt idx="15" c:formatCode="0.00E+00">
                  <c:v>1.93103685362561</c:v>
                </c:pt>
                <c:pt idx="16" c:formatCode="0.00E+00">
                  <c:v>0.746277746695349</c:v>
                </c:pt>
                <c:pt idx="17" c:formatCode="0.00E+00">
                  <c:v>0.41731487473823</c:v>
                </c:pt>
                <c:pt idx="18" c:formatCode="0.00E+00">
                  <c:v>0.231006091869057</c:v>
                </c:pt>
              </c:numCache>
            </c:numRef>
          </c:yVal>
          <c:smooth val="1"/>
        </c:ser>
        <c:ser>
          <c:idx val="1"/>
          <c:order val="1"/>
          <c:tx>
            <c:strRef>
              <c:f>下游潭揽溪处污染物浓度</c:f>
              <c:strCache>
                <c:ptCount val="1"/>
                <c:pt idx="0">
                  <c:v>下游潭揽溪处污染物浓度</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xVal>
            <c:numRef>
              <c:f>Sheet1!$K$168:$AC$168</c:f>
              <c:numCache>
                <c:formatCode>General</c:formatCode>
                <c:ptCount val="19"/>
                <c:pt idx="0">
                  <c:v>0</c:v>
                </c:pt>
                <c:pt idx="1">
                  <c:v>1</c:v>
                </c:pt>
                <c:pt idx="2">
                  <c:v>50</c:v>
                </c:pt>
                <c:pt idx="3">
                  <c:v>100</c:v>
                </c:pt>
                <c:pt idx="4">
                  <c:v>150</c:v>
                </c:pt>
                <c:pt idx="5">
                  <c:v>200</c:v>
                </c:pt>
                <c:pt idx="6">
                  <c:v>250</c:v>
                </c:pt>
                <c:pt idx="7">
                  <c:v>300</c:v>
                </c:pt>
                <c:pt idx="8">
                  <c:v>365</c:v>
                </c:pt>
                <c:pt idx="9">
                  <c:v>730</c:v>
                </c:pt>
                <c:pt idx="10">
                  <c:v>1825</c:v>
                </c:pt>
                <c:pt idx="11">
                  <c:v>3650</c:v>
                </c:pt>
                <c:pt idx="12">
                  <c:v>5475</c:v>
                </c:pt>
                <c:pt idx="13">
                  <c:v>7300</c:v>
                </c:pt>
                <c:pt idx="14">
                  <c:v>18250</c:v>
                </c:pt>
                <c:pt idx="15">
                  <c:v>36500</c:v>
                </c:pt>
                <c:pt idx="16">
                  <c:v>73000</c:v>
                </c:pt>
                <c:pt idx="17">
                  <c:v>91250</c:v>
                </c:pt>
                <c:pt idx="18">
                  <c:v>109500</c:v>
                </c:pt>
              </c:numCache>
            </c:numRef>
          </c:xVal>
          <c:yVal>
            <c:numRef>
              <c:f>Sheet1!$K$170:$AC$170</c:f>
              <c:numCache>
                <c:formatCode>General</c:formatCode>
                <c:ptCount val="19"/>
                <c:pt idx="0">
                  <c:v>0</c:v>
                </c:pt>
                <c:pt idx="1" c:formatCode="0.00E+00">
                  <c:v>0</c:v>
                </c:pt>
                <c:pt idx="2" c:formatCode="0.00E+00">
                  <c:v>0</c:v>
                </c:pt>
                <c:pt idx="3" c:formatCode="0.00E+00">
                  <c:v>0</c:v>
                </c:pt>
                <c:pt idx="4" c:formatCode="0.00E+00">
                  <c:v>0</c:v>
                </c:pt>
                <c:pt idx="5" c:formatCode="0.00E+00">
                  <c:v>0</c:v>
                </c:pt>
                <c:pt idx="6" c:formatCode="0.00E+00">
                  <c:v>1.09209906897588e-244</c:v>
                </c:pt>
                <c:pt idx="7" c:formatCode="0.00E+00">
                  <c:v>2.08845049912993e-203</c:v>
                </c:pt>
                <c:pt idx="8" c:formatCode="0.00E+00">
                  <c:v>1.15468288525575e-166</c:v>
                </c:pt>
                <c:pt idx="9" c:formatCode="0.00E+00">
                  <c:v>5.57278746299399e-82</c:v>
                </c:pt>
                <c:pt idx="10" c:formatCode="0.00E+00">
                  <c:v>2.12943286104981e-31</c:v>
                </c:pt>
                <c:pt idx="11" c:formatCode="0.00E+00">
                  <c:v>1.0066005647216e-14</c:v>
                </c:pt>
                <c:pt idx="12" c:formatCode="0.00E+00">
                  <c:v>2.95469070851713e-9</c:v>
                </c:pt>
                <c:pt idx="13" c:formatCode="0.00E+00">
                  <c:v>1.43334300462224e-6</c:v>
                </c:pt>
                <c:pt idx="14" c:formatCode="0.00E+00">
                  <c:v>0.0530395972903246</c:v>
                </c:pt>
                <c:pt idx="15" c:formatCode="0.00E+00">
                  <c:v>0.796943359079473</c:v>
                </c:pt>
                <c:pt idx="16" c:formatCode="0.00E+00">
                  <c:v>1.01493815804209</c:v>
                </c:pt>
                <c:pt idx="17" c:formatCode="0.00E+00">
                  <c:v>0.72041607223703</c:v>
                </c:pt>
                <c:pt idx="18" c:formatCode="0.00E+00">
                  <c:v>0.46751611697727</c:v>
                </c:pt>
              </c:numCache>
            </c:numRef>
          </c:yVal>
          <c:smooth val="1"/>
        </c:ser>
        <c:ser>
          <c:idx val="2"/>
          <c:order val="2"/>
          <c:tx>
            <c:strRef>
              <c:f>III类标准值</c:f>
              <c:strCache>
                <c:ptCount val="1"/>
                <c:pt idx="0">
                  <c:v>III类标准值</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delete val="1"/>
          </c:dLbls>
          <c:xVal>
            <c:numRef>
              <c:f>Sheet1!$K$168:$AC$168</c:f>
              <c:numCache>
                <c:formatCode>General</c:formatCode>
                <c:ptCount val="19"/>
                <c:pt idx="0">
                  <c:v>0</c:v>
                </c:pt>
                <c:pt idx="1">
                  <c:v>1</c:v>
                </c:pt>
                <c:pt idx="2">
                  <c:v>50</c:v>
                </c:pt>
                <c:pt idx="3">
                  <c:v>100</c:v>
                </c:pt>
                <c:pt idx="4">
                  <c:v>150</c:v>
                </c:pt>
                <c:pt idx="5">
                  <c:v>200</c:v>
                </c:pt>
                <c:pt idx="6">
                  <c:v>250</c:v>
                </c:pt>
                <c:pt idx="7">
                  <c:v>300</c:v>
                </c:pt>
                <c:pt idx="8">
                  <c:v>365</c:v>
                </c:pt>
                <c:pt idx="9">
                  <c:v>730</c:v>
                </c:pt>
                <c:pt idx="10">
                  <c:v>1825</c:v>
                </c:pt>
                <c:pt idx="11">
                  <c:v>3650</c:v>
                </c:pt>
                <c:pt idx="12">
                  <c:v>5475</c:v>
                </c:pt>
                <c:pt idx="13">
                  <c:v>7300</c:v>
                </c:pt>
                <c:pt idx="14">
                  <c:v>18250</c:v>
                </c:pt>
                <c:pt idx="15">
                  <c:v>36500</c:v>
                </c:pt>
                <c:pt idx="16">
                  <c:v>73000</c:v>
                </c:pt>
                <c:pt idx="17">
                  <c:v>91250</c:v>
                </c:pt>
                <c:pt idx="18">
                  <c:v>109500</c:v>
                </c:pt>
              </c:numCache>
            </c:numRef>
          </c:xVal>
          <c:yVal>
            <c:numRef>
              <c:f>Sheet1!$K$171:$AC$171</c:f>
              <c:numCache>
                <c:formatCode>General</c:formatCode>
                <c:ptCount val="19"/>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numCache>
            </c:numRef>
          </c:yVal>
          <c:smooth val="1"/>
        </c:ser>
        <c:dLbls>
          <c:showLegendKey val="0"/>
          <c:showVal val="0"/>
          <c:showCatName val="0"/>
          <c:showSerName val="0"/>
          <c:showPercent val="0"/>
          <c:showBubbleSize val="0"/>
        </c:dLbls>
        <c:axId val="1258502640"/>
        <c:axId val="1212877712"/>
      </c:scatterChart>
      <c:valAx>
        <c:axId val="1258502640"/>
        <c:scaling>
          <c:orientation val="minMax"/>
          <c:min val="0"/>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时间（</a:t>
                </a:r>
                <a:r>
                  <a:rPr lang="en-US" altLang="zh-CN"/>
                  <a:t>d</a:t>
                </a:r>
                <a:r>
                  <a:rPr lang="zh-CN" altLang="en-US"/>
                  <a:t>）</a:t>
                </a:r>
                <a:endParaRPr lang="zh-CN" altLang="en-US"/>
              </a:p>
            </c:rich>
          </c:tx>
          <c:layout>
            <c:manualLayout>
              <c:xMode val="edge"/>
              <c:yMode val="edge"/>
              <c:x val="0.444240642929599"/>
              <c:y val="0.903886132193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12877712"/>
        <c:crosses val="autoZero"/>
        <c:crossBetween val="midCat"/>
      </c:valAx>
      <c:valAx>
        <c:axId val="12128777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污染物</a:t>
                </a:r>
                <a:r>
                  <a:rPr lang="en-US" altLang="zh-CN"/>
                  <a:t>NH</a:t>
                </a:r>
                <a:r>
                  <a:rPr lang="en-US" altLang="zh-CN" baseline="-25000"/>
                  <a:t>3</a:t>
                </a:r>
                <a:r>
                  <a:rPr lang="en-US" altLang="zh-CN"/>
                  <a:t>-N</a:t>
                </a:r>
                <a:r>
                  <a:rPr lang="zh-CN" altLang="en-US"/>
                  <a:t>浓度（</a:t>
                </a:r>
                <a:r>
                  <a:rPr lang="en-US" altLang="zh-CN"/>
                  <a:t>mg/L</a:t>
                </a:r>
                <a:r>
                  <a:rPr lang="zh-CN" altLang="en-US"/>
                  <a:t>）</a:t>
                </a:r>
                <a:endParaRPr lang="zh-CN" altLang="en-US"/>
              </a:p>
            </c:rich>
          </c:tx>
          <c:layout>
            <c:manualLayout>
              <c:xMode val="edge"/>
              <c:yMode val="edge"/>
              <c:x val="0.0124577536224349"/>
              <c:y val="0.17020459052607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58502640"/>
        <c:crosses val="autoZero"/>
        <c:crossBetween val="midCat"/>
      </c:valAx>
      <c:spPr>
        <a:noFill/>
        <a:ln>
          <a:noFill/>
        </a:ln>
        <a:effectLst/>
      </c:spPr>
    </c:plotArea>
    <c:legend>
      <c:legendPos val="r"/>
      <c:layout>
        <c:manualLayout>
          <c:xMode val="edge"/>
          <c:yMode val="edge"/>
          <c:x val="0.511500574936151"/>
          <c:y val="0.0457688173320604"/>
          <c:w val="0.42710550372993"/>
          <c:h val="0.16405465375476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月实际进水</a:t>
            </a:r>
            <a:r>
              <a:rPr lang="en-US" altLang="zh-CN" sz="1200">
                <a:latin typeface="Times New Roman" panose="02020603050405020304" charset="0"/>
                <a:ea typeface="宋体" panose="02010600030101010101" charset="-122"/>
                <a:cs typeface="Times New Roman" panose="02020603050405020304" charset="0"/>
              </a:rPr>
              <a:t>BOD</a:t>
            </a:r>
            <a:r>
              <a:rPr lang="en-US" altLang="zh-CN" sz="1200" baseline="-25000">
                <a:latin typeface="Times New Roman" panose="02020603050405020304" charset="0"/>
                <a:ea typeface="宋体" panose="02010600030101010101" charset="-122"/>
                <a:cs typeface="Times New Roman" panose="02020603050405020304" charset="0"/>
              </a:rPr>
              <a:t>5</a:t>
            </a:r>
            <a:r>
              <a:rPr lang="zh-CN" altLang="en-US" sz="1200">
                <a:latin typeface="Times New Roman" panose="02020603050405020304" charset="0"/>
                <a:ea typeface="宋体" panose="02010600030101010101" charset="-122"/>
                <a:cs typeface="Times New Roman" panose="02020603050405020304" charset="0"/>
              </a:rPr>
              <a:t>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191564927265448"/>
          <c:y val="0.0302171860245515"/>
        </c:manualLayout>
      </c:layout>
      <c:overlay val="0"/>
    </c:title>
    <c:autoTitleDeleted val="0"/>
    <c:plotArea>
      <c:layout>
        <c:manualLayout>
          <c:layoutTarget val="inner"/>
          <c:xMode val="edge"/>
          <c:yMode val="edge"/>
          <c:x val="0.116637139107612"/>
          <c:y val="0.165312773403325"/>
          <c:w val="0.812107611548557"/>
          <c:h val="0.678086176727908"/>
        </c:manualLayout>
      </c:layout>
      <c:scatterChart>
        <c:scatterStyle val="smoothMarker"/>
        <c:varyColors val="0"/>
        <c:ser>
          <c:idx val="0"/>
          <c:order val="0"/>
          <c:tx>
            <c:strRef>
              <c:f>实际进水BOD5含量</c:f>
              <c:strCache>
                <c:ptCount val="1"/>
                <c:pt idx="0">
                  <c:v>实际进水BOD5含量</c:v>
                </c:pt>
              </c:strCache>
            </c:strRef>
          </c:tx>
          <c:spPr>
            <a:ln w="15875" cap="rnd" cmpd="sng" algn="ctr">
              <a:solidFill>
                <a:schemeClr val="accent1">
                  <a:shade val="95000"/>
                  <a:satMod val="105000"/>
                </a:schemeClr>
              </a:solidFill>
              <a:prstDash val="solid"/>
              <a:round/>
            </a:ln>
          </c:spPr>
          <c:marker>
            <c:symbol val="none"/>
          </c:marker>
          <c:dPt>
            <c:idx val="4"/>
            <c:marker>
              <c:symbol val="triangle"/>
              <c:size val="6"/>
              <c:spPr>
                <a:solidFill>
                  <a:srgbClr val="FF0000"/>
                </a:solidFill>
                <a:ln w="9525" cap="flat" cmpd="sng" algn="ctr">
                  <a:solidFill>
                    <a:srgbClr val="FF0000"/>
                  </a:solidFill>
                  <a:prstDash val="solid"/>
                  <a:round/>
                </a:ln>
              </c:spPr>
            </c:marker>
            <c:bubble3D val="0"/>
          </c:dPt>
          <c:dPt>
            <c:idx val="69"/>
            <c:marker>
              <c:symbol val="triangle"/>
              <c:size val="5"/>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layout>
                <c:manualLayout>
                  <c:x val="-0.0474576271186441"/>
                  <c:y val="-0.0453257790368272"/>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1</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5</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330.4mg/L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layout>
                <c:manualLayout>
                  <c:x val="-0.123965812766722"/>
                  <c:y val="0.0307056769176344"/>
                </c:manualLayout>
              </c:layout>
              <c:tx>
                <c:rich>
                  <a:bodyPr rot="0" spcFirstLastPara="0" vertOverflow="ellipsis" vert="horz" wrap="square" lIns="38100" tIns="19050" rIns="38100" bIns="19050" anchor="ctr" anchorCtr="1"/>
                  <a:lstStyle/>
                  <a:p>
                    <a:fld id="{679736ec-be8d-45f8-aedb-4ae7720714c9}" type="VALUE">
                      <a:t>[VALUE]</a:t>
                    </a:fld>
                    <a:endParaRPr lang="zh-CN" altLang="en-US" sz="800" b="0" i="0" u="none" strike="noStrike" baseline="0">
                      <a:latin typeface="Times New Roman" panose="02020603050405020304" charset="0"/>
                      <a:ea typeface="Times New Roman" panose="02020603050405020304" charset="0"/>
                      <a:cs typeface="Times New Roman" panose="02020603050405020304" charset="0"/>
                    </a:endParaRPr>
                  </a:p>
                  <a:p>
                    <a:fld id="{73e09b4b-24f5-4268-9d3c-5b0ee979b0f4}" type="VALUE">
                      <a:t>[VALUE]</a:t>
                    </a:fld>
                    <a:endParaRPr lang="en-US" altLang="zh-CN" sz="800" b="0" i="0" u="none" strike="noStrike" baseline="0">
                      <a:latin typeface="Times New Roman" panose="02020603050405020304" charset="0"/>
                      <a:ea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绘图数据!$D$3:$D$92</c:f>
              <c:numCache>
                <c:formatCode>General</c:formatCode>
                <c:ptCount val="90"/>
                <c:pt idx="0">
                  <c:v>195.6</c:v>
                </c:pt>
                <c:pt idx="1">
                  <c:v>165.5</c:v>
                </c:pt>
                <c:pt idx="2">
                  <c:v>112.03</c:v>
                </c:pt>
                <c:pt idx="3">
                  <c:v>97.6</c:v>
                </c:pt>
                <c:pt idx="4">
                  <c:v>330.4</c:v>
                </c:pt>
                <c:pt idx="5">
                  <c:v>172.8</c:v>
                </c:pt>
                <c:pt idx="6">
                  <c:v>119.2</c:v>
                </c:pt>
                <c:pt idx="7">
                  <c:v>109.1</c:v>
                </c:pt>
                <c:pt idx="8">
                  <c:v>93.6</c:v>
                </c:pt>
                <c:pt idx="9">
                  <c:v>315.7</c:v>
                </c:pt>
                <c:pt idx="10">
                  <c:v>158.5</c:v>
                </c:pt>
                <c:pt idx="11">
                  <c:v>138</c:v>
                </c:pt>
                <c:pt idx="12">
                  <c:v>110.6</c:v>
                </c:pt>
                <c:pt idx="13">
                  <c:v>123</c:v>
                </c:pt>
                <c:pt idx="14">
                  <c:v>172.1</c:v>
                </c:pt>
                <c:pt idx="15">
                  <c:v>120.0472</c:v>
                </c:pt>
                <c:pt idx="16">
                  <c:v>181.38</c:v>
                </c:pt>
                <c:pt idx="17">
                  <c:v>184.33</c:v>
                </c:pt>
                <c:pt idx="18">
                  <c:v>188.35</c:v>
                </c:pt>
                <c:pt idx="19">
                  <c:v>162.92</c:v>
                </c:pt>
                <c:pt idx="20">
                  <c:v>175.55</c:v>
                </c:pt>
                <c:pt idx="21">
                  <c:v>169.23</c:v>
                </c:pt>
                <c:pt idx="22">
                  <c:v>257.8</c:v>
                </c:pt>
                <c:pt idx="23">
                  <c:v>156.18</c:v>
                </c:pt>
                <c:pt idx="24">
                  <c:v>176.37</c:v>
                </c:pt>
                <c:pt idx="25">
                  <c:v>210.54</c:v>
                </c:pt>
                <c:pt idx="26">
                  <c:v>219.63</c:v>
                </c:pt>
                <c:pt idx="27">
                  <c:v>223.77</c:v>
                </c:pt>
                <c:pt idx="28">
                  <c:v>204.73</c:v>
                </c:pt>
                <c:pt idx="29">
                  <c:v>244.7</c:v>
                </c:pt>
                <c:pt idx="30">
                  <c:v>238.85</c:v>
                </c:pt>
                <c:pt idx="31">
                  <c:v>253.56</c:v>
                </c:pt>
                <c:pt idx="32">
                  <c:v>202.75</c:v>
                </c:pt>
                <c:pt idx="33">
                  <c:v>172.06</c:v>
                </c:pt>
                <c:pt idx="34">
                  <c:v>211.91</c:v>
                </c:pt>
                <c:pt idx="35">
                  <c:v>270.36</c:v>
                </c:pt>
                <c:pt idx="36">
                  <c:v>315.4</c:v>
                </c:pt>
                <c:pt idx="37">
                  <c:v>210.2</c:v>
                </c:pt>
                <c:pt idx="38">
                  <c:v>202.34</c:v>
                </c:pt>
                <c:pt idx="39">
                  <c:v>170.21</c:v>
                </c:pt>
                <c:pt idx="40">
                  <c:v>149.71</c:v>
                </c:pt>
                <c:pt idx="41">
                  <c:v>259.6</c:v>
                </c:pt>
                <c:pt idx="42">
                  <c:v>201.3</c:v>
                </c:pt>
                <c:pt idx="43">
                  <c:v>215.8</c:v>
                </c:pt>
                <c:pt idx="44">
                  <c:v>130.7</c:v>
                </c:pt>
                <c:pt idx="45">
                  <c:v>145.7</c:v>
                </c:pt>
                <c:pt idx="46">
                  <c:v>126</c:v>
                </c:pt>
                <c:pt idx="47">
                  <c:v>52.5</c:v>
                </c:pt>
                <c:pt idx="48">
                  <c:v>58.6</c:v>
                </c:pt>
                <c:pt idx="49">
                  <c:v>71</c:v>
                </c:pt>
                <c:pt idx="50">
                  <c:v>114.1</c:v>
                </c:pt>
                <c:pt idx="51">
                  <c:v>196.3</c:v>
                </c:pt>
                <c:pt idx="52">
                  <c:v>146.2</c:v>
                </c:pt>
                <c:pt idx="53">
                  <c:v>107.2</c:v>
                </c:pt>
                <c:pt idx="54">
                  <c:v>113.4</c:v>
                </c:pt>
                <c:pt idx="55">
                  <c:v>250</c:v>
                </c:pt>
                <c:pt idx="56">
                  <c:v>190.4</c:v>
                </c:pt>
                <c:pt idx="57">
                  <c:v>279.72888</c:v>
                </c:pt>
                <c:pt idx="67">
                  <c:v>210.936</c:v>
                </c:pt>
                <c:pt idx="69">
                  <c:v>48.2</c:v>
                </c:pt>
                <c:pt idx="74">
                  <c:v>56.9</c:v>
                </c:pt>
                <c:pt idx="75">
                  <c:v>66.4</c:v>
                </c:pt>
                <c:pt idx="76">
                  <c:v>90.3828</c:v>
                </c:pt>
                <c:pt idx="77">
                  <c:v>89.1728</c:v>
                </c:pt>
                <c:pt idx="87">
                  <c:v>72.5504</c:v>
                </c:pt>
              </c:numCache>
            </c:numRef>
          </c:yVal>
          <c:smooth val="1"/>
        </c:ser>
        <c:ser>
          <c:idx val="1"/>
          <c:order val="1"/>
          <c:tx>
            <c:strRef>
              <c:f>设计进水BOD5含量标准</c:f>
              <c:strCache>
                <c:ptCount val="1"/>
                <c:pt idx="0">
                  <c:v>设计进水BOD5含量标准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绘图数据!$R$3:$R$92</c:f>
              <c:numCache>
                <c:formatCode>General</c:formatCode>
                <c:ptCount val="90"/>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pt idx="27">
                  <c:v>150</c:v>
                </c:pt>
                <c:pt idx="28">
                  <c:v>150</c:v>
                </c:pt>
                <c:pt idx="29">
                  <c:v>150</c:v>
                </c:pt>
                <c:pt idx="30">
                  <c:v>150</c:v>
                </c:pt>
                <c:pt idx="31">
                  <c:v>150</c:v>
                </c:pt>
                <c:pt idx="32">
                  <c:v>150</c:v>
                </c:pt>
                <c:pt idx="33">
                  <c:v>150</c:v>
                </c:pt>
                <c:pt idx="34">
                  <c:v>150</c:v>
                </c:pt>
                <c:pt idx="35">
                  <c:v>150</c:v>
                </c:pt>
                <c:pt idx="36">
                  <c:v>150</c:v>
                </c:pt>
                <c:pt idx="37">
                  <c:v>150</c:v>
                </c:pt>
                <c:pt idx="38">
                  <c:v>150</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pt idx="60">
                  <c:v>150</c:v>
                </c:pt>
                <c:pt idx="61">
                  <c:v>150</c:v>
                </c:pt>
                <c:pt idx="62">
                  <c:v>150</c:v>
                </c:pt>
                <c:pt idx="63">
                  <c:v>150</c:v>
                </c:pt>
                <c:pt idx="64">
                  <c:v>150</c:v>
                </c:pt>
                <c:pt idx="65">
                  <c:v>150</c:v>
                </c:pt>
                <c:pt idx="66">
                  <c:v>150</c:v>
                </c:pt>
                <c:pt idx="67">
                  <c:v>150</c:v>
                </c:pt>
                <c:pt idx="68">
                  <c:v>150</c:v>
                </c:pt>
                <c:pt idx="69">
                  <c:v>150</c:v>
                </c:pt>
                <c:pt idx="70">
                  <c:v>150</c:v>
                </c:pt>
                <c:pt idx="71">
                  <c:v>150</c:v>
                </c:pt>
                <c:pt idx="72">
                  <c:v>150</c:v>
                </c:pt>
                <c:pt idx="73">
                  <c:v>150</c:v>
                </c:pt>
                <c:pt idx="74">
                  <c:v>150</c:v>
                </c:pt>
                <c:pt idx="75">
                  <c:v>150</c:v>
                </c:pt>
                <c:pt idx="76">
                  <c:v>150</c:v>
                </c:pt>
                <c:pt idx="77">
                  <c:v>150</c:v>
                </c:pt>
                <c:pt idx="78">
                  <c:v>150</c:v>
                </c:pt>
                <c:pt idx="79">
                  <c:v>150</c:v>
                </c:pt>
                <c:pt idx="80">
                  <c:v>150</c:v>
                </c:pt>
                <c:pt idx="81">
                  <c:v>150</c:v>
                </c:pt>
                <c:pt idx="82">
                  <c:v>150</c:v>
                </c:pt>
                <c:pt idx="83">
                  <c:v>150</c:v>
                </c:pt>
                <c:pt idx="84">
                  <c:v>150</c:v>
                </c:pt>
                <c:pt idx="85">
                  <c:v>150</c:v>
                </c:pt>
                <c:pt idx="86">
                  <c:v>150</c:v>
                </c:pt>
                <c:pt idx="87">
                  <c:v>150</c:v>
                </c:pt>
                <c:pt idx="88">
                  <c:v>150</c:v>
                </c:pt>
                <c:pt idx="89">
                  <c:v>150</c:v>
                </c:pt>
              </c:numCache>
            </c:numRef>
          </c:yVal>
          <c:smooth val="1"/>
        </c:ser>
        <c:dLbls>
          <c:showLegendKey val="0"/>
          <c:showVal val="0"/>
          <c:showCatName val="0"/>
          <c:showSerName val="0"/>
          <c:showPercent val="0"/>
          <c:showBubbleSize val="0"/>
        </c:dLbls>
        <c:axId val="145715200"/>
        <c:axId val="145716736"/>
      </c:scatterChart>
      <c:valAx>
        <c:axId val="145715200"/>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716736"/>
        <c:crosses val="autoZero"/>
        <c:crossBetween val="midCat"/>
        <c:majorUnit val="11"/>
      </c:valAx>
      <c:valAx>
        <c:axId val="145716736"/>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BOD5(mg/L)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715200"/>
        <c:crossesAt val="43460"/>
        <c:crossBetween val="midCat"/>
      </c:valAx>
      <c:spPr>
        <a:noFill/>
        <a:ln w="25400">
          <a:noFill/>
        </a:ln>
      </c:spPr>
    </c:plotArea>
    <c:legend>
      <c:legendPos val="r"/>
      <c:layout>
        <c:manualLayout>
          <c:xMode val="edge"/>
          <c:yMode val="edge"/>
          <c:x val="0.566935006005606"/>
          <c:y val="0.128574126534466"/>
          <c:w val="0.272056586147071"/>
          <c:h val="0.0900472143531633"/>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月实际进水</a:t>
            </a:r>
            <a:r>
              <a:rPr lang="en-US" altLang="zh-CN" sz="1200">
                <a:latin typeface="Times New Roman" panose="02020603050405020304" charset="0"/>
                <a:ea typeface="宋体" panose="02010600030101010101" charset="-122"/>
                <a:cs typeface="Times New Roman" panose="02020603050405020304" charset="0"/>
              </a:rPr>
              <a:t> SS</a:t>
            </a:r>
            <a:r>
              <a:rPr lang="zh-CN" altLang="en-US" sz="1200">
                <a:latin typeface="Times New Roman" panose="02020603050405020304" charset="0"/>
                <a:ea typeface="宋体" panose="02010600030101010101" charset="-122"/>
                <a:cs typeface="Times New Roman" panose="02020603050405020304" charset="0"/>
              </a:rPr>
              <a:t>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164056408203212"/>
          <c:y val="0.0415486307837583"/>
        </c:manualLayout>
      </c:layout>
      <c:overlay val="0"/>
    </c:title>
    <c:autoTitleDeleted val="0"/>
    <c:plotArea>
      <c:layout>
        <c:manualLayout>
          <c:layoutTarget val="inner"/>
          <c:xMode val="edge"/>
          <c:yMode val="edge"/>
          <c:x val="0.116637139107612"/>
          <c:y val="0.165312773403325"/>
          <c:w val="0.812107611548557"/>
          <c:h val="0.678086176727908"/>
        </c:manualLayout>
      </c:layout>
      <c:scatterChart>
        <c:scatterStyle val="smoothMarker"/>
        <c:varyColors val="0"/>
        <c:ser>
          <c:idx val="0"/>
          <c:order val="0"/>
          <c:tx>
            <c:strRef>
              <c:f>实际进水SS含量</c:f>
              <c:strCache>
                <c:ptCount val="1"/>
                <c:pt idx="0">
                  <c:v>实际进水SS含量</c:v>
                </c:pt>
              </c:strCache>
            </c:strRef>
          </c:tx>
          <c:spPr>
            <a:ln w="15875" cap="rnd" cmpd="sng" algn="ctr">
              <a:solidFill>
                <a:schemeClr val="accent1">
                  <a:shade val="95000"/>
                  <a:satMod val="105000"/>
                </a:schemeClr>
              </a:solidFill>
              <a:prstDash val="solid"/>
              <a:round/>
            </a:ln>
          </c:spPr>
          <c:marker>
            <c:symbol val="none"/>
          </c:marker>
          <c:dPt>
            <c:idx val="12"/>
            <c:marker>
              <c:symbol val="triangle"/>
              <c:size val="5"/>
              <c:spPr>
                <a:solidFill>
                  <a:srgbClr val="FF0000"/>
                </a:solidFill>
                <a:ln w="9525" cap="flat" cmpd="sng" algn="ctr">
                  <a:solidFill>
                    <a:srgbClr val="FF0000"/>
                  </a:solidFill>
                  <a:prstDash val="solid"/>
                  <a:round/>
                </a:ln>
              </c:spPr>
            </c:marker>
            <c:bubble3D val="0"/>
          </c:dPt>
          <c:dPt>
            <c:idx val="25"/>
            <c:marker>
              <c:symbol val="triangle"/>
              <c:size val="6"/>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0.0226547232868257"/>
                  <c:y val="-0.108505490966017"/>
                </c:manualLayout>
              </c:layout>
              <c:tx>
                <c:rich>
                  <a:bodyPr rot="0" spcFirstLastPara="0" vertOverflow="ellipsis" vert="horz" wrap="square" lIns="38100" tIns="19050" rIns="38100" bIns="19050" anchor="ctr" anchorCtr="1"/>
                  <a:lstStyle/>
                  <a:p>
                    <a:fld id="{abece00d-7c87-4f41-a12f-dd6cd49632b7}" type="VALUE">
                      <a:t>[VALUE]</a:t>
                    </a:fld>
                    <a:endParaRPr lang="zh-CN" altLang="en-US" sz="800" b="0" i="0" u="none" strike="noStrike" baseline="0">
                      <a:latin typeface="Times New Roman" panose="02020603050405020304" charset="0"/>
                      <a:ea typeface="Times New Roman" panose="02020603050405020304" charset="0"/>
                      <a:cs typeface="Times New Roman" panose="02020603050405020304" charset="0"/>
                    </a:endParaRPr>
                  </a:p>
                  <a:p>
                    <a:fld id="{069a9dfb-c280-49c7-81e7-240d5133d765}" type="VALUE">
                      <a:t>[VALUE]</a:t>
                    </a:fld>
                    <a:endParaRPr lang="en-US" altLang="zh-CN" sz="800" b="0" i="0" u="none" strike="noStrike" baseline="0">
                      <a:latin typeface="Times New Roman" panose="02020603050405020304" charset="0"/>
                      <a:ea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layout>
                <c:manualLayout>
                  <c:x val="-0.0836158192090397"/>
                  <c:y val="-0.0491029272898962"/>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1</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26</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1558mg/L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绘图数据!$F$3:$F$92</c:f>
              <c:numCache>
                <c:formatCode>General</c:formatCode>
                <c:ptCount val="90"/>
                <c:pt idx="0">
                  <c:v>510</c:v>
                </c:pt>
                <c:pt idx="1">
                  <c:v>88</c:v>
                </c:pt>
                <c:pt idx="2">
                  <c:v>125</c:v>
                </c:pt>
                <c:pt idx="3">
                  <c:v>100</c:v>
                </c:pt>
                <c:pt idx="4">
                  <c:v>505</c:v>
                </c:pt>
                <c:pt idx="5">
                  <c:v>132</c:v>
                </c:pt>
                <c:pt idx="6">
                  <c:v>84</c:v>
                </c:pt>
                <c:pt idx="7">
                  <c:v>94</c:v>
                </c:pt>
                <c:pt idx="8">
                  <c:v>90</c:v>
                </c:pt>
                <c:pt idx="9">
                  <c:v>134</c:v>
                </c:pt>
                <c:pt idx="10">
                  <c:v>628</c:v>
                </c:pt>
                <c:pt idx="11">
                  <c:v>296</c:v>
                </c:pt>
                <c:pt idx="12">
                  <c:v>63</c:v>
                </c:pt>
                <c:pt idx="13">
                  <c:v>159</c:v>
                </c:pt>
                <c:pt idx="14">
                  <c:v>693</c:v>
                </c:pt>
                <c:pt idx="15">
                  <c:v>192</c:v>
                </c:pt>
                <c:pt idx="16">
                  <c:v>76</c:v>
                </c:pt>
                <c:pt idx="17">
                  <c:v>132</c:v>
                </c:pt>
                <c:pt idx="18">
                  <c:v>189</c:v>
                </c:pt>
                <c:pt idx="19">
                  <c:v>164</c:v>
                </c:pt>
                <c:pt idx="20">
                  <c:v>180</c:v>
                </c:pt>
                <c:pt idx="21">
                  <c:v>141</c:v>
                </c:pt>
                <c:pt idx="22">
                  <c:v>129</c:v>
                </c:pt>
                <c:pt idx="23">
                  <c:v>136</c:v>
                </c:pt>
                <c:pt idx="24">
                  <c:v>633</c:v>
                </c:pt>
                <c:pt idx="25">
                  <c:v>1558</c:v>
                </c:pt>
                <c:pt idx="26">
                  <c:v>1380</c:v>
                </c:pt>
                <c:pt idx="27">
                  <c:v>1223</c:v>
                </c:pt>
                <c:pt idx="28">
                  <c:v>166</c:v>
                </c:pt>
                <c:pt idx="29">
                  <c:v>274</c:v>
                </c:pt>
                <c:pt idx="30">
                  <c:v>124</c:v>
                </c:pt>
                <c:pt idx="31">
                  <c:v>163</c:v>
                </c:pt>
                <c:pt idx="32">
                  <c:v>179</c:v>
                </c:pt>
                <c:pt idx="33">
                  <c:v>257</c:v>
                </c:pt>
                <c:pt idx="34">
                  <c:v>100</c:v>
                </c:pt>
                <c:pt idx="35">
                  <c:v>130</c:v>
                </c:pt>
                <c:pt idx="36">
                  <c:v>185</c:v>
                </c:pt>
                <c:pt idx="37">
                  <c:v>347</c:v>
                </c:pt>
                <c:pt idx="38">
                  <c:v>244</c:v>
                </c:pt>
                <c:pt idx="39">
                  <c:v>192</c:v>
                </c:pt>
                <c:pt idx="40">
                  <c:v>106</c:v>
                </c:pt>
                <c:pt idx="41">
                  <c:v>529</c:v>
                </c:pt>
                <c:pt idx="42">
                  <c:v>101</c:v>
                </c:pt>
                <c:pt idx="43">
                  <c:v>91</c:v>
                </c:pt>
                <c:pt idx="44">
                  <c:v>173</c:v>
                </c:pt>
                <c:pt idx="45">
                  <c:v>177</c:v>
                </c:pt>
                <c:pt idx="46">
                  <c:v>150</c:v>
                </c:pt>
                <c:pt idx="47">
                  <c:v>74</c:v>
                </c:pt>
                <c:pt idx="48">
                  <c:v>91</c:v>
                </c:pt>
                <c:pt idx="49">
                  <c:v>98</c:v>
                </c:pt>
                <c:pt idx="50">
                  <c:v>150</c:v>
                </c:pt>
                <c:pt idx="51">
                  <c:v>231</c:v>
                </c:pt>
                <c:pt idx="52">
                  <c:v>471</c:v>
                </c:pt>
                <c:pt idx="53">
                  <c:v>203</c:v>
                </c:pt>
                <c:pt idx="54">
                  <c:v>110</c:v>
                </c:pt>
                <c:pt idx="55">
                  <c:v>140</c:v>
                </c:pt>
                <c:pt idx="56">
                  <c:v>118</c:v>
                </c:pt>
                <c:pt idx="57">
                  <c:v>136</c:v>
                </c:pt>
                <c:pt idx="58">
                  <c:v>135</c:v>
                </c:pt>
                <c:pt idx="59">
                  <c:v>300</c:v>
                </c:pt>
                <c:pt idx="60">
                  <c:v>163</c:v>
                </c:pt>
                <c:pt idx="61">
                  <c:v>516</c:v>
                </c:pt>
                <c:pt idx="62">
                  <c:v>336</c:v>
                </c:pt>
                <c:pt idx="63">
                  <c:v>253</c:v>
                </c:pt>
                <c:pt idx="64">
                  <c:v>254</c:v>
                </c:pt>
                <c:pt idx="65">
                  <c:v>211</c:v>
                </c:pt>
                <c:pt idx="66">
                  <c:v>252</c:v>
                </c:pt>
                <c:pt idx="67">
                  <c:v>506</c:v>
                </c:pt>
                <c:pt idx="68">
                  <c:v>525</c:v>
                </c:pt>
                <c:pt idx="69">
                  <c:v>605</c:v>
                </c:pt>
                <c:pt idx="70">
                  <c:v>132</c:v>
                </c:pt>
                <c:pt idx="71">
                  <c:v>64</c:v>
                </c:pt>
                <c:pt idx="72">
                  <c:v>117</c:v>
                </c:pt>
                <c:pt idx="73">
                  <c:v>300</c:v>
                </c:pt>
                <c:pt idx="74">
                  <c:v>152</c:v>
                </c:pt>
                <c:pt idx="75">
                  <c:v>76</c:v>
                </c:pt>
                <c:pt idx="76">
                  <c:v>242</c:v>
                </c:pt>
                <c:pt idx="77">
                  <c:v>138</c:v>
                </c:pt>
                <c:pt idx="78">
                  <c:v>123</c:v>
                </c:pt>
                <c:pt idx="79">
                  <c:v>195</c:v>
                </c:pt>
                <c:pt idx="80">
                  <c:v>120</c:v>
                </c:pt>
                <c:pt idx="81">
                  <c:v>112</c:v>
                </c:pt>
                <c:pt idx="82">
                  <c:v>178</c:v>
                </c:pt>
                <c:pt idx="83">
                  <c:v>122</c:v>
                </c:pt>
                <c:pt idx="84">
                  <c:v>741</c:v>
                </c:pt>
                <c:pt idx="85">
                  <c:v>427</c:v>
                </c:pt>
                <c:pt idx="86">
                  <c:v>276</c:v>
                </c:pt>
                <c:pt idx="87">
                  <c:v>222</c:v>
                </c:pt>
                <c:pt idx="88">
                  <c:v>314</c:v>
                </c:pt>
                <c:pt idx="89">
                  <c:v>239</c:v>
                </c:pt>
              </c:numCache>
            </c:numRef>
          </c:yVal>
          <c:smooth val="1"/>
        </c:ser>
        <c:ser>
          <c:idx val="1"/>
          <c:order val="1"/>
          <c:tx>
            <c:strRef>
              <c:f>设计进水SS含量标准</c:f>
              <c:strCache>
                <c:ptCount val="1"/>
                <c:pt idx="0">
                  <c:v>设计进水SS含量标准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绘图数据!$T$3:$T$92</c:f>
              <c:numCache>
                <c:formatCode>General</c:formatCode>
                <c:ptCount val="90"/>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pt idx="20">
                  <c:v>200</c:v>
                </c:pt>
                <c:pt idx="21">
                  <c:v>200</c:v>
                </c:pt>
                <c:pt idx="22">
                  <c:v>200</c:v>
                </c:pt>
                <c:pt idx="23">
                  <c:v>200</c:v>
                </c:pt>
                <c:pt idx="24">
                  <c:v>200</c:v>
                </c:pt>
                <c:pt idx="25">
                  <c:v>200</c:v>
                </c:pt>
                <c:pt idx="26">
                  <c:v>200</c:v>
                </c:pt>
                <c:pt idx="27">
                  <c:v>200</c:v>
                </c:pt>
                <c:pt idx="28">
                  <c:v>200</c:v>
                </c:pt>
                <c:pt idx="29">
                  <c:v>200</c:v>
                </c:pt>
                <c:pt idx="30">
                  <c:v>200</c:v>
                </c:pt>
                <c:pt idx="31">
                  <c:v>200</c:v>
                </c:pt>
                <c:pt idx="32">
                  <c:v>200</c:v>
                </c:pt>
                <c:pt idx="33">
                  <c:v>200</c:v>
                </c:pt>
                <c:pt idx="34">
                  <c:v>200</c:v>
                </c:pt>
                <c:pt idx="35">
                  <c:v>200</c:v>
                </c:pt>
                <c:pt idx="36">
                  <c:v>200</c:v>
                </c:pt>
                <c:pt idx="37">
                  <c:v>200</c:v>
                </c:pt>
                <c:pt idx="38">
                  <c:v>200</c:v>
                </c:pt>
                <c:pt idx="39">
                  <c:v>200</c:v>
                </c:pt>
                <c:pt idx="40">
                  <c:v>200</c:v>
                </c:pt>
                <c:pt idx="41">
                  <c:v>200</c:v>
                </c:pt>
                <c:pt idx="42">
                  <c:v>200</c:v>
                </c:pt>
                <c:pt idx="43">
                  <c:v>200</c:v>
                </c:pt>
                <c:pt idx="44">
                  <c:v>200</c:v>
                </c:pt>
                <c:pt idx="45">
                  <c:v>200</c:v>
                </c:pt>
                <c:pt idx="46">
                  <c:v>200</c:v>
                </c:pt>
                <c:pt idx="47">
                  <c:v>200</c:v>
                </c:pt>
                <c:pt idx="48">
                  <c:v>200</c:v>
                </c:pt>
                <c:pt idx="49">
                  <c:v>200</c:v>
                </c:pt>
                <c:pt idx="50">
                  <c:v>200</c:v>
                </c:pt>
                <c:pt idx="51">
                  <c:v>200</c:v>
                </c:pt>
                <c:pt idx="52">
                  <c:v>200</c:v>
                </c:pt>
                <c:pt idx="53">
                  <c:v>200</c:v>
                </c:pt>
                <c:pt idx="54">
                  <c:v>200</c:v>
                </c:pt>
                <c:pt idx="55">
                  <c:v>200</c:v>
                </c:pt>
                <c:pt idx="56">
                  <c:v>200</c:v>
                </c:pt>
                <c:pt idx="57">
                  <c:v>200</c:v>
                </c:pt>
                <c:pt idx="58">
                  <c:v>200</c:v>
                </c:pt>
                <c:pt idx="59">
                  <c:v>200</c:v>
                </c:pt>
                <c:pt idx="60">
                  <c:v>200</c:v>
                </c:pt>
                <c:pt idx="61">
                  <c:v>200</c:v>
                </c:pt>
                <c:pt idx="62">
                  <c:v>200</c:v>
                </c:pt>
                <c:pt idx="63">
                  <c:v>200</c:v>
                </c:pt>
                <c:pt idx="64">
                  <c:v>200</c:v>
                </c:pt>
                <c:pt idx="65">
                  <c:v>200</c:v>
                </c:pt>
                <c:pt idx="66">
                  <c:v>200</c:v>
                </c:pt>
                <c:pt idx="67">
                  <c:v>200</c:v>
                </c:pt>
                <c:pt idx="68">
                  <c:v>200</c:v>
                </c:pt>
                <c:pt idx="69">
                  <c:v>200</c:v>
                </c:pt>
                <c:pt idx="70">
                  <c:v>200</c:v>
                </c:pt>
                <c:pt idx="71">
                  <c:v>200</c:v>
                </c:pt>
                <c:pt idx="72">
                  <c:v>200</c:v>
                </c:pt>
                <c:pt idx="73">
                  <c:v>200</c:v>
                </c:pt>
                <c:pt idx="74">
                  <c:v>200</c:v>
                </c:pt>
                <c:pt idx="75">
                  <c:v>200</c:v>
                </c:pt>
                <c:pt idx="76">
                  <c:v>200</c:v>
                </c:pt>
                <c:pt idx="77">
                  <c:v>200</c:v>
                </c:pt>
                <c:pt idx="78">
                  <c:v>200</c:v>
                </c:pt>
                <c:pt idx="79">
                  <c:v>200</c:v>
                </c:pt>
                <c:pt idx="80">
                  <c:v>200</c:v>
                </c:pt>
                <c:pt idx="81">
                  <c:v>200</c:v>
                </c:pt>
                <c:pt idx="82">
                  <c:v>200</c:v>
                </c:pt>
                <c:pt idx="83">
                  <c:v>200</c:v>
                </c:pt>
                <c:pt idx="84">
                  <c:v>200</c:v>
                </c:pt>
                <c:pt idx="85">
                  <c:v>200</c:v>
                </c:pt>
                <c:pt idx="86">
                  <c:v>200</c:v>
                </c:pt>
                <c:pt idx="87">
                  <c:v>200</c:v>
                </c:pt>
                <c:pt idx="88">
                  <c:v>200</c:v>
                </c:pt>
                <c:pt idx="89">
                  <c:v>200</c:v>
                </c:pt>
              </c:numCache>
            </c:numRef>
          </c:yVal>
          <c:smooth val="1"/>
        </c:ser>
        <c:dLbls>
          <c:showLegendKey val="0"/>
          <c:showVal val="0"/>
          <c:showCatName val="0"/>
          <c:showSerName val="0"/>
          <c:showPercent val="0"/>
          <c:showBubbleSize val="0"/>
        </c:dLbls>
        <c:axId val="145810944"/>
        <c:axId val="145812480"/>
      </c:scatterChart>
      <c:valAx>
        <c:axId val="145810944"/>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812480"/>
        <c:crosses val="autoZero"/>
        <c:crossBetween val="midCat"/>
        <c:majorUnit val="11"/>
      </c:valAx>
      <c:valAx>
        <c:axId val="145812480"/>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SS(mg/L)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810944"/>
        <c:crossesAt val="43460"/>
        <c:crossBetween val="midCat"/>
      </c:valAx>
      <c:spPr>
        <a:noFill/>
        <a:ln w="25400">
          <a:noFill/>
        </a:ln>
      </c:spPr>
    </c:plotArea>
    <c:legend>
      <c:legendPos val="r"/>
      <c:layout>
        <c:manualLayout>
          <c:xMode val="edge"/>
          <c:yMode val="edge"/>
          <c:x val="0.517217491881311"/>
          <c:y val="0.139905571293673"/>
          <c:w val="0.27657636015837"/>
          <c:h val="0.0900472143531633"/>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月实际进水</a:t>
            </a:r>
            <a:r>
              <a:rPr lang="en-US" altLang="zh-CN" sz="1200">
                <a:latin typeface="Times New Roman" panose="02020603050405020304" charset="0"/>
                <a:ea typeface="宋体" panose="02010600030101010101" charset="-122"/>
                <a:cs typeface="Times New Roman" panose="02020603050405020304" charset="0"/>
              </a:rPr>
              <a:t> </a:t>
            </a:r>
            <a:r>
              <a:rPr lang="zh-CN" altLang="en-US" sz="1200">
                <a:latin typeface="Times New Roman" panose="02020603050405020304" charset="0"/>
                <a:ea typeface="宋体" panose="02010600030101010101" charset="-122"/>
                <a:cs typeface="Times New Roman" panose="02020603050405020304" charset="0"/>
              </a:rPr>
              <a:t>氨氮含量变化图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184395391254059"/>
          <c:y val="0.0642115203021719"/>
        </c:manualLayout>
      </c:layout>
      <c:overlay val="0"/>
    </c:title>
    <c:autoTitleDeleted val="0"/>
    <c:plotArea>
      <c:layout>
        <c:manualLayout>
          <c:layoutTarget val="inner"/>
          <c:xMode val="edge"/>
          <c:yMode val="edge"/>
          <c:x val="0.116637139107612"/>
          <c:y val="0.165312773403325"/>
          <c:w val="0.812107611548558"/>
          <c:h val="0.678086176727908"/>
        </c:manualLayout>
      </c:layout>
      <c:scatterChart>
        <c:scatterStyle val="smoothMarker"/>
        <c:varyColors val="0"/>
        <c:ser>
          <c:idx val="0"/>
          <c:order val="0"/>
          <c:tx>
            <c:strRef>
              <c:f>实际进水氨氮含量</c:f>
              <c:strCache>
                <c:ptCount val="1"/>
                <c:pt idx="0">
                  <c:v>实际进水氨氮含量</c:v>
                </c:pt>
              </c:strCache>
            </c:strRef>
          </c:tx>
          <c:spPr>
            <a:ln w="15875" cap="rnd" cmpd="sng" algn="ctr">
              <a:solidFill>
                <a:schemeClr val="accent1">
                  <a:shade val="95000"/>
                  <a:satMod val="105000"/>
                </a:schemeClr>
              </a:solidFill>
              <a:prstDash val="solid"/>
              <a:round/>
            </a:ln>
          </c:spPr>
          <c:marker>
            <c:symbol val="none"/>
          </c:marker>
          <c:dPt>
            <c:idx val="25"/>
            <c:marker>
              <c:symbol val="triangle"/>
              <c:size val="6"/>
              <c:spPr>
                <a:solidFill>
                  <a:srgbClr val="FF0000"/>
                </a:solidFill>
                <a:ln w="9525" cap="flat" cmpd="sng" algn="ctr">
                  <a:solidFill>
                    <a:srgbClr val="FF0000"/>
                  </a:solidFill>
                  <a:prstDash val="solid"/>
                  <a:round/>
                </a:ln>
              </c:spPr>
            </c:marker>
            <c:bubble3D val="0"/>
          </c:dPt>
          <c:dPt>
            <c:idx val="89"/>
            <c:marker>
              <c:symbol val="triangle"/>
              <c:size val="5"/>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layout>
                <c:manualLayout>
                  <c:x val="-0.0406781440455536"/>
                  <c:y val="-0.0453257790368272"/>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1</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26</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56.96mg/L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layout>
                <c:manualLayout>
                  <c:x val="-0.0861981353267858"/>
                  <c:y val="0.0409013641790713"/>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3</a:t>
                    </a:r>
                    <a:r>
                      <a:rPr lang="zh-CN" altLang="en-US" sz="800">
                        <a:latin typeface="Times New Roman" panose="02020603050405020304" charset="0"/>
                        <a:cs typeface="Times New Roman" panose="02020603050405020304" charset="0"/>
                      </a:rPr>
                      <a:t>月</a:t>
                    </a:r>
                    <a:r>
                      <a:rPr lang="en-US" altLang="zh-CN" sz="800">
                        <a:latin typeface="Times New Roman" panose="02020603050405020304" charset="0"/>
                        <a:cs typeface="Times New Roman" panose="02020603050405020304" charset="0"/>
                      </a:rPr>
                      <a:t>31</a:t>
                    </a:r>
                    <a:r>
                      <a:rPr lang="zh-CN" altLang="en-US" sz="800">
                        <a:latin typeface="Times New Roman" panose="02020603050405020304" charset="0"/>
                        <a:cs typeface="Times New Roman" panose="02020603050405020304" charset="0"/>
                      </a:rPr>
                      <a:t>日</a:t>
                    </a:r>
                    <a:endParaRPr lang="zh-CN" altLang="en-US" sz="800">
                      <a:latin typeface="Times New Roman" panose="02020603050405020304" charset="0"/>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17.26mg/L</a:t>
                    </a:r>
                    <a:endParaRPr lang="en-US" altLang="zh-CN" sz="800">
                      <a:latin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绘图数据!$H$3:$H$92</c:f>
              <c:numCache>
                <c:formatCode>General</c:formatCode>
                <c:ptCount val="90"/>
                <c:pt idx="0">
                  <c:v>26.5135135135135</c:v>
                </c:pt>
                <c:pt idx="1">
                  <c:v>27.1621621621622</c:v>
                </c:pt>
                <c:pt idx="2">
                  <c:v>28.7297297297297</c:v>
                </c:pt>
                <c:pt idx="3">
                  <c:v>28.8918918918919</c:v>
                </c:pt>
                <c:pt idx="4">
                  <c:v>30.0810810810811</c:v>
                </c:pt>
                <c:pt idx="5">
                  <c:v>28.4054054054054</c:v>
                </c:pt>
                <c:pt idx="6">
                  <c:v>30.4054054054054</c:v>
                </c:pt>
                <c:pt idx="7">
                  <c:v>30.1891891891892</c:v>
                </c:pt>
                <c:pt idx="8">
                  <c:v>34.5135135135135</c:v>
                </c:pt>
                <c:pt idx="9">
                  <c:v>27.1081081081081</c:v>
                </c:pt>
                <c:pt idx="10">
                  <c:v>29.1081081081081</c:v>
                </c:pt>
                <c:pt idx="11">
                  <c:v>28.5675675675676</c:v>
                </c:pt>
                <c:pt idx="12">
                  <c:v>29.2702702702703</c:v>
                </c:pt>
                <c:pt idx="13">
                  <c:v>26.8378378378378</c:v>
                </c:pt>
                <c:pt idx="14">
                  <c:v>27.8108108108108</c:v>
                </c:pt>
                <c:pt idx="15">
                  <c:v>26.7297297297297</c:v>
                </c:pt>
                <c:pt idx="16">
                  <c:v>27.1621621621622</c:v>
                </c:pt>
                <c:pt idx="17">
                  <c:v>28.0405405405405</c:v>
                </c:pt>
                <c:pt idx="18">
                  <c:v>29.1216216216216</c:v>
                </c:pt>
                <c:pt idx="19">
                  <c:v>35.2027027027027</c:v>
                </c:pt>
                <c:pt idx="20">
                  <c:v>32.0945945945946</c:v>
                </c:pt>
                <c:pt idx="21">
                  <c:v>28.1756756756757</c:v>
                </c:pt>
                <c:pt idx="22">
                  <c:v>35.0675675675676</c:v>
                </c:pt>
                <c:pt idx="23">
                  <c:v>37.5</c:v>
                </c:pt>
                <c:pt idx="24">
                  <c:v>29.7972972972973</c:v>
                </c:pt>
                <c:pt idx="25">
                  <c:v>56.9594594594595</c:v>
                </c:pt>
                <c:pt idx="26">
                  <c:v>56.4189189189189</c:v>
                </c:pt>
                <c:pt idx="27">
                  <c:v>38.9864864864865</c:v>
                </c:pt>
                <c:pt idx="28">
                  <c:v>37.7702702702703</c:v>
                </c:pt>
                <c:pt idx="29">
                  <c:v>42.6351351351351</c:v>
                </c:pt>
                <c:pt idx="30">
                  <c:v>37.5945945945946</c:v>
                </c:pt>
                <c:pt idx="31">
                  <c:v>53.4871794871795</c:v>
                </c:pt>
                <c:pt idx="32">
                  <c:v>44.7692307692308</c:v>
                </c:pt>
                <c:pt idx="33">
                  <c:v>39.5128205128205</c:v>
                </c:pt>
                <c:pt idx="34">
                  <c:v>31.8051282051282</c:v>
                </c:pt>
                <c:pt idx="35">
                  <c:v>27.3435897435897</c:v>
                </c:pt>
                <c:pt idx="36">
                  <c:v>27.8051282051282</c:v>
                </c:pt>
                <c:pt idx="37">
                  <c:v>36.8307692307692</c:v>
                </c:pt>
                <c:pt idx="38">
                  <c:v>45.9230769230769</c:v>
                </c:pt>
                <c:pt idx="39">
                  <c:v>40.1538461538462</c:v>
                </c:pt>
                <c:pt idx="40">
                  <c:v>51.8205128205128</c:v>
                </c:pt>
                <c:pt idx="41">
                  <c:v>44.3846153846154</c:v>
                </c:pt>
                <c:pt idx="42">
                  <c:v>45.025641025641</c:v>
                </c:pt>
                <c:pt idx="43">
                  <c:v>42.974358974359</c:v>
                </c:pt>
                <c:pt idx="44">
                  <c:v>35.7538461538462</c:v>
                </c:pt>
                <c:pt idx="45">
                  <c:v>35.4461538461538</c:v>
                </c:pt>
                <c:pt idx="46">
                  <c:v>31.8051282051282</c:v>
                </c:pt>
                <c:pt idx="47">
                  <c:v>37.4974358974359</c:v>
                </c:pt>
                <c:pt idx="48">
                  <c:v>30.8820512820513</c:v>
                </c:pt>
                <c:pt idx="49">
                  <c:v>27.0358974358974</c:v>
                </c:pt>
                <c:pt idx="50">
                  <c:v>28.0615384615385</c:v>
                </c:pt>
                <c:pt idx="51">
                  <c:v>27.9589743589744</c:v>
                </c:pt>
                <c:pt idx="52">
                  <c:v>25.0871794871795</c:v>
                </c:pt>
                <c:pt idx="53">
                  <c:v>27.6</c:v>
                </c:pt>
                <c:pt idx="54">
                  <c:v>25.3435897435897</c:v>
                </c:pt>
                <c:pt idx="55">
                  <c:v>26.625641025641</c:v>
                </c:pt>
                <c:pt idx="56">
                  <c:v>26.625641025641</c:v>
                </c:pt>
                <c:pt idx="57">
                  <c:v>32.7794871794872</c:v>
                </c:pt>
                <c:pt idx="58">
                  <c:v>29.7833333333333</c:v>
                </c:pt>
                <c:pt idx="59">
                  <c:v>28.5055555555556</c:v>
                </c:pt>
                <c:pt idx="60">
                  <c:v>31.1722222222222</c:v>
                </c:pt>
                <c:pt idx="61">
                  <c:v>29.5611111111111</c:v>
                </c:pt>
                <c:pt idx="62">
                  <c:v>28.5055555555556</c:v>
                </c:pt>
                <c:pt idx="63">
                  <c:v>27.0055555555556</c:v>
                </c:pt>
                <c:pt idx="64">
                  <c:v>28.7833333333333</c:v>
                </c:pt>
                <c:pt idx="65">
                  <c:v>29.0055555555556</c:v>
                </c:pt>
                <c:pt idx="66">
                  <c:v>30.4</c:v>
                </c:pt>
                <c:pt idx="67">
                  <c:v>28.0611111111111</c:v>
                </c:pt>
                <c:pt idx="68">
                  <c:v>28.7833333333333</c:v>
                </c:pt>
                <c:pt idx="69">
                  <c:v>21.7833333333333</c:v>
                </c:pt>
                <c:pt idx="70">
                  <c:v>24.3944444444444</c:v>
                </c:pt>
                <c:pt idx="71">
                  <c:v>21.6722222222222</c:v>
                </c:pt>
                <c:pt idx="72">
                  <c:v>20.95</c:v>
                </c:pt>
                <c:pt idx="73">
                  <c:v>19.4</c:v>
                </c:pt>
                <c:pt idx="74">
                  <c:v>21.7833333333333</c:v>
                </c:pt>
                <c:pt idx="75">
                  <c:v>24.7277777777778</c:v>
                </c:pt>
                <c:pt idx="76">
                  <c:v>26.3388888888889</c:v>
                </c:pt>
                <c:pt idx="77">
                  <c:v>24.7833333333333</c:v>
                </c:pt>
                <c:pt idx="78">
                  <c:v>23.5611111111111</c:v>
                </c:pt>
                <c:pt idx="79">
                  <c:v>25.2833333333333</c:v>
                </c:pt>
                <c:pt idx="80">
                  <c:v>23.95</c:v>
                </c:pt>
                <c:pt idx="81">
                  <c:v>24.4</c:v>
                </c:pt>
                <c:pt idx="82">
                  <c:v>22.8944444444444</c:v>
                </c:pt>
                <c:pt idx="83">
                  <c:v>23.6166666666667</c:v>
                </c:pt>
                <c:pt idx="84">
                  <c:v>22.7277777777778</c:v>
                </c:pt>
                <c:pt idx="85">
                  <c:v>22.8388888888889</c:v>
                </c:pt>
                <c:pt idx="86">
                  <c:v>23.3944444444444</c:v>
                </c:pt>
                <c:pt idx="87">
                  <c:v>24.7055555555556</c:v>
                </c:pt>
                <c:pt idx="88">
                  <c:v>27.6</c:v>
                </c:pt>
                <c:pt idx="89">
                  <c:v>17.2611111111111</c:v>
                </c:pt>
              </c:numCache>
            </c:numRef>
          </c:yVal>
          <c:smooth val="1"/>
        </c:ser>
        <c:ser>
          <c:idx val="1"/>
          <c:order val="1"/>
          <c:tx>
            <c:strRef>
              <c:f>设计进水氨氮含量标准</c:f>
              <c:strCache>
                <c:ptCount val="1"/>
                <c:pt idx="0">
                  <c:v>设计进水氨氮含量标准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绘图数据!$V$3:$V$92</c:f>
              <c:numCache>
                <c:formatCode>General</c:formatCode>
                <c:ptCount val="90"/>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pt idx="84">
                  <c:v>25</c:v>
                </c:pt>
                <c:pt idx="85">
                  <c:v>25</c:v>
                </c:pt>
                <c:pt idx="86">
                  <c:v>25</c:v>
                </c:pt>
                <c:pt idx="87">
                  <c:v>25</c:v>
                </c:pt>
                <c:pt idx="88">
                  <c:v>25</c:v>
                </c:pt>
                <c:pt idx="89">
                  <c:v>25</c:v>
                </c:pt>
              </c:numCache>
            </c:numRef>
          </c:yVal>
          <c:smooth val="1"/>
        </c:ser>
        <c:dLbls>
          <c:showLegendKey val="0"/>
          <c:showVal val="0"/>
          <c:showCatName val="0"/>
          <c:showSerName val="0"/>
          <c:showPercent val="0"/>
          <c:showBubbleSize val="0"/>
        </c:dLbls>
        <c:axId val="145923072"/>
        <c:axId val="145937152"/>
      </c:scatterChart>
      <c:valAx>
        <c:axId val="145923072"/>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937152"/>
        <c:crosses val="autoZero"/>
        <c:crossBetween val="midCat"/>
        <c:majorUnit val="11"/>
      </c:valAx>
      <c:valAx>
        <c:axId val="145937152"/>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zh-CN" altLang="en-US">
                    <a:latin typeface="Times New Roman" panose="02020603050405020304" charset="0"/>
                    <a:cs typeface="Times New Roman" panose="02020603050405020304" charset="0"/>
                  </a:rPr>
                  <a:t>氨氮</a:t>
                </a:r>
                <a:r>
                  <a:rPr lang="en-US" altLang="zh-CN">
                    <a:latin typeface="Times New Roman" panose="02020603050405020304" charset="0"/>
                    <a:cs typeface="Times New Roman" panose="02020603050405020304" charset="0"/>
                  </a:rPr>
                  <a:t>(mg/L)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923072"/>
        <c:crossesAt val="43460"/>
        <c:crossBetween val="midCat"/>
      </c:valAx>
      <c:spPr>
        <a:noFill/>
        <a:ln w="25400">
          <a:noFill/>
        </a:ln>
      </c:spPr>
    </c:plotArea>
    <c:legend>
      <c:legendPos val="r"/>
      <c:layout>
        <c:manualLayout>
          <c:xMode val="edge"/>
          <c:yMode val="edge"/>
          <c:x val="0.553375683971707"/>
          <c:y val="0.15123701605288"/>
          <c:w val="0.317254326260065"/>
          <c:h val="0.0938243626062325"/>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月实际进水</a:t>
            </a:r>
            <a:r>
              <a:rPr lang="en-US" altLang="zh-CN" sz="1200">
                <a:latin typeface="Times New Roman" panose="02020603050405020304" charset="0"/>
                <a:ea typeface="宋体" panose="02010600030101010101" charset="-122"/>
                <a:cs typeface="Times New Roman" panose="02020603050405020304" charset="0"/>
              </a:rPr>
              <a:t> TN</a:t>
            </a:r>
            <a:r>
              <a:rPr lang="zh-CN" altLang="en-US" sz="1200">
                <a:latin typeface="Times New Roman" panose="02020603050405020304" charset="0"/>
                <a:ea typeface="宋体" panose="02010600030101010101" charset="-122"/>
                <a:cs typeface="Times New Roman" panose="02020603050405020304" charset="0"/>
              </a:rPr>
              <a:t>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204734374304907"/>
          <c:y val="0.0491029272898962"/>
        </c:manualLayout>
      </c:layout>
      <c:overlay val="0"/>
    </c:title>
    <c:autoTitleDeleted val="0"/>
    <c:plotArea>
      <c:layout>
        <c:manualLayout>
          <c:layoutTarget val="inner"/>
          <c:xMode val="edge"/>
          <c:yMode val="edge"/>
          <c:x val="0.112109763868651"/>
          <c:y val="0.19974616376203"/>
          <c:w val="0.812107611548558"/>
          <c:h val="0.678086176727908"/>
        </c:manualLayout>
      </c:layout>
      <c:scatterChart>
        <c:scatterStyle val="smoothMarker"/>
        <c:varyColors val="0"/>
        <c:ser>
          <c:idx val="0"/>
          <c:order val="0"/>
          <c:tx>
            <c:strRef>
              <c:f>实际进水TN含量</c:f>
              <c:strCache>
                <c:ptCount val="1"/>
                <c:pt idx="0">
                  <c:v>实际进水TN含量</c:v>
                </c:pt>
              </c:strCache>
            </c:strRef>
          </c:tx>
          <c:spPr>
            <a:ln w="15875" cap="rnd" cmpd="sng" algn="ctr">
              <a:solidFill>
                <a:schemeClr val="accent1">
                  <a:shade val="95000"/>
                  <a:satMod val="105000"/>
                </a:schemeClr>
              </a:solidFill>
              <a:prstDash val="solid"/>
              <a:round/>
            </a:ln>
          </c:spPr>
          <c:marker>
            <c:symbol val="none"/>
          </c:marker>
          <c:dPt>
            <c:idx val="27"/>
            <c:marker>
              <c:symbol val="triangle"/>
              <c:size val="6"/>
              <c:spPr>
                <a:solidFill>
                  <a:srgbClr val="FF0000"/>
                </a:solidFill>
                <a:ln w="9525" cap="flat" cmpd="sng" algn="ctr">
                  <a:solidFill>
                    <a:srgbClr val="FF0000"/>
                  </a:solidFill>
                  <a:prstDash val="solid"/>
                  <a:round/>
                </a:ln>
              </c:spPr>
            </c:marker>
            <c:bubble3D val="0"/>
          </c:dPt>
          <c:dPt>
            <c:idx val="71"/>
            <c:marker>
              <c:symbol val="triangle"/>
              <c:size val="5"/>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layout>
                <c:manualLayout>
                  <c:x val="-0.0610169491525424"/>
                  <c:y val="-0.0491029272898962"/>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1</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28</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68.69</a:t>
                    </a:r>
                    <a:r>
                      <a:rPr lang="en-US" altLang="en-US" sz="800">
                        <a:latin typeface="Times New Roman" panose="02020603050405020304" charset="0"/>
                        <a:ea typeface="宋体" panose="02010600030101010101" charset="-122"/>
                        <a:cs typeface="Times New Roman" panose="02020603050405020304" charset="0"/>
                      </a:rPr>
                      <a:t>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layout>
                <c:manualLayout>
                  <c:x val="0.0158460667798527"/>
                  <c:y val="0.061214720573779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3</a:t>
                    </a:r>
                    <a:r>
                      <a:rPr lang="zh-CN" altLang="en-US" sz="800">
                        <a:latin typeface="Times New Roman" panose="02020603050405020304" charset="0"/>
                        <a:cs typeface="Times New Roman" panose="02020603050405020304" charset="0"/>
                      </a:rPr>
                      <a:t>月</a:t>
                    </a:r>
                    <a:r>
                      <a:rPr lang="en-US" altLang="zh-CN" sz="800">
                        <a:latin typeface="Times New Roman" panose="02020603050405020304" charset="0"/>
                        <a:cs typeface="Times New Roman" panose="02020603050405020304" charset="0"/>
                      </a:rPr>
                      <a:t>13</a:t>
                    </a:r>
                    <a:r>
                      <a:rPr lang="zh-CN" altLang="en-US" sz="800">
                        <a:latin typeface="Times New Roman" panose="02020603050405020304" charset="0"/>
                        <a:cs typeface="Times New Roman" panose="02020603050405020304" charset="0"/>
                      </a:rPr>
                      <a:t>日</a:t>
                    </a:r>
                    <a:endParaRPr lang="zh-CN" altLang="en-US" sz="800">
                      <a:latin typeface="Times New Roman" panose="02020603050405020304" charset="0"/>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24.2mg/L</a:t>
                    </a:r>
                    <a:endParaRPr lang="en-US" altLang="zh-CN" sz="800">
                      <a:latin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绘图数据!$L$3:$L$92</c:f>
              <c:numCache>
                <c:formatCode>General</c:formatCode>
                <c:ptCount val="90"/>
                <c:pt idx="0">
                  <c:v>33.8211009174312</c:v>
                </c:pt>
                <c:pt idx="1">
                  <c:v>41.2981651376147</c:v>
                </c:pt>
                <c:pt idx="2">
                  <c:v>33.9128440366972</c:v>
                </c:pt>
                <c:pt idx="3">
                  <c:v>41.7568807339449</c:v>
                </c:pt>
                <c:pt idx="4">
                  <c:v>44.4</c:v>
                </c:pt>
                <c:pt idx="5">
                  <c:v>32</c:v>
                </c:pt>
                <c:pt idx="6">
                  <c:v>48.3623853211009</c:v>
                </c:pt>
                <c:pt idx="7">
                  <c:v>39.8302752293578</c:v>
                </c:pt>
                <c:pt idx="8">
                  <c:v>38.4082568807339</c:v>
                </c:pt>
                <c:pt idx="9">
                  <c:v>44.5091743119266</c:v>
                </c:pt>
                <c:pt idx="10">
                  <c:v>50.243119266055</c:v>
                </c:pt>
                <c:pt idx="11">
                  <c:v>48.2247706422018</c:v>
                </c:pt>
                <c:pt idx="12">
                  <c:v>49.8302752293578</c:v>
                </c:pt>
                <c:pt idx="13">
                  <c:v>46.4816513761468</c:v>
                </c:pt>
                <c:pt idx="14">
                  <c:v>55.3807339449541</c:v>
                </c:pt>
                <c:pt idx="15">
                  <c:v>41.1146788990826</c:v>
                </c:pt>
                <c:pt idx="16">
                  <c:v>44.0045871559633</c:v>
                </c:pt>
                <c:pt idx="17">
                  <c:v>36.894495412844</c:v>
                </c:pt>
                <c:pt idx="18">
                  <c:v>40.7935779816514</c:v>
                </c:pt>
                <c:pt idx="19">
                  <c:v>49.3256880733945</c:v>
                </c:pt>
                <c:pt idx="20">
                  <c:v>44.6467889908257</c:v>
                </c:pt>
                <c:pt idx="21">
                  <c:v>42.1697247706422</c:v>
                </c:pt>
                <c:pt idx="22">
                  <c:v>40.5229357798165</c:v>
                </c:pt>
                <c:pt idx="23">
                  <c:v>45.1100917431193</c:v>
                </c:pt>
                <c:pt idx="24">
                  <c:v>48.7339449541284</c:v>
                </c:pt>
                <c:pt idx="25">
                  <c:v>67.6</c:v>
                </c:pt>
                <c:pt idx="26">
                  <c:v>65.2660550458715</c:v>
                </c:pt>
                <c:pt idx="27">
                  <c:v>68.6880733944954</c:v>
                </c:pt>
                <c:pt idx="28">
                  <c:v>43.3669724770642</c:v>
                </c:pt>
                <c:pt idx="29">
                  <c:v>49.651376146789</c:v>
                </c:pt>
                <c:pt idx="30">
                  <c:v>47.2201834862385</c:v>
                </c:pt>
                <c:pt idx="31">
                  <c:v>62.0366972477064</c:v>
                </c:pt>
                <c:pt idx="32">
                  <c:v>49.7889908256881</c:v>
                </c:pt>
                <c:pt idx="33">
                  <c:v>48.5504587155963</c:v>
                </c:pt>
                <c:pt idx="34">
                  <c:v>49.1467889908257</c:v>
                </c:pt>
                <c:pt idx="35">
                  <c:v>49.4220183486239</c:v>
                </c:pt>
                <c:pt idx="36">
                  <c:v>47.3577981651376</c:v>
                </c:pt>
                <c:pt idx="37">
                  <c:v>54.4678899082569</c:v>
                </c:pt>
                <c:pt idx="38">
                  <c:v>52.2</c:v>
                </c:pt>
                <c:pt idx="39">
                  <c:v>44.8348623853211</c:v>
                </c:pt>
                <c:pt idx="40">
                  <c:v>55.2477064220183</c:v>
                </c:pt>
                <c:pt idx="41">
                  <c:v>56.2110091743119</c:v>
                </c:pt>
                <c:pt idx="42">
                  <c:v>55.5412844036697</c:v>
                </c:pt>
                <c:pt idx="43">
                  <c:v>46.4862385321101</c:v>
                </c:pt>
                <c:pt idx="44">
                  <c:v>46.2568807339449</c:v>
                </c:pt>
                <c:pt idx="45">
                  <c:v>39.3302752293578</c:v>
                </c:pt>
                <c:pt idx="46">
                  <c:v>37.4954128440367</c:v>
                </c:pt>
                <c:pt idx="47">
                  <c:v>47.3577981651376</c:v>
                </c:pt>
                <c:pt idx="48">
                  <c:v>41.6697247706422</c:v>
                </c:pt>
                <c:pt idx="49">
                  <c:v>34.8807339449541</c:v>
                </c:pt>
                <c:pt idx="50">
                  <c:v>39.9724770642202</c:v>
                </c:pt>
                <c:pt idx="51">
                  <c:v>40.1559633027523</c:v>
                </c:pt>
                <c:pt idx="52">
                  <c:v>41.0275229357798</c:v>
                </c:pt>
                <c:pt idx="53">
                  <c:v>30.7522935779816</c:v>
                </c:pt>
                <c:pt idx="54">
                  <c:v>43.2752293577982</c:v>
                </c:pt>
                <c:pt idx="55">
                  <c:v>36.8073394495413</c:v>
                </c:pt>
                <c:pt idx="56">
                  <c:v>42.8165137614679</c:v>
                </c:pt>
                <c:pt idx="57">
                  <c:v>44.3761467889908</c:v>
                </c:pt>
                <c:pt idx="58">
                  <c:v>32.9082568807339</c:v>
                </c:pt>
                <c:pt idx="59">
                  <c:v>34.1467889908257</c:v>
                </c:pt>
                <c:pt idx="60">
                  <c:v>35.4311926605505</c:v>
                </c:pt>
                <c:pt idx="61">
                  <c:v>33.2752293577982</c:v>
                </c:pt>
                <c:pt idx="62">
                  <c:v>39.0550458715596</c:v>
                </c:pt>
                <c:pt idx="63">
                  <c:v>30.7522935779817</c:v>
                </c:pt>
                <c:pt idx="64">
                  <c:v>30.4311926605505</c:v>
                </c:pt>
                <c:pt idx="65">
                  <c:v>31.4862385321101</c:v>
                </c:pt>
                <c:pt idx="66">
                  <c:v>33.3211009174312</c:v>
                </c:pt>
                <c:pt idx="67">
                  <c:v>33.9633027522936</c:v>
                </c:pt>
                <c:pt idx="68">
                  <c:v>42.3577981651376</c:v>
                </c:pt>
                <c:pt idx="69">
                  <c:v>40.3853211009174</c:v>
                </c:pt>
                <c:pt idx="70">
                  <c:v>28.3211009174312</c:v>
                </c:pt>
                <c:pt idx="71">
                  <c:v>24.1926605504587</c:v>
                </c:pt>
                <c:pt idx="72">
                  <c:v>26.5779816513761</c:v>
                </c:pt>
                <c:pt idx="73">
                  <c:v>32.6788990825688</c:v>
                </c:pt>
                <c:pt idx="74">
                  <c:v>25.7064220183486</c:v>
                </c:pt>
                <c:pt idx="75">
                  <c:v>26.5779816513761</c:v>
                </c:pt>
                <c:pt idx="76">
                  <c:v>37.7706422018349</c:v>
                </c:pt>
                <c:pt idx="77">
                  <c:v>26.9908256880734</c:v>
                </c:pt>
                <c:pt idx="78">
                  <c:v>28.5963302752294</c:v>
                </c:pt>
                <c:pt idx="79">
                  <c:v>32.2660550458716</c:v>
                </c:pt>
                <c:pt idx="80">
                  <c:v>27.4495412844037</c:v>
                </c:pt>
                <c:pt idx="81">
                  <c:v>32.4954128440367</c:v>
                </c:pt>
                <c:pt idx="82">
                  <c:v>35.7981651376147</c:v>
                </c:pt>
                <c:pt idx="83">
                  <c:v>28.9174311926606</c:v>
                </c:pt>
                <c:pt idx="84">
                  <c:v>45.7981651376147</c:v>
                </c:pt>
                <c:pt idx="85">
                  <c:v>48.4128440366972</c:v>
                </c:pt>
                <c:pt idx="86">
                  <c:v>35.4311926605505</c:v>
                </c:pt>
                <c:pt idx="87">
                  <c:v>37.8461538461538</c:v>
                </c:pt>
                <c:pt idx="88">
                  <c:v>42.9423076923077</c:v>
                </c:pt>
                <c:pt idx="89">
                  <c:v>30.9230769230769</c:v>
                </c:pt>
              </c:numCache>
            </c:numRef>
          </c:yVal>
          <c:smooth val="1"/>
        </c:ser>
        <c:ser>
          <c:idx val="1"/>
          <c:order val="1"/>
          <c:tx>
            <c:strRef>
              <c:f>设计进水TN含量标准</c:f>
              <c:strCache>
                <c:ptCount val="1"/>
                <c:pt idx="0">
                  <c:v>设计进水TN含量标准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绘图数据!$X$3:$X$92</c:f>
              <c:numCache>
                <c:formatCode>General</c:formatCode>
                <c:ptCount val="90"/>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pt idx="26">
                  <c:v>40</c:v>
                </c:pt>
                <c:pt idx="27">
                  <c:v>40</c:v>
                </c:pt>
                <c:pt idx="28">
                  <c:v>40</c:v>
                </c:pt>
                <c:pt idx="29">
                  <c:v>40</c:v>
                </c:pt>
                <c:pt idx="30">
                  <c:v>40</c:v>
                </c:pt>
                <c:pt idx="31">
                  <c:v>40</c:v>
                </c:pt>
                <c:pt idx="32">
                  <c:v>40</c:v>
                </c:pt>
                <c:pt idx="33">
                  <c:v>40</c:v>
                </c:pt>
                <c:pt idx="34">
                  <c:v>40</c:v>
                </c:pt>
                <c:pt idx="35">
                  <c:v>40</c:v>
                </c:pt>
                <c:pt idx="36">
                  <c:v>40</c:v>
                </c:pt>
                <c:pt idx="37">
                  <c:v>40</c:v>
                </c:pt>
                <c:pt idx="38">
                  <c:v>40</c:v>
                </c:pt>
                <c:pt idx="39">
                  <c:v>40</c:v>
                </c:pt>
                <c:pt idx="40">
                  <c:v>40</c:v>
                </c:pt>
                <c:pt idx="41">
                  <c:v>40</c:v>
                </c:pt>
                <c:pt idx="42">
                  <c:v>40</c:v>
                </c:pt>
                <c:pt idx="43">
                  <c:v>40</c:v>
                </c:pt>
                <c:pt idx="44">
                  <c:v>40</c:v>
                </c:pt>
                <c:pt idx="45">
                  <c:v>40</c:v>
                </c:pt>
                <c:pt idx="46">
                  <c:v>40</c:v>
                </c:pt>
                <c:pt idx="47">
                  <c:v>40</c:v>
                </c:pt>
                <c:pt idx="48">
                  <c:v>40</c:v>
                </c:pt>
                <c:pt idx="49">
                  <c:v>40</c:v>
                </c:pt>
                <c:pt idx="50">
                  <c:v>40</c:v>
                </c:pt>
                <c:pt idx="51">
                  <c:v>40</c:v>
                </c:pt>
                <c:pt idx="52">
                  <c:v>40</c:v>
                </c:pt>
                <c:pt idx="53">
                  <c:v>40</c:v>
                </c:pt>
                <c:pt idx="54">
                  <c:v>40</c:v>
                </c:pt>
                <c:pt idx="55">
                  <c:v>40</c:v>
                </c:pt>
                <c:pt idx="56">
                  <c:v>40</c:v>
                </c:pt>
                <c:pt idx="57">
                  <c:v>40</c:v>
                </c:pt>
                <c:pt idx="58">
                  <c:v>40</c:v>
                </c:pt>
                <c:pt idx="59">
                  <c:v>40</c:v>
                </c:pt>
                <c:pt idx="60">
                  <c:v>40</c:v>
                </c:pt>
                <c:pt idx="61">
                  <c:v>40</c:v>
                </c:pt>
                <c:pt idx="62">
                  <c:v>40</c:v>
                </c:pt>
                <c:pt idx="63">
                  <c:v>40</c:v>
                </c:pt>
                <c:pt idx="64">
                  <c:v>40</c:v>
                </c:pt>
                <c:pt idx="65">
                  <c:v>40</c:v>
                </c:pt>
                <c:pt idx="66">
                  <c:v>40</c:v>
                </c:pt>
                <c:pt idx="67">
                  <c:v>40</c:v>
                </c:pt>
                <c:pt idx="68">
                  <c:v>40</c:v>
                </c:pt>
                <c:pt idx="69">
                  <c:v>40</c:v>
                </c:pt>
                <c:pt idx="70">
                  <c:v>40</c:v>
                </c:pt>
                <c:pt idx="71">
                  <c:v>40</c:v>
                </c:pt>
                <c:pt idx="72">
                  <c:v>40</c:v>
                </c:pt>
                <c:pt idx="73">
                  <c:v>40</c:v>
                </c:pt>
                <c:pt idx="74">
                  <c:v>40</c:v>
                </c:pt>
                <c:pt idx="75">
                  <c:v>40</c:v>
                </c:pt>
                <c:pt idx="76">
                  <c:v>40</c:v>
                </c:pt>
                <c:pt idx="77">
                  <c:v>40</c:v>
                </c:pt>
                <c:pt idx="78">
                  <c:v>40</c:v>
                </c:pt>
                <c:pt idx="79">
                  <c:v>40</c:v>
                </c:pt>
                <c:pt idx="80">
                  <c:v>40</c:v>
                </c:pt>
                <c:pt idx="81">
                  <c:v>40</c:v>
                </c:pt>
                <c:pt idx="82">
                  <c:v>40</c:v>
                </c:pt>
                <c:pt idx="83">
                  <c:v>40</c:v>
                </c:pt>
                <c:pt idx="84">
                  <c:v>40</c:v>
                </c:pt>
                <c:pt idx="85">
                  <c:v>40</c:v>
                </c:pt>
                <c:pt idx="86">
                  <c:v>40</c:v>
                </c:pt>
                <c:pt idx="87">
                  <c:v>40</c:v>
                </c:pt>
                <c:pt idx="88">
                  <c:v>40</c:v>
                </c:pt>
                <c:pt idx="89">
                  <c:v>40</c:v>
                </c:pt>
              </c:numCache>
            </c:numRef>
          </c:yVal>
          <c:smooth val="1"/>
        </c:ser>
        <c:dLbls>
          <c:showLegendKey val="0"/>
          <c:showVal val="0"/>
          <c:showCatName val="0"/>
          <c:showSerName val="0"/>
          <c:showPercent val="0"/>
          <c:showBubbleSize val="0"/>
        </c:dLbls>
        <c:axId val="146148352"/>
        <c:axId val="146174720"/>
      </c:scatterChart>
      <c:valAx>
        <c:axId val="146148352"/>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174720"/>
        <c:crosses val="autoZero"/>
        <c:crossBetween val="midCat"/>
        <c:majorUnit val="11"/>
      </c:valAx>
      <c:valAx>
        <c:axId val="146174720"/>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TN(mg/L)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148352"/>
        <c:crossesAt val="43460"/>
        <c:crossBetween val="midCat"/>
      </c:valAx>
      <c:spPr>
        <a:noFill/>
        <a:ln w="25400">
          <a:noFill/>
        </a:ln>
      </c:spPr>
    </c:plotArea>
    <c:legend>
      <c:legendPos val="r"/>
      <c:layout>
        <c:manualLayout>
          <c:xMode val="edge"/>
          <c:yMode val="edge"/>
          <c:x val="0.591793763067752"/>
          <c:y val="0.128574126534466"/>
          <c:w val="0.317254326260065"/>
          <c:h val="0.0938243626062328"/>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月实际进水</a:t>
            </a:r>
            <a:r>
              <a:rPr lang="en-US" altLang="zh-CN" sz="1200">
                <a:latin typeface="Times New Roman" panose="02020603050405020304" charset="0"/>
                <a:ea typeface="宋体" panose="02010600030101010101" charset="-122"/>
                <a:cs typeface="Times New Roman" panose="02020603050405020304" charset="0"/>
              </a:rPr>
              <a:t> TP</a:t>
            </a:r>
            <a:r>
              <a:rPr lang="zh-CN" altLang="en-US" sz="1200">
                <a:latin typeface="Times New Roman" panose="02020603050405020304" charset="0"/>
                <a:ea typeface="宋体" panose="02010600030101010101" charset="-122"/>
                <a:cs typeface="Times New Roman" panose="02020603050405020304" charset="0"/>
              </a:rPr>
              <a:t>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202474487299257"/>
          <c:y val="0.0528800755429651"/>
        </c:manualLayout>
      </c:layout>
      <c:overlay val="0"/>
    </c:title>
    <c:autoTitleDeleted val="0"/>
    <c:plotArea>
      <c:layout>
        <c:manualLayout>
          <c:layoutTarget val="inner"/>
          <c:xMode val="edge"/>
          <c:yMode val="edge"/>
          <c:x val="0.116637139107612"/>
          <c:y val="0.165312773403325"/>
          <c:w val="0.812107611548558"/>
          <c:h val="0.678086176727908"/>
        </c:manualLayout>
      </c:layout>
      <c:scatterChart>
        <c:scatterStyle val="smoothMarker"/>
        <c:varyColors val="0"/>
        <c:ser>
          <c:idx val="0"/>
          <c:order val="0"/>
          <c:tx>
            <c:strRef>
              <c:f>实际进水TP含量</c:f>
              <c:strCache>
                <c:ptCount val="1"/>
                <c:pt idx="0">
                  <c:v>实际进水TP含量</c:v>
                </c:pt>
              </c:strCache>
            </c:strRef>
          </c:tx>
          <c:spPr>
            <a:ln w="15875" cap="rnd" cmpd="sng" algn="ctr">
              <a:solidFill>
                <a:schemeClr val="accent1">
                  <a:shade val="95000"/>
                  <a:satMod val="105000"/>
                </a:schemeClr>
              </a:solidFill>
              <a:prstDash val="solid"/>
              <a:round/>
            </a:ln>
          </c:spPr>
          <c:marker>
            <c:symbol val="none"/>
          </c:marker>
          <c:dPt>
            <c:idx val="27"/>
            <c:marker>
              <c:symbol val="triangle"/>
              <c:size val="6"/>
              <c:spPr>
                <a:solidFill>
                  <a:srgbClr val="FF0000"/>
                </a:solidFill>
                <a:ln w="9525" cap="flat" cmpd="sng" algn="ctr">
                  <a:solidFill>
                    <a:srgbClr val="FF0000"/>
                  </a:solidFill>
                  <a:prstDash val="solid"/>
                  <a:round/>
                </a:ln>
              </c:spPr>
            </c:marker>
            <c:bubble3D val="0"/>
          </c:dPt>
          <c:dPt>
            <c:idx val="58"/>
            <c:marker>
              <c:symbol val="triangle"/>
              <c:size val="5"/>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layout>
                <c:manualLayout>
                  <c:x val="-0.0474576271186441"/>
                  <c:y val="-0.052880075542965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1</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28</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29.99mg/L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layout>
                <c:manualLayout>
                  <c:x val="0.0090156954739434"/>
                  <c:y val="0.021569240759041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2</a:t>
                    </a:r>
                    <a:r>
                      <a:rPr lang="zh-CN" altLang="en-US" sz="800">
                        <a:latin typeface="Times New Roman" panose="02020603050405020304" charset="0"/>
                        <a:cs typeface="Times New Roman" panose="02020603050405020304" charset="0"/>
                      </a:rPr>
                      <a:t>月</a:t>
                    </a:r>
                    <a:r>
                      <a:rPr lang="en-US" altLang="zh-CN" sz="800">
                        <a:latin typeface="Times New Roman" panose="02020603050405020304" charset="0"/>
                        <a:cs typeface="Times New Roman" panose="02020603050405020304" charset="0"/>
                      </a:rPr>
                      <a:t>28</a:t>
                    </a:r>
                    <a:r>
                      <a:rPr lang="zh-CN" altLang="en-US" sz="800">
                        <a:latin typeface="Times New Roman" panose="02020603050405020304" charset="0"/>
                        <a:cs typeface="Times New Roman" panose="02020603050405020304" charset="0"/>
                      </a:rPr>
                      <a:t>日</a:t>
                    </a:r>
                    <a:endParaRPr lang="zh-CN" altLang="en-US" sz="800">
                      <a:latin typeface="Times New Roman" panose="02020603050405020304" charset="0"/>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3.46mg/L</a:t>
                    </a:r>
                    <a:endParaRPr lang="en-US" altLang="zh-CN" sz="800">
                      <a:latin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绘图数据!$J$3:$J$92</c:f>
              <c:numCache>
                <c:formatCode>General</c:formatCode>
                <c:ptCount val="90"/>
                <c:pt idx="0">
                  <c:v>8.14949494949495</c:v>
                </c:pt>
                <c:pt idx="1">
                  <c:v>7.82626262626263</c:v>
                </c:pt>
                <c:pt idx="2">
                  <c:v>3.90707070707071</c:v>
                </c:pt>
                <c:pt idx="3">
                  <c:v>4.75555555555555</c:v>
                </c:pt>
                <c:pt idx="4">
                  <c:v>11.3212121212121</c:v>
                </c:pt>
                <c:pt idx="5">
                  <c:v>10.0525252525253</c:v>
                </c:pt>
                <c:pt idx="6">
                  <c:v>9.60808080808081</c:v>
                </c:pt>
                <c:pt idx="7">
                  <c:v>5.04242424242424</c:v>
                </c:pt>
                <c:pt idx="8">
                  <c:v>4.71919191919192</c:v>
                </c:pt>
                <c:pt idx="9">
                  <c:v>6.55757575757576</c:v>
                </c:pt>
                <c:pt idx="10">
                  <c:v>22.3353535353535</c:v>
                </c:pt>
                <c:pt idx="11">
                  <c:v>9.56767676767677</c:v>
                </c:pt>
                <c:pt idx="12">
                  <c:v>5.3050505050505</c:v>
                </c:pt>
                <c:pt idx="13">
                  <c:v>5.76969696969697</c:v>
                </c:pt>
                <c:pt idx="14">
                  <c:v>15.830303030303</c:v>
                </c:pt>
                <c:pt idx="15">
                  <c:v>7.74949494949495</c:v>
                </c:pt>
                <c:pt idx="16">
                  <c:v>4.77979797979798</c:v>
                </c:pt>
                <c:pt idx="17">
                  <c:v>4.65858585858586</c:v>
                </c:pt>
                <c:pt idx="18">
                  <c:v>17.2848484848485</c:v>
                </c:pt>
                <c:pt idx="19">
                  <c:v>5.85050505050505</c:v>
                </c:pt>
                <c:pt idx="20">
                  <c:v>5.76969696969697</c:v>
                </c:pt>
                <c:pt idx="21">
                  <c:v>4.8</c:v>
                </c:pt>
                <c:pt idx="22">
                  <c:v>5.58787878787879</c:v>
                </c:pt>
                <c:pt idx="23">
                  <c:v>5.3050505050505</c:v>
                </c:pt>
                <c:pt idx="24">
                  <c:v>27.1636363636364</c:v>
                </c:pt>
                <c:pt idx="25">
                  <c:v>27.1139784946237</c:v>
                </c:pt>
                <c:pt idx="26">
                  <c:v>25.6301075268817</c:v>
                </c:pt>
                <c:pt idx="27">
                  <c:v>29.9956989247312</c:v>
                </c:pt>
                <c:pt idx="28">
                  <c:v>6.55483870967742</c:v>
                </c:pt>
                <c:pt idx="29">
                  <c:v>6.55483870967742</c:v>
                </c:pt>
                <c:pt idx="30">
                  <c:v>5.11397849462366</c:v>
                </c:pt>
                <c:pt idx="31">
                  <c:v>5.9741935483871</c:v>
                </c:pt>
                <c:pt idx="32">
                  <c:v>6.70537634408602</c:v>
                </c:pt>
                <c:pt idx="33">
                  <c:v>6.4258064516129</c:v>
                </c:pt>
                <c:pt idx="34">
                  <c:v>6.46881720430108</c:v>
                </c:pt>
                <c:pt idx="35">
                  <c:v>6.1247311827957</c:v>
                </c:pt>
                <c:pt idx="36">
                  <c:v>6.18924731182796</c:v>
                </c:pt>
                <c:pt idx="37">
                  <c:v>13.2645161290323</c:v>
                </c:pt>
                <c:pt idx="38">
                  <c:v>8.79139784946237</c:v>
                </c:pt>
                <c:pt idx="39">
                  <c:v>6.44731182795699</c:v>
                </c:pt>
                <c:pt idx="40">
                  <c:v>4.66236559139785</c:v>
                </c:pt>
                <c:pt idx="41">
                  <c:v>13.5655913978495</c:v>
                </c:pt>
                <c:pt idx="42">
                  <c:v>5.0494623655914</c:v>
                </c:pt>
                <c:pt idx="43">
                  <c:v>4.96344086021505</c:v>
                </c:pt>
                <c:pt idx="44">
                  <c:v>11.1569892473118</c:v>
                </c:pt>
                <c:pt idx="45">
                  <c:v>8.57634408602151</c:v>
                </c:pt>
                <c:pt idx="46">
                  <c:v>6.36129032258065</c:v>
                </c:pt>
                <c:pt idx="47">
                  <c:v>7.9741935483871</c:v>
                </c:pt>
                <c:pt idx="48">
                  <c:v>8.38279569892473</c:v>
                </c:pt>
                <c:pt idx="49">
                  <c:v>6.08172043010753</c:v>
                </c:pt>
                <c:pt idx="50">
                  <c:v>7.88817204301075</c:v>
                </c:pt>
                <c:pt idx="51">
                  <c:v>8.94193548387097</c:v>
                </c:pt>
                <c:pt idx="52">
                  <c:v>13.3935483870968</c:v>
                </c:pt>
                <c:pt idx="53">
                  <c:v>5.45806451612903</c:v>
                </c:pt>
                <c:pt idx="54">
                  <c:v>5.93118279569893</c:v>
                </c:pt>
                <c:pt idx="55">
                  <c:v>4.83440860215054</c:v>
                </c:pt>
                <c:pt idx="56">
                  <c:v>4.72688172043011</c:v>
                </c:pt>
                <c:pt idx="57">
                  <c:v>5.15698924731183</c:v>
                </c:pt>
                <c:pt idx="58">
                  <c:v>3.45806451612903</c:v>
                </c:pt>
                <c:pt idx="59">
                  <c:v>5.86666666666667</c:v>
                </c:pt>
                <c:pt idx="60">
                  <c:v>5.50107526881721</c:v>
                </c:pt>
                <c:pt idx="61">
                  <c:v>12.8129032258065</c:v>
                </c:pt>
                <c:pt idx="62">
                  <c:v>14.9634408602151</c:v>
                </c:pt>
                <c:pt idx="63">
                  <c:v>8.38279569892473</c:v>
                </c:pt>
                <c:pt idx="64">
                  <c:v>5.55111111111111</c:v>
                </c:pt>
                <c:pt idx="65">
                  <c:v>5.28444444444444</c:v>
                </c:pt>
                <c:pt idx="66">
                  <c:v>5.66222222222222</c:v>
                </c:pt>
                <c:pt idx="67">
                  <c:v>8.55111111111111</c:v>
                </c:pt>
                <c:pt idx="68">
                  <c:v>18.3288888888889</c:v>
                </c:pt>
                <c:pt idx="69">
                  <c:v>17.84</c:v>
                </c:pt>
                <c:pt idx="70">
                  <c:v>6.35111111111111</c:v>
                </c:pt>
                <c:pt idx="71">
                  <c:v>3.84</c:v>
                </c:pt>
                <c:pt idx="72">
                  <c:v>5.26222222222222</c:v>
                </c:pt>
                <c:pt idx="73">
                  <c:v>9.77333333333334</c:v>
                </c:pt>
                <c:pt idx="74">
                  <c:v>5.64</c:v>
                </c:pt>
                <c:pt idx="75">
                  <c:v>6.17333333333333</c:v>
                </c:pt>
                <c:pt idx="76">
                  <c:v>7.64</c:v>
                </c:pt>
                <c:pt idx="77">
                  <c:v>8.08444444444445</c:v>
                </c:pt>
                <c:pt idx="78">
                  <c:v>5.84</c:v>
                </c:pt>
                <c:pt idx="79">
                  <c:v>7.70666666666667</c:v>
                </c:pt>
                <c:pt idx="80">
                  <c:v>5.77333333333333</c:v>
                </c:pt>
                <c:pt idx="81">
                  <c:v>10.1955555555556</c:v>
                </c:pt>
                <c:pt idx="82">
                  <c:v>8.08444444444445</c:v>
                </c:pt>
                <c:pt idx="83">
                  <c:v>7.01777777777778</c:v>
                </c:pt>
                <c:pt idx="84">
                  <c:v>18.3066666666667</c:v>
                </c:pt>
                <c:pt idx="85">
                  <c:v>19.84</c:v>
                </c:pt>
                <c:pt idx="86">
                  <c:v>10.5511111111111</c:v>
                </c:pt>
                <c:pt idx="87">
                  <c:v>9.32888888888889</c:v>
                </c:pt>
                <c:pt idx="88">
                  <c:v>10.7772727272727</c:v>
                </c:pt>
                <c:pt idx="89">
                  <c:v>9.11818181818182</c:v>
                </c:pt>
              </c:numCache>
            </c:numRef>
          </c:yVal>
          <c:smooth val="1"/>
        </c:ser>
        <c:ser>
          <c:idx val="1"/>
          <c:order val="1"/>
          <c:tx>
            <c:strRef>
              <c:f>设计进水TP含量标准</c:f>
              <c:strCache>
                <c:ptCount val="1"/>
                <c:pt idx="0">
                  <c:v>设计进水TP含量标准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绘图数据!$Z$3:$Z$92</c:f>
              <c:numCache>
                <c:formatCode>General</c:formatCode>
                <c:ptCount val="90"/>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numCache>
            </c:numRef>
          </c:yVal>
          <c:smooth val="1"/>
        </c:ser>
        <c:dLbls>
          <c:showLegendKey val="0"/>
          <c:showVal val="0"/>
          <c:showCatName val="0"/>
          <c:showSerName val="0"/>
          <c:showPercent val="0"/>
          <c:showBubbleSize val="0"/>
        </c:dLbls>
        <c:axId val="146039936"/>
        <c:axId val="146041472"/>
      </c:scatterChart>
      <c:valAx>
        <c:axId val="146039936"/>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041472"/>
        <c:crosses val="autoZero"/>
        <c:crossBetween val="midCat"/>
        <c:majorUnit val="11"/>
      </c:valAx>
      <c:valAx>
        <c:axId val="146041472"/>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TP(mg/L)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6039936"/>
        <c:crossesAt val="43460"/>
        <c:crossBetween val="midCat"/>
      </c:valAx>
      <c:spPr>
        <a:noFill/>
        <a:ln w="25400">
          <a:noFill/>
        </a:ln>
      </c:spPr>
    </c:plotArea>
    <c:legend>
      <c:legendPos val="r"/>
      <c:layout>
        <c:manualLayout>
          <c:xMode val="edge"/>
          <c:yMode val="edge"/>
          <c:x val="0.566935006005606"/>
          <c:y val="0.143682719546742"/>
          <c:w val="0.317254326260065"/>
          <c:h val="0.0938243626062326"/>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en-US"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月实际出水</a:t>
            </a:r>
            <a:r>
              <a:rPr lang="en-US" altLang="zh-CN" sz="1200">
                <a:latin typeface="Times New Roman" panose="02020603050405020304" charset="0"/>
                <a:ea typeface="宋体" panose="02010600030101010101" charset="-122"/>
                <a:cs typeface="Times New Roman" panose="02020603050405020304" charset="0"/>
              </a:rPr>
              <a:t>COD</a:t>
            </a:r>
            <a:r>
              <a:rPr lang="zh-CN" altLang="en-US" sz="1200">
                <a:latin typeface="Times New Roman" panose="02020603050405020304" charset="0"/>
                <a:ea typeface="宋体" panose="02010600030101010101" charset="-122"/>
                <a:cs typeface="Times New Roman" panose="02020603050405020304" charset="0"/>
              </a:rPr>
              <a:t>含量变化图</a:t>
            </a:r>
            <a:endParaRPr lang="en-US"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197598825570532"/>
          <c:y val="0.0339943342776204"/>
        </c:manualLayout>
      </c:layout>
      <c:overlay val="0"/>
    </c:title>
    <c:autoTitleDeleted val="0"/>
    <c:plotArea>
      <c:layout>
        <c:manualLayout>
          <c:layoutTarget val="inner"/>
          <c:xMode val="edge"/>
          <c:yMode val="edge"/>
          <c:x val="0.116637139107612"/>
          <c:y val="0.165312773403325"/>
          <c:w val="0.812107611548557"/>
          <c:h val="0.678086176727908"/>
        </c:manualLayout>
      </c:layout>
      <c:scatterChart>
        <c:scatterStyle val="smoothMarker"/>
        <c:varyColors val="0"/>
        <c:ser>
          <c:idx val="0"/>
          <c:order val="0"/>
          <c:tx>
            <c:strRef>
              <c:f>实际出水COD含量</c:f>
              <c:strCache>
                <c:ptCount val="1"/>
                <c:pt idx="0">
                  <c:v>实际出水COD含量</c:v>
                </c:pt>
              </c:strCache>
            </c:strRef>
          </c:tx>
          <c:spPr>
            <a:ln w="15875" cap="rnd" cmpd="sng" algn="ctr">
              <a:solidFill>
                <a:schemeClr val="accent1">
                  <a:shade val="95000"/>
                  <a:satMod val="105000"/>
                </a:schemeClr>
              </a:solidFill>
              <a:prstDash val="solid"/>
              <a:round/>
            </a:ln>
          </c:spPr>
          <c:marker>
            <c:symbol val="none"/>
          </c:marker>
          <c:dPt>
            <c:idx val="13"/>
            <c:marker>
              <c:symbol val="triangle"/>
              <c:size val="5"/>
              <c:spPr>
                <a:solidFill>
                  <a:srgbClr val="FF0000"/>
                </a:solidFill>
                <a:ln w="9525" cap="flat" cmpd="sng" algn="ctr">
                  <a:solidFill>
                    <a:srgbClr val="FF0000"/>
                  </a:solidFill>
                  <a:prstDash val="solid"/>
                  <a:round/>
                </a:ln>
              </c:spPr>
            </c:marker>
            <c:bubble3D val="0"/>
          </c:dPt>
          <c:dPt>
            <c:idx val="61"/>
            <c:marker>
              <c:symbol val="triangle"/>
              <c:size val="6"/>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0.0158786010398787"/>
                  <c:y val="-0.022309835006766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1</a:t>
                    </a:r>
                    <a:r>
                      <a:rPr lang="zh-CN" altLang="en-US" sz="800">
                        <a:latin typeface="Times New Roman" panose="02020603050405020304" charset="0"/>
                        <a:cs typeface="Times New Roman" panose="02020603050405020304" charset="0"/>
                      </a:rPr>
                      <a:t>月</a:t>
                    </a:r>
                    <a:r>
                      <a:rPr lang="en-US" altLang="zh-CN" sz="800">
                        <a:latin typeface="Times New Roman" panose="02020603050405020304" charset="0"/>
                        <a:cs typeface="Times New Roman" panose="02020603050405020304" charset="0"/>
                      </a:rPr>
                      <a:t>14</a:t>
                    </a:r>
                    <a:r>
                      <a:rPr lang="zh-CN" altLang="en-US" sz="800">
                        <a:latin typeface="Times New Roman" panose="02020603050405020304" charset="0"/>
                        <a:cs typeface="Times New Roman" panose="02020603050405020304" charset="0"/>
                      </a:rPr>
                      <a:t>日</a:t>
                    </a:r>
                    <a:endParaRPr lang="zh-CN" altLang="en-US" sz="800">
                      <a:latin typeface="Times New Roman" panose="02020603050405020304" charset="0"/>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14mg/L</a:t>
                    </a:r>
                    <a:endParaRPr lang="en-US" altLang="zh-CN" sz="800">
                      <a:latin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layout>
                <c:manualLayout>
                  <c:x val="5.0904401533753e-5"/>
                  <c:y val="-0.045267006564712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3</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3</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96mg/L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绘图数据!$C$3:$C$92</c:f>
              <c:numCache>
                <c:formatCode>General</c:formatCode>
                <c:ptCount val="90"/>
                <c:pt idx="0">
                  <c:v>68</c:v>
                </c:pt>
                <c:pt idx="1">
                  <c:v>35</c:v>
                </c:pt>
                <c:pt idx="2">
                  <c:v>32</c:v>
                </c:pt>
                <c:pt idx="3">
                  <c:v>60</c:v>
                </c:pt>
                <c:pt idx="4">
                  <c:v>65</c:v>
                </c:pt>
                <c:pt idx="5">
                  <c:v>66</c:v>
                </c:pt>
                <c:pt idx="6">
                  <c:v>64</c:v>
                </c:pt>
                <c:pt idx="7">
                  <c:v>84</c:v>
                </c:pt>
                <c:pt idx="8">
                  <c:v>66</c:v>
                </c:pt>
                <c:pt idx="9">
                  <c:v>48</c:v>
                </c:pt>
                <c:pt idx="10">
                  <c:v>41</c:v>
                </c:pt>
                <c:pt idx="11">
                  <c:v>38</c:v>
                </c:pt>
                <c:pt idx="12">
                  <c:v>23</c:v>
                </c:pt>
                <c:pt idx="13">
                  <c:v>14</c:v>
                </c:pt>
                <c:pt idx="14">
                  <c:v>39</c:v>
                </c:pt>
                <c:pt idx="15">
                  <c:v>31</c:v>
                </c:pt>
                <c:pt idx="16">
                  <c:v>39</c:v>
                </c:pt>
                <c:pt idx="17">
                  <c:v>41</c:v>
                </c:pt>
                <c:pt idx="18">
                  <c:v>45</c:v>
                </c:pt>
                <c:pt idx="19">
                  <c:v>43</c:v>
                </c:pt>
                <c:pt idx="20">
                  <c:v>41.1926245586505</c:v>
                </c:pt>
                <c:pt idx="21">
                  <c:v>37</c:v>
                </c:pt>
                <c:pt idx="22">
                  <c:v>35</c:v>
                </c:pt>
                <c:pt idx="23">
                  <c:v>33</c:v>
                </c:pt>
                <c:pt idx="24">
                  <c:v>38</c:v>
                </c:pt>
                <c:pt idx="25">
                  <c:v>46</c:v>
                </c:pt>
                <c:pt idx="26">
                  <c:v>49</c:v>
                </c:pt>
                <c:pt idx="27">
                  <c:v>74</c:v>
                </c:pt>
                <c:pt idx="28">
                  <c:v>68</c:v>
                </c:pt>
                <c:pt idx="29">
                  <c:v>61</c:v>
                </c:pt>
                <c:pt idx="30">
                  <c:v>77</c:v>
                </c:pt>
                <c:pt idx="31">
                  <c:v>86.7597133157298</c:v>
                </c:pt>
                <c:pt idx="32">
                  <c:v>86.4661654135339</c:v>
                </c:pt>
                <c:pt idx="33">
                  <c:v>69.2015209125475</c:v>
                </c:pt>
                <c:pt idx="34">
                  <c:v>55.5555555555556</c:v>
                </c:pt>
                <c:pt idx="35">
                  <c:v>57.3122529644268</c:v>
                </c:pt>
                <c:pt idx="36">
                  <c:v>55.2</c:v>
                </c:pt>
                <c:pt idx="37">
                  <c:v>50</c:v>
                </c:pt>
                <c:pt idx="38">
                  <c:v>54.2664670658682</c:v>
                </c:pt>
                <c:pt idx="39">
                  <c:v>49.7754491017963</c:v>
                </c:pt>
                <c:pt idx="40">
                  <c:v>53</c:v>
                </c:pt>
                <c:pt idx="41">
                  <c:v>54.6816479400749</c:v>
                </c:pt>
                <c:pt idx="42">
                  <c:v>55.7692307692308</c:v>
                </c:pt>
                <c:pt idx="43">
                  <c:v>68.1818181818182</c:v>
                </c:pt>
                <c:pt idx="44">
                  <c:v>49.9999999999999</c:v>
                </c:pt>
                <c:pt idx="45">
                  <c:v>68.4410646387833</c:v>
                </c:pt>
                <c:pt idx="46">
                  <c:v>46.5826651393663</c:v>
                </c:pt>
                <c:pt idx="47">
                  <c:v>46.590909090909</c:v>
                </c:pt>
                <c:pt idx="48">
                  <c:v>50</c:v>
                </c:pt>
                <c:pt idx="49">
                  <c:v>40.2985074626866</c:v>
                </c:pt>
                <c:pt idx="50">
                  <c:v>50.1736781165573</c:v>
                </c:pt>
                <c:pt idx="51">
                  <c:v>41.8250950570343</c:v>
                </c:pt>
                <c:pt idx="52">
                  <c:v>45.2830188679245</c:v>
                </c:pt>
                <c:pt idx="53">
                  <c:v>42.6356589147287</c:v>
                </c:pt>
                <c:pt idx="54">
                  <c:v>49.8084291187738</c:v>
                </c:pt>
                <c:pt idx="55">
                  <c:v>27</c:v>
                </c:pt>
                <c:pt idx="56">
                  <c:v>38.1679389312977</c:v>
                </c:pt>
                <c:pt idx="57">
                  <c:v>34.3511450381679</c:v>
                </c:pt>
                <c:pt idx="58">
                  <c:v>38.2575757575758</c:v>
                </c:pt>
                <c:pt idx="59">
                  <c:v>47</c:v>
                </c:pt>
                <c:pt idx="60">
                  <c:v>46</c:v>
                </c:pt>
                <c:pt idx="61">
                  <c:v>96</c:v>
                </c:pt>
                <c:pt idx="62">
                  <c:v>84.6153846153846</c:v>
                </c:pt>
                <c:pt idx="63">
                  <c:v>53</c:v>
                </c:pt>
                <c:pt idx="64">
                  <c:v>89.8876404494382</c:v>
                </c:pt>
                <c:pt idx="65">
                  <c:v>56.6037735849057</c:v>
                </c:pt>
                <c:pt idx="66">
                  <c:v>49.0566037735849</c:v>
                </c:pt>
                <c:pt idx="67">
                  <c:v>34.9624060150376</c:v>
                </c:pt>
                <c:pt idx="68">
                  <c:v>40.8582089552238</c:v>
                </c:pt>
                <c:pt idx="69">
                  <c:v>38.3141762452107</c:v>
                </c:pt>
                <c:pt idx="70">
                  <c:v>36.6795366795367</c:v>
                </c:pt>
                <c:pt idx="71">
                  <c:v>19.0839694656489</c:v>
                </c:pt>
                <c:pt idx="72">
                  <c:v>38.4615384615385</c:v>
                </c:pt>
                <c:pt idx="73">
                  <c:v>38</c:v>
                </c:pt>
                <c:pt idx="74">
                  <c:v>23.8549618320611</c:v>
                </c:pt>
                <c:pt idx="75">
                  <c:v>20</c:v>
                </c:pt>
                <c:pt idx="76">
                  <c:v>36</c:v>
                </c:pt>
                <c:pt idx="77">
                  <c:v>42.3076923076924</c:v>
                </c:pt>
                <c:pt idx="78">
                  <c:v>35.6195528609322</c:v>
                </c:pt>
                <c:pt idx="79">
                  <c:v>41.9847328244275</c:v>
                </c:pt>
                <c:pt idx="80">
                  <c:v>44.8049439938199</c:v>
                </c:pt>
                <c:pt idx="81">
                  <c:v>30.5343511450382</c:v>
                </c:pt>
                <c:pt idx="82">
                  <c:v>46.1538461538461</c:v>
                </c:pt>
                <c:pt idx="83">
                  <c:v>27</c:v>
                </c:pt>
                <c:pt idx="84">
                  <c:v>23</c:v>
                </c:pt>
                <c:pt idx="85">
                  <c:v>34</c:v>
                </c:pt>
                <c:pt idx="86">
                  <c:v>36</c:v>
                </c:pt>
                <c:pt idx="87">
                  <c:v>38</c:v>
                </c:pt>
                <c:pt idx="88">
                  <c:v>34</c:v>
                </c:pt>
              </c:numCache>
            </c:numRef>
          </c:yVal>
          <c:smooth val="1"/>
        </c:ser>
        <c:ser>
          <c:idx val="1"/>
          <c:order val="1"/>
          <c:tx>
            <c:strRef>
              <c:f>设计出水COD含量标准</c:f>
              <c:strCache>
                <c:ptCount val="1"/>
                <c:pt idx="0">
                  <c:v>设计出水COD含量标准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绘图数据!$Q$3:$Q$92</c:f>
              <c:numCache>
                <c:formatCode>General</c:formatCode>
                <c:ptCount val="90"/>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numCache>
            </c:numRef>
          </c:yVal>
          <c:smooth val="1"/>
        </c:ser>
        <c:dLbls>
          <c:showLegendKey val="0"/>
          <c:showVal val="0"/>
          <c:showCatName val="0"/>
          <c:showSerName val="0"/>
          <c:showPercent val="0"/>
          <c:showBubbleSize val="0"/>
        </c:dLbls>
        <c:axId val="145370112"/>
        <c:axId val="145384192"/>
      </c:scatterChart>
      <c:valAx>
        <c:axId val="145370112"/>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384192"/>
        <c:crosses val="autoZero"/>
        <c:crossBetween val="midCat"/>
        <c:majorUnit val="11"/>
      </c:valAx>
      <c:valAx>
        <c:axId val="145384192"/>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COD(mg/L)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370112"/>
        <c:crossesAt val="43460"/>
        <c:crossBetween val="midCat"/>
      </c:valAx>
      <c:spPr>
        <a:noFill/>
        <a:ln w="25400">
          <a:noFill/>
        </a:ln>
      </c:spPr>
    </c:plotArea>
    <c:legend>
      <c:legendPos val="r"/>
      <c:layout>
        <c:manualLayout>
          <c:xMode val="edge"/>
          <c:yMode val="edge"/>
          <c:x val="0.580494328039504"/>
          <c:y val="0.121019830028329"/>
          <c:w val="0.263017038124472"/>
          <c:h val="0.0900472143531633"/>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gap"/>
    <c:showDLblsOverMax val="0"/>
  </c:chart>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a:t>
            </a:r>
            <a:r>
              <a:rPr lang="zh-CN" altLang="en-US" sz="1200" baseline="0">
                <a:latin typeface="Times New Roman" panose="02020603050405020304" charset="0"/>
                <a:ea typeface="宋体" panose="02010600030101010101" charset="-122"/>
                <a:cs typeface="Times New Roman" panose="02020603050405020304" charset="0"/>
              </a:rPr>
              <a:t> 出</a:t>
            </a:r>
            <a:r>
              <a:rPr lang="zh-CN" altLang="en-US" sz="1200">
                <a:latin typeface="Times New Roman" panose="02020603050405020304" charset="0"/>
                <a:ea typeface="宋体" panose="02010600030101010101" charset="-122"/>
                <a:cs typeface="Times New Roman" panose="02020603050405020304" charset="0"/>
              </a:rPr>
              <a:t>水</a:t>
            </a:r>
            <a:r>
              <a:rPr lang="en-US" altLang="zh-CN" sz="1200">
                <a:latin typeface="Times New Roman" panose="02020603050405020304" charset="0"/>
                <a:ea typeface="宋体" panose="02010600030101010101" charset="-122"/>
                <a:cs typeface="Times New Roman" panose="02020603050405020304" charset="0"/>
              </a:rPr>
              <a:t>BOD</a:t>
            </a:r>
            <a:r>
              <a:rPr lang="en-US" altLang="zh-CN" sz="1200" baseline="-25000">
                <a:latin typeface="Times New Roman" panose="02020603050405020304" charset="0"/>
                <a:ea typeface="宋体" panose="02010600030101010101" charset="-122"/>
                <a:cs typeface="Times New Roman" panose="02020603050405020304" charset="0"/>
              </a:rPr>
              <a:t>5</a:t>
            </a:r>
            <a:r>
              <a:rPr lang="zh-CN" altLang="en-US" sz="1200">
                <a:latin typeface="Times New Roman" panose="02020603050405020304" charset="0"/>
                <a:ea typeface="宋体" panose="02010600030101010101" charset="-122"/>
                <a:cs typeface="Times New Roman" panose="02020603050405020304" charset="0"/>
              </a:rPr>
              <a:t>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188175096756973"/>
          <c:y val="0.0415486307837583"/>
        </c:manualLayout>
      </c:layout>
      <c:overlay val="0"/>
    </c:title>
    <c:autoTitleDeleted val="0"/>
    <c:plotArea>
      <c:layout>
        <c:manualLayout>
          <c:layoutTarget val="inner"/>
          <c:xMode val="edge"/>
          <c:yMode val="edge"/>
          <c:x val="0.116637139107612"/>
          <c:y val="0.165312773403325"/>
          <c:w val="0.812107611548557"/>
          <c:h val="0.678086176727908"/>
        </c:manualLayout>
      </c:layout>
      <c:scatterChart>
        <c:scatterStyle val="smoothMarker"/>
        <c:varyColors val="0"/>
        <c:ser>
          <c:idx val="0"/>
          <c:order val="0"/>
          <c:tx>
            <c:strRef>
              <c:f>实际出水BOD5含量</c:f>
              <c:strCache>
                <c:ptCount val="1"/>
                <c:pt idx="0">
                  <c:v>实际出水BOD5含量</c:v>
                </c:pt>
              </c:strCache>
            </c:strRef>
          </c:tx>
          <c:spPr>
            <a:ln w="15875" cap="rnd" cmpd="sng" algn="ctr">
              <a:solidFill>
                <a:schemeClr val="accent1">
                  <a:shade val="95000"/>
                  <a:satMod val="105000"/>
                </a:schemeClr>
              </a:solidFill>
              <a:prstDash val="solid"/>
              <a:round/>
            </a:ln>
          </c:spPr>
          <c:marker>
            <c:symbol val="none"/>
          </c:marker>
          <c:dPt>
            <c:idx val="15"/>
            <c:marker>
              <c:symbol val="triangle"/>
              <c:size val="6"/>
              <c:spPr>
                <a:solidFill>
                  <a:srgbClr val="FF0000"/>
                </a:solidFill>
                <a:ln w="9525" cap="flat" cmpd="sng" algn="ctr">
                  <a:solidFill>
                    <a:srgbClr val="FF0000"/>
                  </a:solidFill>
                  <a:prstDash val="solid"/>
                  <a:round/>
                </a:ln>
              </c:spPr>
            </c:marker>
            <c:bubble3D val="0"/>
          </c:dPt>
          <c:dPt>
            <c:idx val="69"/>
            <c:marker>
              <c:symbol val="triangle"/>
              <c:size val="5"/>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layout>
                <c:manualLayout>
                  <c:x val="-0.00677966101694916"/>
                  <c:y val="-0.011331444759206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1</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16</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9.04mg/L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delete val="1"/>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layout>
                <c:manualLayout>
                  <c:x val="-0.067964157736783"/>
                  <c:y val="-0.12513262630879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3</a:t>
                    </a:r>
                    <a:r>
                      <a:rPr lang="zh-CN" altLang="en-US" sz="800">
                        <a:latin typeface="Times New Roman" panose="02020603050405020304" charset="0"/>
                        <a:cs typeface="Times New Roman" panose="02020603050405020304" charset="0"/>
                      </a:rPr>
                      <a:t>月</a:t>
                    </a:r>
                    <a:r>
                      <a:rPr lang="en-US" altLang="zh-CN" sz="800">
                        <a:latin typeface="Times New Roman" panose="02020603050405020304" charset="0"/>
                        <a:cs typeface="Times New Roman" panose="02020603050405020304" charset="0"/>
                      </a:rPr>
                      <a:t>11</a:t>
                    </a:r>
                    <a:r>
                      <a:rPr lang="zh-CN" altLang="en-US" sz="800">
                        <a:latin typeface="Times New Roman" panose="02020603050405020304" charset="0"/>
                        <a:cs typeface="Times New Roman" panose="02020603050405020304" charset="0"/>
                      </a:rPr>
                      <a:t>日</a:t>
                    </a:r>
                    <a:endParaRPr lang="zh-CN" altLang="en-US" sz="800">
                      <a:latin typeface="Times New Roman" panose="02020603050405020304" charset="0"/>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cs typeface="Times New Roman" panose="02020603050405020304" charset="0"/>
                      </a:rPr>
                      <a:t>0.52mg/L</a:t>
                    </a:r>
                    <a:endParaRPr lang="en-US" altLang="zh-CN" sz="800">
                      <a:latin typeface="Times New Roman" panose="02020603050405020304" charset="0"/>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绘图数据!$E$3:$E$92</c:f>
              <c:numCache>
                <c:formatCode>General</c:formatCode>
                <c:ptCount val="90"/>
                <c:pt idx="0">
                  <c:v>8.35</c:v>
                </c:pt>
                <c:pt idx="1">
                  <c:v>3.42719999999999</c:v>
                </c:pt>
                <c:pt idx="2">
                  <c:v>2.31</c:v>
                </c:pt>
                <c:pt idx="3">
                  <c:v>3.35</c:v>
                </c:pt>
                <c:pt idx="4">
                  <c:v>7.84</c:v>
                </c:pt>
                <c:pt idx="5">
                  <c:v>5.26</c:v>
                </c:pt>
                <c:pt idx="6">
                  <c:v>6.77</c:v>
                </c:pt>
                <c:pt idx="7">
                  <c:v>5.2</c:v>
                </c:pt>
                <c:pt idx="8">
                  <c:v>9</c:v>
                </c:pt>
                <c:pt idx="9">
                  <c:v>7.58999999999999</c:v>
                </c:pt>
                <c:pt idx="10">
                  <c:v>3.51</c:v>
                </c:pt>
                <c:pt idx="11">
                  <c:v>2.79999999999999</c:v>
                </c:pt>
                <c:pt idx="12">
                  <c:v>1.98</c:v>
                </c:pt>
                <c:pt idx="13">
                  <c:v>1.3</c:v>
                </c:pt>
                <c:pt idx="14">
                  <c:v>3.12</c:v>
                </c:pt>
                <c:pt idx="15">
                  <c:v>9.044</c:v>
                </c:pt>
                <c:pt idx="16">
                  <c:v>1.8</c:v>
                </c:pt>
                <c:pt idx="17">
                  <c:v>1.71</c:v>
                </c:pt>
                <c:pt idx="18">
                  <c:v>2.05</c:v>
                </c:pt>
                <c:pt idx="19">
                  <c:v>5.22</c:v>
                </c:pt>
                <c:pt idx="20">
                  <c:v>3.11</c:v>
                </c:pt>
                <c:pt idx="21">
                  <c:v>4.53</c:v>
                </c:pt>
                <c:pt idx="22">
                  <c:v>6.93056</c:v>
                </c:pt>
                <c:pt idx="23">
                  <c:v>4.98</c:v>
                </c:pt>
                <c:pt idx="24">
                  <c:v>2.01</c:v>
                </c:pt>
                <c:pt idx="25">
                  <c:v>2.34</c:v>
                </c:pt>
                <c:pt idx="26">
                  <c:v>2.63</c:v>
                </c:pt>
                <c:pt idx="27">
                  <c:v>8.47</c:v>
                </c:pt>
                <c:pt idx="28">
                  <c:v>8.83</c:v>
                </c:pt>
                <c:pt idx="29">
                  <c:v>5.86</c:v>
                </c:pt>
                <c:pt idx="30">
                  <c:v>8.7</c:v>
                </c:pt>
                <c:pt idx="31">
                  <c:v>6.26</c:v>
                </c:pt>
                <c:pt idx="32">
                  <c:v>5.35</c:v>
                </c:pt>
                <c:pt idx="33">
                  <c:v>7.76</c:v>
                </c:pt>
                <c:pt idx="34">
                  <c:v>5.81</c:v>
                </c:pt>
                <c:pt idx="35">
                  <c:v>6.74</c:v>
                </c:pt>
                <c:pt idx="36">
                  <c:v>4.7</c:v>
                </c:pt>
                <c:pt idx="37">
                  <c:v>2.5</c:v>
                </c:pt>
                <c:pt idx="38">
                  <c:v>4</c:v>
                </c:pt>
                <c:pt idx="39">
                  <c:v>3.05</c:v>
                </c:pt>
                <c:pt idx="40">
                  <c:v>3.73</c:v>
                </c:pt>
                <c:pt idx="41">
                  <c:v>6.6272</c:v>
                </c:pt>
                <c:pt idx="42">
                  <c:v>5.9</c:v>
                </c:pt>
                <c:pt idx="43">
                  <c:v>2.4</c:v>
                </c:pt>
                <c:pt idx="44">
                  <c:v>2.7</c:v>
                </c:pt>
                <c:pt idx="45">
                  <c:v>7.7</c:v>
                </c:pt>
                <c:pt idx="46">
                  <c:v>2.8</c:v>
                </c:pt>
                <c:pt idx="47">
                  <c:v>1.1</c:v>
                </c:pt>
                <c:pt idx="48">
                  <c:v>2.4</c:v>
                </c:pt>
                <c:pt idx="49">
                  <c:v>5.2</c:v>
                </c:pt>
                <c:pt idx="50">
                  <c:v>2.3</c:v>
                </c:pt>
                <c:pt idx="51">
                  <c:v>3.1</c:v>
                </c:pt>
                <c:pt idx="52">
                  <c:v>3.2</c:v>
                </c:pt>
                <c:pt idx="53">
                  <c:v>2.8</c:v>
                </c:pt>
                <c:pt idx="54">
                  <c:v>2</c:v>
                </c:pt>
                <c:pt idx="55">
                  <c:v>2.5</c:v>
                </c:pt>
                <c:pt idx="56">
                  <c:v>1.2</c:v>
                </c:pt>
                <c:pt idx="57">
                  <c:v>2.38712</c:v>
                </c:pt>
                <c:pt idx="67">
                  <c:v>1.08</c:v>
                </c:pt>
                <c:pt idx="69">
                  <c:v>0.523200000000001</c:v>
                </c:pt>
                <c:pt idx="74">
                  <c:v>2.398</c:v>
                </c:pt>
                <c:pt idx="75">
                  <c:v>4.00232</c:v>
                </c:pt>
                <c:pt idx="76">
                  <c:v>0.6</c:v>
                </c:pt>
                <c:pt idx="77">
                  <c:v>1.7312</c:v>
                </c:pt>
                <c:pt idx="87">
                  <c:v>3.3136</c:v>
                </c:pt>
              </c:numCache>
            </c:numRef>
          </c:yVal>
          <c:smooth val="1"/>
        </c:ser>
        <c:ser>
          <c:idx val="1"/>
          <c:order val="1"/>
          <c:tx>
            <c:strRef>
              <c:f>设计出水BOD5含量标准</c:f>
              <c:strCache>
                <c:ptCount val="1"/>
                <c:pt idx="0">
                  <c:v>设计出水BOD5含量标准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绘图数据!$S$3:$S$92</c:f>
              <c:numCache>
                <c:formatCode>General</c:formatCode>
                <c:ptCount val="90"/>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numCache>
            </c:numRef>
          </c:yVal>
          <c:smooth val="1"/>
        </c:ser>
        <c:dLbls>
          <c:showLegendKey val="0"/>
          <c:showVal val="0"/>
          <c:showCatName val="0"/>
          <c:showSerName val="0"/>
          <c:showPercent val="0"/>
          <c:showBubbleSize val="0"/>
        </c:dLbls>
        <c:axId val="145748736"/>
        <c:axId val="145750272"/>
      </c:scatterChart>
      <c:valAx>
        <c:axId val="145748736"/>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750272"/>
        <c:crosses val="autoZero"/>
        <c:crossBetween val="midCat"/>
        <c:majorUnit val="11"/>
      </c:valAx>
      <c:valAx>
        <c:axId val="145750272"/>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BOD5(mg/L)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748736"/>
        <c:crossesAt val="43460"/>
        <c:crossBetween val="midCat"/>
      </c:valAx>
      <c:spPr>
        <a:noFill/>
        <a:ln w="25400">
          <a:noFill/>
        </a:ln>
      </c:spPr>
    </c:plotArea>
    <c:legend>
      <c:legendPos val="r"/>
      <c:layout>
        <c:manualLayout>
          <c:xMode val="edge"/>
          <c:yMode val="edge"/>
          <c:x val="0.562415231994306"/>
          <c:y val="0.128574126534466"/>
          <c:w val="0.285615908180969"/>
          <c:h val="0.0900472143531633"/>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r>
              <a:rPr lang="zh-CN" altLang="en-US" sz="1200">
                <a:latin typeface="Times New Roman" panose="02020603050405020304" charset="0"/>
                <a:ea typeface="宋体" panose="02010600030101010101" charset="-122"/>
                <a:cs typeface="Times New Roman" panose="02020603050405020304" charset="0"/>
              </a:rPr>
              <a:t>安定污水处理厂</a:t>
            </a:r>
            <a:r>
              <a:rPr lang="en-US" altLang="zh-CN" sz="1200">
                <a:latin typeface="Times New Roman" panose="02020603050405020304" charset="0"/>
                <a:ea typeface="宋体" panose="02010600030101010101" charset="-122"/>
                <a:cs typeface="Times New Roman" panose="02020603050405020304" charset="0"/>
              </a:rPr>
              <a:t>2019</a:t>
            </a:r>
            <a:r>
              <a:rPr lang="zh-CN" altLang="en-US" sz="1200">
                <a:latin typeface="Times New Roman" panose="02020603050405020304" charset="0"/>
                <a:ea typeface="宋体" panose="02010600030101010101" charset="-122"/>
                <a:cs typeface="Times New Roman" panose="02020603050405020304" charset="0"/>
              </a:rPr>
              <a:t>年</a:t>
            </a:r>
            <a:r>
              <a:rPr lang="en-US" altLang="zh-CN" sz="1200">
                <a:latin typeface="Times New Roman" panose="02020603050405020304" charset="0"/>
                <a:ea typeface="宋体" panose="02010600030101010101" charset="-122"/>
                <a:cs typeface="Times New Roman" panose="02020603050405020304" charset="0"/>
              </a:rPr>
              <a:t>1~3</a:t>
            </a:r>
            <a:r>
              <a:rPr lang="zh-CN" altLang="en-US" sz="1200">
                <a:latin typeface="Times New Roman" panose="02020603050405020304" charset="0"/>
                <a:ea typeface="宋体" panose="02010600030101010101" charset="-122"/>
                <a:cs typeface="Times New Roman" panose="02020603050405020304" charset="0"/>
              </a:rPr>
              <a:t>月实际出水</a:t>
            </a:r>
            <a:r>
              <a:rPr lang="en-US" altLang="zh-CN" sz="1200">
                <a:latin typeface="Times New Roman" panose="02020603050405020304" charset="0"/>
                <a:ea typeface="宋体" panose="02010600030101010101" charset="-122"/>
                <a:cs typeface="Times New Roman" panose="02020603050405020304" charset="0"/>
              </a:rPr>
              <a:t>SS</a:t>
            </a:r>
            <a:r>
              <a:rPr lang="zh-CN" altLang="en-US" sz="1200">
                <a:latin typeface="Times New Roman" panose="02020603050405020304" charset="0"/>
                <a:ea typeface="宋体" panose="02010600030101010101" charset="-122"/>
                <a:cs typeface="Times New Roman" panose="02020603050405020304" charset="0"/>
              </a:rPr>
              <a:t>含量变化图</a:t>
            </a:r>
            <a:endParaRPr lang="zh-CN" altLang="en-US" sz="1200">
              <a:latin typeface="Times New Roman" panose="02020603050405020304" charset="0"/>
              <a:ea typeface="宋体" panose="02010600030101010101" charset="-122"/>
              <a:cs typeface="Times New Roman" panose="02020603050405020304" charset="0"/>
            </a:endParaRPr>
          </a:p>
        </c:rich>
      </c:tx>
      <c:layout>
        <c:manualLayout>
          <c:xMode val="edge"/>
          <c:yMode val="edge"/>
          <c:x val="0.211514035321856"/>
          <c:y val="0.0415486307837583"/>
        </c:manualLayout>
      </c:layout>
      <c:overlay val="0"/>
    </c:title>
    <c:autoTitleDeleted val="0"/>
    <c:plotArea>
      <c:layout>
        <c:manualLayout>
          <c:layoutTarget val="inner"/>
          <c:xMode val="edge"/>
          <c:yMode val="edge"/>
          <c:x val="0.116637139107612"/>
          <c:y val="0.165312773403325"/>
          <c:w val="0.812107611548558"/>
          <c:h val="0.678086176727908"/>
        </c:manualLayout>
      </c:layout>
      <c:scatterChart>
        <c:scatterStyle val="smoothMarker"/>
        <c:varyColors val="0"/>
        <c:ser>
          <c:idx val="0"/>
          <c:order val="0"/>
          <c:tx>
            <c:strRef>
              <c:f>实际出水SS含量</c:f>
              <c:strCache>
                <c:ptCount val="1"/>
                <c:pt idx="0">
                  <c:v>实际出水SS含量</c:v>
                </c:pt>
              </c:strCache>
            </c:strRef>
          </c:tx>
          <c:spPr>
            <a:ln w="15875" cap="rnd" cmpd="sng" algn="ctr">
              <a:solidFill>
                <a:schemeClr val="accent1">
                  <a:shade val="95000"/>
                  <a:satMod val="105000"/>
                </a:schemeClr>
              </a:solidFill>
              <a:prstDash val="solid"/>
              <a:round/>
            </a:ln>
          </c:spPr>
          <c:marker>
            <c:symbol val="none"/>
          </c:marker>
          <c:dPt>
            <c:idx val="3"/>
            <c:marker>
              <c:symbol val="triangle"/>
              <c:size val="5"/>
              <c:spPr>
                <a:solidFill>
                  <a:srgbClr val="FF0000"/>
                </a:solidFill>
                <a:ln w="9525" cap="flat" cmpd="sng" algn="ctr">
                  <a:solidFill>
                    <a:srgbClr val="FF0000"/>
                  </a:solidFill>
                  <a:prstDash val="solid"/>
                  <a:round/>
                </a:ln>
              </c:spPr>
            </c:marker>
            <c:bubble3D val="0"/>
          </c:dPt>
          <c:dPt>
            <c:idx val="54"/>
            <c:marker>
              <c:symbol val="triangle"/>
              <c:size val="5"/>
              <c:spPr>
                <a:solidFill>
                  <a:srgbClr val="FF0000"/>
                </a:solidFill>
                <a:ln w="9525" cap="flat" cmpd="sng" algn="ctr">
                  <a:solidFill>
                    <a:srgbClr val="FF0000"/>
                  </a:solidFill>
                  <a:prstDash val="solid"/>
                  <a:round/>
                </a:ln>
              </c:spPr>
            </c:marker>
            <c:bubble3D val="0"/>
          </c:dPt>
          <c:dPt>
            <c:idx val="72"/>
            <c:marker>
              <c:symbol val="triangle"/>
              <c:size val="5"/>
              <c:spPr>
                <a:solidFill>
                  <a:srgbClr val="FF0000"/>
                </a:solidFill>
                <a:ln w="9525" cap="flat" cmpd="sng" algn="ctr">
                  <a:solidFill>
                    <a:srgbClr val="FF0000"/>
                  </a:solidFill>
                  <a:prstDash val="solid"/>
                  <a:round/>
                </a:ln>
              </c:spPr>
            </c:marker>
            <c:bubble3D val="0"/>
          </c:dPt>
          <c:dPt>
            <c:idx val="85"/>
            <c:marker>
              <c:symbol val="triangle"/>
              <c:size val="5"/>
              <c:spPr>
                <a:solidFill>
                  <a:srgbClr val="FF0000"/>
                </a:solidFill>
                <a:ln w="9525" cap="flat" cmpd="sng" algn="ctr">
                  <a:solidFill>
                    <a:srgbClr val="FF0000"/>
                  </a:solidFill>
                  <a:prstDash val="solid"/>
                  <a:round/>
                </a:ln>
              </c:spPr>
            </c:marker>
            <c:bubble3D val="0"/>
          </c:dPt>
          <c:dLbls>
            <c:dLbl>
              <c:idx val="0"/>
              <c:delete val="1"/>
            </c:dLbl>
            <c:dLbl>
              <c:idx val="1"/>
              <c:delete val="1"/>
            </c:dLbl>
            <c:dLbl>
              <c:idx val="2"/>
              <c:delete val="1"/>
            </c:dLbl>
            <c:dLbl>
              <c:idx val="3"/>
              <c:layout>
                <c:manualLayout>
                  <c:x val="-0.0338983050847458"/>
                  <c:y val="-0.05665722379603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1</a:t>
                    </a:r>
                    <a:r>
                      <a:rPr lang="zh-CN" altLang="en-US" sz="800">
                        <a:latin typeface="Times New Roman" panose="02020603050405020304" charset="0"/>
                        <a:ea typeface="宋体" panose="02010600030101010101" charset="-122"/>
                        <a:cs typeface="Times New Roman" panose="02020603050405020304" charset="0"/>
                      </a:rPr>
                      <a:t>月</a:t>
                    </a:r>
                    <a:r>
                      <a:rPr lang="en-US" altLang="zh-CN" sz="800">
                        <a:latin typeface="Times New Roman" panose="02020603050405020304" charset="0"/>
                        <a:ea typeface="宋体" panose="02010600030101010101" charset="-122"/>
                        <a:cs typeface="Times New Roman" panose="02020603050405020304" charset="0"/>
                      </a:rPr>
                      <a:t>4</a:t>
                    </a:r>
                    <a:r>
                      <a:rPr lang="zh-CN" altLang="en-US" sz="800">
                        <a:latin typeface="Times New Roman" panose="02020603050405020304" charset="0"/>
                        <a:ea typeface="宋体" panose="02010600030101010101" charset="-122"/>
                        <a:cs typeface="Times New Roman" panose="02020603050405020304" charset="0"/>
                      </a:rPr>
                      <a:t>日</a:t>
                    </a:r>
                    <a:endParaRPr lang="zh-CN" altLang="en-US" sz="800">
                      <a:latin typeface="Times New Roman" panose="02020603050405020304" charset="0"/>
                      <a:ea typeface="宋体" panose="02010600030101010101" charset="-122"/>
                      <a:cs typeface="Times New Roman" panose="02020603050405020304" charset="0"/>
                    </a:endParaRPr>
                  </a:p>
                  <a:p>
                    <a:pPr>
                      <a:defRPr lang="zh-CN" sz="1000" b="0" i="0" u="none" strike="noStrike" kern="1200" baseline="0">
                        <a:solidFill>
                          <a:schemeClr val="tx1"/>
                        </a:solidFill>
                        <a:latin typeface="+mn-lt"/>
                        <a:ea typeface="+mn-ea"/>
                        <a:cs typeface="+mn-cs"/>
                      </a:defRPr>
                    </a:pPr>
                    <a:r>
                      <a:rPr lang="en-US" altLang="zh-CN" sz="800">
                        <a:latin typeface="Times New Roman" panose="02020603050405020304" charset="0"/>
                        <a:ea typeface="宋体" panose="02010600030101010101" charset="-122"/>
                        <a:cs typeface="Times New Roman" panose="02020603050405020304" charset="0"/>
                      </a:rPr>
                      <a:t>24mg/L</a:t>
                    </a:r>
                    <a:endParaRPr lang="en-US" altLang="en-US" sz="800">
                      <a:latin typeface="Times New Roman" panose="02020603050405020304" charset="0"/>
                      <a:ea typeface="宋体" panose="02010600030101010101" charset="-122"/>
                      <a:cs typeface="Times New Roman" panose="02020603050405020304" charset="0"/>
                    </a:endParaRP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delete val="1"/>
            </c:dLbl>
            <c:dLbl>
              <c:idx val="31"/>
              <c:delete val="1"/>
            </c:dLbl>
            <c:dLbl>
              <c:idx val="32"/>
              <c:delete val="1"/>
            </c:dLbl>
            <c:dLbl>
              <c:idx val="33"/>
              <c:delete val="1"/>
            </c:dLbl>
            <c:dLbl>
              <c:idx val="34"/>
              <c:delete val="1"/>
            </c:dLbl>
            <c:dLbl>
              <c:idx val="35"/>
              <c:delete val="1"/>
            </c:dLbl>
            <c:dLbl>
              <c:idx val="36"/>
              <c:delete val="1"/>
            </c:dLbl>
            <c:dLbl>
              <c:idx val="37"/>
              <c:delete val="1"/>
            </c:dLbl>
            <c:dLbl>
              <c:idx val="38"/>
              <c:delete val="1"/>
            </c:dLbl>
            <c:dLbl>
              <c:idx val="39"/>
              <c:delete val="1"/>
            </c:dLbl>
            <c:dLbl>
              <c:idx val="40"/>
              <c:delete val="1"/>
            </c:dLbl>
            <c:dLbl>
              <c:idx val="41"/>
              <c:delete val="1"/>
            </c:dLbl>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delete val="1"/>
            </c:dLbl>
            <c:dLbl>
              <c:idx val="51"/>
              <c:delete val="1"/>
            </c:dLbl>
            <c:dLbl>
              <c:idx val="52"/>
              <c:delete val="1"/>
            </c:dLbl>
            <c:dLbl>
              <c:idx val="53"/>
              <c:delete val="1"/>
            </c:dLbl>
            <c:dLbl>
              <c:idx val="54"/>
              <c:layout>
                <c:manualLayout>
                  <c:x val="0.00337055275811915"/>
                  <c:y val="-0.0495683752323214"/>
                </c:manualLayout>
              </c:layout>
              <c:tx>
                <c:rich>
                  <a:bodyPr rot="0" spcFirstLastPara="0" vertOverflow="ellipsis" vert="horz" wrap="square" lIns="38100" tIns="19050" rIns="38100" bIns="19050" anchor="ctr" anchorCtr="1">
                    <a:noAutofit/>
                  </a:bodyPr>
                  <a:lstStyle/>
                  <a:p>
                    <a:fld id="{c917e3e1-f4c2-49d9-a154-0e6b0ef78240}" type="VALUE">
                      <a:t>[VALUE]</a:t>
                    </a:fld>
                    <a:endParaRPr lang="en-US" altLang="zh-CN" sz="800" b="0" i="0" u="none" strike="noStrike" baseline="0">
                      <a:latin typeface="Times New Roman" panose="02020603050405020304" charset="0"/>
                      <a:ea typeface="Times New Roman" panose="02020603050405020304" charset="0"/>
                      <a:cs typeface="Times New Roman" panose="02020603050405020304" charset="0"/>
                    </a:endParaRPr>
                  </a:p>
                </c:rich>
              </c:tx>
              <c:numFmt formatCode="General" sourceLinked="1"/>
              <c:spPr>
                <a:noFill/>
                <a:ln>
                  <a:noFill/>
                </a:ln>
                <a:effectLst/>
              </c:spPr>
              <c:txPr>
                <a:bodyPr rot="0" spcFirstLastPara="0"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extLst>
                <c:ext xmlns:c15="http://schemas.microsoft.com/office/drawing/2012/chart" uri="{CE6537A1-D6FC-4f65-9D91-7224C49458BB}">
                  <c15:layout>
                    <c:manualLayout>
                      <c:w val="0.136690381980213"/>
                      <c:h val="0.132125286529779"/>
                    </c:manualLayout>
                  </c15:layout>
                </c:ext>
              </c:extLst>
            </c:dLbl>
            <c:dLbl>
              <c:idx val="55"/>
              <c:delete val="1"/>
            </c:dLbl>
            <c:dLbl>
              <c:idx val="56"/>
              <c:delete val="1"/>
            </c:dLbl>
            <c:dLbl>
              <c:idx val="57"/>
              <c:delete val="1"/>
            </c:dLbl>
            <c:dLbl>
              <c:idx val="58"/>
              <c:delete val="1"/>
            </c:dLbl>
            <c:dLbl>
              <c:idx val="59"/>
              <c:delete val="1"/>
            </c:dLbl>
            <c:dLbl>
              <c:idx val="60"/>
              <c:delete val="1"/>
            </c:dLbl>
            <c:dLbl>
              <c:idx val="61"/>
              <c:delete val="1"/>
            </c:dLbl>
            <c:dLbl>
              <c:idx val="62"/>
              <c:delete val="1"/>
            </c:dLbl>
            <c:dLbl>
              <c:idx val="63"/>
              <c:delete val="1"/>
            </c:dLbl>
            <c:dLbl>
              <c:idx val="64"/>
              <c:delete val="1"/>
            </c:dLbl>
            <c:dLbl>
              <c:idx val="65"/>
              <c:delete val="1"/>
            </c:dLbl>
            <c:dLbl>
              <c:idx val="66"/>
              <c:delete val="1"/>
            </c:dLbl>
            <c:dLbl>
              <c:idx val="67"/>
              <c:delete val="1"/>
            </c:dLbl>
            <c:dLbl>
              <c:idx val="68"/>
              <c:delete val="1"/>
            </c:dLbl>
            <c:dLbl>
              <c:idx val="69"/>
              <c:delete val="1"/>
            </c:dLbl>
            <c:dLbl>
              <c:idx val="70"/>
              <c:delete val="1"/>
            </c:dLbl>
            <c:dLbl>
              <c:idx val="71"/>
              <c:delete val="1"/>
            </c:dLbl>
            <c:dLbl>
              <c:idx val="72"/>
              <c:delete val="1"/>
            </c:dLbl>
            <c:dLbl>
              <c:idx val="73"/>
              <c:delete val="1"/>
            </c:dLbl>
            <c:dLbl>
              <c:idx val="74"/>
              <c:delete val="1"/>
            </c:dLbl>
            <c:dLbl>
              <c:idx val="75"/>
              <c:delete val="1"/>
            </c:dLbl>
            <c:dLbl>
              <c:idx val="76"/>
              <c:delete val="1"/>
            </c:dLbl>
            <c:dLbl>
              <c:idx val="77"/>
              <c:delete val="1"/>
            </c:dLbl>
            <c:dLbl>
              <c:idx val="78"/>
              <c:delete val="1"/>
            </c:dLbl>
            <c:dLbl>
              <c:idx val="79"/>
              <c:delete val="1"/>
            </c:dLbl>
            <c:dLbl>
              <c:idx val="80"/>
              <c:delete val="1"/>
            </c:dLbl>
            <c:dLbl>
              <c:idx val="81"/>
              <c:delete val="1"/>
            </c:dLbl>
            <c:dLbl>
              <c:idx val="82"/>
              <c:delete val="1"/>
            </c:dLbl>
            <c:dLbl>
              <c:idx val="83"/>
              <c:delete val="1"/>
            </c:dLbl>
            <c:dLbl>
              <c:idx val="84"/>
              <c:delete val="1"/>
            </c:dLbl>
            <c:dLbl>
              <c:idx val="85"/>
              <c:delete val="1"/>
            </c:dLbl>
            <c:dLbl>
              <c:idx val="86"/>
              <c:delete val="1"/>
            </c:dLbl>
            <c:dLbl>
              <c:idx val="87"/>
              <c:delete val="1"/>
            </c:dLbl>
            <c:dLbl>
              <c:idx val="88"/>
              <c:delete val="1"/>
            </c:dLbl>
            <c:dLbl>
              <c:idx val="89"/>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ext>
            </c:extLst>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绘图数据!$G$3:$G$92</c:f>
              <c:numCache>
                <c:formatCode>General</c:formatCode>
                <c:ptCount val="90"/>
                <c:pt idx="0">
                  <c:v>13</c:v>
                </c:pt>
                <c:pt idx="1">
                  <c:v>12</c:v>
                </c:pt>
                <c:pt idx="2">
                  <c:v>9</c:v>
                </c:pt>
                <c:pt idx="3">
                  <c:v>24</c:v>
                </c:pt>
                <c:pt idx="4">
                  <c:v>9</c:v>
                </c:pt>
                <c:pt idx="5">
                  <c:v>8</c:v>
                </c:pt>
                <c:pt idx="6">
                  <c:v>11</c:v>
                </c:pt>
                <c:pt idx="7">
                  <c:v>12</c:v>
                </c:pt>
                <c:pt idx="8">
                  <c:v>10</c:v>
                </c:pt>
                <c:pt idx="9">
                  <c:v>12</c:v>
                </c:pt>
                <c:pt idx="10">
                  <c:v>14</c:v>
                </c:pt>
                <c:pt idx="11">
                  <c:v>10</c:v>
                </c:pt>
                <c:pt idx="12">
                  <c:v>9</c:v>
                </c:pt>
                <c:pt idx="13">
                  <c:v>9</c:v>
                </c:pt>
                <c:pt idx="14">
                  <c:v>6</c:v>
                </c:pt>
                <c:pt idx="15">
                  <c:v>3</c:v>
                </c:pt>
                <c:pt idx="16">
                  <c:v>4</c:v>
                </c:pt>
                <c:pt idx="17">
                  <c:v>8</c:v>
                </c:pt>
                <c:pt idx="18">
                  <c:v>9</c:v>
                </c:pt>
                <c:pt idx="19">
                  <c:v>8</c:v>
                </c:pt>
                <c:pt idx="20">
                  <c:v>4</c:v>
                </c:pt>
                <c:pt idx="21">
                  <c:v>9</c:v>
                </c:pt>
                <c:pt idx="22">
                  <c:v>10</c:v>
                </c:pt>
                <c:pt idx="23">
                  <c:v>9</c:v>
                </c:pt>
                <c:pt idx="24">
                  <c:v>6</c:v>
                </c:pt>
                <c:pt idx="25">
                  <c:v>3</c:v>
                </c:pt>
                <c:pt idx="26">
                  <c:v>6</c:v>
                </c:pt>
                <c:pt idx="27">
                  <c:v>19</c:v>
                </c:pt>
                <c:pt idx="28">
                  <c:v>15</c:v>
                </c:pt>
                <c:pt idx="29">
                  <c:v>15</c:v>
                </c:pt>
                <c:pt idx="30">
                  <c:v>7</c:v>
                </c:pt>
                <c:pt idx="31">
                  <c:v>16</c:v>
                </c:pt>
                <c:pt idx="32">
                  <c:v>7</c:v>
                </c:pt>
                <c:pt idx="33">
                  <c:v>10</c:v>
                </c:pt>
                <c:pt idx="34">
                  <c:v>10</c:v>
                </c:pt>
                <c:pt idx="35">
                  <c:v>6</c:v>
                </c:pt>
                <c:pt idx="36">
                  <c:v>7</c:v>
                </c:pt>
                <c:pt idx="37">
                  <c:v>10</c:v>
                </c:pt>
                <c:pt idx="38">
                  <c:v>8</c:v>
                </c:pt>
                <c:pt idx="39">
                  <c:v>9</c:v>
                </c:pt>
                <c:pt idx="40">
                  <c:v>9</c:v>
                </c:pt>
                <c:pt idx="41">
                  <c:v>10</c:v>
                </c:pt>
                <c:pt idx="42">
                  <c:v>9</c:v>
                </c:pt>
                <c:pt idx="43">
                  <c:v>9</c:v>
                </c:pt>
                <c:pt idx="44">
                  <c:v>10</c:v>
                </c:pt>
                <c:pt idx="45">
                  <c:v>10</c:v>
                </c:pt>
                <c:pt idx="46">
                  <c:v>8</c:v>
                </c:pt>
                <c:pt idx="47">
                  <c:v>2</c:v>
                </c:pt>
                <c:pt idx="48">
                  <c:v>7</c:v>
                </c:pt>
                <c:pt idx="49">
                  <c:v>6</c:v>
                </c:pt>
                <c:pt idx="50">
                  <c:v>9</c:v>
                </c:pt>
                <c:pt idx="51">
                  <c:v>8</c:v>
                </c:pt>
                <c:pt idx="52">
                  <c:v>4</c:v>
                </c:pt>
                <c:pt idx="53">
                  <c:v>8</c:v>
                </c:pt>
                <c:pt idx="54">
                  <c:v>1</c:v>
                </c:pt>
                <c:pt idx="55">
                  <c:v>2</c:v>
                </c:pt>
                <c:pt idx="56">
                  <c:v>5</c:v>
                </c:pt>
                <c:pt idx="57">
                  <c:v>6</c:v>
                </c:pt>
                <c:pt idx="58">
                  <c:v>9</c:v>
                </c:pt>
                <c:pt idx="59">
                  <c:v>7</c:v>
                </c:pt>
                <c:pt idx="60">
                  <c:v>10</c:v>
                </c:pt>
                <c:pt idx="61">
                  <c:v>10</c:v>
                </c:pt>
                <c:pt idx="62">
                  <c:v>16</c:v>
                </c:pt>
                <c:pt idx="63">
                  <c:v>16</c:v>
                </c:pt>
                <c:pt idx="64">
                  <c:v>10</c:v>
                </c:pt>
                <c:pt idx="65">
                  <c:v>11</c:v>
                </c:pt>
                <c:pt idx="66">
                  <c:v>6</c:v>
                </c:pt>
                <c:pt idx="67">
                  <c:v>7</c:v>
                </c:pt>
                <c:pt idx="68">
                  <c:v>10</c:v>
                </c:pt>
                <c:pt idx="69">
                  <c:v>10</c:v>
                </c:pt>
                <c:pt idx="70">
                  <c:v>7</c:v>
                </c:pt>
                <c:pt idx="71">
                  <c:v>2</c:v>
                </c:pt>
                <c:pt idx="72">
                  <c:v>1</c:v>
                </c:pt>
                <c:pt idx="73">
                  <c:v>3</c:v>
                </c:pt>
                <c:pt idx="74">
                  <c:v>3</c:v>
                </c:pt>
                <c:pt idx="75">
                  <c:v>2</c:v>
                </c:pt>
                <c:pt idx="76">
                  <c:v>4</c:v>
                </c:pt>
                <c:pt idx="77">
                  <c:v>5</c:v>
                </c:pt>
                <c:pt idx="78">
                  <c:v>8</c:v>
                </c:pt>
                <c:pt idx="79">
                  <c:v>8</c:v>
                </c:pt>
                <c:pt idx="80">
                  <c:v>6</c:v>
                </c:pt>
                <c:pt idx="81">
                  <c:v>4</c:v>
                </c:pt>
                <c:pt idx="82">
                  <c:v>5</c:v>
                </c:pt>
                <c:pt idx="83">
                  <c:v>2</c:v>
                </c:pt>
                <c:pt idx="84">
                  <c:v>9</c:v>
                </c:pt>
                <c:pt idx="85">
                  <c:v>1</c:v>
                </c:pt>
                <c:pt idx="86">
                  <c:v>8</c:v>
                </c:pt>
                <c:pt idx="87">
                  <c:v>2</c:v>
                </c:pt>
                <c:pt idx="88">
                  <c:v>4</c:v>
                </c:pt>
                <c:pt idx="89">
                  <c:v>3</c:v>
                </c:pt>
              </c:numCache>
            </c:numRef>
          </c:yVal>
          <c:smooth val="1"/>
        </c:ser>
        <c:ser>
          <c:idx val="1"/>
          <c:order val="1"/>
          <c:tx>
            <c:strRef>
              <c:f>设计出水SS含量标准</c:f>
              <c:strCache>
                <c:ptCount val="1"/>
                <c:pt idx="0">
                  <c:v>设计出水SS含量标准</c:v>
                </c:pt>
              </c:strCache>
            </c:strRef>
          </c:tx>
          <c:spPr>
            <a:ln w="15875" cap="rnd" cmpd="sng" algn="ctr">
              <a:solidFill>
                <a:srgbClr val="FF0000"/>
              </a:solidFill>
              <a:prstDash val="sysDash"/>
              <a:round/>
            </a:ln>
          </c:spPr>
          <c:marker>
            <c:symbol val="none"/>
          </c:marker>
          <c:dLbls>
            <c:delete val="1"/>
          </c:dLbls>
          <c:xVal>
            <c:numRef>
              <c:f>绘图数据!$A$3:$A$92</c:f>
              <c:numCache>
                <c:formatCode>m"月"d"日"</c:formatCode>
                <c:ptCount val="90"/>
                <c:pt idx="0">
                  <c:v>43466</c:v>
                </c:pt>
                <c:pt idx="1">
                  <c:v>43467</c:v>
                </c:pt>
                <c:pt idx="2">
                  <c:v>43468</c:v>
                </c:pt>
                <c:pt idx="3">
                  <c:v>43469</c:v>
                </c:pt>
                <c:pt idx="4">
                  <c:v>43470</c:v>
                </c:pt>
                <c:pt idx="5">
                  <c:v>43471</c:v>
                </c:pt>
                <c:pt idx="6">
                  <c:v>43472</c:v>
                </c:pt>
                <c:pt idx="7">
                  <c:v>43473</c:v>
                </c:pt>
                <c:pt idx="8">
                  <c:v>43474</c:v>
                </c:pt>
                <c:pt idx="9">
                  <c:v>43475</c:v>
                </c:pt>
                <c:pt idx="10">
                  <c:v>43476</c:v>
                </c:pt>
                <c:pt idx="11">
                  <c:v>43477</c:v>
                </c:pt>
                <c:pt idx="12">
                  <c:v>43478</c:v>
                </c:pt>
                <c:pt idx="13">
                  <c:v>43479</c:v>
                </c:pt>
                <c:pt idx="14">
                  <c:v>43480</c:v>
                </c:pt>
                <c:pt idx="15">
                  <c:v>43481</c:v>
                </c:pt>
                <c:pt idx="16">
                  <c:v>43482</c:v>
                </c:pt>
                <c:pt idx="17">
                  <c:v>43483</c:v>
                </c:pt>
                <c:pt idx="18">
                  <c:v>43484</c:v>
                </c:pt>
                <c:pt idx="19">
                  <c:v>43485</c:v>
                </c:pt>
                <c:pt idx="20">
                  <c:v>43486</c:v>
                </c:pt>
                <c:pt idx="21">
                  <c:v>43487</c:v>
                </c:pt>
                <c:pt idx="22">
                  <c:v>43488</c:v>
                </c:pt>
                <c:pt idx="23">
                  <c:v>43489</c:v>
                </c:pt>
                <c:pt idx="24">
                  <c:v>43490</c:v>
                </c:pt>
                <c:pt idx="25">
                  <c:v>43491</c:v>
                </c:pt>
                <c:pt idx="26">
                  <c:v>43492</c:v>
                </c:pt>
                <c:pt idx="27">
                  <c:v>43493</c:v>
                </c:pt>
                <c:pt idx="28">
                  <c:v>43494</c:v>
                </c:pt>
                <c:pt idx="29">
                  <c:v>43495</c:v>
                </c:pt>
                <c:pt idx="30">
                  <c:v>43496</c:v>
                </c:pt>
                <c:pt idx="31">
                  <c:v>43497</c:v>
                </c:pt>
                <c:pt idx="32">
                  <c:v>43498</c:v>
                </c:pt>
                <c:pt idx="33">
                  <c:v>43499</c:v>
                </c:pt>
                <c:pt idx="34">
                  <c:v>43500</c:v>
                </c:pt>
                <c:pt idx="35">
                  <c:v>43501</c:v>
                </c:pt>
                <c:pt idx="36">
                  <c:v>43502</c:v>
                </c:pt>
                <c:pt idx="37">
                  <c:v>43503</c:v>
                </c:pt>
                <c:pt idx="38">
                  <c:v>43504</c:v>
                </c:pt>
                <c:pt idx="39">
                  <c:v>43505</c:v>
                </c:pt>
                <c:pt idx="40">
                  <c:v>43506</c:v>
                </c:pt>
                <c:pt idx="41">
                  <c:v>43507</c:v>
                </c:pt>
                <c:pt idx="42">
                  <c:v>43508</c:v>
                </c:pt>
                <c:pt idx="43">
                  <c:v>43509</c:v>
                </c:pt>
                <c:pt idx="44">
                  <c:v>43510</c:v>
                </c:pt>
                <c:pt idx="45">
                  <c:v>43511</c:v>
                </c:pt>
                <c:pt idx="46">
                  <c:v>43512</c:v>
                </c:pt>
                <c:pt idx="47">
                  <c:v>43513</c:v>
                </c:pt>
                <c:pt idx="48">
                  <c:v>43514</c:v>
                </c:pt>
                <c:pt idx="49">
                  <c:v>43515</c:v>
                </c:pt>
                <c:pt idx="50">
                  <c:v>43516</c:v>
                </c:pt>
                <c:pt idx="51">
                  <c:v>43517</c:v>
                </c:pt>
                <c:pt idx="52">
                  <c:v>43518</c:v>
                </c:pt>
                <c:pt idx="53">
                  <c:v>43519</c:v>
                </c:pt>
                <c:pt idx="54">
                  <c:v>43520</c:v>
                </c:pt>
                <c:pt idx="55">
                  <c:v>43521</c:v>
                </c:pt>
                <c:pt idx="56">
                  <c:v>43522</c:v>
                </c:pt>
                <c:pt idx="57">
                  <c:v>43523</c:v>
                </c:pt>
                <c:pt idx="58">
                  <c:v>43524</c:v>
                </c:pt>
                <c:pt idx="59">
                  <c:v>43525</c:v>
                </c:pt>
                <c:pt idx="60">
                  <c:v>43526</c:v>
                </c:pt>
                <c:pt idx="61">
                  <c:v>43527</c:v>
                </c:pt>
                <c:pt idx="62">
                  <c:v>43528</c:v>
                </c:pt>
                <c:pt idx="63">
                  <c:v>43529</c:v>
                </c:pt>
                <c:pt idx="64">
                  <c:v>43530</c:v>
                </c:pt>
                <c:pt idx="65">
                  <c:v>43531</c:v>
                </c:pt>
                <c:pt idx="66">
                  <c:v>43532</c:v>
                </c:pt>
                <c:pt idx="67">
                  <c:v>43533</c:v>
                </c:pt>
                <c:pt idx="68">
                  <c:v>43534</c:v>
                </c:pt>
                <c:pt idx="69">
                  <c:v>43535</c:v>
                </c:pt>
                <c:pt idx="70">
                  <c:v>43536</c:v>
                </c:pt>
                <c:pt idx="71">
                  <c:v>43537</c:v>
                </c:pt>
                <c:pt idx="72">
                  <c:v>43538</c:v>
                </c:pt>
                <c:pt idx="73">
                  <c:v>43539</c:v>
                </c:pt>
                <c:pt idx="74">
                  <c:v>43540</c:v>
                </c:pt>
                <c:pt idx="75">
                  <c:v>43541</c:v>
                </c:pt>
                <c:pt idx="76">
                  <c:v>43542</c:v>
                </c:pt>
                <c:pt idx="77">
                  <c:v>43543</c:v>
                </c:pt>
                <c:pt idx="78">
                  <c:v>43544</c:v>
                </c:pt>
                <c:pt idx="79">
                  <c:v>43545</c:v>
                </c:pt>
                <c:pt idx="80">
                  <c:v>43546</c:v>
                </c:pt>
                <c:pt idx="81">
                  <c:v>43547</c:v>
                </c:pt>
                <c:pt idx="82">
                  <c:v>43548</c:v>
                </c:pt>
                <c:pt idx="83">
                  <c:v>43549</c:v>
                </c:pt>
                <c:pt idx="84">
                  <c:v>43550</c:v>
                </c:pt>
                <c:pt idx="85">
                  <c:v>43551</c:v>
                </c:pt>
                <c:pt idx="86">
                  <c:v>43552</c:v>
                </c:pt>
                <c:pt idx="87">
                  <c:v>43553</c:v>
                </c:pt>
                <c:pt idx="88">
                  <c:v>43554</c:v>
                </c:pt>
                <c:pt idx="89">
                  <c:v>43555</c:v>
                </c:pt>
              </c:numCache>
            </c:numRef>
          </c:xVal>
          <c:yVal>
            <c:numRef>
              <c:f>绘图数据!$U$3:$U$92</c:f>
              <c:numCache>
                <c:formatCode>General</c:formatCode>
                <c:ptCount val="90"/>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numCache>
            </c:numRef>
          </c:yVal>
          <c:smooth val="1"/>
        </c:ser>
        <c:dLbls>
          <c:showLegendKey val="0"/>
          <c:showVal val="0"/>
          <c:showCatName val="0"/>
          <c:showSerName val="0"/>
          <c:showPercent val="0"/>
          <c:showBubbleSize val="0"/>
        </c:dLbls>
        <c:axId val="145869056"/>
        <c:axId val="145883136"/>
      </c:scatterChart>
      <c:valAx>
        <c:axId val="145869056"/>
        <c:scaling>
          <c:orientation val="minMax"/>
          <c:max val="43555"/>
          <c:min val="43466"/>
        </c:scaling>
        <c:delete val="0"/>
        <c:axPos val="b"/>
        <c:numFmt formatCode="m&quot;月&quot;d&quot;日&quot;"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883136"/>
        <c:crosses val="autoZero"/>
        <c:crossBetween val="midCat"/>
        <c:majorUnit val="11"/>
      </c:valAx>
      <c:valAx>
        <c:axId val="145883136"/>
        <c:scaling>
          <c:orientation val="minMax"/>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Times New Roman" panose="02020603050405020304" charset="0"/>
                    <a:ea typeface="+mn-ea"/>
                    <a:cs typeface="Times New Roman" panose="02020603050405020304" charset="0"/>
                  </a:defRPr>
                </a:pPr>
                <a:r>
                  <a:rPr lang="en-US" altLang="zh-CN">
                    <a:latin typeface="Times New Roman" panose="02020603050405020304" charset="0"/>
                    <a:cs typeface="Times New Roman" panose="02020603050405020304" charset="0"/>
                  </a:rPr>
                  <a:t>SS(mg/L)</a:t>
                </a:r>
                <a:endParaRPr lang="zh-CN" altLang="en-US">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869056"/>
        <c:crossesAt val="43460"/>
        <c:crossBetween val="midCat"/>
      </c:valAx>
      <c:spPr>
        <a:noFill/>
        <a:ln w="25400">
          <a:noFill/>
        </a:ln>
      </c:spPr>
    </c:plotArea>
    <c:legend>
      <c:legendPos val="r"/>
      <c:layout>
        <c:manualLayout>
          <c:xMode val="edge"/>
          <c:yMode val="edge"/>
          <c:x val="0.578234441033854"/>
          <c:y val="0.132351274787535"/>
          <c:w val="0.251717603096223"/>
          <c:h val="0.0900472143531633"/>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legend>
    <c:plotVisOnly val="1"/>
    <c:dispBlanksAs val="span"/>
    <c:showDLblsOverMax val="0"/>
  </c:chart>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494A6-E04A-491A-BA36-9F0D37B8B18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127</Pages>
  <Words>14836</Words>
  <Characters>84569</Characters>
  <Lines>704</Lines>
  <Paragraphs>198</Paragraphs>
  <TotalTime>1839</TotalTime>
  <ScaleCrop>false</ScaleCrop>
  <LinksUpToDate>false</LinksUpToDate>
  <CharactersWithSpaces>99207</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2020-05-29T00:22:00Z</dcterms:created>
  <dc:creator>User</dc:creator>
  <cp:lastModifiedBy>李钦</cp:lastModifiedBy>
  <cp:lastPrinted>2019-03-11T02:27:00Z</cp:lastPrinted>
  <dcterms:modified xsi:type="dcterms:W3CDTF">2020-06-03T02:32:13Z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