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D298A">
      <w:pPr>
        <w:wordWrap w:val="0"/>
        <w:spacing w:line="520" w:lineRule="exact"/>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 xml:space="preserve">  </w:t>
      </w:r>
    </w:p>
    <w:p w14:paraId="53EF7E81">
      <w:pPr>
        <w:wordWrap w:val="0"/>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亳州市公交出租有限责任公司出租车改漆采购项目</w:t>
      </w:r>
    </w:p>
    <w:p w14:paraId="25D4FFDE">
      <w:pPr>
        <w:wordWrap w:val="0"/>
        <w:jc w:val="center"/>
        <w:rPr>
          <w:rFonts w:ascii="Times New Roman" w:hAnsi="Times New Roman" w:eastAsia="黑体" w:cs="Times New Roman"/>
          <w:kern w:val="0"/>
          <w:sz w:val="32"/>
          <w:szCs w:val="32"/>
        </w:rPr>
      </w:pPr>
    </w:p>
    <w:p w14:paraId="7768BBCA">
      <w:pPr>
        <w:wordWrap w:val="0"/>
        <w:jc w:val="center"/>
        <w:rPr>
          <w:rFonts w:hint="eastAsia" w:ascii="黑体" w:hAnsi="黑体" w:eastAsia="黑体" w:cs="黑体"/>
          <w:kern w:val="0"/>
          <w:sz w:val="84"/>
          <w:szCs w:val="84"/>
        </w:rPr>
      </w:pPr>
      <w:r>
        <w:rPr>
          <w:rFonts w:hint="eastAsia" w:ascii="黑体" w:hAnsi="黑体" w:eastAsia="黑体" w:cs="黑体"/>
          <w:kern w:val="0"/>
          <w:sz w:val="84"/>
          <w:szCs w:val="84"/>
        </w:rPr>
        <w:t>询</w:t>
      </w:r>
    </w:p>
    <w:p w14:paraId="07F933EA">
      <w:pPr>
        <w:wordWrap w:val="0"/>
        <w:jc w:val="center"/>
        <w:rPr>
          <w:rFonts w:hint="eastAsia" w:ascii="黑体" w:hAnsi="黑体" w:eastAsia="黑体" w:cs="黑体"/>
          <w:kern w:val="0"/>
          <w:sz w:val="84"/>
          <w:szCs w:val="84"/>
        </w:rPr>
      </w:pPr>
      <w:r>
        <w:rPr>
          <w:rFonts w:hint="eastAsia" w:ascii="黑体" w:hAnsi="黑体" w:eastAsia="黑体" w:cs="黑体"/>
          <w:kern w:val="0"/>
          <w:sz w:val="84"/>
          <w:szCs w:val="84"/>
        </w:rPr>
        <w:t>比</w:t>
      </w:r>
    </w:p>
    <w:p w14:paraId="7E495179">
      <w:pPr>
        <w:wordWrap w:val="0"/>
        <w:jc w:val="center"/>
        <w:rPr>
          <w:rFonts w:hint="eastAsia" w:ascii="黑体" w:hAnsi="黑体" w:eastAsia="黑体" w:cs="黑体"/>
          <w:kern w:val="0"/>
          <w:sz w:val="84"/>
          <w:szCs w:val="84"/>
        </w:rPr>
      </w:pPr>
      <w:r>
        <w:rPr>
          <w:rFonts w:hint="eastAsia" w:ascii="黑体" w:hAnsi="黑体" w:eastAsia="黑体" w:cs="黑体"/>
          <w:kern w:val="0"/>
          <w:sz w:val="84"/>
          <w:szCs w:val="84"/>
        </w:rPr>
        <w:t>文</w:t>
      </w:r>
    </w:p>
    <w:p w14:paraId="5DC79B5F">
      <w:pPr>
        <w:wordWrap w:val="0"/>
        <w:jc w:val="center"/>
        <w:rPr>
          <w:rFonts w:hint="eastAsia" w:ascii="黑体" w:hAnsi="黑体" w:eastAsia="黑体" w:cs="黑体"/>
          <w:kern w:val="0"/>
          <w:sz w:val="84"/>
          <w:szCs w:val="84"/>
        </w:rPr>
      </w:pPr>
      <w:r>
        <w:rPr>
          <w:rFonts w:hint="eastAsia" w:ascii="黑体" w:hAnsi="黑体" w:eastAsia="黑体" w:cs="黑体"/>
          <w:kern w:val="0"/>
          <w:sz w:val="84"/>
          <w:szCs w:val="84"/>
        </w:rPr>
        <w:t>件</w:t>
      </w:r>
    </w:p>
    <w:p w14:paraId="4DA074A3">
      <w:pPr>
        <w:wordWrap w:val="0"/>
        <w:jc w:val="center"/>
        <w:rPr>
          <w:rFonts w:ascii="Times New Roman" w:hAnsi="Times New Roman" w:eastAsia="楷体" w:cs="Times New Roman"/>
          <w:kern w:val="0"/>
          <w:sz w:val="28"/>
          <w:szCs w:val="28"/>
        </w:rPr>
      </w:pPr>
    </w:p>
    <w:p w14:paraId="1FA764FD">
      <w:pPr>
        <w:wordWrap w:val="0"/>
        <w:jc w:val="center"/>
        <w:rPr>
          <w:rFonts w:ascii="Times New Roman" w:hAnsi="Times New Roman" w:eastAsia="楷体" w:cs="Times New Roman"/>
          <w:kern w:val="0"/>
          <w:sz w:val="28"/>
          <w:szCs w:val="28"/>
        </w:rPr>
      </w:pPr>
    </w:p>
    <w:p w14:paraId="73D9F43B">
      <w:pPr>
        <w:wordWrap w:val="0"/>
        <w:jc w:val="center"/>
        <w:rPr>
          <w:rFonts w:ascii="Times New Roman" w:hAnsi="Times New Roman" w:eastAsia="楷体" w:cs="Times New Roman"/>
          <w:kern w:val="0"/>
          <w:sz w:val="32"/>
          <w:szCs w:val="32"/>
        </w:rPr>
      </w:pPr>
      <w:r>
        <w:rPr>
          <w:rFonts w:ascii="Times New Roman" w:hAnsi="Times New Roman" w:eastAsia="楷体" w:cs="Times New Roman"/>
          <w:kern w:val="0"/>
          <w:sz w:val="28"/>
          <w:szCs w:val="28"/>
        </w:rPr>
        <w:t>项目编号：BZGJ</w:t>
      </w:r>
      <w:r>
        <w:rPr>
          <w:rFonts w:hint="eastAsia" w:ascii="Times New Roman" w:hAnsi="Times New Roman" w:eastAsia="楷体" w:cs="Times New Roman"/>
          <w:kern w:val="0"/>
          <w:sz w:val="28"/>
          <w:szCs w:val="28"/>
        </w:rPr>
        <w:t>CZ</w:t>
      </w:r>
      <w:r>
        <w:rPr>
          <w:rFonts w:ascii="Times New Roman" w:hAnsi="Times New Roman" w:eastAsia="楷体" w:cs="Times New Roman"/>
          <w:kern w:val="0"/>
          <w:sz w:val="28"/>
          <w:szCs w:val="28"/>
        </w:rPr>
        <w:t>-2025-01号</w:t>
      </w:r>
    </w:p>
    <w:p w14:paraId="0B7B6FBA">
      <w:pPr>
        <w:wordWrap w:val="0"/>
        <w:rPr>
          <w:rFonts w:ascii="Times New Roman" w:hAnsi="Times New Roman" w:eastAsia="楷体" w:cs="Times New Roman"/>
          <w:kern w:val="0"/>
          <w:sz w:val="32"/>
          <w:szCs w:val="32"/>
        </w:rPr>
      </w:pPr>
    </w:p>
    <w:p w14:paraId="1979E274">
      <w:pPr>
        <w:wordWrap w:val="0"/>
        <w:ind w:left="1260" w:leftChars="600"/>
        <w:jc w:val="left"/>
        <w:rPr>
          <w:rFonts w:ascii="Times New Roman" w:hAnsi="Times New Roman" w:eastAsia="楷体" w:cs="Times New Roman"/>
          <w:kern w:val="0"/>
          <w:sz w:val="32"/>
          <w:szCs w:val="32"/>
        </w:rPr>
      </w:pPr>
      <w:r>
        <w:rPr>
          <w:rFonts w:hint="eastAsia" w:ascii="Times New Roman" w:hAnsi="Times New Roman" w:eastAsia="楷体" w:cs="Times New Roman"/>
          <w:kern w:val="0"/>
          <w:sz w:val="32"/>
          <w:szCs w:val="32"/>
        </w:rPr>
        <w:t>采购人</w:t>
      </w:r>
      <w:r>
        <w:rPr>
          <w:rFonts w:ascii="Times New Roman" w:hAnsi="Times New Roman" w:eastAsia="楷体" w:cs="Times New Roman"/>
          <w:kern w:val="0"/>
          <w:sz w:val="32"/>
          <w:szCs w:val="32"/>
        </w:rPr>
        <w:t>：</w:t>
      </w:r>
      <w:permStart w:id="0" w:edGrp="everyone"/>
      <w:r>
        <w:rPr>
          <w:rFonts w:hint="eastAsia" w:ascii="Times New Roman" w:hAnsi="Times New Roman" w:eastAsia="楷体" w:cs="Times New Roman"/>
          <w:kern w:val="0"/>
          <w:sz w:val="32"/>
          <w:szCs w:val="32"/>
        </w:rPr>
        <w:t xml:space="preserve">亳州市公交出租有限责任公司 </w:t>
      </w:r>
      <w:permEnd w:id="0"/>
    </w:p>
    <w:p w14:paraId="73F1323C">
      <w:pPr>
        <w:wordWrap w:val="0"/>
        <w:ind w:left="1260" w:leftChars="600"/>
        <w:jc w:val="left"/>
        <w:rPr>
          <w:rFonts w:ascii="Times New Roman" w:hAnsi="Times New Roman" w:eastAsia="楷体" w:cs="Times New Roman"/>
          <w:kern w:val="0"/>
          <w:sz w:val="32"/>
          <w:szCs w:val="32"/>
        </w:rPr>
      </w:pPr>
      <w:r>
        <w:rPr>
          <w:rFonts w:ascii="Times New Roman" w:hAnsi="Times New Roman" w:eastAsia="楷体" w:cs="Times New Roman"/>
          <w:kern w:val="0"/>
          <w:sz w:val="32"/>
          <w:szCs w:val="32"/>
        </w:rPr>
        <w:t>编制日期：</w:t>
      </w:r>
      <w:permStart w:id="1" w:edGrp="everyone"/>
      <w:r>
        <w:rPr>
          <w:rFonts w:hint="eastAsia" w:ascii="Times New Roman" w:hAnsi="Times New Roman" w:eastAsia="楷体" w:cs="Times New Roman"/>
          <w:kern w:val="0"/>
          <w:sz w:val="32"/>
          <w:szCs w:val="32"/>
        </w:rPr>
        <w:t>2025年7月2</w:t>
      </w:r>
      <w:r>
        <w:rPr>
          <w:rFonts w:hint="eastAsia" w:ascii="Times New Roman" w:hAnsi="Times New Roman" w:eastAsia="楷体" w:cs="Times New Roman"/>
          <w:kern w:val="0"/>
          <w:sz w:val="32"/>
          <w:szCs w:val="32"/>
          <w:lang w:val="en-US" w:eastAsia="zh-CN"/>
        </w:rPr>
        <w:t>8</w:t>
      </w:r>
      <w:r>
        <w:rPr>
          <w:rFonts w:hint="eastAsia" w:ascii="Times New Roman" w:hAnsi="Times New Roman" w:eastAsia="楷体" w:cs="Times New Roman"/>
          <w:kern w:val="0"/>
          <w:sz w:val="32"/>
          <w:szCs w:val="32"/>
        </w:rPr>
        <w:t>日</w:t>
      </w:r>
      <w:permEnd w:id="1"/>
    </w:p>
    <w:p w14:paraId="07212D8C">
      <w:pPr>
        <w:wordWrap w:val="0"/>
        <w:ind w:firstLine="1280" w:firstLineChars="400"/>
        <w:jc w:val="left"/>
        <w:rPr>
          <w:rFonts w:ascii="Times New Roman" w:hAnsi="Times New Roman" w:eastAsia="楷体" w:cs="Times New Roman"/>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0" w:num="1"/>
          <w:docGrid w:type="lines" w:linePitch="312" w:charSpace="0"/>
        </w:sectPr>
      </w:pPr>
      <w:r>
        <w:rPr>
          <w:rFonts w:ascii="Times New Roman" w:hAnsi="Times New Roman" w:eastAsia="楷体" w:cs="Times New Roman"/>
          <w:kern w:val="0"/>
          <w:sz w:val="32"/>
          <w:szCs w:val="32"/>
        </w:rPr>
        <w:br w:type="page"/>
      </w:r>
    </w:p>
    <w:sdt>
      <w:sdtPr>
        <w:rPr>
          <w:rFonts w:asciiTheme="minorHAnsi" w:hAnsiTheme="minorHAnsi" w:eastAsiaTheme="minorEastAsia" w:cstheme="minorBidi"/>
          <w:color w:val="auto"/>
          <w:kern w:val="2"/>
          <w:sz w:val="21"/>
          <w:szCs w:val="24"/>
          <w:lang w:val="zh-CN"/>
        </w:rPr>
        <w:id w:val="-1370060969"/>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14:paraId="1EDD102E">
          <w:pPr>
            <w:pStyle w:val="78"/>
            <w:jc w:val="center"/>
            <w:rPr>
              <w:rFonts w:hint="eastAsia" w:ascii="黑体" w:hAnsi="黑体" w:eastAsia="黑体"/>
              <w:b/>
              <w:bCs/>
            </w:rPr>
          </w:pPr>
          <w:r>
            <w:rPr>
              <w:rFonts w:ascii="黑体" w:hAnsi="黑体" w:eastAsia="黑体"/>
              <w:b/>
              <w:bCs/>
              <w:lang w:val="zh-CN"/>
            </w:rPr>
            <w:t>目录</w:t>
          </w:r>
        </w:p>
        <w:p w14:paraId="0264D59E">
          <w:pPr>
            <w:pStyle w:val="22"/>
            <w:tabs>
              <w:tab w:val="right" w:leader="dot" w:pos="8302"/>
            </w:tabs>
            <w:rPr>
              <w:rFonts w:hint="eastAsia"/>
              <w:sz w:val="22"/>
            </w:rPr>
          </w:pPr>
          <w:r>
            <w:fldChar w:fldCharType="begin"/>
          </w:r>
          <w:r>
            <w:instrText xml:space="preserve"> TOC \o "1-3" \h \z \u </w:instrText>
          </w:r>
          <w:r>
            <w:fldChar w:fldCharType="separate"/>
          </w:r>
          <w:r>
            <w:fldChar w:fldCharType="begin"/>
          </w:r>
          <w:r>
            <w:instrText xml:space="preserve"> HYPERLINK \l "_Toc204594022" </w:instrText>
          </w:r>
          <w:r>
            <w:fldChar w:fldCharType="separate"/>
          </w:r>
          <w:r>
            <w:rPr>
              <w:rStyle w:val="33"/>
              <w:rFonts w:hint="eastAsia" w:ascii="黑体" w:hAnsi="黑体" w:eastAsia="黑体" w:cs="宋体"/>
            </w:rPr>
            <w:t>第一章 询比公告</w:t>
          </w:r>
          <w:r>
            <w:rPr>
              <w:rFonts w:hint="eastAsia"/>
            </w:rPr>
            <w:tab/>
          </w:r>
          <w:r>
            <w:rPr>
              <w:rFonts w:hint="eastAsia"/>
            </w:rPr>
            <w:fldChar w:fldCharType="begin"/>
          </w:r>
          <w:r>
            <w:rPr>
              <w:rFonts w:hint="eastAsia"/>
            </w:rPr>
            <w:instrText xml:space="preserve"> </w:instrText>
          </w:r>
          <w:r>
            <w:instrText xml:space="preserve">PAGEREF _Toc204594022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7163C744">
          <w:pPr>
            <w:pStyle w:val="22"/>
            <w:tabs>
              <w:tab w:val="right" w:leader="dot" w:pos="8302"/>
            </w:tabs>
            <w:rPr>
              <w:rFonts w:hint="eastAsia"/>
              <w:sz w:val="22"/>
            </w:rPr>
          </w:pPr>
          <w:r>
            <w:fldChar w:fldCharType="begin"/>
          </w:r>
          <w:r>
            <w:instrText xml:space="preserve"> HYPERLINK \l "_Toc204594023" </w:instrText>
          </w:r>
          <w:r>
            <w:fldChar w:fldCharType="separate"/>
          </w:r>
          <w:r>
            <w:rPr>
              <w:rStyle w:val="33"/>
              <w:rFonts w:hint="eastAsia" w:ascii="黑体" w:hAnsi="黑体" w:eastAsia="黑体"/>
            </w:rPr>
            <w:t>第二章 供应商须知</w:t>
          </w:r>
          <w:r>
            <w:rPr>
              <w:rFonts w:hint="eastAsia"/>
            </w:rPr>
            <w:tab/>
          </w:r>
          <w:r>
            <w:rPr>
              <w:rFonts w:hint="eastAsia"/>
            </w:rPr>
            <w:fldChar w:fldCharType="begin"/>
          </w:r>
          <w:r>
            <w:rPr>
              <w:rFonts w:hint="eastAsia"/>
            </w:rPr>
            <w:instrText xml:space="preserve"> </w:instrText>
          </w:r>
          <w:r>
            <w:instrText xml:space="preserve">PAGEREF _Toc204594023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14:paraId="1BE076BE">
          <w:pPr>
            <w:pStyle w:val="22"/>
            <w:tabs>
              <w:tab w:val="right" w:leader="dot" w:pos="8302"/>
            </w:tabs>
            <w:rPr>
              <w:rFonts w:hint="eastAsia"/>
              <w:sz w:val="22"/>
            </w:rPr>
          </w:pPr>
          <w:r>
            <w:fldChar w:fldCharType="begin"/>
          </w:r>
          <w:r>
            <w:instrText xml:space="preserve"> HYPERLINK \l "_Toc204594024" </w:instrText>
          </w:r>
          <w:r>
            <w:fldChar w:fldCharType="separate"/>
          </w:r>
          <w:r>
            <w:rPr>
              <w:rStyle w:val="33"/>
              <w:rFonts w:hint="eastAsia" w:ascii="黑体" w:hAnsi="黑体" w:eastAsia="黑体"/>
            </w:rPr>
            <w:t>第三章 评审办法</w:t>
          </w:r>
          <w:r>
            <w:rPr>
              <w:rFonts w:hint="eastAsia"/>
            </w:rPr>
            <w:tab/>
          </w:r>
          <w:r>
            <w:rPr>
              <w:rFonts w:hint="eastAsia"/>
            </w:rPr>
            <w:fldChar w:fldCharType="begin"/>
          </w:r>
          <w:r>
            <w:rPr>
              <w:rFonts w:hint="eastAsia"/>
            </w:rPr>
            <w:instrText xml:space="preserve"> </w:instrText>
          </w:r>
          <w:r>
            <w:instrText xml:space="preserve">PAGEREF _Toc204594024 \h</w:instrText>
          </w:r>
          <w:r>
            <w:rPr>
              <w:rFonts w:hint="eastAsia"/>
            </w:rPr>
            <w:instrText xml:space="preserve"> </w:instrText>
          </w:r>
          <w:r>
            <w:rPr>
              <w:rFonts w:hint="eastAsia"/>
            </w:rPr>
            <w:fldChar w:fldCharType="separate"/>
          </w:r>
          <w:r>
            <w:rPr>
              <w:rFonts w:hint="eastAsia"/>
            </w:rPr>
            <w:t>20</w:t>
          </w:r>
          <w:r>
            <w:rPr>
              <w:rFonts w:hint="eastAsia"/>
            </w:rPr>
            <w:fldChar w:fldCharType="end"/>
          </w:r>
          <w:r>
            <w:rPr>
              <w:rFonts w:hint="eastAsia"/>
            </w:rPr>
            <w:fldChar w:fldCharType="end"/>
          </w:r>
        </w:p>
        <w:p w14:paraId="0D3804F5">
          <w:pPr>
            <w:pStyle w:val="22"/>
            <w:tabs>
              <w:tab w:val="right" w:leader="dot" w:pos="8302"/>
            </w:tabs>
            <w:rPr>
              <w:rFonts w:hint="eastAsia"/>
              <w:sz w:val="22"/>
            </w:rPr>
          </w:pPr>
          <w:r>
            <w:fldChar w:fldCharType="begin"/>
          </w:r>
          <w:r>
            <w:instrText xml:space="preserve"> HYPERLINK \l "_Toc204594025" </w:instrText>
          </w:r>
          <w:r>
            <w:fldChar w:fldCharType="separate"/>
          </w:r>
          <w:r>
            <w:rPr>
              <w:rStyle w:val="33"/>
              <w:rFonts w:hint="eastAsia" w:ascii="黑体" w:hAnsi="黑体" w:eastAsia="黑体"/>
            </w:rPr>
            <w:t>第四章 合同条款及格式</w:t>
          </w:r>
          <w:r>
            <w:rPr>
              <w:rFonts w:hint="eastAsia"/>
            </w:rPr>
            <w:tab/>
          </w:r>
          <w:r>
            <w:rPr>
              <w:rFonts w:hint="eastAsia"/>
            </w:rPr>
            <w:fldChar w:fldCharType="begin"/>
          </w:r>
          <w:r>
            <w:rPr>
              <w:rFonts w:hint="eastAsia"/>
            </w:rPr>
            <w:instrText xml:space="preserve"> </w:instrText>
          </w:r>
          <w:r>
            <w:instrText xml:space="preserve">PAGEREF _Toc204594025 \h</w:instrText>
          </w:r>
          <w:r>
            <w:rPr>
              <w:rFonts w:hint="eastAsia"/>
            </w:rPr>
            <w:instrText xml:space="preserve"> </w:instrText>
          </w:r>
          <w:r>
            <w:rPr>
              <w:rFonts w:hint="eastAsia"/>
            </w:rPr>
            <w:fldChar w:fldCharType="separate"/>
          </w:r>
          <w:r>
            <w:rPr>
              <w:rFonts w:hint="eastAsia"/>
            </w:rPr>
            <w:t>24</w:t>
          </w:r>
          <w:r>
            <w:rPr>
              <w:rFonts w:hint="eastAsia"/>
            </w:rPr>
            <w:fldChar w:fldCharType="end"/>
          </w:r>
          <w:r>
            <w:rPr>
              <w:rFonts w:hint="eastAsia"/>
            </w:rPr>
            <w:fldChar w:fldCharType="end"/>
          </w:r>
        </w:p>
        <w:p w14:paraId="3922EBBE">
          <w:pPr>
            <w:pStyle w:val="22"/>
            <w:tabs>
              <w:tab w:val="right" w:leader="dot" w:pos="8302"/>
            </w:tabs>
            <w:rPr>
              <w:rFonts w:hint="eastAsia"/>
              <w:sz w:val="22"/>
            </w:rPr>
          </w:pPr>
          <w:r>
            <w:fldChar w:fldCharType="begin"/>
          </w:r>
          <w:r>
            <w:instrText xml:space="preserve"> HYPERLINK \l "_Toc204594026" </w:instrText>
          </w:r>
          <w:r>
            <w:fldChar w:fldCharType="separate"/>
          </w:r>
          <w:r>
            <w:rPr>
              <w:rStyle w:val="33"/>
              <w:rFonts w:hint="eastAsia" w:ascii="黑体" w:hAnsi="黑体" w:eastAsia="黑体"/>
            </w:rPr>
            <w:t>第五章 采购需求</w:t>
          </w:r>
          <w:r>
            <w:rPr>
              <w:rFonts w:hint="eastAsia"/>
            </w:rPr>
            <w:tab/>
          </w:r>
          <w:r>
            <w:rPr>
              <w:rFonts w:hint="eastAsia"/>
            </w:rPr>
            <w:fldChar w:fldCharType="begin"/>
          </w:r>
          <w:r>
            <w:rPr>
              <w:rFonts w:hint="eastAsia"/>
            </w:rPr>
            <w:instrText xml:space="preserve"> </w:instrText>
          </w:r>
          <w:r>
            <w:instrText xml:space="preserve">PAGEREF _Toc204594026 \h</w:instrText>
          </w:r>
          <w:r>
            <w:rPr>
              <w:rFonts w:hint="eastAsia"/>
            </w:rPr>
            <w:instrText xml:space="preserve"> </w:instrText>
          </w:r>
          <w:r>
            <w:rPr>
              <w:rFonts w:hint="eastAsia"/>
            </w:rPr>
            <w:fldChar w:fldCharType="separate"/>
          </w:r>
          <w:r>
            <w:rPr>
              <w:rFonts w:hint="eastAsia"/>
            </w:rPr>
            <w:t>25</w:t>
          </w:r>
          <w:r>
            <w:rPr>
              <w:rFonts w:hint="eastAsia"/>
            </w:rPr>
            <w:fldChar w:fldCharType="end"/>
          </w:r>
          <w:r>
            <w:rPr>
              <w:rFonts w:hint="eastAsia"/>
            </w:rPr>
            <w:fldChar w:fldCharType="end"/>
          </w:r>
        </w:p>
        <w:p w14:paraId="0BBAAF78">
          <w:pPr>
            <w:pStyle w:val="22"/>
            <w:tabs>
              <w:tab w:val="right" w:leader="dot" w:pos="8302"/>
            </w:tabs>
            <w:rPr>
              <w:rFonts w:hint="eastAsia"/>
              <w:sz w:val="22"/>
            </w:rPr>
          </w:pPr>
          <w:r>
            <w:fldChar w:fldCharType="begin"/>
          </w:r>
          <w:r>
            <w:instrText xml:space="preserve"> HYPERLINK \l "_Toc204594027" </w:instrText>
          </w:r>
          <w:r>
            <w:fldChar w:fldCharType="separate"/>
          </w:r>
          <w:r>
            <w:rPr>
              <w:rStyle w:val="33"/>
              <w:rFonts w:hint="eastAsia" w:ascii="黑体" w:hAnsi="黑体" w:eastAsia="黑体"/>
            </w:rPr>
            <w:t>第六章 响应文件格式</w:t>
          </w:r>
          <w:r>
            <w:rPr>
              <w:rFonts w:hint="eastAsia"/>
            </w:rPr>
            <w:tab/>
          </w:r>
          <w:r>
            <w:rPr>
              <w:rFonts w:hint="eastAsia"/>
            </w:rPr>
            <w:fldChar w:fldCharType="begin"/>
          </w:r>
          <w:r>
            <w:rPr>
              <w:rFonts w:hint="eastAsia"/>
            </w:rPr>
            <w:instrText xml:space="preserve"> </w:instrText>
          </w:r>
          <w:r>
            <w:instrText xml:space="preserve">PAGEREF _Toc204594027 \h</w:instrText>
          </w:r>
          <w:r>
            <w:rPr>
              <w:rFonts w:hint="eastAsia"/>
            </w:rPr>
            <w:instrText xml:space="preserve"> </w:instrText>
          </w:r>
          <w:r>
            <w:rPr>
              <w:rFonts w:hint="eastAsia"/>
            </w:rPr>
            <w:fldChar w:fldCharType="separate"/>
          </w:r>
          <w:r>
            <w:rPr>
              <w:rFonts w:hint="eastAsia"/>
            </w:rPr>
            <w:t>26</w:t>
          </w:r>
          <w:r>
            <w:rPr>
              <w:rFonts w:hint="eastAsia"/>
            </w:rPr>
            <w:fldChar w:fldCharType="end"/>
          </w:r>
          <w:r>
            <w:rPr>
              <w:rFonts w:hint="eastAsia"/>
            </w:rPr>
            <w:fldChar w:fldCharType="end"/>
          </w:r>
        </w:p>
        <w:p w14:paraId="13EA4119">
          <w:pPr>
            <w:pStyle w:val="22"/>
            <w:tabs>
              <w:tab w:val="right" w:leader="dot" w:pos="8302"/>
            </w:tabs>
            <w:rPr>
              <w:rFonts w:hint="eastAsia"/>
              <w:sz w:val="22"/>
            </w:rPr>
          </w:pPr>
          <w:r>
            <w:fldChar w:fldCharType="begin"/>
          </w:r>
          <w:r>
            <w:instrText xml:space="preserve"> HYPERLINK \l "_Toc204594028" </w:instrText>
          </w:r>
          <w:r>
            <w:fldChar w:fldCharType="separate"/>
          </w:r>
          <w:r>
            <w:rPr>
              <w:rStyle w:val="33"/>
              <w:rFonts w:hint="eastAsia" w:ascii="黑体" w:hAnsi="黑体" w:eastAsia="黑体" w:cs="宋体"/>
            </w:rPr>
            <w:t>一、报价函</w:t>
          </w:r>
          <w:r>
            <w:rPr>
              <w:rFonts w:hint="eastAsia"/>
            </w:rPr>
            <w:tab/>
          </w:r>
          <w:r>
            <w:rPr>
              <w:rFonts w:hint="eastAsia"/>
            </w:rPr>
            <w:fldChar w:fldCharType="begin"/>
          </w:r>
          <w:r>
            <w:rPr>
              <w:rFonts w:hint="eastAsia"/>
            </w:rPr>
            <w:instrText xml:space="preserve"> </w:instrText>
          </w:r>
          <w:r>
            <w:instrText xml:space="preserve">PAGEREF _Toc204594028 \h</w:instrText>
          </w:r>
          <w:r>
            <w:rPr>
              <w:rFonts w:hint="eastAsia"/>
            </w:rPr>
            <w:instrText xml:space="preserve"> </w:instrText>
          </w:r>
          <w:r>
            <w:rPr>
              <w:rFonts w:hint="eastAsia"/>
            </w:rPr>
            <w:fldChar w:fldCharType="separate"/>
          </w:r>
          <w:r>
            <w:rPr>
              <w:rFonts w:hint="eastAsia"/>
            </w:rPr>
            <w:t>28</w:t>
          </w:r>
          <w:r>
            <w:rPr>
              <w:rFonts w:hint="eastAsia"/>
            </w:rPr>
            <w:fldChar w:fldCharType="end"/>
          </w:r>
          <w:r>
            <w:rPr>
              <w:rFonts w:hint="eastAsia"/>
            </w:rPr>
            <w:fldChar w:fldCharType="end"/>
          </w:r>
        </w:p>
        <w:p w14:paraId="1CD01FE5">
          <w:pPr>
            <w:pStyle w:val="22"/>
            <w:tabs>
              <w:tab w:val="right" w:leader="dot" w:pos="8302"/>
            </w:tabs>
            <w:rPr>
              <w:rFonts w:hint="eastAsia"/>
              <w:sz w:val="22"/>
            </w:rPr>
          </w:pPr>
          <w:r>
            <w:fldChar w:fldCharType="begin"/>
          </w:r>
          <w:r>
            <w:instrText xml:space="preserve"> HYPERLINK \l "_Toc204594029" </w:instrText>
          </w:r>
          <w:r>
            <w:fldChar w:fldCharType="separate"/>
          </w:r>
          <w:r>
            <w:rPr>
              <w:rStyle w:val="33"/>
              <w:rFonts w:hint="eastAsia" w:ascii="黑体" w:hAnsi="黑体" w:eastAsia="黑体" w:cs="宋体"/>
            </w:rPr>
            <w:t>二、法定代表人身份证明</w:t>
          </w:r>
          <w:r>
            <w:rPr>
              <w:rFonts w:hint="eastAsia"/>
            </w:rPr>
            <w:tab/>
          </w:r>
          <w:r>
            <w:rPr>
              <w:rFonts w:hint="eastAsia"/>
            </w:rPr>
            <w:fldChar w:fldCharType="begin"/>
          </w:r>
          <w:r>
            <w:rPr>
              <w:rFonts w:hint="eastAsia"/>
            </w:rPr>
            <w:instrText xml:space="preserve"> </w:instrText>
          </w:r>
          <w:r>
            <w:instrText xml:space="preserve">PAGEREF _Toc204594029 \h</w:instrText>
          </w:r>
          <w:r>
            <w:rPr>
              <w:rFonts w:hint="eastAsia"/>
            </w:rPr>
            <w:instrText xml:space="preserve"> </w:instrText>
          </w:r>
          <w:r>
            <w:rPr>
              <w:rFonts w:hint="eastAsia"/>
            </w:rPr>
            <w:fldChar w:fldCharType="separate"/>
          </w:r>
          <w:r>
            <w:rPr>
              <w:rFonts w:hint="eastAsia"/>
            </w:rPr>
            <w:t>29</w:t>
          </w:r>
          <w:r>
            <w:rPr>
              <w:rFonts w:hint="eastAsia"/>
            </w:rPr>
            <w:fldChar w:fldCharType="end"/>
          </w:r>
          <w:r>
            <w:rPr>
              <w:rFonts w:hint="eastAsia"/>
            </w:rPr>
            <w:fldChar w:fldCharType="end"/>
          </w:r>
        </w:p>
        <w:p w14:paraId="7764566D">
          <w:pPr>
            <w:pStyle w:val="22"/>
            <w:tabs>
              <w:tab w:val="right" w:leader="dot" w:pos="8302"/>
            </w:tabs>
            <w:rPr>
              <w:rFonts w:hint="eastAsia"/>
              <w:sz w:val="22"/>
            </w:rPr>
          </w:pPr>
          <w:r>
            <w:fldChar w:fldCharType="begin"/>
          </w:r>
          <w:r>
            <w:instrText xml:space="preserve"> HYPERLINK \l "_Toc204594030" </w:instrText>
          </w:r>
          <w:r>
            <w:fldChar w:fldCharType="separate"/>
          </w:r>
          <w:r>
            <w:rPr>
              <w:rStyle w:val="33"/>
              <w:rFonts w:hint="eastAsia" w:ascii="黑体" w:hAnsi="黑体" w:eastAsia="黑体" w:cs="宋体"/>
            </w:rPr>
            <w:t>三、授权委托书</w:t>
          </w:r>
          <w:r>
            <w:rPr>
              <w:rFonts w:hint="eastAsia"/>
            </w:rPr>
            <w:tab/>
          </w:r>
          <w:r>
            <w:rPr>
              <w:rFonts w:hint="eastAsia"/>
            </w:rPr>
            <w:fldChar w:fldCharType="begin"/>
          </w:r>
          <w:r>
            <w:rPr>
              <w:rFonts w:hint="eastAsia"/>
            </w:rPr>
            <w:instrText xml:space="preserve"> </w:instrText>
          </w:r>
          <w:r>
            <w:instrText xml:space="preserve">PAGEREF _Toc204594030 \h</w:instrText>
          </w:r>
          <w:r>
            <w:rPr>
              <w:rFonts w:hint="eastAsia"/>
            </w:rPr>
            <w:instrText xml:space="preserve"> </w:instrText>
          </w:r>
          <w:r>
            <w:rPr>
              <w:rFonts w:hint="eastAsia"/>
            </w:rPr>
            <w:fldChar w:fldCharType="separate"/>
          </w:r>
          <w:r>
            <w:rPr>
              <w:rFonts w:hint="eastAsia"/>
            </w:rPr>
            <w:t>30</w:t>
          </w:r>
          <w:r>
            <w:rPr>
              <w:rFonts w:hint="eastAsia"/>
            </w:rPr>
            <w:fldChar w:fldCharType="end"/>
          </w:r>
          <w:r>
            <w:rPr>
              <w:rFonts w:hint="eastAsia"/>
            </w:rPr>
            <w:fldChar w:fldCharType="end"/>
          </w:r>
        </w:p>
        <w:p w14:paraId="5F548350">
          <w:pPr>
            <w:pStyle w:val="22"/>
            <w:tabs>
              <w:tab w:val="right" w:leader="dot" w:pos="8302"/>
            </w:tabs>
            <w:rPr>
              <w:rFonts w:hint="eastAsia"/>
              <w:sz w:val="22"/>
            </w:rPr>
          </w:pPr>
          <w:r>
            <w:fldChar w:fldCharType="begin"/>
          </w:r>
          <w:r>
            <w:instrText xml:space="preserve"> HYPERLINK \l "_Toc204594031" </w:instrText>
          </w:r>
          <w:r>
            <w:fldChar w:fldCharType="separate"/>
          </w:r>
          <w:r>
            <w:rPr>
              <w:rStyle w:val="33"/>
              <w:rFonts w:hint="eastAsia" w:ascii="黑体" w:hAnsi="黑体" w:eastAsia="黑体" w:cs="宋体"/>
            </w:rPr>
            <w:t>四、营业执照</w:t>
          </w:r>
          <w:r>
            <w:rPr>
              <w:rFonts w:hint="eastAsia"/>
            </w:rPr>
            <w:tab/>
          </w:r>
          <w:r>
            <w:rPr>
              <w:rFonts w:hint="eastAsia"/>
            </w:rPr>
            <w:fldChar w:fldCharType="begin"/>
          </w:r>
          <w:r>
            <w:rPr>
              <w:rFonts w:hint="eastAsia"/>
            </w:rPr>
            <w:instrText xml:space="preserve"> </w:instrText>
          </w:r>
          <w:r>
            <w:instrText xml:space="preserve">PAGEREF _Toc204594031 \h</w:instrText>
          </w:r>
          <w:r>
            <w:rPr>
              <w:rFonts w:hint="eastAsia"/>
            </w:rPr>
            <w:instrText xml:space="preserve"> </w:instrText>
          </w:r>
          <w:r>
            <w:rPr>
              <w:rFonts w:hint="eastAsia"/>
            </w:rPr>
            <w:fldChar w:fldCharType="separate"/>
          </w:r>
          <w:r>
            <w:rPr>
              <w:rFonts w:hint="eastAsia"/>
            </w:rPr>
            <w:t>31</w:t>
          </w:r>
          <w:r>
            <w:rPr>
              <w:rFonts w:hint="eastAsia"/>
            </w:rPr>
            <w:fldChar w:fldCharType="end"/>
          </w:r>
          <w:r>
            <w:rPr>
              <w:rFonts w:hint="eastAsia"/>
            </w:rPr>
            <w:fldChar w:fldCharType="end"/>
          </w:r>
        </w:p>
        <w:p w14:paraId="483E8DAC">
          <w:pPr>
            <w:pStyle w:val="22"/>
            <w:tabs>
              <w:tab w:val="right" w:leader="dot" w:pos="8302"/>
            </w:tabs>
            <w:rPr>
              <w:rFonts w:hint="eastAsia"/>
              <w:sz w:val="22"/>
            </w:rPr>
          </w:pPr>
          <w:r>
            <w:fldChar w:fldCharType="begin"/>
          </w:r>
          <w:r>
            <w:instrText xml:space="preserve"> HYPERLINK \l "_Toc204594032" </w:instrText>
          </w:r>
          <w:r>
            <w:fldChar w:fldCharType="separate"/>
          </w:r>
          <w:r>
            <w:rPr>
              <w:rStyle w:val="33"/>
              <w:rFonts w:hint="eastAsia" w:ascii="黑体" w:hAnsi="黑体" w:eastAsia="黑体" w:cs="宋体"/>
            </w:rPr>
            <w:t>五、维修厂资质证明</w:t>
          </w:r>
          <w:r>
            <w:rPr>
              <w:rFonts w:hint="eastAsia"/>
            </w:rPr>
            <w:tab/>
          </w:r>
          <w:r>
            <w:rPr>
              <w:rFonts w:hint="eastAsia"/>
            </w:rPr>
            <w:fldChar w:fldCharType="begin"/>
          </w:r>
          <w:r>
            <w:rPr>
              <w:rFonts w:hint="eastAsia"/>
            </w:rPr>
            <w:instrText xml:space="preserve"> </w:instrText>
          </w:r>
          <w:r>
            <w:instrText xml:space="preserve">PAGEREF _Toc204594032 \h</w:instrText>
          </w:r>
          <w:r>
            <w:rPr>
              <w:rFonts w:hint="eastAsia"/>
            </w:rPr>
            <w:instrText xml:space="preserve"> </w:instrText>
          </w:r>
          <w:r>
            <w:rPr>
              <w:rFonts w:hint="eastAsia"/>
            </w:rPr>
            <w:fldChar w:fldCharType="separate"/>
          </w:r>
          <w:r>
            <w:rPr>
              <w:rFonts w:hint="eastAsia"/>
            </w:rPr>
            <w:t>31</w:t>
          </w:r>
          <w:r>
            <w:rPr>
              <w:rFonts w:hint="eastAsia"/>
            </w:rPr>
            <w:fldChar w:fldCharType="end"/>
          </w:r>
          <w:r>
            <w:rPr>
              <w:rFonts w:hint="eastAsia"/>
            </w:rPr>
            <w:fldChar w:fldCharType="end"/>
          </w:r>
        </w:p>
        <w:p w14:paraId="22CDD1C2">
          <w:pPr>
            <w:pStyle w:val="22"/>
            <w:tabs>
              <w:tab w:val="right" w:leader="dot" w:pos="8302"/>
            </w:tabs>
            <w:rPr>
              <w:rFonts w:hint="eastAsia"/>
              <w:sz w:val="22"/>
            </w:rPr>
          </w:pPr>
          <w:r>
            <w:fldChar w:fldCharType="begin"/>
          </w:r>
          <w:r>
            <w:instrText xml:space="preserve"> HYPERLINK \l "_Toc204594033" </w:instrText>
          </w:r>
          <w:r>
            <w:fldChar w:fldCharType="separate"/>
          </w:r>
          <w:r>
            <w:rPr>
              <w:rStyle w:val="33"/>
              <w:rFonts w:hint="eastAsia" w:ascii="黑体" w:hAnsi="黑体" w:eastAsia="黑体" w:cs="宋体"/>
            </w:rPr>
            <w:t>六、商务和技术偏差表</w:t>
          </w:r>
          <w:r>
            <w:rPr>
              <w:rFonts w:hint="eastAsia"/>
            </w:rPr>
            <w:tab/>
          </w:r>
          <w:r>
            <w:rPr>
              <w:rFonts w:hint="eastAsia"/>
            </w:rPr>
            <w:fldChar w:fldCharType="begin"/>
          </w:r>
          <w:r>
            <w:rPr>
              <w:rFonts w:hint="eastAsia"/>
            </w:rPr>
            <w:instrText xml:space="preserve"> </w:instrText>
          </w:r>
          <w:r>
            <w:instrText xml:space="preserve">PAGEREF _Toc204594033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4CF4C3E3">
          <w:pPr>
            <w:pStyle w:val="22"/>
            <w:tabs>
              <w:tab w:val="right" w:leader="dot" w:pos="8302"/>
            </w:tabs>
            <w:rPr>
              <w:rFonts w:hint="eastAsia"/>
              <w:sz w:val="22"/>
            </w:rPr>
          </w:pPr>
          <w:r>
            <w:fldChar w:fldCharType="begin"/>
          </w:r>
          <w:r>
            <w:instrText xml:space="preserve"> HYPERLINK \l "_Toc204594034" </w:instrText>
          </w:r>
          <w:r>
            <w:fldChar w:fldCharType="separate"/>
          </w:r>
          <w:r>
            <w:rPr>
              <w:rStyle w:val="33"/>
              <w:rFonts w:hint="eastAsia" w:ascii="黑体" w:hAnsi="黑体" w:eastAsia="黑体" w:cs="宋体"/>
            </w:rPr>
            <w:t>七、承诺书（格式附后）</w:t>
          </w:r>
          <w:r>
            <w:rPr>
              <w:rFonts w:hint="eastAsia"/>
            </w:rPr>
            <w:tab/>
          </w:r>
          <w:r>
            <w:rPr>
              <w:rFonts w:hint="eastAsia"/>
            </w:rPr>
            <w:fldChar w:fldCharType="begin"/>
          </w:r>
          <w:r>
            <w:rPr>
              <w:rFonts w:hint="eastAsia"/>
            </w:rPr>
            <w:instrText xml:space="preserve"> </w:instrText>
          </w:r>
          <w:r>
            <w:instrText xml:space="preserve">PAGEREF _Toc204594034 \h</w:instrText>
          </w:r>
          <w:r>
            <w:rPr>
              <w:rFonts w:hint="eastAsia"/>
            </w:rPr>
            <w:instrText xml:space="preserve"> </w:instrText>
          </w:r>
          <w:r>
            <w:rPr>
              <w:rFonts w:hint="eastAsia"/>
            </w:rPr>
            <w:fldChar w:fldCharType="separate"/>
          </w:r>
          <w:r>
            <w:rPr>
              <w:rFonts w:hint="eastAsia"/>
            </w:rPr>
            <w:t>33</w:t>
          </w:r>
          <w:r>
            <w:rPr>
              <w:rFonts w:hint="eastAsia"/>
            </w:rPr>
            <w:fldChar w:fldCharType="end"/>
          </w:r>
          <w:r>
            <w:rPr>
              <w:rFonts w:hint="eastAsia"/>
            </w:rPr>
            <w:fldChar w:fldCharType="end"/>
          </w:r>
        </w:p>
        <w:p w14:paraId="06E03E0E">
          <w:r>
            <w:rPr>
              <w:b/>
              <w:bCs/>
              <w:lang w:val="zh-CN"/>
            </w:rPr>
            <w:fldChar w:fldCharType="end"/>
          </w:r>
        </w:p>
      </w:sdtContent>
    </w:sdt>
    <w:p w14:paraId="63B95D20">
      <w:pPr>
        <w:pStyle w:val="66"/>
        <w:rPr>
          <w:rStyle w:val="69"/>
          <w:rFonts w:hint="default" w:ascii="黑体" w:hAnsi="黑体" w:eastAsia="黑体"/>
          <w:sz w:val="32"/>
          <w:szCs w:val="32"/>
        </w:rPr>
      </w:pPr>
    </w:p>
    <w:p w14:paraId="2D667E1F">
      <w:pPr>
        <w:pStyle w:val="66"/>
      </w:pPr>
    </w:p>
    <w:p w14:paraId="5AFE710A">
      <w:pPr>
        <w:pStyle w:val="66"/>
      </w:pPr>
    </w:p>
    <w:p w14:paraId="2D0C471E">
      <w:pPr>
        <w:pStyle w:val="66"/>
      </w:pPr>
    </w:p>
    <w:p w14:paraId="6B66DD66">
      <w:pPr>
        <w:pStyle w:val="66"/>
      </w:pPr>
    </w:p>
    <w:p w14:paraId="4D70931F">
      <w:pPr>
        <w:pStyle w:val="66"/>
      </w:pPr>
    </w:p>
    <w:p w14:paraId="21D1125E">
      <w:pPr>
        <w:pStyle w:val="66"/>
        <w:rPr>
          <w:rFonts w:hint="eastAsia"/>
        </w:rPr>
      </w:pPr>
    </w:p>
    <w:p w14:paraId="4792D3A4">
      <w:pPr>
        <w:pStyle w:val="66"/>
        <w:rPr>
          <w:rStyle w:val="69"/>
          <w:rFonts w:hint="default" w:ascii="黑体" w:hAnsi="黑体" w:eastAsia="黑体"/>
          <w:sz w:val="32"/>
          <w:szCs w:val="32"/>
        </w:rPr>
      </w:pPr>
    </w:p>
    <w:p w14:paraId="01B33DFB">
      <w:pPr>
        <w:pStyle w:val="66"/>
        <w:rPr>
          <w:rStyle w:val="69"/>
          <w:rFonts w:ascii="黑体" w:hAnsi="黑体" w:eastAsia="黑体"/>
          <w:sz w:val="32"/>
          <w:szCs w:val="32"/>
        </w:rPr>
      </w:pPr>
    </w:p>
    <w:p w14:paraId="66CE1E61">
      <w:pPr>
        <w:pStyle w:val="2"/>
        <w:jc w:val="center"/>
        <w:rPr>
          <w:rStyle w:val="69"/>
          <w:rFonts w:hint="default" w:ascii="黑体" w:hAnsi="黑体" w:eastAsia="黑体"/>
          <w:sz w:val="32"/>
          <w:szCs w:val="32"/>
        </w:rPr>
      </w:pPr>
      <w:bookmarkStart w:id="0" w:name="_Toc204594022"/>
      <w:r>
        <w:rPr>
          <w:rStyle w:val="69"/>
          <w:rFonts w:hint="default" w:ascii="黑体" w:hAnsi="黑体" w:eastAsia="黑体"/>
          <w:sz w:val="32"/>
          <w:szCs w:val="32"/>
        </w:rPr>
        <w:t>第一章 询比公告</w:t>
      </w:r>
      <w:bookmarkEnd w:id="0"/>
    </w:p>
    <w:p w14:paraId="0C706D59">
      <w:pPr>
        <w:wordWrap w:val="0"/>
        <w:spacing w:line="480" w:lineRule="exact"/>
        <w:ind w:firstLine="560" w:firstLineChars="200"/>
        <w:rPr>
          <w:rFonts w:ascii="Times New Roman" w:hAnsi="Times New Roman" w:eastAsia="仿宋_GB2312" w:cs="Times New Roman"/>
          <w:sz w:val="28"/>
          <w:szCs w:val="28"/>
        </w:rPr>
      </w:pPr>
    </w:p>
    <w:p w14:paraId="501F9758">
      <w:pPr>
        <w:wordWrap w:val="0"/>
        <w:spacing w:line="4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u w:val="single"/>
        </w:rPr>
        <w:t>亳州市公交出租有限责任公司出租车改漆采购项目</w:t>
      </w:r>
      <w:r>
        <w:rPr>
          <w:rFonts w:hint="eastAsia" w:ascii="宋体" w:hAnsi="宋体" w:eastAsia="宋体" w:cs="宋体"/>
          <w:sz w:val="28"/>
          <w:szCs w:val="28"/>
        </w:rPr>
        <w:t>已具备采购条件，现对该项目进行公开询比。</w:t>
      </w:r>
    </w:p>
    <w:p w14:paraId="66FDE4A8">
      <w:pPr>
        <w:wordWrap w:val="0"/>
        <w:spacing w:line="480" w:lineRule="exact"/>
        <w:ind w:firstLine="560" w:firstLineChars="200"/>
        <w:rPr>
          <w:rFonts w:ascii="Times New Roman" w:hAnsi="Times New Roman" w:eastAsia="仿宋_GB2312" w:cs="Times New Roman"/>
          <w:sz w:val="28"/>
          <w:szCs w:val="28"/>
        </w:rPr>
      </w:pPr>
      <w:r>
        <w:rPr>
          <w:rFonts w:hint="eastAsia" w:ascii="黑体" w:hAnsi="黑体" w:eastAsia="黑体" w:cs="黑体"/>
          <w:sz w:val="28"/>
          <w:szCs w:val="28"/>
        </w:rPr>
        <w:t>一、采购项目简介</w:t>
      </w:r>
      <w:r>
        <w:rPr>
          <w:rFonts w:ascii="Times New Roman" w:hAnsi="Times New Roman" w:eastAsia="仿宋_GB2312" w:cs="Times New Roman"/>
          <w:sz w:val="28"/>
          <w:szCs w:val="28"/>
        </w:rPr>
        <w:tab/>
      </w:r>
    </w:p>
    <w:p w14:paraId="3539EB21">
      <w:pPr>
        <w:wordWrap w:val="0"/>
        <w:spacing w:line="480" w:lineRule="exact"/>
        <w:ind w:firstLine="560" w:firstLineChars="200"/>
        <w:rPr>
          <w:rFonts w:hint="eastAsia" w:ascii="宋体" w:hAnsi="宋体" w:eastAsia="宋体" w:cs="宋体"/>
          <w:sz w:val="28"/>
          <w:szCs w:val="28"/>
        </w:rPr>
      </w:pPr>
      <w:r>
        <w:rPr>
          <w:rFonts w:hint="eastAsia" w:asciiTheme="minorEastAsia" w:hAnsiTheme="minorEastAsia" w:cstheme="minorEastAsia"/>
          <w:sz w:val="28"/>
          <w:szCs w:val="28"/>
        </w:rPr>
        <w:t>（一）项目名称：</w:t>
      </w:r>
      <w:permStart w:id="2" w:edGrp="everyone"/>
      <w:r>
        <w:rPr>
          <w:rFonts w:hint="eastAsia" w:ascii="宋体" w:hAnsi="宋体" w:eastAsia="宋体" w:cs="宋体"/>
          <w:kern w:val="0"/>
          <w:sz w:val="28"/>
          <w:szCs w:val="28"/>
        </w:rPr>
        <w:t>亳州市公交出租有限责任公司出租车改漆采购项目</w:t>
      </w:r>
    </w:p>
    <w:permEnd w:id="2"/>
    <w:p w14:paraId="09FE32A0">
      <w:pPr>
        <w:wordWrap w:val="0"/>
        <w:spacing w:line="480" w:lineRule="exact"/>
        <w:ind w:firstLine="560" w:firstLineChars="200"/>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（二）项目编号：BZGJCZ-2025-01号</w:t>
      </w:r>
    </w:p>
    <w:p w14:paraId="77E8CB3C">
      <w:pPr>
        <w:wordWrap w:val="0"/>
        <w:spacing w:line="48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（三）采购人：</w:t>
      </w:r>
      <w:permStart w:id="3" w:edGrp="everyone"/>
      <w:r>
        <w:rPr>
          <w:rFonts w:hint="eastAsia" w:asciiTheme="minorEastAsia" w:hAnsiTheme="minorEastAsia" w:cstheme="minorEastAsia"/>
          <w:sz w:val="28"/>
          <w:szCs w:val="28"/>
        </w:rPr>
        <w:t xml:space="preserve">亳州市公交出租有限责任公司 </w:t>
      </w:r>
      <w:permEnd w:id="3"/>
    </w:p>
    <w:p w14:paraId="38C9B5F5">
      <w:pPr>
        <w:wordWrap w:val="0"/>
        <w:spacing w:line="48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（四）资金落实情况：</w:t>
      </w:r>
      <w:permStart w:id="4" w:edGrp="everyone"/>
      <w:r>
        <w:rPr>
          <w:rFonts w:hint="eastAsia" w:asciiTheme="minorEastAsia" w:hAnsiTheme="minorEastAsia" w:cstheme="minorEastAsia"/>
          <w:sz w:val="28"/>
          <w:szCs w:val="28"/>
        </w:rPr>
        <w:t xml:space="preserve">企业自筹 </w:t>
      </w:r>
      <w:permEnd w:id="4"/>
    </w:p>
    <w:p w14:paraId="2D5646E8">
      <w:pPr>
        <w:wordWrap w:val="0"/>
        <w:spacing w:line="48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（五）最高限价</w:t>
      </w:r>
      <w:permStart w:id="5" w:edGrp="everyone"/>
      <w:r>
        <w:rPr>
          <w:rFonts w:hint="eastAsia" w:asciiTheme="minorEastAsia" w:hAnsiTheme="minorEastAsia" w:cstheme="minorEastAsia"/>
          <w:sz w:val="28"/>
          <w:szCs w:val="28"/>
        </w:rPr>
        <w:t>（含税）</w:t>
      </w:r>
      <w:permEnd w:id="5"/>
      <w:r>
        <w:rPr>
          <w:rFonts w:hint="eastAsia" w:asciiTheme="minorEastAsia" w:hAnsiTheme="minorEastAsia" w:cstheme="minorEastAsia"/>
          <w:sz w:val="28"/>
          <w:szCs w:val="28"/>
        </w:rPr>
        <w:t>：全车喷漆</w:t>
      </w:r>
      <w:r>
        <w:rPr>
          <w:rFonts w:hint="eastAsia" w:asciiTheme="minorEastAsia" w:hAnsiTheme="minorEastAsia" w:cstheme="minorEastAsia"/>
          <w:sz w:val="28"/>
          <w:szCs w:val="28"/>
          <w:u w:val="single"/>
        </w:rPr>
        <w:t>1200元/每台</w:t>
      </w:r>
      <w:r>
        <w:rPr>
          <w:rFonts w:hint="eastAsia" w:asciiTheme="minorEastAsia" w:hAnsiTheme="minorEastAsia" w:cstheme="minorEastAsia"/>
          <w:sz w:val="28"/>
          <w:szCs w:val="28"/>
        </w:rPr>
        <w:t>，半车喷漆</w:t>
      </w:r>
      <w:r>
        <w:rPr>
          <w:rFonts w:hint="eastAsia" w:asciiTheme="minorEastAsia" w:hAnsiTheme="minorEastAsia" w:cstheme="minorEastAsia"/>
          <w:sz w:val="28"/>
          <w:szCs w:val="28"/>
          <w:u w:val="single"/>
        </w:rPr>
        <w:t>600元/每台</w:t>
      </w:r>
      <w:r>
        <w:rPr>
          <w:rFonts w:hint="eastAsia" w:asciiTheme="minorEastAsia" w:hAnsiTheme="minorEastAsia" w:cstheme="minorEastAsia"/>
          <w:sz w:val="28"/>
          <w:szCs w:val="28"/>
        </w:rPr>
        <w:t>，按</w:t>
      </w:r>
      <w:permStart w:id="6" w:edGrp="everyone"/>
      <w:r>
        <w:rPr>
          <w:rFonts w:hint="eastAsia" w:asciiTheme="minorEastAsia" w:hAnsiTheme="minorEastAsia" w:cstheme="minorEastAsia"/>
          <w:sz w:val="28"/>
          <w:szCs w:val="28"/>
          <w:u w:val="single"/>
        </w:rPr>
        <w:t>固定单价</w:t>
      </w:r>
      <w:permEnd w:id="6"/>
      <w:r>
        <w:rPr>
          <w:rFonts w:hint="eastAsia" w:asciiTheme="minorEastAsia" w:hAnsiTheme="minorEastAsia" w:cstheme="minorEastAsia"/>
          <w:sz w:val="28"/>
          <w:szCs w:val="28"/>
        </w:rPr>
        <w:t>报价。报价超出限价的，按无效报价处理；报价应包括为完成本项目采购范围内各阶段工作内容所需的全部费用，成交后不予调整，其他未尽事宜应统一考虑在报价内。不含税价格不因国家税率变化而改变，在合同履行期间，如遇国家税率调整，则价税合计的价格应相应调整，以开具发票的时间为准。</w:t>
      </w:r>
    </w:p>
    <w:p w14:paraId="61EAF005">
      <w:pPr>
        <w:wordWrap w:val="0"/>
        <w:spacing w:line="480" w:lineRule="exact"/>
        <w:ind w:firstLine="560" w:firstLineChars="200"/>
        <w:rPr>
          <w:rFonts w:ascii="Times New Roman" w:hAnsi="Times New Roman" w:eastAsia="仿宋_GB2312" w:cs="Times New Roman"/>
          <w:sz w:val="28"/>
          <w:szCs w:val="28"/>
        </w:rPr>
      </w:pPr>
      <w:r>
        <w:rPr>
          <w:rFonts w:hint="eastAsia" w:ascii="黑体" w:hAnsi="黑体" w:eastAsia="黑体" w:cs="黑体"/>
          <w:sz w:val="28"/>
          <w:szCs w:val="28"/>
        </w:rPr>
        <w:t>二、采购范围及相关要求</w:t>
      </w:r>
      <w:r>
        <w:rPr>
          <w:rFonts w:ascii="Times New Roman" w:hAnsi="Times New Roman" w:eastAsia="仿宋_GB2312" w:cs="Times New Roman"/>
          <w:sz w:val="28"/>
          <w:szCs w:val="28"/>
        </w:rPr>
        <w:tab/>
      </w:r>
    </w:p>
    <w:p w14:paraId="0D06E36F">
      <w:pPr>
        <w:wordWrap w:val="0"/>
        <w:spacing w:line="48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（一）采购范围：</w:t>
      </w:r>
      <w:permStart w:id="7" w:edGrp="everyone"/>
      <w:r>
        <w:rPr>
          <w:rFonts w:hint="eastAsia" w:asciiTheme="minorEastAsia" w:hAnsiTheme="minorEastAsia" w:cstheme="minorEastAsia"/>
          <w:sz w:val="28"/>
          <w:szCs w:val="28"/>
        </w:rPr>
        <w:t>两款车型共计150辆，分别为：江淮爱跑、奇瑞艾瑞泽E,其中江淮爱跑需全车改漆，奇瑞艾瑞泽E半车改漆，更改后颜色为[上蓝+下黄]，左右前门：[亳州公交LOGO+亳州公交字样]，左右后门：[12328服务监督热线]</w:t>
      </w:r>
    </w:p>
    <w:p w14:paraId="5C4FD737">
      <w:pPr>
        <w:wordWrap w:val="0"/>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drawing>
          <wp:inline distT="0" distB="0" distL="0" distR="0">
            <wp:extent cx="4654550" cy="2184400"/>
            <wp:effectExtent l="0" t="0" r="0" b="6350"/>
            <wp:docPr id="11012141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14158"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681723" cy="2197152"/>
                    </a:xfrm>
                    <a:prstGeom prst="rect">
                      <a:avLst/>
                    </a:prstGeom>
                  </pic:spPr>
                </pic:pic>
              </a:graphicData>
            </a:graphic>
          </wp:inline>
        </w:drawing>
      </w:r>
    </w:p>
    <w:permEnd w:id="7"/>
    <w:p w14:paraId="7E00342A">
      <w:pPr>
        <w:wordWrap w:val="0"/>
        <w:spacing w:line="48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（二）工期：3日历日/台，</w:t>
      </w:r>
      <w:bookmarkStart w:id="1" w:name="_Hlk204353093"/>
      <w:r>
        <w:rPr>
          <w:rFonts w:hint="eastAsia" w:asciiTheme="minorEastAsia" w:hAnsiTheme="minorEastAsia" w:cstheme="minorEastAsia"/>
          <w:sz w:val="28"/>
          <w:szCs w:val="28"/>
        </w:rPr>
        <w:t>供应商可根据能力并行施工。</w:t>
      </w:r>
    </w:p>
    <w:bookmarkEnd w:id="1"/>
    <w:p w14:paraId="68DE31A2">
      <w:pPr>
        <w:wordWrap w:val="0"/>
        <w:spacing w:line="48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（三）质量要求：</w:t>
      </w:r>
      <w:permStart w:id="8" w:edGrp="everyone"/>
      <w:r>
        <w:rPr>
          <w:rFonts w:hint="eastAsia" w:asciiTheme="minorEastAsia" w:hAnsiTheme="minorEastAsia" w:cstheme="minorEastAsia"/>
          <w:sz w:val="28"/>
          <w:szCs w:val="28"/>
        </w:rPr>
        <w:t>符合国家、地方、行业现行相关规范合格标准。</w:t>
      </w:r>
    </w:p>
    <w:permEnd w:id="8"/>
    <w:p w14:paraId="2F22EFCA">
      <w:pPr>
        <w:wordWrap w:val="0"/>
        <w:spacing w:line="48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（四）质保期：</w:t>
      </w:r>
      <w:permStart w:id="9" w:edGrp="everyone"/>
      <w:r>
        <w:rPr>
          <w:rFonts w:hint="eastAsia" w:asciiTheme="minorEastAsia" w:hAnsiTheme="minorEastAsia" w:cstheme="minorEastAsia"/>
          <w:sz w:val="28"/>
          <w:szCs w:val="28"/>
        </w:rPr>
        <w:t>自喷漆完工交车之日起质保24个月。</w:t>
      </w:r>
      <w:permEnd w:id="9"/>
    </w:p>
    <w:p w14:paraId="6A55ED59">
      <w:pPr>
        <w:wordWrap w:val="0"/>
        <w:spacing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三、供应商资格要求</w:t>
      </w:r>
    </w:p>
    <w:p w14:paraId="7D7F6EC8">
      <w:pPr>
        <w:wordWrap w:val="0"/>
        <w:spacing w:line="480" w:lineRule="exact"/>
        <w:ind w:firstLine="560" w:firstLineChars="200"/>
        <w:rPr>
          <w:rFonts w:hint="eastAsia" w:asciiTheme="minorEastAsia" w:hAnsiTheme="minorEastAsia" w:cstheme="minorEastAsia"/>
          <w:sz w:val="28"/>
          <w:szCs w:val="28"/>
        </w:rPr>
      </w:pPr>
      <w:r>
        <w:rPr>
          <w:rFonts w:asciiTheme="minorEastAsia" w:hAnsiTheme="minorEastAsia" w:cstheme="minorEastAsia"/>
          <w:sz w:val="28"/>
          <w:szCs w:val="28"/>
        </w:rPr>
        <w:t>（一）</w:t>
      </w:r>
      <w:r>
        <w:rPr>
          <w:rFonts w:hint="eastAsia" w:asciiTheme="minorEastAsia" w:hAnsiTheme="minorEastAsia" w:cstheme="minorEastAsia"/>
          <w:sz w:val="28"/>
          <w:szCs w:val="28"/>
        </w:rPr>
        <w:t>具有独立承担民事责任的能力，并在人员、设备、资金等方面具有承担本项目供货的能力；</w:t>
      </w:r>
    </w:p>
    <w:p w14:paraId="1CC9EDBD">
      <w:pPr>
        <w:wordWrap w:val="0"/>
        <w:spacing w:line="480" w:lineRule="exact"/>
        <w:ind w:firstLine="560" w:firstLineChars="200"/>
        <w:rPr>
          <w:rFonts w:hint="eastAsia" w:asciiTheme="minorEastAsia" w:hAnsiTheme="minorEastAsia" w:cstheme="minorEastAsia"/>
          <w:color w:val="C00000"/>
          <w:sz w:val="28"/>
          <w:szCs w:val="28"/>
        </w:rPr>
      </w:pPr>
      <w:permStart w:id="10" w:edGrp="everyone"/>
      <w:r>
        <w:rPr>
          <w:rFonts w:hint="eastAsia" w:asciiTheme="minorEastAsia" w:hAnsiTheme="minorEastAsia" w:cstheme="minorEastAsia"/>
          <w:sz w:val="28"/>
          <w:szCs w:val="28"/>
        </w:rPr>
        <w:t>（二）资质要求：具备机动车维修二类及以上资质（含二类）。</w:t>
      </w:r>
    </w:p>
    <w:permEnd w:id="10"/>
    <w:p w14:paraId="09B2218A">
      <w:pPr>
        <w:wordWrap w:val="0"/>
        <w:spacing w:line="48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（三）本次</w:t>
      </w:r>
      <w:permStart w:id="11" w:edGrp="everyone"/>
      <w:r>
        <w:rPr>
          <w:rFonts w:hint="eastAsia" w:asciiTheme="minorEastAsia" w:hAnsiTheme="minorEastAsia" w:cstheme="minorEastAsia"/>
          <w:sz w:val="28"/>
          <w:szCs w:val="28"/>
        </w:rPr>
        <w:t>采购不接受</w:t>
      </w:r>
      <w:permEnd w:id="11"/>
      <w:r>
        <w:rPr>
          <w:rFonts w:hint="eastAsia" w:asciiTheme="minorEastAsia" w:hAnsiTheme="minorEastAsia" w:cstheme="minorEastAsia"/>
          <w:sz w:val="28"/>
          <w:szCs w:val="28"/>
        </w:rPr>
        <w:t>联合体。</w:t>
      </w:r>
    </w:p>
    <w:p w14:paraId="11BD4F40">
      <w:pPr>
        <w:wordWrap w:val="0"/>
        <w:spacing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四、询比文件的获取</w:t>
      </w:r>
    </w:p>
    <w:p w14:paraId="269612DB">
      <w:pPr>
        <w:wordWrap w:val="0"/>
        <w:spacing w:line="480" w:lineRule="exact"/>
        <w:ind w:firstLine="560" w:firstLineChars="200"/>
        <w:rPr>
          <w:rFonts w:hint="eastAsia" w:asciiTheme="minorEastAsia" w:hAnsiTheme="minorEastAsia" w:cstheme="minorEastAsia"/>
          <w:sz w:val="28"/>
          <w:szCs w:val="28"/>
        </w:rPr>
      </w:pPr>
      <w:r>
        <w:rPr>
          <w:rFonts w:asciiTheme="minorEastAsia" w:hAnsiTheme="minorEastAsia" w:cstheme="minorEastAsia"/>
          <w:sz w:val="28"/>
          <w:szCs w:val="28"/>
        </w:rPr>
        <w:t xml:space="preserve"> 凡有意参加者，请于响应文件递交截止时间前到亳州市公共交通集团有限公司官网(www.bzbus.com.cn)自行下载电子采购文件及其他附件。</w:t>
      </w:r>
    </w:p>
    <w:p w14:paraId="665E35C5">
      <w:pPr>
        <w:wordWrap w:val="0"/>
        <w:spacing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五、响应文件的递交与开启</w:t>
      </w:r>
    </w:p>
    <w:p w14:paraId="4741BB14">
      <w:pPr>
        <w:wordWrap w:val="0"/>
        <w:spacing w:line="48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（一）开启时间（响应文件递交的截止时间）：</w:t>
      </w:r>
      <w:permStart w:id="12" w:edGrp="everyone"/>
      <w:r>
        <w:rPr>
          <w:rFonts w:hint="eastAsia" w:asciiTheme="minorEastAsia" w:hAnsiTheme="minorEastAsia" w:cstheme="minorEastAsia"/>
          <w:sz w:val="28"/>
          <w:szCs w:val="28"/>
        </w:rPr>
        <w:t>2025年</w:t>
      </w:r>
      <w:r>
        <w:rPr>
          <w:rFonts w:hint="eastAsia" w:asciiTheme="minorEastAsia" w:hAnsiTheme="minorEastAsia" w:cstheme="minorEastAsia"/>
          <w:sz w:val="28"/>
          <w:szCs w:val="28"/>
          <w:u w:val="single"/>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4</w:t>
      </w:r>
      <w:r>
        <w:rPr>
          <w:rFonts w:hint="eastAsia" w:asciiTheme="minorEastAsia" w:hAnsiTheme="minorEastAsia" w:cstheme="minorEastAsia"/>
          <w:sz w:val="28"/>
          <w:szCs w:val="28"/>
        </w:rPr>
        <w:t>日</w:t>
      </w:r>
      <w:r>
        <w:rPr>
          <w:rFonts w:hint="eastAsia" w:asciiTheme="minorEastAsia" w:hAnsiTheme="minorEastAsia" w:cstheme="minorEastAsia"/>
          <w:sz w:val="28"/>
          <w:szCs w:val="28"/>
          <w:u w:val="single"/>
        </w:rPr>
        <w:t>9</w:t>
      </w:r>
      <w:r>
        <w:rPr>
          <w:rFonts w:hint="eastAsia" w:asciiTheme="minorEastAsia" w:hAnsiTheme="minorEastAsia" w:cstheme="minorEastAsia"/>
          <w:sz w:val="28"/>
          <w:szCs w:val="28"/>
        </w:rPr>
        <w:t>时</w:t>
      </w:r>
      <w:r>
        <w:rPr>
          <w:rFonts w:hint="eastAsia" w:asciiTheme="minorEastAsia" w:hAnsiTheme="minorEastAsia" w:cstheme="minorEastAsia"/>
          <w:sz w:val="28"/>
          <w:szCs w:val="28"/>
          <w:u w:val="single"/>
        </w:rPr>
        <w:t>00</w:t>
      </w:r>
      <w:r>
        <w:rPr>
          <w:rFonts w:hint="eastAsia" w:asciiTheme="minorEastAsia" w:hAnsiTheme="minorEastAsia" w:cstheme="minorEastAsia"/>
          <w:sz w:val="28"/>
          <w:szCs w:val="28"/>
        </w:rPr>
        <w:t>分</w:t>
      </w:r>
      <w:permEnd w:id="12"/>
      <w:r>
        <w:rPr>
          <w:rFonts w:hint="eastAsia" w:asciiTheme="minorEastAsia" w:hAnsiTheme="minorEastAsia" w:cstheme="minorEastAsia"/>
          <w:sz w:val="28"/>
          <w:szCs w:val="28"/>
        </w:rPr>
        <w:t>（北京时间）；</w:t>
      </w:r>
    </w:p>
    <w:p w14:paraId="3FB2D96A">
      <w:pPr>
        <w:spacing w:line="48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（二）响应文件递交地点：</w:t>
      </w:r>
      <w:bookmarkStart w:id="2" w:name="_Hlk204353188"/>
      <w:r>
        <w:rPr>
          <w:rFonts w:hint="eastAsia" w:asciiTheme="minorEastAsia" w:hAnsiTheme="minorEastAsia" w:cstheme="minorEastAsia"/>
          <w:sz w:val="28"/>
          <w:szCs w:val="28"/>
        </w:rPr>
        <w:t>亳州市公共交通集团有限公司（亳州市药都路1289号）</w:t>
      </w:r>
    </w:p>
    <w:bookmarkEnd w:id="2"/>
    <w:p w14:paraId="4B4B879B">
      <w:pPr>
        <w:wordWrap w:val="0"/>
        <w:spacing w:line="48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（三）响应文件应由供应商的法定代表人(单位负责人)或其授权的代理人递交，逾期送达的、未送达指定地点的或者不按照询比文件要求密封的响应文件，采购人将予以拒收。</w:t>
      </w:r>
    </w:p>
    <w:p w14:paraId="2B9E25D1">
      <w:pPr>
        <w:wordWrap w:val="0"/>
        <w:spacing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六、联系方式</w:t>
      </w:r>
    </w:p>
    <w:p w14:paraId="6D1D9AF7">
      <w:pPr>
        <w:wordWrap w:val="0"/>
        <w:spacing w:line="480" w:lineRule="exact"/>
        <w:ind w:firstLine="560" w:firstLineChars="200"/>
        <w:rPr>
          <w:rFonts w:hint="eastAsia" w:asciiTheme="minorEastAsia" w:hAnsiTheme="minorEastAsia" w:cstheme="minorEastAsia"/>
          <w:sz w:val="28"/>
          <w:szCs w:val="28"/>
        </w:rPr>
      </w:pPr>
      <w:permStart w:id="13" w:edGrp="everyone"/>
      <w:r>
        <w:rPr>
          <w:rFonts w:hint="eastAsia" w:asciiTheme="minorEastAsia" w:hAnsiTheme="minorEastAsia" w:cstheme="minorEastAsia"/>
          <w:sz w:val="28"/>
          <w:szCs w:val="28"/>
        </w:rPr>
        <w:t xml:space="preserve">采 购 </w:t>
      </w:r>
      <w:r>
        <w:rPr>
          <w:rFonts w:asciiTheme="minorEastAsia" w:hAnsiTheme="minorEastAsia" w:cstheme="minorEastAsia"/>
          <w:sz w:val="28"/>
          <w:szCs w:val="28"/>
        </w:rPr>
        <w:t>人：</w:t>
      </w:r>
      <w:r>
        <w:rPr>
          <w:rFonts w:hint="eastAsia" w:asciiTheme="minorEastAsia" w:hAnsiTheme="minorEastAsia" w:cstheme="minorEastAsia"/>
          <w:sz w:val="28"/>
          <w:szCs w:val="28"/>
        </w:rPr>
        <w:t>亳州市公交出租有限责任公司</w:t>
      </w:r>
      <w:bookmarkStart w:id="287" w:name="_GoBack"/>
      <w:bookmarkEnd w:id="287"/>
    </w:p>
    <w:p w14:paraId="23CEDFFB">
      <w:pPr>
        <w:spacing w:line="480" w:lineRule="exact"/>
        <w:ind w:firstLine="560" w:firstLineChars="200"/>
        <w:rPr>
          <w:rFonts w:hint="eastAsia" w:asciiTheme="minorEastAsia" w:hAnsiTheme="minorEastAsia" w:cstheme="minorEastAsia"/>
          <w:sz w:val="28"/>
          <w:szCs w:val="28"/>
        </w:rPr>
      </w:pPr>
      <w:r>
        <w:rPr>
          <w:rFonts w:asciiTheme="minorEastAsia" w:hAnsiTheme="minorEastAsia" w:cstheme="minorEastAsia"/>
          <w:sz w:val="28"/>
          <w:szCs w:val="28"/>
        </w:rPr>
        <w:t>地</w:t>
      </w:r>
      <w:r>
        <w:rPr>
          <w:rFonts w:hint="eastAsia" w:asciiTheme="minorEastAsia" w:hAnsiTheme="minorEastAsia" w:cstheme="minorEastAsia"/>
          <w:sz w:val="28"/>
          <w:szCs w:val="28"/>
        </w:rPr>
        <w:t xml:space="preserve">    </w:t>
      </w:r>
      <w:r>
        <w:rPr>
          <w:rFonts w:asciiTheme="minorEastAsia" w:hAnsiTheme="minorEastAsia" w:cstheme="minorEastAsia"/>
          <w:sz w:val="28"/>
          <w:szCs w:val="28"/>
        </w:rPr>
        <w:t>址：</w:t>
      </w:r>
      <w:r>
        <w:rPr>
          <w:rFonts w:hint="eastAsia" w:asciiTheme="minorEastAsia" w:hAnsiTheme="minorEastAsia" w:cstheme="minorEastAsia"/>
          <w:sz w:val="28"/>
          <w:szCs w:val="28"/>
        </w:rPr>
        <w:t>亳州市公交出租有限责任公司 (亳州市高新区仙翁路学院公交首末站院内)</w:t>
      </w:r>
    </w:p>
    <w:permEnd w:id="13"/>
    <w:p w14:paraId="5273698A">
      <w:pPr>
        <w:spacing w:line="480" w:lineRule="exact"/>
        <w:ind w:firstLine="560" w:firstLineChars="200"/>
        <w:rPr>
          <w:rFonts w:hint="eastAsia" w:asciiTheme="minorEastAsia" w:hAnsiTheme="minorEastAsia" w:cstheme="minorEastAsia"/>
          <w:sz w:val="28"/>
          <w:szCs w:val="28"/>
        </w:rPr>
      </w:pPr>
      <w:r>
        <w:rPr>
          <w:rFonts w:asciiTheme="minorEastAsia" w:hAnsiTheme="minorEastAsia" w:cstheme="minorEastAsia"/>
          <w:sz w:val="28"/>
          <w:szCs w:val="28"/>
        </w:rPr>
        <w:t>联</w:t>
      </w:r>
      <w:r>
        <w:rPr>
          <w:rFonts w:hint="eastAsia" w:asciiTheme="minorEastAsia" w:hAnsiTheme="minorEastAsia" w:cstheme="minorEastAsia"/>
          <w:sz w:val="28"/>
          <w:szCs w:val="28"/>
        </w:rPr>
        <w:t xml:space="preserve"> </w:t>
      </w:r>
      <w:r>
        <w:rPr>
          <w:rFonts w:asciiTheme="minorEastAsia" w:hAnsiTheme="minorEastAsia" w:cstheme="minorEastAsia"/>
          <w:sz w:val="28"/>
          <w:szCs w:val="28"/>
        </w:rPr>
        <w:t>系</w:t>
      </w:r>
      <w:r>
        <w:rPr>
          <w:rFonts w:hint="eastAsia" w:asciiTheme="minorEastAsia" w:hAnsiTheme="minorEastAsia" w:cstheme="minorEastAsia"/>
          <w:sz w:val="28"/>
          <w:szCs w:val="28"/>
        </w:rPr>
        <w:t xml:space="preserve"> </w:t>
      </w:r>
      <w:r>
        <w:rPr>
          <w:rFonts w:asciiTheme="minorEastAsia" w:hAnsiTheme="minorEastAsia" w:cstheme="minorEastAsia"/>
          <w:sz w:val="28"/>
          <w:szCs w:val="28"/>
        </w:rPr>
        <w:t>人：</w:t>
      </w:r>
      <w:permStart w:id="14" w:edGrp="everyone"/>
      <w:r>
        <w:rPr>
          <w:rFonts w:hint="eastAsia" w:asciiTheme="minorEastAsia" w:hAnsiTheme="minorEastAsia" w:cstheme="minorEastAsia"/>
          <w:sz w:val="28"/>
          <w:szCs w:val="28"/>
        </w:rPr>
        <w:t>芮工</w:t>
      </w:r>
      <w:permEnd w:id="14"/>
    </w:p>
    <w:p w14:paraId="30A4A64E">
      <w:pPr>
        <w:wordWrap w:val="0"/>
        <w:spacing w:line="480" w:lineRule="exact"/>
        <w:ind w:firstLine="560" w:firstLineChars="200"/>
        <w:rPr>
          <w:rFonts w:ascii="Times New Roman" w:hAnsi="Times New Roman" w:eastAsia="仿宋_GB2312" w:cs="Times New Roman"/>
          <w:sz w:val="28"/>
          <w:szCs w:val="28"/>
        </w:rPr>
      </w:pPr>
      <w:r>
        <w:rPr>
          <w:rFonts w:hint="eastAsia" w:asciiTheme="minorEastAsia" w:hAnsiTheme="minorEastAsia" w:cstheme="minorEastAsia"/>
          <w:sz w:val="28"/>
          <w:szCs w:val="28"/>
        </w:rPr>
        <w:t>电    话</w:t>
      </w:r>
      <w:r>
        <w:rPr>
          <w:rFonts w:asciiTheme="minorEastAsia" w:hAnsiTheme="minorEastAsia" w:cstheme="minorEastAsia"/>
          <w:sz w:val="28"/>
          <w:szCs w:val="28"/>
        </w:rPr>
        <w:t>：15255946166</w:t>
      </w:r>
    </w:p>
    <w:p w14:paraId="378CC9A4">
      <w:pPr>
        <w:spacing w:line="480" w:lineRule="exact"/>
        <w:jc w:val="center"/>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permStart w:id="15" w:edGrp="everyone"/>
      <w:r>
        <w:rPr>
          <w:rFonts w:hint="eastAsia" w:asciiTheme="minorEastAsia" w:hAnsiTheme="minorEastAsia" w:cstheme="minorEastAsia"/>
          <w:sz w:val="28"/>
          <w:szCs w:val="28"/>
        </w:rPr>
        <w:t xml:space="preserve"> 亳州市公交出租有限责任公司</w:t>
      </w:r>
    </w:p>
    <w:p w14:paraId="083A426C">
      <w:pPr>
        <w:spacing w:line="480" w:lineRule="exact"/>
        <w:jc w:val="center"/>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2025年7月2</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日</w:t>
      </w:r>
    </w:p>
    <w:permEnd w:id="15"/>
    <w:p w14:paraId="3E12D525">
      <w:pPr>
        <w:spacing w:line="480" w:lineRule="exact"/>
        <w:jc w:val="center"/>
        <w:rPr>
          <w:rFonts w:hint="eastAsia" w:asciiTheme="majorEastAsia" w:hAnsiTheme="majorEastAsia" w:eastAsiaTheme="majorEastAsia" w:cstheme="majorEastAsia"/>
          <w:b/>
          <w:bCs/>
          <w:sz w:val="32"/>
          <w:szCs w:val="32"/>
        </w:rPr>
      </w:pPr>
    </w:p>
    <w:p w14:paraId="7387B0D9">
      <w:pPr>
        <w:spacing w:line="480" w:lineRule="exact"/>
        <w:jc w:val="center"/>
        <w:rPr>
          <w:rFonts w:hint="eastAsia" w:asciiTheme="majorEastAsia" w:hAnsiTheme="majorEastAsia" w:eastAsiaTheme="majorEastAsia" w:cstheme="majorEastAsia"/>
          <w:b/>
          <w:bCs/>
          <w:sz w:val="32"/>
          <w:szCs w:val="32"/>
        </w:rPr>
      </w:pPr>
    </w:p>
    <w:p w14:paraId="37986ED1">
      <w:pPr>
        <w:spacing w:line="480" w:lineRule="exact"/>
        <w:jc w:val="center"/>
        <w:rPr>
          <w:rFonts w:hint="eastAsia" w:asciiTheme="majorEastAsia" w:hAnsiTheme="majorEastAsia" w:eastAsiaTheme="majorEastAsia" w:cstheme="majorEastAsia"/>
          <w:b/>
          <w:bCs/>
          <w:sz w:val="32"/>
          <w:szCs w:val="32"/>
        </w:rPr>
      </w:pPr>
    </w:p>
    <w:p w14:paraId="6DE016AC">
      <w:pPr>
        <w:spacing w:line="480" w:lineRule="exact"/>
        <w:jc w:val="center"/>
        <w:rPr>
          <w:rFonts w:hint="eastAsia" w:asciiTheme="majorEastAsia" w:hAnsiTheme="majorEastAsia" w:eastAsiaTheme="majorEastAsia" w:cstheme="majorEastAsia"/>
          <w:b/>
          <w:bCs/>
          <w:sz w:val="32"/>
          <w:szCs w:val="32"/>
        </w:rPr>
      </w:pPr>
    </w:p>
    <w:p w14:paraId="48D2C104">
      <w:pPr>
        <w:spacing w:line="480" w:lineRule="exact"/>
        <w:jc w:val="center"/>
        <w:rPr>
          <w:rFonts w:hint="eastAsia" w:asciiTheme="majorEastAsia" w:hAnsiTheme="majorEastAsia" w:eastAsiaTheme="majorEastAsia" w:cstheme="majorEastAsia"/>
          <w:b/>
          <w:bCs/>
          <w:sz w:val="32"/>
          <w:szCs w:val="32"/>
        </w:rPr>
      </w:pPr>
    </w:p>
    <w:p w14:paraId="58438C18">
      <w:pPr>
        <w:spacing w:line="480" w:lineRule="exact"/>
        <w:jc w:val="center"/>
        <w:rPr>
          <w:rFonts w:hint="eastAsia" w:asciiTheme="majorEastAsia" w:hAnsiTheme="majorEastAsia" w:eastAsiaTheme="majorEastAsia" w:cstheme="majorEastAsia"/>
          <w:b/>
          <w:bCs/>
          <w:sz w:val="32"/>
          <w:szCs w:val="32"/>
        </w:rPr>
      </w:pPr>
    </w:p>
    <w:p w14:paraId="32626629">
      <w:pPr>
        <w:spacing w:line="480" w:lineRule="exact"/>
        <w:jc w:val="center"/>
        <w:rPr>
          <w:rFonts w:hint="eastAsia" w:asciiTheme="majorEastAsia" w:hAnsiTheme="majorEastAsia" w:eastAsiaTheme="majorEastAsia" w:cstheme="majorEastAsia"/>
          <w:b/>
          <w:bCs/>
          <w:sz w:val="32"/>
          <w:szCs w:val="32"/>
        </w:rPr>
      </w:pPr>
    </w:p>
    <w:p w14:paraId="03F60CE3">
      <w:pPr>
        <w:spacing w:line="480" w:lineRule="exact"/>
        <w:jc w:val="center"/>
        <w:rPr>
          <w:rFonts w:hint="eastAsia" w:asciiTheme="majorEastAsia" w:hAnsiTheme="majorEastAsia" w:eastAsiaTheme="majorEastAsia" w:cstheme="majorEastAsia"/>
          <w:b/>
          <w:bCs/>
          <w:sz w:val="32"/>
          <w:szCs w:val="32"/>
        </w:rPr>
      </w:pPr>
    </w:p>
    <w:p w14:paraId="115919B7">
      <w:pPr>
        <w:spacing w:line="480" w:lineRule="exact"/>
        <w:jc w:val="center"/>
        <w:rPr>
          <w:rFonts w:hint="eastAsia" w:asciiTheme="majorEastAsia" w:hAnsiTheme="majorEastAsia" w:eastAsiaTheme="majorEastAsia" w:cstheme="majorEastAsia"/>
          <w:b/>
          <w:bCs/>
          <w:sz w:val="32"/>
          <w:szCs w:val="32"/>
        </w:rPr>
      </w:pPr>
    </w:p>
    <w:p w14:paraId="223C2C44">
      <w:pPr>
        <w:spacing w:line="480" w:lineRule="exact"/>
        <w:jc w:val="center"/>
        <w:rPr>
          <w:rFonts w:hint="eastAsia" w:asciiTheme="majorEastAsia" w:hAnsiTheme="majorEastAsia" w:eastAsiaTheme="majorEastAsia" w:cstheme="majorEastAsia"/>
          <w:b/>
          <w:bCs/>
          <w:sz w:val="32"/>
          <w:szCs w:val="32"/>
        </w:rPr>
      </w:pPr>
    </w:p>
    <w:p w14:paraId="797AFBAD">
      <w:pPr>
        <w:spacing w:line="480" w:lineRule="exact"/>
        <w:jc w:val="center"/>
        <w:rPr>
          <w:rFonts w:hint="eastAsia" w:asciiTheme="majorEastAsia" w:hAnsiTheme="majorEastAsia" w:eastAsiaTheme="majorEastAsia" w:cstheme="majorEastAsia"/>
          <w:b/>
          <w:bCs/>
          <w:sz w:val="32"/>
          <w:szCs w:val="32"/>
        </w:rPr>
      </w:pPr>
    </w:p>
    <w:p w14:paraId="7E1606EB">
      <w:pPr>
        <w:spacing w:line="480" w:lineRule="exact"/>
        <w:jc w:val="center"/>
        <w:rPr>
          <w:rFonts w:hint="eastAsia" w:asciiTheme="majorEastAsia" w:hAnsiTheme="majorEastAsia" w:eastAsiaTheme="majorEastAsia" w:cstheme="majorEastAsia"/>
          <w:b/>
          <w:bCs/>
          <w:sz w:val="32"/>
          <w:szCs w:val="32"/>
        </w:rPr>
      </w:pPr>
    </w:p>
    <w:p w14:paraId="2E1454F1">
      <w:pPr>
        <w:spacing w:line="480" w:lineRule="exact"/>
        <w:jc w:val="center"/>
        <w:rPr>
          <w:rFonts w:hint="eastAsia" w:asciiTheme="majorEastAsia" w:hAnsiTheme="majorEastAsia" w:eastAsiaTheme="majorEastAsia" w:cstheme="majorEastAsia"/>
          <w:b/>
          <w:bCs/>
          <w:sz w:val="32"/>
          <w:szCs w:val="32"/>
        </w:rPr>
      </w:pPr>
    </w:p>
    <w:p w14:paraId="5D0B66DC">
      <w:pPr>
        <w:spacing w:line="480" w:lineRule="exact"/>
        <w:jc w:val="center"/>
        <w:rPr>
          <w:rFonts w:hint="eastAsia" w:asciiTheme="majorEastAsia" w:hAnsiTheme="majorEastAsia" w:eastAsiaTheme="majorEastAsia" w:cstheme="majorEastAsia"/>
          <w:b/>
          <w:bCs/>
          <w:sz w:val="32"/>
          <w:szCs w:val="32"/>
        </w:rPr>
      </w:pPr>
    </w:p>
    <w:p w14:paraId="1975E070">
      <w:pPr>
        <w:spacing w:line="480" w:lineRule="exact"/>
        <w:jc w:val="center"/>
        <w:rPr>
          <w:rFonts w:hint="eastAsia" w:asciiTheme="majorEastAsia" w:hAnsiTheme="majorEastAsia" w:eastAsiaTheme="majorEastAsia" w:cstheme="majorEastAsia"/>
          <w:b/>
          <w:bCs/>
          <w:sz w:val="32"/>
          <w:szCs w:val="32"/>
        </w:rPr>
      </w:pPr>
    </w:p>
    <w:p w14:paraId="5A2FEC59">
      <w:pPr>
        <w:spacing w:line="480" w:lineRule="exact"/>
        <w:jc w:val="center"/>
        <w:rPr>
          <w:rFonts w:hint="eastAsia" w:asciiTheme="majorEastAsia" w:hAnsiTheme="majorEastAsia" w:eastAsiaTheme="majorEastAsia" w:cstheme="majorEastAsia"/>
          <w:b/>
          <w:bCs/>
          <w:sz w:val="32"/>
          <w:szCs w:val="32"/>
        </w:rPr>
      </w:pPr>
    </w:p>
    <w:p w14:paraId="7B8AECFE">
      <w:pPr>
        <w:spacing w:line="480" w:lineRule="exact"/>
        <w:jc w:val="center"/>
        <w:rPr>
          <w:rFonts w:hint="eastAsia" w:asciiTheme="majorEastAsia" w:hAnsiTheme="majorEastAsia" w:eastAsiaTheme="majorEastAsia" w:cstheme="majorEastAsia"/>
          <w:b/>
          <w:bCs/>
          <w:sz w:val="32"/>
          <w:szCs w:val="32"/>
        </w:rPr>
      </w:pPr>
    </w:p>
    <w:p w14:paraId="1BB2C43C">
      <w:pPr>
        <w:spacing w:line="480" w:lineRule="exact"/>
        <w:jc w:val="center"/>
        <w:rPr>
          <w:rFonts w:hint="eastAsia" w:asciiTheme="majorEastAsia" w:hAnsiTheme="majorEastAsia" w:eastAsiaTheme="majorEastAsia" w:cstheme="majorEastAsia"/>
          <w:b/>
          <w:bCs/>
          <w:sz w:val="32"/>
          <w:szCs w:val="32"/>
        </w:rPr>
      </w:pPr>
    </w:p>
    <w:p w14:paraId="341F044B">
      <w:pPr>
        <w:spacing w:line="480" w:lineRule="exact"/>
        <w:jc w:val="center"/>
        <w:rPr>
          <w:rFonts w:hint="eastAsia" w:asciiTheme="majorEastAsia" w:hAnsiTheme="majorEastAsia" w:eastAsiaTheme="majorEastAsia" w:cstheme="majorEastAsia"/>
          <w:b/>
          <w:bCs/>
          <w:sz w:val="32"/>
          <w:szCs w:val="32"/>
        </w:rPr>
      </w:pPr>
    </w:p>
    <w:p w14:paraId="54747D92">
      <w:pPr>
        <w:pStyle w:val="66"/>
        <w:rPr>
          <w:rFonts w:hint="eastAsia"/>
        </w:rPr>
      </w:pPr>
    </w:p>
    <w:p w14:paraId="140219EA">
      <w:pPr>
        <w:pStyle w:val="2"/>
        <w:jc w:val="center"/>
        <w:rPr>
          <w:rFonts w:hint="eastAsia" w:ascii="黑体" w:hAnsi="黑体" w:eastAsia="黑体"/>
          <w:sz w:val="32"/>
          <w:szCs w:val="32"/>
        </w:rPr>
      </w:pPr>
      <w:bookmarkStart w:id="3" w:name="_Toc204594023"/>
      <w:r>
        <w:rPr>
          <w:rFonts w:ascii="黑体" w:hAnsi="黑体" w:eastAsia="黑体"/>
          <w:sz w:val="32"/>
          <w:szCs w:val="32"/>
        </w:rPr>
        <w:t xml:space="preserve">第二章 </w:t>
      </w:r>
      <w:r>
        <w:rPr>
          <w:rFonts w:hint="eastAsia" w:ascii="黑体" w:hAnsi="黑体" w:eastAsia="黑体"/>
          <w:sz w:val="32"/>
          <w:szCs w:val="32"/>
        </w:rPr>
        <w:t>供应商</w:t>
      </w:r>
      <w:r>
        <w:rPr>
          <w:rFonts w:ascii="黑体" w:hAnsi="黑体" w:eastAsia="黑体"/>
          <w:sz w:val="32"/>
          <w:szCs w:val="32"/>
        </w:rPr>
        <w:t>须知</w:t>
      </w:r>
      <w:bookmarkEnd w:id="3"/>
    </w:p>
    <w:p w14:paraId="2FA8F19D">
      <w:pPr>
        <w:spacing w:line="480" w:lineRule="exact"/>
        <w:rPr>
          <w:rFonts w:hint="eastAsia" w:asciiTheme="majorEastAsia" w:hAnsiTheme="majorEastAsia" w:eastAsiaTheme="majorEastAsia" w:cstheme="majorEastAsia"/>
          <w:b/>
          <w:bCs/>
          <w:sz w:val="28"/>
          <w:szCs w:val="28"/>
        </w:rPr>
      </w:pPr>
    </w:p>
    <w:p w14:paraId="7F49D212">
      <w:pPr>
        <w:spacing w:line="480" w:lineRule="exac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供应商须知前附表</w:t>
      </w:r>
    </w:p>
    <w:p w14:paraId="4E0D0C07">
      <w:pPr>
        <w:spacing w:line="480" w:lineRule="exact"/>
        <w:rPr>
          <w:rFonts w:hint="eastAsia" w:asciiTheme="majorEastAsia" w:hAnsiTheme="majorEastAsia" w:eastAsiaTheme="majorEastAsia" w:cstheme="majorEastAsia"/>
          <w:b/>
          <w:bCs/>
          <w:sz w:val="28"/>
          <w:szCs w:val="28"/>
        </w:rPr>
      </w:pPr>
    </w:p>
    <w:tbl>
      <w:tblPr>
        <w:tblStyle w:val="29"/>
        <w:tblW w:w="8522" w:type="dxa"/>
        <w:tblInd w:w="0" w:type="dxa"/>
        <w:tblLayout w:type="fixed"/>
        <w:tblCellMar>
          <w:top w:w="0" w:type="dxa"/>
          <w:left w:w="108" w:type="dxa"/>
          <w:bottom w:w="0" w:type="dxa"/>
          <w:right w:w="108" w:type="dxa"/>
        </w:tblCellMar>
      </w:tblPr>
      <w:tblGrid>
        <w:gridCol w:w="1008"/>
        <w:gridCol w:w="1977"/>
        <w:gridCol w:w="5537"/>
      </w:tblGrid>
      <w:tr w14:paraId="24D7074B">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65933C63">
            <w:pPr>
              <w:wordWrap w:val="0"/>
              <w:spacing w:line="430" w:lineRule="exact"/>
              <w:jc w:val="center"/>
              <w:rPr>
                <w:rFonts w:hint="eastAsia" w:ascii="宋体" w:hAnsi="宋体" w:eastAsia="宋体" w:cs="宋体"/>
                <w:b/>
                <w:sz w:val="24"/>
              </w:rPr>
            </w:pPr>
            <w:r>
              <w:rPr>
                <w:rFonts w:hint="eastAsia" w:ascii="宋体" w:hAnsi="宋体" w:eastAsia="宋体" w:cs="宋体"/>
                <w:b/>
                <w:sz w:val="24"/>
              </w:rPr>
              <w:t>条款号</w:t>
            </w:r>
          </w:p>
        </w:tc>
        <w:tc>
          <w:tcPr>
            <w:tcW w:w="1977" w:type="dxa"/>
            <w:tcBorders>
              <w:top w:val="single" w:color="auto" w:sz="4" w:space="0"/>
              <w:left w:val="single" w:color="auto" w:sz="4" w:space="0"/>
              <w:bottom w:val="single" w:color="auto" w:sz="4" w:space="0"/>
              <w:right w:val="single" w:color="auto" w:sz="4" w:space="0"/>
            </w:tcBorders>
            <w:vAlign w:val="center"/>
          </w:tcPr>
          <w:p w14:paraId="5C80859E">
            <w:pPr>
              <w:wordWrap w:val="0"/>
              <w:spacing w:line="430" w:lineRule="exact"/>
              <w:jc w:val="center"/>
              <w:rPr>
                <w:rFonts w:hint="eastAsia" w:ascii="宋体" w:hAnsi="宋体" w:eastAsia="宋体" w:cs="宋体"/>
                <w:b/>
                <w:sz w:val="24"/>
              </w:rPr>
            </w:pPr>
            <w:r>
              <w:rPr>
                <w:rFonts w:hint="eastAsia" w:ascii="宋体" w:hAnsi="宋体" w:eastAsia="宋体" w:cs="宋体"/>
                <w:b/>
                <w:sz w:val="24"/>
              </w:rPr>
              <w:t>名  称</w:t>
            </w:r>
          </w:p>
        </w:tc>
        <w:tc>
          <w:tcPr>
            <w:tcW w:w="5537" w:type="dxa"/>
            <w:tcBorders>
              <w:top w:val="single" w:color="auto" w:sz="4" w:space="0"/>
              <w:left w:val="single" w:color="auto" w:sz="4" w:space="0"/>
              <w:bottom w:val="single" w:color="auto" w:sz="4" w:space="0"/>
              <w:right w:val="single" w:color="auto" w:sz="4" w:space="0"/>
            </w:tcBorders>
            <w:vAlign w:val="center"/>
          </w:tcPr>
          <w:p w14:paraId="4992EE91">
            <w:pPr>
              <w:wordWrap w:val="0"/>
              <w:spacing w:line="430" w:lineRule="exact"/>
              <w:jc w:val="center"/>
              <w:rPr>
                <w:rFonts w:hint="eastAsia" w:ascii="宋体" w:hAnsi="宋体" w:eastAsia="宋体" w:cs="宋体"/>
                <w:b/>
                <w:sz w:val="24"/>
              </w:rPr>
            </w:pPr>
            <w:r>
              <w:rPr>
                <w:rFonts w:hint="eastAsia" w:ascii="宋体" w:hAnsi="宋体" w:eastAsia="宋体" w:cs="宋体"/>
                <w:b/>
                <w:sz w:val="24"/>
              </w:rPr>
              <w:t>编  列  内  容</w:t>
            </w:r>
          </w:p>
        </w:tc>
      </w:tr>
      <w:tr w14:paraId="0E9AD3AD">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683FA12F">
            <w:pPr>
              <w:wordWrap w:val="0"/>
              <w:spacing w:line="430" w:lineRule="exact"/>
              <w:jc w:val="center"/>
              <w:rPr>
                <w:rFonts w:hint="eastAsia" w:ascii="宋体" w:hAnsi="宋体" w:eastAsia="宋体" w:cs="宋体"/>
                <w:sz w:val="24"/>
              </w:rPr>
            </w:pPr>
            <w:r>
              <w:rPr>
                <w:rFonts w:hint="eastAsia" w:ascii="宋体" w:hAnsi="宋体" w:eastAsia="宋体" w:cs="宋体"/>
                <w:sz w:val="24"/>
              </w:rPr>
              <w:t>1</w:t>
            </w:r>
          </w:p>
        </w:tc>
        <w:tc>
          <w:tcPr>
            <w:tcW w:w="1977" w:type="dxa"/>
            <w:tcBorders>
              <w:top w:val="single" w:color="auto" w:sz="4" w:space="0"/>
              <w:left w:val="single" w:color="auto" w:sz="4" w:space="0"/>
              <w:bottom w:val="single" w:color="auto" w:sz="4" w:space="0"/>
              <w:right w:val="single" w:color="auto" w:sz="4" w:space="0"/>
            </w:tcBorders>
            <w:vAlign w:val="center"/>
          </w:tcPr>
          <w:p w14:paraId="6C177937">
            <w:pPr>
              <w:wordWrap w:val="0"/>
              <w:spacing w:line="430" w:lineRule="exact"/>
              <w:jc w:val="center"/>
              <w:rPr>
                <w:rFonts w:hint="eastAsia" w:ascii="宋体" w:hAnsi="宋体" w:eastAsia="宋体" w:cs="宋体"/>
                <w:sz w:val="24"/>
              </w:rPr>
            </w:pPr>
            <w:r>
              <w:rPr>
                <w:rFonts w:hint="eastAsia" w:ascii="宋体" w:hAnsi="宋体" w:eastAsia="宋体" w:cs="宋体"/>
                <w:sz w:val="24"/>
              </w:rPr>
              <w:t>采购方式</w:t>
            </w:r>
          </w:p>
        </w:tc>
        <w:tc>
          <w:tcPr>
            <w:tcW w:w="5537" w:type="dxa"/>
            <w:tcBorders>
              <w:top w:val="single" w:color="auto" w:sz="4" w:space="0"/>
              <w:left w:val="single" w:color="auto" w:sz="4" w:space="0"/>
              <w:bottom w:val="single" w:color="auto" w:sz="4" w:space="0"/>
              <w:right w:val="single" w:color="auto" w:sz="4" w:space="0"/>
            </w:tcBorders>
            <w:vAlign w:val="center"/>
          </w:tcPr>
          <w:p w14:paraId="5B921775">
            <w:pPr>
              <w:wordWrap w:val="0"/>
              <w:spacing w:line="430" w:lineRule="exact"/>
              <w:rPr>
                <w:rFonts w:hint="eastAsia" w:ascii="宋体" w:hAnsi="宋体" w:eastAsia="宋体" w:cs="宋体"/>
                <w:sz w:val="24"/>
              </w:rPr>
            </w:pPr>
            <w:r>
              <w:rPr>
                <w:rFonts w:hint="eastAsia" w:ascii="宋体" w:hAnsi="宋体" w:eastAsia="宋体" w:cs="宋体"/>
                <w:sz w:val="24"/>
              </w:rPr>
              <w:t>询比采购</w:t>
            </w:r>
          </w:p>
        </w:tc>
      </w:tr>
      <w:tr w14:paraId="1D11FF81">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64B74419">
            <w:pPr>
              <w:wordWrap w:val="0"/>
              <w:spacing w:line="430" w:lineRule="exact"/>
              <w:jc w:val="center"/>
              <w:rPr>
                <w:rFonts w:hint="eastAsia" w:ascii="宋体" w:hAnsi="宋体" w:eastAsia="宋体" w:cs="宋体"/>
                <w:sz w:val="24"/>
              </w:rPr>
            </w:pPr>
            <w:r>
              <w:rPr>
                <w:rFonts w:hint="eastAsia" w:ascii="宋体" w:hAnsi="宋体" w:eastAsia="宋体" w:cs="宋体"/>
                <w:sz w:val="24"/>
              </w:rPr>
              <w:t>2</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65BC7262">
            <w:pPr>
              <w:wordWrap w:val="0"/>
              <w:spacing w:line="430" w:lineRule="exact"/>
              <w:jc w:val="center"/>
              <w:rPr>
                <w:rFonts w:hint="eastAsia" w:ascii="宋体" w:hAnsi="宋体" w:eastAsia="宋体" w:cs="宋体"/>
                <w:sz w:val="24"/>
              </w:rPr>
            </w:pPr>
            <w:r>
              <w:rPr>
                <w:rFonts w:hint="eastAsia" w:ascii="宋体" w:hAnsi="宋体" w:eastAsia="宋体" w:cs="宋体"/>
                <w:sz w:val="24"/>
              </w:rPr>
              <w:t>供应商资格要求</w:t>
            </w:r>
          </w:p>
        </w:tc>
        <w:tc>
          <w:tcPr>
            <w:tcW w:w="5537" w:type="dxa"/>
            <w:tcBorders>
              <w:top w:val="single" w:color="auto" w:sz="4" w:space="0"/>
              <w:left w:val="single" w:color="auto" w:sz="4" w:space="0"/>
              <w:bottom w:val="single" w:color="auto" w:sz="4" w:space="0"/>
              <w:right w:val="single" w:color="auto" w:sz="4" w:space="0"/>
            </w:tcBorders>
            <w:shd w:val="clear" w:color="auto" w:fill="auto"/>
            <w:vAlign w:val="center"/>
          </w:tcPr>
          <w:p w14:paraId="097D0ABF">
            <w:pPr>
              <w:wordWrap w:val="0"/>
              <w:spacing w:line="430" w:lineRule="exact"/>
              <w:jc w:val="left"/>
              <w:rPr>
                <w:rFonts w:hint="eastAsia" w:ascii="宋体" w:hAnsi="宋体" w:eastAsia="宋体" w:cs="宋体"/>
                <w:sz w:val="24"/>
              </w:rPr>
            </w:pPr>
            <w:r>
              <w:rPr>
                <w:rFonts w:hint="eastAsia" w:ascii="宋体" w:hAnsi="宋体" w:eastAsia="宋体" w:cs="宋体"/>
                <w:sz w:val="24"/>
              </w:rPr>
              <w:t xml:space="preserve">详见询比公告。 </w:t>
            </w:r>
          </w:p>
        </w:tc>
      </w:tr>
      <w:tr w14:paraId="04D99886">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5683C197">
            <w:pPr>
              <w:wordWrap w:val="0"/>
              <w:spacing w:line="430" w:lineRule="exact"/>
              <w:jc w:val="center"/>
              <w:rPr>
                <w:rFonts w:hint="eastAsia" w:ascii="宋体" w:hAnsi="宋体" w:eastAsia="宋体" w:cs="宋体"/>
                <w:sz w:val="24"/>
              </w:rPr>
            </w:pPr>
            <w:r>
              <w:rPr>
                <w:rFonts w:hint="eastAsia" w:ascii="宋体" w:hAnsi="宋体" w:eastAsia="宋体" w:cs="宋体"/>
                <w:sz w:val="24"/>
              </w:rPr>
              <w:t>3</w:t>
            </w:r>
          </w:p>
        </w:tc>
        <w:tc>
          <w:tcPr>
            <w:tcW w:w="1977" w:type="dxa"/>
            <w:tcBorders>
              <w:top w:val="single" w:color="auto" w:sz="4" w:space="0"/>
              <w:left w:val="single" w:color="auto" w:sz="4" w:space="0"/>
              <w:bottom w:val="single" w:color="auto" w:sz="4" w:space="0"/>
              <w:right w:val="single" w:color="auto" w:sz="4" w:space="0"/>
            </w:tcBorders>
            <w:vAlign w:val="center"/>
          </w:tcPr>
          <w:p w14:paraId="17A6B3DF">
            <w:pPr>
              <w:wordWrap w:val="0"/>
              <w:spacing w:line="430" w:lineRule="exact"/>
              <w:jc w:val="center"/>
              <w:rPr>
                <w:rFonts w:hint="eastAsia" w:ascii="宋体" w:hAnsi="宋体" w:eastAsia="宋体" w:cs="宋体"/>
                <w:sz w:val="24"/>
              </w:rPr>
            </w:pPr>
            <w:r>
              <w:rPr>
                <w:rFonts w:hint="eastAsia" w:ascii="宋体" w:hAnsi="宋体" w:eastAsia="宋体" w:cs="宋体"/>
                <w:sz w:val="24"/>
              </w:rPr>
              <w:t>采购人</w:t>
            </w:r>
          </w:p>
        </w:tc>
        <w:tc>
          <w:tcPr>
            <w:tcW w:w="5537" w:type="dxa"/>
            <w:tcBorders>
              <w:top w:val="single" w:color="auto" w:sz="4" w:space="0"/>
              <w:left w:val="single" w:color="auto" w:sz="4" w:space="0"/>
              <w:bottom w:val="single" w:color="auto" w:sz="4" w:space="0"/>
              <w:right w:val="single" w:color="auto" w:sz="4" w:space="0"/>
            </w:tcBorders>
            <w:vAlign w:val="center"/>
          </w:tcPr>
          <w:p w14:paraId="714F28B5">
            <w:pPr>
              <w:wordWrap w:val="0"/>
              <w:spacing w:line="430" w:lineRule="exact"/>
              <w:jc w:val="left"/>
              <w:rPr>
                <w:rFonts w:hint="eastAsia" w:ascii="宋体" w:hAnsi="宋体" w:eastAsia="宋体" w:cs="宋体"/>
                <w:sz w:val="24"/>
              </w:rPr>
            </w:pPr>
            <w:r>
              <w:rPr>
                <w:rFonts w:hint="eastAsia" w:ascii="宋体" w:hAnsi="宋体" w:eastAsia="宋体" w:cs="宋体"/>
                <w:sz w:val="24"/>
              </w:rPr>
              <w:t>详见询比公告。</w:t>
            </w:r>
          </w:p>
        </w:tc>
      </w:tr>
      <w:tr w14:paraId="479902E8">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2ABD0E65">
            <w:pPr>
              <w:wordWrap w:val="0"/>
              <w:spacing w:line="430" w:lineRule="exact"/>
              <w:jc w:val="center"/>
              <w:rPr>
                <w:rFonts w:hint="eastAsia" w:ascii="宋体" w:hAnsi="宋体" w:eastAsia="宋体" w:cs="宋体"/>
                <w:sz w:val="24"/>
              </w:rPr>
            </w:pPr>
            <w:r>
              <w:rPr>
                <w:rFonts w:hint="eastAsia" w:ascii="宋体" w:hAnsi="宋体" w:eastAsia="宋体" w:cs="宋体"/>
                <w:sz w:val="24"/>
              </w:rPr>
              <w:t>4</w:t>
            </w:r>
          </w:p>
        </w:tc>
        <w:tc>
          <w:tcPr>
            <w:tcW w:w="1977" w:type="dxa"/>
            <w:tcBorders>
              <w:top w:val="single" w:color="auto" w:sz="4" w:space="0"/>
              <w:left w:val="single" w:color="auto" w:sz="4" w:space="0"/>
              <w:bottom w:val="single" w:color="auto" w:sz="4" w:space="0"/>
              <w:right w:val="single" w:color="auto" w:sz="4" w:space="0"/>
            </w:tcBorders>
            <w:vAlign w:val="center"/>
          </w:tcPr>
          <w:p w14:paraId="31DDF7A2">
            <w:pPr>
              <w:wordWrap w:val="0"/>
              <w:spacing w:line="430" w:lineRule="exact"/>
              <w:jc w:val="center"/>
              <w:rPr>
                <w:rFonts w:hint="eastAsia" w:ascii="宋体" w:hAnsi="宋体" w:eastAsia="宋体" w:cs="宋体"/>
                <w:sz w:val="24"/>
              </w:rPr>
            </w:pPr>
            <w:r>
              <w:rPr>
                <w:rFonts w:hint="eastAsia" w:ascii="宋体" w:hAnsi="宋体" w:eastAsia="宋体" w:cs="宋体"/>
                <w:sz w:val="24"/>
              </w:rPr>
              <w:t>项目名称</w:t>
            </w:r>
          </w:p>
        </w:tc>
        <w:tc>
          <w:tcPr>
            <w:tcW w:w="5537" w:type="dxa"/>
            <w:tcBorders>
              <w:top w:val="single" w:color="auto" w:sz="4" w:space="0"/>
              <w:left w:val="single" w:color="auto" w:sz="4" w:space="0"/>
              <w:bottom w:val="single" w:color="auto" w:sz="4" w:space="0"/>
              <w:right w:val="single" w:color="auto" w:sz="4" w:space="0"/>
            </w:tcBorders>
            <w:vAlign w:val="center"/>
          </w:tcPr>
          <w:p w14:paraId="2B71CB82">
            <w:pPr>
              <w:wordWrap w:val="0"/>
              <w:spacing w:line="430" w:lineRule="exact"/>
              <w:jc w:val="left"/>
              <w:rPr>
                <w:rFonts w:hint="eastAsia" w:ascii="宋体" w:hAnsi="宋体" w:eastAsia="宋体" w:cs="宋体"/>
                <w:sz w:val="24"/>
              </w:rPr>
            </w:pPr>
            <w:r>
              <w:rPr>
                <w:rFonts w:hint="eastAsia" w:ascii="宋体" w:hAnsi="宋体" w:eastAsia="宋体" w:cs="宋体"/>
                <w:sz w:val="24"/>
              </w:rPr>
              <w:t>详见询比公告。</w:t>
            </w:r>
          </w:p>
        </w:tc>
      </w:tr>
      <w:tr w14:paraId="601FE013">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54115F76">
            <w:pPr>
              <w:wordWrap w:val="0"/>
              <w:spacing w:line="430" w:lineRule="exact"/>
              <w:jc w:val="center"/>
              <w:rPr>
                <w:rFonts w:hint="eastAsia" w:ascii="宋体" w:hAnsi="宋体" w:eastAsia="宋体" w:cs="宋体"/>
                <w:sz w:val="24"/>
              </w:rPr>
            </w:pPr>
            <w:r>
              <w:rPr>
                <w:rFonts w:hint="eastAsia" w:ascii="宋体" w:hAnsi="宋体" w:eastAsia="宋体" w:cs="宋体"/>
                <w:sz w:val="24"/>
              </w:rPr>
              <w:t>5</w:t>
            </w:r>
          </w:p>
        </w:tc>
        <w:tc>
          <w:tcPr>
            <w:tcW w:w="1977" w:type="dxa"/>
            <w:tcBorders>
              <w:top w:val="single" w:color="auto" w:sz="4" w:space="0"/>
              <w:left w:val="single" w:color="auto" w:sz="4" w:space="0"/>
              <w:bottom w:val="single" w:color="auto" w:sz="4" w:space="0"/>
              <w:right w:val="single" w:color="auto" w:sz="4" w:space="0"/>
            </w:tcBorders>
            <w:vAlign w:val="center"/>
          </w:tcPr>
          <w:p w14:paraId="39882243">
            <w:pPr>
              <w:wordWrap w:val="0"/>
              <w:spacing w:line="430" w:lineRule="exact"/>
              <w:jc w:val="center"/>
              <w:rPr>
                <w:rFonts w:hint="eastAsia" w:ascii="宋体" w:hAnsi="宋体" w:eastAsia="宋体" w:cs="宋体"/>
                <w:sz w:val="24"/>
              </w:rPr>
            </w:pPr>
            <w:r>
              <w:rPr>
                <w:rFonts w:hint="eastAsia" w:ascii="宋体" w:hAnsi="宋体" w:eastAsia="宋体" w:cs="宋体"/>
                <w:sz w:val="24"/>
              </w:rPr>
              <w:t>供应商资格要求</w:t>
            </w:r>
          </w:p>
        </w:tc>
        <w:tc>
          <w:tcPr>
            <w:tcW w:w="5537" w:type="dxa"/>
            <w:tcBorders>
              <w:top w:val="single" w:color="auto" w:sz="4" w:space="0"/>
              <w:left w:val="single" w:color="auto" w:sz="4" w:space="0"/>
              <w:bottom w:val="single" w:color="auto" w:sz="4" w:space="0"/>
              <w:right w:val="single" w:color="auto" w:sz="4" w:space="0"/>
            </w:tcBorders>
            <w:vAlign w:val="center"/>
          </w:tcPr>
          <w:p w14:paraId="36972980">
            <w:pPr>
              <w:wordWrap w:val="0"/>
              <w:spacing w:line="430" w:lineRule="exact"/>
              <w:jc w:val="left"/>
              <w:rPr>
                <w:rFonts w:hint="eastAsia" w:ascii="宋体" w:hAnsi="宋体" w:eastAsia="宋体" w:cs="宋体"/>
                <w:sz w:val="24"/>
              </w:rPr>
            </w:pPr>
            <w:r>
              <w:rPr>
                <w:rFonts w:hint="eastAsia" w:ascii="宋体" w:hAnsi="宋体" w:eastAsia="宋体" w:cs="宋体"/>
                <w:sz w:val="24"/>
              </w:rPr>
              <w:t>详见询比公告。</w:t>
            </w:r>
          </w:p>
        </w:tc>
      </w:tr>
      <w:tr w14:paraId="26A4501C">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41E42B2B">
            <w:pPr>
              <w:wordWrap w:val="0"/>
              <w:spacing w:line="430" w:lineRule="exact"/>
              <w:jc w:val="center"/>
              <w:rPr>
                <w:rFonts w:hint="eastAsia" w:ascii="宋体" w:hAnsi="宋体" w:eastAsia="宋体" w:cs="宋体"/>
                <w:sz w:val="24"/>
              </w:rPr>
            </w:pPr>
            <w:permStart w:id="16" w:edGrp="everyone" w:colFirst="2" w:colLast="2"/>
            <w:r>
              <w:rPr>
                <w:rFonts w:hint="eastAsia" w:ascii="宋体" w:hAnsi="宋体" w:eastAsia="宋体" w:cs="宋体"/>
                <w:sz w:val="24"/>
              </w:rPr>
              <w:t>6</w:t>
            </w:r>
          </w:p>
        </w:tc>
        <w:tc>
          <w:tcPr>
            <w:tcW w:w="1977" w:type="dxa"/>
            <w:tcBorders>
              <w:top w:val="single" w:color="auto" w:sz="4" w:space="0"/>
              <w:left w:val="single" w:color="auto" w:sz="4" w:space="0"/>
              <w:bottom w:val="single" w:color="auto" w:sz="4" w:space="0"/>
              <w:right w:val="single" w:color="auto" w:sz="4" w:space="0"/>
            </w:tcBorders>
            <w:vAlign w:val="center"/>
          </w:tcPr>
          <w:p w14:paraId="6958EA88">
            <w:pPr>
              <w:wordWrap w:val="0"/>
              <w:spacing w:line="430" w:lineRule="exact"/>
              <w:jc w:val="center"/>
              <w:rPr>
                <w:rFonts w:hint="eastAsia" w:ascii="宋体" w:hAnsi="宋体" w:eastAsia="宋体" w:cs="宋体"/>
                <w:sz w:val="24"/>
              </w:rPr>
            </w:pPr>
            <w:r>
              <w:rPr>
                <w:rFonts w:hint="eastAsia" w:ascii="宋体" w:hAnsi="宋体" w:eastAsia="宋体" w:cs="宋体"/>
                <w:sz w:val="24"/>
              </w:rPr>
              <w:t>踏勘现场</w:t>
            </w:r>
          </w:p>
        </w:tc>
        <w:tc>
          <w:tcPr>
            <w:tcW w:w="5537" w:type="dxa"/>
            <w:tcBorders>
              <w:top w:val="single" w:color="auto" w:sz="4" w:space="0"/>
              <w:left w:val="single" w:color="auto" w:sz="4" w:space="0"/>
              <w:bottom w:val="single" w:color="auto" w:sz="4" w:space="0"/>
              <w:right w:val="single" w:color="auto" w:sz="4" w:space="0"/>
            </w:tcBorders>
            <w:vAlign w:val="center"/>
          </w:tcPr>
          <w:p w14:paraId="132A626A">
            <w:pPr>
              <w:pStyle w:val="12"/>
              <w:wordWrap w:val="0"/>
              <w:spacing w:line="430" w:lineRule="exact"/>
              <w:rPr>
                <w:rFonts w:hint="eastAsia" w:hAnsi="宋体" w:eastAsia="宋体" w:cs="宋体"/>
                <w:szCs w:val="24"/>
              </w:rPr>
            </w:pPr>
            <w:r>
              <w:rPr>
                <w:rFonts w:hint="eastAsia" w:hAnsi="宋体" w:eastAsia="宋体" w:cs="宋体"/>
                <w:szCs w:val="24"/>
              </w:rPr>
              <w:sym w:font="Wingdings" w:char="00FE"/>
            </w:r>
            <w:r>
              <w:rPr>
                <w:rFonts w:hint="eastAsia" w:hAnsi="宋体" w:eastAsia="宋体" w:cs="宋体"/>
                <w:szCs w:val="24"/>
              </w:rPr>
              <w:t>不组织，自行踏勘现场</w:t>
            </w:r>
          </w:p>
          <w:p w14:paraId="5C0E2B69">
            <w:pPr>
              <w:pStyle w:val="12"/>
              <w:wordWrap w:val="0"/>
              <w:spacing w:line="430" w:lineRule="exact"/>
              <w:rPr>
                <w:rFonts w:hint="eastAsia" w:hAnsi="宋体" w:eastAsia="宋体" w:cs="宋体"/>
                <w:szCs w:val="24"/>
              </w:rPr>
            </w:pPr>
            <w:r>
              <w:rPr>
                <w:rFonts w:hint="eastAsia" w:hAnsi="宋体" w:eastAsia="宋体" w:cs="宋体"/>
                <w:szCs w:val="24"/>
              </w:rPr>
              <w:sym w:font="Wingdings" w:char="00A8"/>
            </w:r>
            <w:r>
              <w:rPr>
                <w:rFonts w:hint="eastAsia" w:hAnsi="宋体" w:eastAsia="宋体" w:cs="宋体"/>
                <w:szCs w:val="24"/>
              </w:rPr>
              <w:t xml:space="preserve">组织   </w:t>
            </w:r>
          </w:p>
        </w:tc>
      </w:tr>
      <w:permEnd w:id="16"/>
      <w:tr w14:paraId="1A2CAE70">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08A20A68">
            <w:pPr>
              <w:wordWrap w:val="0"/>
              <w:spacing w:line="430" w:lineRule="exact"/>
              <w:jc w:val="center"/>
              <w:rPr>
                <w:rFonts w:hint="eastAsia" w:ascii="宋体" w:hAnsi="宋体" w:eastAsia="宋体" w:cs="宋体"/>
                <w:sz w:val="24"/>
              </w:rPr>
            </w:pPr>
            <w:r>
              <w:rPr>
                <w:rFonts w:hint="eastAsia" w:ascii="宋体" w:hAnsi="宋体" w:eastAsia="宋体" w:cs="宋体"/>
                <w:sz w:val="24"/>
              </w:rPr>
              <w:t>7</w:t>
            </w:r>
          </w:p>
        </w:tc>
        <w:tc>
          <w:tcPr>
            <w:tcW w:w="1977" w:type="dxa"/>
            <w:tcBorders>
              <w:top w:val="single" w:color="auto" w:sz="4" w:space="0"/>
              <w:left w:val="single" w:color="auto" w:sz="4" w:space="0"/>
              <w:bottom w:val="single" w:color="auto" w:sz="4" w:space="0"/>
              <w:right w:val="single" w:color="auto" w:sz="4" w:space="0"/>
            </w:tcBorders>
            <w:vAlign w:val="center"/>
          </w:tcPr>
          <w:p w14:paraId="4B75EF27">
            <w:pPr>
              <w:wordWrap w:val="0"/>
              <w:spacing w:line="400" w:lineRule="exact"/>
              <w:jc w:val="center"/>
              <w:rPr>
                <w:rFonts w:hint="eastAsia" w:ascii="宋体" w:hAnsi="宋体" w:eastAsia="宋体" w:cs="宋体"/>
                <w:sz w:val="24"/>
              </w:rPr>
            </w:pPr>
            <w:r>
              <w:rPr>
                <w:rFonts w:hint="eastAsia" w:ascii="宋体" w:hAnsi="宋体" w:eastAsia="宋体" w:cs="宋体"/>
                <w:sz w:val="24"/>
              </w:rPr>
              <w:t>分包</w:t>
            </w:r>
          </w:p>
        </w:tc>
        <w:tc>
          <w:tcPr>
            <w:tcW w:w="5537" w:type="dxa"/>
            <w:tcBorders>
              <w:top w:val="single" w:color="auto" w:sz="4" w:space="0"/>
              <w:left w:val="single" w:color="auto" w:sz="4" w:space="0"/>
              <w:bottom w:val="single" w:color="auto" w:sz="4" w:space="0"/>
              <w:right w:val="single" w:color="auto" w:sz="4" w:space="0"/>
            </w:tcBorders>
            <w:vAlign w:val="center"/>
          </w:tcPr>
          <w:p w14:paraId="06648DED">
            <w:pPr>
              <w:wordWrap w:val="0"/>
              <w:spacing w:line="400" w:lineRule="exact"/>
              <w:rPr>
                <w:rFonts w:hint="eastAsia" w:ascii="宋体" w:hAnsi="宋体" w:eastAsia="宋体" w:cs="宋体"/>
                <w:sz w:val="24"/>
              </w:rPr>
            </w:pPr>
            <w:permStart w:id="17" w:edGrp="everyone"/>
            <w:r>
              <w:rPr>
                <w:rFonts w:hint="eastAsia" w:ascii="宋体" w:hAnsi="宋体" w:eastAsia="宋体" w:cs="宋体"/>
                <w:sz w:val="24"/>
              </w:rPr>
              <w:sym w:font="Wingdings" w:char="00FE"/>
            </w:r>
            <w:r>
              <w:rPr>
                <w:rFonts w:hint="eastAsia" w:ascii="宋体" w:hAnsi="宋体" w:eastAsia="宋体" w:cs="宋体"/>
                <w:sz w:val="24"/>
              </w:rPr>
              <w:t>不允许</w:t>
            </w:r>
          </w:p>
          <w:p w14:paraId="5AA58002">
            <w:pPr>
              <w:wordWrap w:val="0"/>
              <w:spacing w:line="400" w:lineRule="exact"/>
              <w:rPr>
                <w:rFonts w:hint="eastAsia" w:ascii="宋体" w:hAnsi="宋体" w:eastAsia="宋体" w:cs="宋体"/>
                <w:sz w:val="24"/>
              </w:rPr>
            </w:pPr>
            <w:r>
              <w:rPr>
                <w:rFonts w:hint="eastAsia" w:ascii="宋体" w:hAnsi="宋体" w:eastAsia="宋体" w:cs="宋体"/>
                <w:sz w:val="24"/>
              </w:rPr>
              <w:sym w:font="Wingdings" w:char="00A8"/>
            </w:r>
            <w:r>
              <w:rPr>
                <w:rFonts w:hint="eastAsia" w:ascii="宋体" w:hAnsi="宋体" w:eastAsia="宋体" w:cs="宋体"/>
                <w:sz w:val="24"/>
              </w:rPr>
              <w:t>允许，分包要求：</w:t>
            </w:r>
            <w:permEnd w:id="17"/>
          </w:p>
        </w:tc>
      </w:tr>
      <w:tr w14:paraId="6064F7D2">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3F2CACC5">
            <w:pPr>
              <w:wordWrap w:val="0"/>
              <w:spacing w:line="430" w:lineRule="exact"/>
              <w:jc w:val="center"/>
              <w:rPr>
                <w:rFonts w:hint="eastAsia" w:ascii="宋体" w:hAnsi="宋体" w:eastAsia="宋体" w:cs="宋体"/>
                <w:sz w:val="24"/>
              </w:rPr>
            </w:pPr>
            <w:r>
              <w:rPr>
                <w:rFonts w:hint="eastAsia" w:ascii="宋体" w:hAnsi="宋体" w:eastAsia="宋体" w:cs="宋体"/>
                <w:sz w:val="24"/>
              </w:rPr>
              <w:t>8</w:t>
            </w:r>
          </w:p>
        </w:tc>
        <w:tc>
          <w:tcPr>
            <w:tcW w:w="1977" w:type="dxa"/>
            <w:tcBorders>
              <w:top w:val="single" w:color="auto" w:sz="4" w:space="0"/>
              <w:left w:val="single" w:color="auto" w:sz="4" w:space="0"/>
              <w:bottom w:val="single" w:color="auto" w:sz="4" w:space="0"/>
              <w:right w:val="single" w:color="auto" w:sz="4" w:space="0"/>
            </w:tcBorders>
            <w:vAlign w:val="center"/>
          </w:tcPr>
          <w:p w14:paraId="2FECD03E">
            <w:pPr>
              <w:wordWrap w:val="0"/>
              <w:spacing w:line="430" w:lineRule="exact"/>
              <w:jc w:val="center"/>
              <w:rPr>
                <w:rFonts w:hint="eastAsia" w:ascii="宋体" w:hAnsi="宋体" w:eastAsia="宋体" w:cs="宋体"/>
                <w:sz w:val="24"/>
              </w:rPr>
            </w:pPr>
            <w:r>
              <w:rPr>
                <w:rFonts w:hint="eastAsia" w:ascii="宋体" w:hAnsi="宋体" w:eastAsia="宋体" w:cs="宋体"/>
                <w:sz w:val="24"/>
              </w:rPr>
              <w:t>构成询比文件的其他材料</w:t>
            </w:r>
          </w:p>
        </w:tc>
        <w:tc>
          <w:tcPr>
            <w:tcW w:w="5537" w:type="dxa"/>
            <w:tcBorders>
              <w:top w:val="single" w:color="auto" w:sz="4" w:space="0"/>
              <w:left w:val="single" w:color="auto" w:sz="4" w:space="0"/>
              <w:bottom w:val="single" w:color="auto" w:sz="4" w:space="0"/>
              <w:right w:val="single" w:color="auto" w:sz="4" w:space="0"/>
            </w:tcBorders>
            <w:vAlign w:val="center"/>
          </w:tcPr>
          <w:p w14:paraId="2AFDA9B9">
            <w:pPr>
              <w:wordWrap w:val="0"/>
              <w:spacing w:line="430" w:lineRule="exact"/>
              <w:rPr>
                <w:rFonts w:hint="eastAsia" w:ascii="宋体" w:hAnsi="宋体" w:eastAsia="宋体" w:cs="宋体"/>
                <w:sz w:val="24"/>
              </w:rPr>
            </w:pPr>
            <w:r>
              <w:rPr>
                <w:rFonts w:hint="eastAsia" w:ascii="宋体" w:hAnsi="宋体" w:eastAsia="宋体" w:cs="宋体"/>
                <w:sz w:val="24"/>
              </w:rPr>
              <w:t>采购人发出的澄清、修改及补充文件等。</w:t>
            </w:r>
          </w:p>
        </w:tc>
      </w:tr>
      <w:tr w14:paraId="062D1E64">
        <w:tblPrEx>
          <w:tblCellMar>
            <w:top w:w="0" w:type="dxa"/>
            <w:left w:w="108" w:type="dxa"/>
            <w:bottom w:w="0" w:type="dxa"/>
            <w:right w:w="108" w:type="dxa"/>
          </w:tblCellMar>
        </w:tblPrEx>
        <w:trPr>
          <w:trHeight w:val="2010" w:hRule="atLeast"/>
        </w:trPr>
        <w:tc>
          <w:tcPr>
            <w:tcW w:w="1008" w:type="dxa"/>
            <w:tcBorders>
              <w:top w:val="single" w:color="auto" w:sz="4" w:space="0"/>
              <w:left w:val="single" w:color="auto" w:sz="4" w:space="0"/>
              <w:right w:val="single" w:color="auto" w:sz="4" w:space="0"/>
            </w:tcBorders>
            <w:vAlign w:val="center"/>
          </w:tcPr>
          <w:p w14:paraId="1C84166C">
            <w:pPr>
              <w:wordWrap w:val="0"/>
              <w:spacing w:line="400" w:lineRule="exact"/>
              <w:jc w:val="center"/>
              <w:rPr>
                <w:rFonts w:hint="eastAsia" w:ascii="宋体" w:hAnsi="宋体" w:eastAsia="宋体" w:cs="宋体"/>
                <w:sz w:val="24"/>
              </w:rPr>
            </w:pPr>
            <w:r>
              <w:rPr>
                <w:rFonts w:hint="eastAsia" w:ascii="宋体" w:hAnsi="宋体" w:eastAsia="宋体" w:cs="宋体"/>
                <w:sz w:val="24"/>
              </w:rPr>
              <w:t>9</w:t>
            </w:r>
          </w:p>
        </w:tc>
        <w:tc>
          <w:tcPr>
            <w:tcW w:w="1977" w:type="dxa"/>
            <w:tcBorders>
              <w:top w:val="single" w:color="auto" w:sz="4" w:space="0"/>
              <w:left w:val="single" w:color="auto" w:sz="4" w:space="0"/>
              <w:right w:val="single" w:color="auto" w:sz="4" w:space="0"/>
            </w:tcBorders>
            <w:vAlign w:val="center"/>
          </w:tcPr>
          <w:p w14:paraId="125CECA0">
            <w:pPr>
              <w:wordWrap w:val="0"/>
              <w:spacing w:line="400" w:lineRule="exact"/>
              <w:jc w:val="center"/>
              <w:rPr>
                <w:rFonts w:hint="eastAsia" w:ascii="宋体" w:hAnsi="宋体" w:eastAsia="宋体" w:cs="宋体"/>
                <w:sz w:val="24"/>
              </w:rPr>
            </w:pPr>
            <w:r>
              <w:rPr>
                <w:rFonts w:hint="eastAsia" w:ascii="宋体" w:hAnsi="宋体" w:eastAsia="宋体" w:cs="宋体"/>
                <w:sz w:val="24"/>
              </w:rPr>
              <w:t>供应商提出问题的截止时间</w:t>
            </w:r>
          </w:p>
        </w:tc>
        <w:tc>
          <w:tcPr>
            <w:tcW w:w="5537" w:type="dxa"/>
            <w:tcBorders>
              <w:top w:val="single" w:color="auto" w:sz="4" w:space="0"/>
              <w:left w:val="single" w:color="auto" w:sz="4" w:space="0"/>
              <w:bottom w:val="single" w:color="auto" w:sz="4" w:space="0"/>
              <w:right w:val="single" w:color="auto" w:sz="4" w:space="0"/>
            </w:tcBorders>
            <w:vAlign w:val="center"/>
          </w:tcPr>
          <w:p w14:paraId="11EE833B">
            <w:pPr>
              <w:tabs>
                <w:tab w:val="left" w:pos="1445"/>
              </w:tabs>
              <w:wordWrap w:val="0"/>
              <w:spacing w:line="400" w:lineRule="exact"/>
              <w:rPr>
                <w:rFonts w:hint="eastAsia" w:ascii="宋体" w:hAnsi="宋体" w:eastAsia="宋体" w:cs="宋体"/>
                <w:sz w:val="24"/>
              </w:rPr>
            </w:pPr>
            <w:permStart w:id="18" w:edGrp="everyone"/>
            <w:r>
              <w:rPr>
                <w:rFonts w:hint="eastAsia" w:ascii="宋体" w:hAnsi="宋体" w:eastAsia="宋体" w:cs="宋体"/>
                <w:b/>
                <w:bCs/>
                <w:sz w:val="24"/>
                <w:u w:val="single"/>
              </w:rPr>
              <w:t>2025</w:t>
            </w:r>
            <w:r>
              <w:rPr>
                <w:rFonts w:hint="eastAsia" w:ascii="宋体" w:hAnsi="宋体" w:eastAsia="宋体" w:cs="宋体"/>
                <w:b/>
                <w:bCs/>
                <w:sz w:val="24"/>
              </w:rPr>
              <w:t>年</w:t>
            </w:r>
            <w:r>
              <w:rPr>
                <w:rFonts w:hint="eastAsia" w:ascii="宋体" w:hAnsi="宋体" w:eastAsia="宋体" w:cs="宋体"/>
                <w:b/>
                <w:bCs/>
                <w:sz w:val="24"/>
                <w:u w:val="single"/>
              </w:rPr>
              <w:t>8</w:t>
            </w:r>
            <w:r>
              <w:rPr>
                <w:rFonts w:hint="eastAsia" w:ascii="宋体" w:hAnsi="宋体" w:eastAsia="宋体" w:cs="宋体"/>
                <w:b/>
                <w:bCs/>
                <w:sz w:val="24"/>
              </w:rPr>
              <w:t>月</w:t>
            </w:r>
            <w:r>
              <w:rPr>
                <w:rFonts w:hint="eastAsia" w:ascii="宋体" w:hAnsi="宋体" w:eastAsia="宋体" w:cs="宋体"/>
                <w:b/>
                <w:bCs/>
                <w:sz w:val="24"/>
                <w:u w:val="single"/>
              </w:rPr>
              <w:t>4</w:t>
            </w:r>
            <w:r>
              <w:rPr>
                <w:rFonts w:hint="eastAsia" w:ascii="宋体" w:hAnsi="宋体" w:eastAsia="宋体" w:cs="宋体"/>
                <w:b/>
                <w:bCs/>
                <w:sz w:val="24"/>
              </w:rPr>
              <w:t>日前</w:t>
            </w:r>
            <w:permEnd w:id="18"/>
            <w:r>
              <w:rPr>
                <w:rFonts w:hint="eastAsia" w:ascii="宋体" w:hAnsi="宋体" w:eastAsia="宋体" w:cs="宋体"/>
                <w:sz w:val="24"/>
              </w:rPr>
              <w:t>，供应商应仔细阅读和检查询比文件的全部内容。如发现缺页或附件不全，应及时向采购人提出，以便补齐。供应商如对询比文件有任何疑问，应及时与采购人联系，递交纸质材料，要求采购人对询比文件予以澄清。否则，供应商无权再因询比文件等与本次询比活动有关的资料而提出质疑、投诉。</w:t>
            </w:r>
          </w:p>
        </w:tc>
      </w:tr>
      <w:tr w14:paraId="25EA3294">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0BF39F66">
            <w:pPr>
              <w:wordWrap w:val="0"/>
              <w:spacing w:line="400" w:lineRule="exact"/>
              <w:jc w:val="center"/>
              <w:rPr>
                <w:rFonts w:hint="eastAsia" w:ascii="宋体" w:hAnsi="宋体" w:eastAsia="宋体" w:cs="宋体"/>
                <w:sz w:val="24"/>
              </w:rPr>
            </w:pPr>
            <w:r>
              <w:rPr>
                <w:rFonts w:hint="eastAsia" w:ascii="宋体" w:hAnsi="宋体" w:eastAsia="宋体" w:cs="宋体"/>
                <w:sz w:val="24"/>
              </w:rPr>
              <w:t>10</w:t>
            </w:r>
          </w:p>
        </w:tc>
        <w:tc>
          <w:tcPr>
            <w:tcW w:w="1977" w:type="dxa"/>
            <w:tcBorders>
              <w:top w:val="single" w:color="auto" w:sz="4" w:space="0"/>
              <w:left w:val="single" w:color="auto" w:sz="4" w:space="0"/>
              <w:bottom w:val="single" w:color="auto" w:sz="4" w:space="0"/>
              <w:right w:val="single" w:color="auto" w:sz="4" w:space="0"/>
            </w:tcBorders>
            <w:vAlign w:val="center"/>
          </w:tcPr>
          <w:p w14:paraId="1C36C0F5">
            <w:pPr>
              <w:wordWrap w:val="0"/>
              <w:spacing w:line="400" w:lineRule="exact"/>
              <w:jc w:val="center"/>
              <w:rPr>
                <w:rFonts w:hint="eastAsia" w:ascii="宋体" w:hAnsi="宋体" w:eastAsia="宋体" w:cs="宋体"/>
                <w:sz w:val="24"/>
              </w:rPr>
            </w:pPr>
            <w:r>
              <w:rPr>
                <w:rFonts w:hint="eastAsia" w:ascii="宋体" w:hAnsi="宋体" w:eastAsia="宋体" w:cs="宋体"/>
                <w:sz w:val="24"/>
              </w:rPr>
              <w:t>采购人澄清的时间</w:t>
            </w:r>
          </w:p>
        </w:tc>
        <w:tc>
          <w:tcPr>
            <w:tcW w:w="5537" w:type="dxa"/>
            <w:tcBorders>
              <w:top w:val="single" w:color="auto" w:sz="4" w:space="0"/>
              <w:left w:val="single" w:color="auto" w:sz="4" w:space="0"/>
              <w:bottom w:val="single" w:color="auto" w:sz="4" w:space="0"/>
              <w:right w:val="single" w:color="auto" w:sz="4" w:space="0"/>
            </w:tcBorders>
            <w:vAlign w:val="center"/>
          </w:tcPr>
          <w:p w14:paraId="7B95339E">
            <w:pPr>
              <w:wordWrap w:val="0"/>
              <w:spacing w:line="400" w:lineRule="exact"/>
              <w:rPr>
                <w:rFonts w:hint="eastAsia" w:ascii="宋体" w:hAnsi="宋体" w:eastAsia="宋体" w:cs="宋体"/>
                <w:sz w:val="24"/>
              </w:rPr>
            </w:pPr>
            <w:permStart w:id="19" w:edGrp="everyone"/>
            <w:r>
              <w:rPr>
                <w:rFonts w:hint="eastAsia" w:ascii="宋体" w:hAnsi="宋体" w:eastAsia="宋体" w:cs="宋体"/>
                <w:sz w:val="24"/>
              </w:rPr>
              <w:t>响应文件开启截止时间前，询比文件的澄清、修改、补充等将由采购人或采购代理平台按照采购文件发布途径统一发出。</w:t>
            </w:r>
            <w:permEnd w:id="19"/>
          </w:p>
        </w:tc>
      </w:tr>
      <w:tr w14:paraId="6CFC7F76">
        <w:tblPrEx>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right w:val="single" w:color="auto" w:sz="4" w:space="0"/>
            </w:tcBorders>
            <w:vAlign w:val="center"/>
          </w:tcPr>
          <w:p w14:paraId="24A32D1C">
            <w:pPr>
              <w:wordWrap w:val="0"/>
              <w:spacing w:line="400" w:lineRule="exact"/>
              <w:jc w:val="center"/>
              <w:rPr>
                <w:rFonts w:hint="eastAsia" w:ascii="宋体" w:hAnsi="宋体" w:eastAsia="宋体" w:cs="宋体"/>
                <w:sz w:val="24"/>
              </w:rPr>
            </w:pPr>
            <w:r>
              <w:rPr>
                <w:rFonts w:hint="eastAsia" w:ascii="宋体" w:hAnsi="宋体" w:eastAsia="宋体" w:cs="宋体"/>
                <w:sz w:val="24"/>
              </w:rPr>
              <w:t>11</w:t>
            </w:r>
          </w:p>
        </w:tc>
        <w:tc>
          <w:tcPr>
            <w:tcW w:w="1977" w:type="dxa"/>
            <w:tcBorders>
              <w:top w:val="single" w:color="auto" w:sz="4" w:space="0"/>
              <w:left w:val="single" w:color="auto" w:sz="4" w:space="0"/>
              <w:right w:val="single" w:color="auto" w:sz="4" w:space="0"/>
            </w:tcBorders>
            <w:vAlign w:val="center"/>
          </w:tcPr>
          <w:p w14:paraId="230660BE">
            <w:pPr>
              <w:wordWrap w:val="0"/>
              <w:spacing w:line="400" w:lineRule="exact"/>
              <w:jc w:val="center"/>
              <w:rPr>
                <w:rFonts w:hint="eastAsia" w:ascii="宋体" w:hAnsi="宋体" w:eastAsia="宋体" w:cs="宋体"/>
                <w:sz w:val="24"/>
              </w:rPr>
            </w:pPr>
            <w:r>
              <w:rPr>
                <w:rFonts w:hint="eastAsia" w:ascii="宋体" w:hAnsi="宋体" w:eastAsia="宋体" w:cs="宋体"/>
                <w:sz w:val="24"/>
              </w:rPr>
              <w:t>供应商确认收到询比文件澄清时间</w:t>
            </w:r>
          </w:p>
        </w:tc>
        <w:tc>
          <w:tcPr>
            <w:tcW w:w="5537" w:type="dxa"/>
            <w:tcBorders>
              <w:top w:val="single" w:color="auto" w:sz="4" w:space="0"/>
              <w:left w:val="single" w:color="auto" w:sz="4" w:space="0"/>
              <w:bottom w:val="single" w:color="auto" w:sz="4" w:space="0"/>
              <w:right w:val="single" w:color="auto" w:sz="4" w:space="0"/>
            </w:tcBorders>
            <w:vAlign w:val="center"/>
          </w:tcPr>
          <w:p w14:paraId="46BA1D22">
            <w:pPr>
              <w:wordWrap w:val="0"/>
              <w:spacing w:line="400" w:lineRule="exact"/>
              <w:rPr>
                <w:rFonts w:hint="eastAsia" w:ascii="宋体" w:hAnsi="宋体" w:eastAsia="宋体" w:cs="宋体"/>
                <w:sz w:val="24"/>
              </w:rPr>
            </w:pPr>
            <w:permStart w:id="20" w:edGrp="everyone"/>
            <w:r>
              <w:rPr>
                <w:rFonts w:hint="eastAsia" w:ascii="宋体" w:hAnsi="宋体" w:eastAsia="宋体" w:cs="宋体"/>
                <w:sz w:val="24"/>
              </w:rPr>
              <w:t>询比文件的澄清、修改、补充等在采购人或采购代理平台发出的时间，视为供应商确认收到询比文件澄清的时间。</w:t>
            </w:r>
            <w:permEnd w:id="20"/>
          </w:p>
        </w:tc>
      </w:tr>
      <w:tr w14:paraId="2EBBF6A0">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2DB2B11A">
            <w:pPr>
              <w:wordWrap w:val="0"/>
              <w:spacing w:line="430" w:lineRule="exact"/>
              <w:jc w:val="center"/>
              <w:rPr>
                <w:rFonts w:hint="eastAsia" w:ascii="宋体" w:hAnsi="宋体" w:eastAsia="宋体" w:cs="宋体"/>
                <w:sz w:val="24"/>
              </w:rPr>
            </w:pPr>
            <w:r>
              <w:rPr>
                <w:rFonts w:hint="eastAsia" w:ascii="宋体" w:hAnsi="宋体" w:eastAsia="宋体" w:cs="宋体"/>
                <w:sz w:val="24"/>
              </w:rPr>
              <w:t>12</w:t>
            </w:r>
          </w:p>
        </w:tc>
        <w:tc>
          <w:tcPr>
            <w:tcW w:w="1977" w:type="dxa"/>
            <w:tcBorders>
              <w:top w:val="single" w:color="auto" w:sz="4" w:space="0"/>
              <w:left w:val="single" w:color="auto" w:sz="4" w:space="0"/>
              <w:bottom w:val="single" w:color="auto" w:sz="4" w:space="0"/>
              <w:right w:val="single" w:color="auto" w:sz="4" w:space="0"/>
            </w:tcBorders>
            <w:vAlign w:val="center"/>
          </w:tcPr>
          <w:p w14:paraId="3B410731">
            <w:pPr>
              <w:wordWrap w:val="0"/>
              <w:spacing w:line="430" w:lineRule="exact"/>
              <w:jc w:val="center"/>
              <w:rPr>
                <w:rFonts w:hint="eastAsia" w:ascii="宋体" w:hAnsi="宋体" w:eastAsia="宋体" w:cs="宋体"/>
                <w:sz w:val="24"/>
              </w:rPr>
            </w:pPr>
            <w:r>
              <w:rPr>
                <w:rFonts w:hint="eastAsia" w:ascii="宋体" w:hAnsi="宋体" w:eastAsia="宋体" w:cs="宋体"/>
                <w:sz w:val="24"/>
              </w:rPr>
              <w:t>构成响应文件的其他材料</w:t>
            </w:r>
          </w:p>
        </w:tc>
        <w:tc>
          <w:tcPr>
            <w:tcW w:w="5537" w:type="dxa"/>
            <w:tcBorders>
              <w:top w:val="single" w:color="auto" w:sz="4" w:space="0"/>
              <w:left w:val="single" w:color="auto" w:sz="4" w:space="0"/>
              <w:bottom w:val="single" w:color="auto" w:sz="4" w:space="0"/>
              <w:right w:val="single" w:color="auto" w:sz="4" w:space="0"/>
            </w:tcBorders>
            <w:vAlign w:val="center"/>
          </w:tcPr>
          <w:p w14:paraId="48BDA6FC">
            <w:pPr>
              <w:spacing w:line="430" w:lineRule="exact"/>
              <w:jc w:val="left"/>
              <w:rPr>
                <w:rFonts w:hint="eastAsia" w:ascii="宋体" w:hAnsi="宋体" w:eastAsia="宋体" w:cs="宋体"/>
                <w:sz w:val="24"/>
              </w:rPr>
            </w:pPr>
            <w:r>
              <w:rPr>
                <w:rFonts w:hint="eastAsia" w:ascii="宋体" w:hAnsi="宋体" w:eastAsia="宋体" w:cs="宋体"/>
                <w:sz w:val="24"/>
              </w:rPr>
              <w:t>供应商的书面澄清、说明和补正（但不得改变响应文件的实质性内容）。</w:t>
            </w:r>
          </w:p>
        </w:tc>
      </w:tr>
      <w:tr w14:paraId="2B9560D2">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7BF1333C">
            <w:pPr>
              <w:wordWrap w:val="0"/>
              <w:spacing w:line="400" w:lineRule="exact"/>
              <w:jc w:val="center"/>
              <w:rPr>
                <w:rFonts w:hint="eastAsia" w:ascii="宋体" w:hAnsi="宋体" w:eastAsia="宋体" w:cs="宋体"/>
                <w:sz w:val="24"/>
              </w:rPr>
            </w:pPr>
            <w:r>
              <w:rPr>
                <w:rFonts w:hint="eastAsia" w:ascii="宋体" w:hAnsi="宋体" w:eastAsia="宋体" w:cs="宋体"/>
                <w:sz w:val="24"/>
              </w:rPr>
              <w:t>13</w:t>
            </w:r>
          </w:p>
        </w:tc>
        <w:tc>
          <w:tcPr>
            <w:tcW w:w="1977" w:type="dxa"/>
            <w:tcBorders>
              <w:top w:val="single" w:color="auto" w:sz="4" w:space="0"/>
              <w:left w:val="single" w:color="auto" w:sz="4" w:space="0"/>
              <w:bottom w:val="single" w:color="auto" w:sz="4" w:space="0"/>
              <w:right w:val="single" w:color="auto" w:sz="4" w:space="0"/>
            </w:tcBorders>
            <w:vAlign w:val="center"/>
          </w:tcPr>
          <w:p w14:paraId="6F478034">
            <w:pPr>
              <w:wordWrap w:val="0"/>
              <w:spacing w:line="400" w:lineRule="exact"/>
              <w:jc w:val="center"/>
              <w:rPr>
                <w:rFonts w:hint="eastAsia" w:ascii="宋体" w:hAnsi="宋体" w:eastAsia="宋体" w:cs="宋体"/>
                <w:sz w:val="24"/>
              </w:rPr>
            </w:pPr>
            <w:r>
              <w:rPr>
                <w:rFonts w:hint="eastAsia" w:ascii="宋体" w:hAnsi="宋体" w:eastAsia="宋体" w:cs="宋体"/>
                <w:sz w:val="24"/>
              </w:rPr>
              <w:t>增值税税金的计算方法</w:t>
            </w:r>
          </w:p>
        </w:tc>
        <w:tc>
          <w:tcPr>
            <w:tcW w:w="5537" w:type="dxa"/>
            <w:tcBorders>
              <w:top w:val="single" w:color="auto" w:sz="4" w:space="0"/>
              <w:left w:val="single" w:color="auto" w:sz="4" w:space="0"/>
              <w:bottom w:val="single" w:color="auto" w:sz="4" w:space="0"/>
              <w:right w:val="single" w:color="auto" w:sz="4" w:space="0"/>
            </w:tcBorders>
            <w:vAlign w:val="center"/>
          </w:tcPr>
          <w:p w14:paraId="250E2B07">
            <w:pPr>
              <w:wordWrap w:val="0"/>
              <w:spacing w:line="400" w:lineRule="exact"/>
              <w:rPr>
                <w:rFonts w:hint="eastAsia" w:ascii="宋体" w:hAnsi="宋体" w:eastAsia="宋体" w:cs="宋体"/>
                <w:sz w:val="24"/>
                <w:u w:val="single"/>
              </w:rPr>
            </w:pPr>
            <w:r>
              <w:rPr>
                <w:rFonts w:hint="eastAsia" w:ascii="宋体" w:hAnsi="宋体" w:eastAsia="宋体" w:cs="宋体"/>
                <w:sz w:val="24"/>
              </w:rPr>
              <w:t>响应报价应包括国家规定的增值税税金，增值税税金按一般计税方法计算。</w:t>
            </w:r>
          </w:p>
        </w:tc>
      </w:tr>
      <w:tr w14:paraId="48B615A3">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1CB01163">
            <w:pPr>
              <w:wordWrap w:val="0"/>
              <w:spacing w:line="430" w:lineRule="exact"/>
              <w:jc w:val="center"/>
              <w:rPr>
                <w:rFonts w:hint="eastAsia" w:ascii="宋体" w:hAnsi="宋体" w:eastAsia="宋体" w:cs="宋体"/>
                <w:sz w:val="24"/>
              </w:rPr>
            </w:pPr>
            <w:r>
              <w:rPr>
                <w:rFonts w:hint="eastAsia" w:ascii="宋体" w:hAnsi="宋体" w:eastAsia="宋体" w:cs="宋体"/>
                <w:sz w:val="24"/>
              </w:rPr>
              <w:t>14</w:t>
            </w:r>
          </w:p>
        </w:tc>
        <w:tc>
          <w:tcPr>
            <w:tcW w:w="1977" w:type="dxa"/>
            <w:tcBorders>
              <w:top w:val="single" w:color="auto" w:sz="4" w:space="0"/>
              <w:left w:val="single" w:color="auto" w:sz="4" w:space="0"/>
              <w:bottom w:val="single" w:color="auto" w:sz="4" w:space="0"/>
              <w:right w:val="single" w:color="auto" w:sz="4" w:space="0"/>
            </w:tcBorders>
            <w:vAlign w:val="center"/>
          </w:tcPr>
          <w:p w14:paraId="2997C62D">
            <w:pPr>
              <w:wordWrap w:val="0"/>
              <w:spacing w:line="430" w:lineRule="exact"/>
              <w:jc w:val="center"/>
              <w:rPr>
                <w:rFonts w:hint="eastAsia" w:ascii="宋体" w:hAnsi="宋体" w:eastAsia="宋体" w:cs="宋体"/>
                <w:sz w:val="24"/>
              </w:rPr>
            </w:pPr>
            <w:r>
              <w:rPr>
                <w:rFonts w:hint="eastAsia" w:ascii="宋体" w:hAnsi="宋体" w:eastAsia="宋体" w:cs="宋体"/>
                <w:sz w:val="24"/>
              </w:rPr>
              <w:t>最高限价或其计算方法</w:t>
            </w:r>
          </w:p>
        </w:tc>
        <w:tc>
          <w:tcPr>
            <w:tcW w:w="5537" w:type="dxa"/>
            <w:tcBorders>
              <w:top w:val="single" w:color="auto" w:sz="4" w:space="0"/>
              <w:left w:val="single" w:color="auto" w:sz="4" w:space="0"/>
              <w:bottom w:val="single" w:color="auto" w:sz="4" w:space="0"/>
              <w:right w:val="single" w:color="auto" w:sz="4" w:space="0"/>
            </w:tcBorders>
            <w:vAlign w:val="center"/>
          </w:tcPr>
          <w:p w14:paraId="3E9A8391">
            <w:pPr>
              <w:wordWrap w:val="0"/>
              <w:spacing w:line="430" w:lineRule="exact"/>
              <w:rPr>
                <w:rFonts w:hint="eastAsia" w:ascii="宋体" w:hAnsi="宋体" w:eastAsia="宋体" w:cs="宋体"/>
                <w:sz w:val="24"/>
              </w:rPr>
            </w:pPr>
            <w:r>
              <w:rPr>
                <w:rFonts w:hint="eastAsia" w:ascii="宋体" w:hAnsi="宋体" w:eastAsia="宋体" w:cs="宋体"/>
                <w:sz w:val="24"/>
              </w:rPr>
              <w:t>详见第一章询比公告/邀请书。</w:t>
            </w:r>
          </w:p>
        </w:tc>
      </w:tr>
      <w:tr w14:paraId="4B9A49B7">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0C68DE64">
            <w:pPr>
              <w:wordWrap w:val="0"/>
              <w:spacing w:line="430" w:lineRule="exact"/>
              <w:jc w:val="center"/>
              <w:rPr>
                <w:rFonts w:hint="eastAsia" w:ascii="宋体" w:hAnsi="宋体" w:eastAsia="宋体" w:cs="宋体"/>
                <w:sz w:val="24"/>
              </w:rPr>
            </w:pPr>
            <w:r>
              <w:rPr>
                <w:rFonts w:hint="eastAsia" w:ascii="宋体" w:hAnsi="宋体" w:eastAsia="宋体" w:cs="宋体"/>
                <w:sz w:val="24"/>
              </w:rPr>
              <w:t>15</w:t>
            </w:r>
          </w:p>
        </w:tc>
        <w:tc>
          <w:tcPr>
            <w:tcW w:w="1977" w:type="dxa"/>
            <w:tcBorders>
              <w:top w:val="single" w:color="auto" w:sz="4" w:space="0"/>
              <w:left w:val="single" w:color="auto" w:sz="4" w:space="0"/>
              <w:bottom w:val="single" w:color="auto" w:sz="4" w:space="0"/>
              <w:right w:val="single" w:color="auto" w:sz="4" w:space="0"/>
            </w:tcBorders>
            <w:vAlign w:val="center"/>
          </w:tcPr>
          <w:p w14:paraId="2E286371">
            <w:pPr>
              <w:wordWrap w:val="0"/>
              <w:spacing w:line="43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5537" w:type="dxa"/>
            <w:tcBorders>
              <w:top w:val="single" w:color="auto" w:sz="4" w:space="0"/>
              <w:left w:val="single" w:color="auto" w:sz="4" w:space="0"/>
              <w:bottom w:val="single" w:color="auto" w:sz="4" w:space="0"/>
              <w:right w:val="single" w:color="auto" w:sz="4" w:space="0"/>
            </w:tcBorders>
            <w:vAlign w:val="center"/>
          </w:tcPr>
          <w:p w14:paraId="5E7BB9F8">
            <w:pPr>
              <w:wordWrap w:val="0"/>
              <w:spacing w:line="430" w:lineRule="exact"/>
              <w:rPr>
                <w:rFonts w:hint="eastAsia" w:ascii="宋体" w:hAnsi="宋体" w:eastAsia="宋体" w:cs="宋体"/>
                <w:sz w:val="24"/>
              </w:rPr>
            </w:pPr>
            <w:r>
              <w:rPr>
                <w:rFonts w:hint="eastAsia" w:ascii="宋体" w:hAnsi="宋体" w:eastAsia="宋体" w:cs="宋体"/>
                <w:sz w:val="24"/>
              </w:rPr>
              <w:t>响应文件递交截止之日起90天。</w:t>
            </w:r>
          </w:p>
        </w:tc>
      </w:tr>
      <w:tr w14:paraId="46252333">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790ADD86">
            <w:pPr>
              <w:wordWrap w:val="0"/>
              <w:spacing w:line="430" w:lineRule="exact"/>
              <w:jc w:val="center"/>
              <w:rPr>
                <w:rFonts w:ascii="Times New Roman" w:hAnsi="Times New Roman" w:cs="Times New Roman"/>
                <w:szCs w:val="21"/>
              </w:rPr>
            </w:pPr>
            <w:r>
              <w:rPr>
                <w:rFonts w:hint="eastAsia" w:ascii="Times New Roman" w:hAnsi="Times New Roman" w:cs="Times New Roman"/>
                <w:szCs w:val="21"/>
              </w:rPr>
              <w:t>16</w:t>
            </w:r>
          </w:p>
        </w:tc>
        <w:tc>
          <w:tcPr>
            <w:tcW w:w="1977" w:type="dxa"/>
            <w:tcBorders>
              <w:top w:val="single" w:color="auto" w:sz="4" w:space="0"/>
              <w:left w:val="single" w:color="auto" w:sz="4" w:space="0"/>
              <w:bottom w:val="single" w:color="auto" w:sz="4" w:space="0"/>
              <w:right w:val="single" w:color="auto" w:sz="4" w:space="0"/>
            </w:tcBorders>
            <w:vAlign w:val="center"/>
          </w:tcPr>
          <w:p w14:paraId="30E15B09">
            <w:pPr>
              <w:wordWrap w:val="0"/>
              <w:spacing w:line="430" w:lineRule="exact"/>
              <w:jc w:val="center"/>
              <w:rPr>
                <w:rFonts w:ascii="Times New Roman" w:hAnsi="Times New Roman" w:cs="Times New Roman"/>
                <w:sz w:val="24"/>
              </w:rPr>
            </w:pPr>
            <w:r>
              <w:rPr>
                <w:rFonts w:hint="eastAsia" w:ascii="Times New Roman" w:hAnsi="Times New Roman" w:cs="Times New Roman"/>
                <w:sz w:val="24"/>
              </w:rPr>
              <w:t>签字或盖章要求</w:t>
            </w:r>
          </w:p>
        </w:tc>
        <w:tc>
          <w:tcPr>
            <w:tcW w:w="5537" w:type="dxa"/>
            <w:tcBorders>
              <w:top w:val="single" w:color="auto" w:sz="4" w:space="0"/>
              <w:left w:val="single" w:color="auto" w:sz="4" w:space="0"/>
              <w:bottom w:val="single" w:color="auto" w:sz="4" w:space="0"/>
              <w:right w:val="single" w:color="auto" w:sz="4" w:space="0"/>
            </w:tcBorders>
            <w:vAlign w:val="center"/>
          </w:tcPr>
          <w:p w14:paraId="506E3DC3">
            <w:pPr>
              <w:wordWrap w:val="0"/>
              <w:spacing w:line="430" w:lineRule="exact"/>
              <w:rPr>
                <w:rFonts w:ascii="Times New Roman" w:hAnsi="Times New Roman" w:cs="Times New Roman"/>
                <w:sz w:val="24"/>
              </w:rPr>
            </w:pPr>
            <w:r>
              <w:rPr>
                <w:rFonts w:ascii="Times New Roman" w:hAnsi="Times New Roman" w:cs="Times New Roman"/>
                <w:sz w:val="24"/>
              </w:rPr>
              <w:t>（1）盖章：除另有规定外，</w:t>
            </w:r>
            <w:r>
              <w:rPr>
                <w:rFonts w:hint="eastAsia" w:ascii="Times New Roman" w:hAnsi="Times New Roman" w:cs="Times New Roman"/>
                <w:sz w:val="24"/>
              </w:rPr>
              <w:t>响应文件</w:t>
            </w:r>
            <w:r>
              <w:rPr>
                <w:rFonts w:ascii="Times New Roman" w:hAnsi="Times New Roman" w:cs="Times New Roman"/>
                <w:sz w:val="24"/>
              </w:rPr>
              <w:t>封面、封套封口处及文件中规定盖章处均须加盖</w:t>
            </w:r>
            <w:r>
              <w:rPr>
                <w:rFonts w:hint="eastAsia" w:ascii="Times New Roman" w:hAnsi="Times New Roman" w:cs="Times New Roman"/>
                <w:sz w:val="24"/>
              </w:rPr>
              <w:t>供应商</w:t>
            </w:r>
            <w:r>
              <w:rPr>
                <w:rFonts w:ascii="Times New Roman" w:hAnsi="Times New Roman" w:cs="Times New Roman"/>
                <w:sz w:val="24"/>
              </w:rPr>
              <w:t>公章（鲜章），不得使用</w:t>
            </w:r>
            <w:r>
              <w:rPr>
                <w:rFonts w:hint="eastAsia" w:ascii="Times New Roman" w:hAnsi="Times New Roman" w:cs="Times New Roman"/>
                <w:sz w:val="24"/>
              </w:rPr>
              <w:t>其他如</w:t>
            </w:r>
            <w:r>
              <w:rPr>
                <w:rFonts w:ascii="Times New Roman" w:hAnsi="Times New Roman" w:cs="Times New Roman"/>
                <w:sz w:val="24"/>
              </w:rPr>
              <w:t>带有“专用章</w:t>
            </w:r>
            <w:r>
              <w:rPr>
                <w:rFonts w:hint="eastAsia" w:ascii="Times New Roman" w:hAnsi="Times New Roman" w:cs="Times New Roman"/>
                <w:sz w:val="24"/>
              </w:rPr>
              <w:t>”“</w:t>
            </w:r>
            <w:r>
              <w:rPr>
                <w:rFonts w:ascii="Times New Roman" w:hAnsi="Times New Roman" w:cs="Times New Roman"/>
                <w:sz w:val="24"/>
              </w:rPr>
              <w:t>合同章</w:t>
            </w:r>
            <w:r>
              <w:rPr>
                <w:rFonts w:hint="eastAsia" w:ascii="Times New Roman" w:hAnsi="Times New Roman" w:cs="Times New Roman"/>
                <w:sz w:val="24"/>
              </w:rPr>
              <w:t>”“</w:t>
            </w:r>
            <w:r>
              <w:rPr>
                <w:rFonts w:ascii="Times New Roman" w:hAnsi="Times New Roman" w:cs="Times New Roman"/>
                <w:sz w:val="24"/>
              </w:rPr>
              <w:t>财务章</w:t>
            </w:r>
            <w:r>
              <w:rPr>
                <w:rFonts w:hint="eastAsia" w:ascii="Times New Roman" w:hAnsi="Times New Roman" w:cs="Times New Roman"/>
                <w:sz w:val="24"/>
              </w:rPr>
              <w:t>”“</w:t>
            </w:r>
            <w:r>
              <w:rPr>
                <w:rFonts w:ascii="Times New Roman" w:hAnsi="Times New Roman" w:cs="Times New Roman"/>
                <w:sz w:val="24"/>
              </w:rPr>
              <w:t>业务章”、下属单位或分支机构印章代替，否则其</w:t>
            </w:r>
            <w:r>
              <w:rPr>
                <w:rFonts w:hint="eastAsia" w:ascii="Times New Roman" w:hAnsi="Times New Roman" w:cs="Times New Roman"/>
                <w:sz w:val="24"/>
              </w:rPr>
              <w:t>响应</w:t>
            </w:r>
            <w:r>
              <w:rPr>
                <w:rFonts w:ascii="Times New Roman" w:hAnsi="Times New Roman" w:cs="Times New Roman"/>
                <w:sz w:val="24"/>
              </w:rPr>
              <w:t>无效；</w:t>
            </w:r>
          </w:p>
          <w:p w14:paraId="30444559">
            <w:pPr>
              <w:wordWrap w:val="0"/>
              <w:spacing w:line="430" w:lineRule="exact"/>
              <w:rPr>
                <w:rFonts w:ascii="Times New Roman" w:hAnsi="Times New Roman" w:eastAsia="仿宋_GB2312" w:cs="Times New Roman"/>
                <w:sz w:val="24"/>
              </w:rPr>
            </w:pPr>
            <w:r>
              <w:rPr>
                <w:rFonts w:ascii="Times New Roman" w:hAnsi="Times New Roman" w:cs="Times New Roman"/>
                <w:sz w:val="24"/>
              </w:rPr>
              <w:t>（2）签字：除文件另有规定外，均应为手写签字，否则其</w:t>
            </w:r>
            <w:r>
              <w:rPr>
                <w:rFonts w:hint="eastAsia" w:ascii="Times New Roman" w:hAnsi="Times New Roman" w:cs="Times New Roman"/>
                <w:sz w:val="24"/>
              </w:rPr>
              <w:t>响应</w:t>
            </w:r>
            <w:r>
              <w:rPr>
                <w:rFonts w:ascii="Times New Roman" w:hAnsi="Times New Roman" w:cs="Times New Roman"/>
                <w:sz w:val="24"/>
              </w:rPr>
              <w:t>无效。</w:t>
            </w:r>
          </w:p>
        </w:tc>
      </w:tr>
      <w:tr w14:paraId="6B83F6C4">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19C43A64">
            <w:pPr>
              <w:wordWrap w:val="0"/>
              <w:spacing w:line="430" w:lineRule="exact"/>
              <w:jc w:val="center"/>
              <w:rPr>
                <w:rFonts w:ascii="Times New Roman" w:hAnsi="Times New Roman" w:cs="Times New Roman"/>
                <w:szCs w:val="21"/>
              </w:rPr>
            </w:pPr>
            <w:r>
              <w:rPr>
                <w:rFonts w:hint="eastAsia" w:ascii="Times New Roman" w:hAnsi="Times New Roman" w:cs="Times New Roman"/>
                <w:szCs w:val="21"/>
              </w:rPr>
              <w:t>17</w:t>
            </w:r>
          </w:p>
        </w:tc>
        <w:tc>
          <w:tcPr>
            <w:tcW w:w="1977" w:type="dxa"/>
            <w:tcBorders>
              <w:top w:val="single" w:color="auto" w:sz="4" w:space="0"/>
              <w:left w:val="single" w:color="auto" w:sz="4" w:space="0"/>
              <w:bottom w:val="single" w:color="auto" w:sz="4" w:space="0"/>
              <w:right w:val="single" w:color="auto" w:sz="4" w:space="0"/>
            </w:tcBorders>
            <w:vAlign w:val="center"/>
          </w:tcPr>
          <w:p w14:paraId="1800C029">
            <w:pPr>
              <w:wordWrap w:val="0"/>
              <w:spacing w:line="430" w:lineRule="exact"/>
              <w:jc w:val="center"/>
              <w:rPr>
                <w:rFonts w:ascii="Times New Roman" w:hAnsi="Times New Roman" w:cs="Times New Roman"/>
                <w:sz w:val="24"/>
              </w:rPr>
            </w:pPr>
            <w:r>
              <w:rPr>
                <w:rFonts w:hint="eastAsia" w:ascii="Times New Roman" w:hAnsi="Times New Roman" w:cs="Times New Roman"/>
                <w:sz w:val="24"/>
              </w:rPr>
              <w:t>响应文件副本份数</w:t>
            </w:r>
          </w:p>
        </w:tc>
        <w:tc>
          <w:tcPr>
            <w:tcW w:w="5537" w:type="dxa"/>
            <w:tcBorders>
              <w:top w:val="single" w:color="auto" w:sz="4" w:space="0"/>
              <w:left w:val="single" w:color="auto" w:sz="4" w:space="0"/>
              <w:bottom w:val="single" w:color="auto" w:sz="4" w:space="0"/>
              <w:right w:val="single" w:color="auto" w:sz="4" w:space="0"/>
            </w:tcBorders>
            <w:vAlign w:val="center"/>
          </w:tcPr>
          <w:p w14:paraId="6FD8905A">
            <w:pPr>
              <w:wordWrap w:val="0"/>
              <w:spacing w:line="400" w:lineRule="exact"/>
              <w:rPr>
                <w:rFonts w:ascii="Times New Roman" w:hAnsi="Times New Roman" w:cs="Times New Roman"/>
                <w:sz w:val="24"/>
              </w:rPr>
            </w:pPr>
            <w:r>
              <w:rPr>
                <w:rFonts w:hint="eastAsia" w:ascii="Times New Roman" w:hAnsi="Times New Roman" w:cs="Times New Roman"/>
                <w:sz w:val="24"/>
              </w:rPr>
              <w:t>响应文件份数</w:t>
            </w:r>
            <w:permStart w:id="21" w:edGrp="everyone"/>
            <w:r>
              <w:rPr>
                <w:rFonts w:hint="eastAsia" w:ascii="Times New Roman" w:hAnsi="Times New Roman" w:cs="Times New Roman"/>
                <w:sz w:val="24"/>
              </w:rPr>
              <w:t>：</w:t>
            </w:r>
            <w:r>
              <w:rPr>
                <w:rFonts w:hint="eastAsia" w:ascii="Times New Roman" w:hAnsi="Times New Roman" w:cs="Times New Roman"/>
                <w:b/>
                <w:bCs/>
                <w:sz w:val="24"/>
              </w:rPr>
              <w:t>3份</w:t>
            </w:r>
          </w:p>
          <w:p w14:paraId="6226B405">
            <w:pPr>
              <w:wordWrap w:val="0"/>
              <w:spacing w:line="400" w:lineRule="exact"/>
              <w:rPr>
                <w:rFonts w:ascii="Times New Roman" w:hAnsi="Times New Roman" w:cs="Times New Roman"/>
                <w:sz w:val="24"/>
              </w:rPr>
            </w:pPr>
            <w:r>
              <w:rPr>
                <w:rFonts w:hint="eastAsia" w:ascii="Times New Roman" w:hAnsi="Times New Roman" w:cs="Times New Roman"/>
                <w:sz w:val="24"/>
              </w:rPr>
              <w:t xml:space="preserve">是否要求述标：          </w:t>
            </w:r>
            <w:r>
              <w:rPr>
                <w:rFonts w:ascii="Times New Roman" w:hAnsi="Times New Roman" w:eastAsia="仿宋_GB2312" w:cs="Times New Roman"/>
                <w:sz w:val="24"/>
              </w:rPr>
              <w:sym w:font="Wingdings" w:char="00FE"/>
            </w:r>
            <w:r>
              <w:rPr>
                <w:rFonts w:hint="eastAsia" w:asciiTheme="minorEastAsia" w:hAnsiTheme="minorEastAsia" w:cstheme="minorEastAsia"/>
                <w:sz w:val="24"/>
              </w:rPr>
              <w:t xml:space="preserve">不要求   </w:t>
            </w:r>
            <w:r>
              <w:rPr>
                <w:rFonts w:ascii="Times New Roman" w:hAnsi="Times New Roman" w:eastAsia="仿宋_GB2312" w:cs="Times New Roman"/>
                <w:sz w:val="24"/>
              </w:rPr>
              <w:sym w:font="Wingdings" w:char="00A8"/>
            </w:r>
            <w:r>
              <w:rPr>
                <w:rFonts w:hint="eastAsia" w:asciiTheme="minorEastAsia" w:hAnsiTheme="minorEastAsia" w:cstheme="minorEastAsia"/>
                <w:sz w:val="24"/>
              </w:rPr>
              <w:t>要求</w:t>
            </w:r>
          </w:p>
          <w:p w14:paraId="01D5103E">
            <w:pPr>
              <w:wordWrap w:val="0"/>
              <w:spacing w:line="400" w:lineRule="exact"/>
              <w:rPr>
                <w:rFonts w:ascii="Times New Roman" w:hAnsi="Times New Roman" w:cs="Times New Roman"/>
                <w:sz w:val="24"/>
              </w:rPr>
            </w:pPr>
            <w:r>
              <w:rPr>
                <w:rFonts w:hint="eastAsia" w:ascii="Times New Roman" w:hAnsi="Times New Roman" w:cs="Times New Roman"/>
                <w:sz w:val="24"/>
              </w:rPr>
              <w:t>是否要求提交电子版文件：</w:t>
            </w:r>
            <w:r>
              <w:rPr>
                <w:rFonts w:ascii="Times New Roman" w:hAnsi="Times New Roman" w:eastAsia="仿宋_GB2312" w:cs="Times New Roman"/>
                <w:sz w:val="24"/>
              </w:rPr>
              <w:sym w:font="Wingdings" w:char="00FE"/>
            </w:r>
            <w:r>
              <w:rPr>
                <w:rFonts w:hint="eastAsia" w:asciiTheme="minorEastAsia" w:hAnsiTheme="minorEastAsia" w:cstheme="minorEastAsia"/>
                <w:sz w:val="24"/>
              </w:rPr>
              <w:t xml:space="preserve">不要求   </w:t>
            </w:r>
            <w:r>
              <w:rPr>
                <w:rFonts w:ascii="Times New Roman" w:hAnsi="Times New Roman" w:eastAsia="仿宋_GB2312" w:cs="Times New Roman"/>
                <w:sz w:val="24"/>
              </w:rPr>
              <w:sym w:font="Wingdings" w:char="00A8"/>
            </w:r>
            <w:r>
              <w:rPr>
                <w:rFonts w:hint="eastAsia" w:asciiTheme="minorEastAsia" w:hAnsiTheme="minorEastAsia" w:cstheme="minorEastAsia"/>
                <w:sz w:val="24"/>
              </w:rPr>
              <w:t xml:space="preserve">要求 </w:t>
            </w:r>
            <w:permEnd w:id="21"/>
          </w:p>
          <w:p w14:paraId="65DCC7A1">
            <w:pPr>
              <w:wordWrap w:val="0"/>
              <w:spacing w:line="400" w:lineRule="exact"/>
              <w:rPr>
                <w:rFonts w:ascii="Times New Roman" w:hAnsi="Times New Roman" w:cs="Times New Roman"/>
                <w:sz w:val="24"/>
              </w:rPr>
            </w:pPr>
            <w:r>
              <w:rPr>
                <w:rFonts w:hint="eastAsia" w:ascii="Times New Roman" w:hAnsi="Times New Roman" w:cs="Times New Roman"/>
                <w:sz w:val="24"/>
              </w:rPr>
              <w:t>其他要求：</w:t>
            </w:r>
          </w:p>
          <w:p w14:paraId="61E352AA">
            <w:pPr>
              <w:wordWrap w:val="0"/>
              <w:spacing w:line="400" w:lineRule="exact"/>
              <w:rPr>
                <w:rFonts w:ascii="Times New Roman" w:hAnsi="Times New Roman" w:cs="Times New Roman"/>
                <w:sz w:val="24"/>
              </w:rPr>
            </w:pPr>
            <w:r>
              <w:rPr>
                <w:rFonts w:hint="eastAsia" w:ascii="Times New Roman" w:hAnsi="Times New Roman" w:cs="Times New Roman"/>
                <w:sz w:val="24"/>
              </w:rPr>
              <w:t>（1）所有正本与副本封装在一个密封袋中；</w:t>
            </w:r>
          </w:p>
          <w:p w14:paraId="68E7392B">
            <w:pPr>
              <w:wordWrap w:val="0"/>
              <w:spacing w:line="400" w:lineRule="exact"/>
              <w:rPr>
                <w:rFonts w:ascii="Times New Roman" w:hAnsi="Times New Roman" w:cs="Times New Roman"/>
                <w:sz w:val="24"/>
              </w:rPr>
            </w:pPr>
            <w:r>
              <w:rPr>
                <w:rFonts w:hint="eastAsia" w:ascii="Times New Roman" w:hAnsi="Times New Roman" w:cs="Times New Roman"/>
                <w:sz w:val="24"/>
              </w:rPr>
              <w:t>（2）响应文件应按要求密封，密封袋封口加盖供应商单位印章；</w:t>
            </w:r>
          </w:p>
          <w:p w14:paraId="098918AA">
            <w:pPr>
              <w:wordWrap w:val="0"/>
              <w:spacing w:line="430" w:lineRule="exact"/>
              <w:rPr>
                <w:rFonts w:ascii="Times New Roman" w:hAnsi="Times New Roman" w:eastAsia="仿宋_GB2312" w:cs="Times New Roman"/>
                <w:sz w:val="24"/>
              </w:rPr>
            </w:pPr>
            <w:r>
              <w:rPr>
                <w:rFonts w:hint="eastAsia" w:ascii="Times New Roman" w:hAnsi="Times New Roman" w:cs="Times New Roman"/>
                <w:sz w:val="24"/>
              </w:rPr>
              <w:t>（3）响应文件须采用胶粘方式装订，装订应牢固、不易拆散和换页。</w:t>
            </w:r>
          </w:p>
        </w:tc>
      </w:tr>
      <w:tr w14:paraId="10317BB9">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409EA235">
            <w:pPr>
              <w:wordWrap w:val="0"/>
              <w:spacing w:line="430" w:lineRule="exact"/>
              <w:jc w:val="center"/>
              <w:rPr>
                <w:rFonts w:ascii="Times New Roman" w:hAnsi="Times New Roman" w:cs="Times New Roman"/>
                <w:szCs w:val="21"/>
              </w:rPr>
            </w:pPr>
            <w:r>
              <w:rPr>
                <w:rFonts w:hint="eastAsia" w:ascii="Times New Roman" w:hAnsi="Times New Roman" w:cs="Times New Roman"/>
                <w:szCs w:val="21"/>
              </w:rPr>
              <w:t>18</w:t>
            </w:r>
          </w:p>
        </w:tc>
        <w:tc>
          <w:tcPr>
            <w:tcW w:w="1977" w:type="dxa"/>
            <w:tcBorders>
              <w:top w:val="single" w:color="auto" w:sz="4" w:space="0"/>
              <w:left w:val="single" w:color="auto" w:sz="4" w:space="0"/>
              <w:bottom w:val="single" w:color="auto" w:sz="4" w:space="0"/>
              <w:right w:val="single" w:color="auto" w:sz="4" w:space="0"/>
            </w:tcBorders>
            <w:vAlign w:val="center"/>
          </w:tcPr>
          <w:p w14:paraId="20C19F67">
            <w:pPr>
              <w:wordWrap w:val="0"/>
              <w:spacing w:line="430" w:lineRule="exact"/>
              <w:jc w:val="center"/>
              <w:rPr>
                <w:rFonts w:ascii="Times New Roman" w:hAnsi="Times New Roman" w:cs="Times New Roman"/>
                <w:sz w:val="24"/>
              </w:rPr>
            </w:pPr>
            <w:r>
              <w:rPr>
                <w:rFonts w:hint="eastAsia" w:ascii="Times New Roman" w:hAnsi="Times New Roman" w:cs="Times New Roman"/>
                <w:sz w:val="24"/>
              </w:rPr>
              <w:t>封套上应载明的信息</w:t>
            </w:r>
          </w:p>
        </w:tc>
        <w:tc>
          <w:tcPr>
            <w:tcW w:w="5537" w:type="dxa"/>
            <w:tcBorders>
              <w:top w:val="single" w:color="auto" w:sz="4" w:space="0"/>
              <w:left w:val="single" w:color="auto" w:sz="4" w:space="0"/>
              <w:bottom w:val="single" w:color="auto" w:sz="4" w:space="0"/>
              <w:right w:val="single" w:color="auto" w:sz="4" w:space="0"/>
            </w:tcBorders>
            <w:vAlign w:val="center"/>
          </w:tcPr>
          <w:p w14:paraId="3F0CE538">
            <w:pPr>
              <w:wordWrap w:val="0"/>
              <w:spacing w:line="430" w:lineRule="exact"/>
              <w:ind w:firstLine="480" w:firstLineChars="200"/>
              <w:rPr>
                <w:rFonts w:ascii="Times New Roman" w:hAnsi="Times New Roman" w:cs="Times New Roman"/>
                <w:sz w:val="24"/>
              </w:rPr>
            </w:pPr>
            <w:permStart w:id="22" w:edGrp="everyone"/>
            <w:r>
              <w:rPr>
                <w:rFonts w:hint="eastAsia" w:ascii="Times New Roman" w:hAnsi="Times New Roman" w:cs="Times New Roman"/>
                <w:sz w:val="24"/>
              </w:rPr>
              <w:t>开启地址：亳州市公共交通集团有限公司五楼会议室</w:t>
            </w:r>
          </w:p>
          <w:p w14:paraId="6CC27506">
            <w:pPr>
              <w:wordWrap w:val="0"/>
              <w:spacing w:line="430" w:lineRule="exact"/>
              <w:ind w:firstLine="480" w:firstLineChars="200"/>
              <w:rPr>
                <w:rFonts w:ascii="Times New Roman" w:hAnsi="Times New Roman" w:cs="Times New Roman"/>
                <w:sz w:val="24"/>
              </w:rPr>
            </w:pPr>
            <w:r>
              <w:rPr>
                <w:rFonts w:hint="eastAsia" w:ascii="Times New Roman" w:hAnsi="Times New Roman" w:cs="Times New Roman"/>
                <w:sz w:val="24"/>
              </w:rPr>
              <w:t>采购人：亳州市公交出租有限责任公司</w:t>
            </w:r>
          </w:p>
          <w:p w14:paraId="7B1065A8">
            <w:pPr>
              <w:wordWrap w:val="0"/>
              <w:spacing w:line="430" w:lineRule="exact"/>
              <w:ind w:firstLine="480" w:firstLineChars="200"/>
              <w:rPr>
                <w:rFonts w:ascii="Times New Roman" w:hAnsi="Times New Roman" w:cs="Times New Roman"/>
                <w:sz w:val="24"/>
              </w:rPr>
            </w:pPr>
            <w:r>
              <w:rPr>
                <w:rFonts w:hint="eastAsia" w:ascii="Times New Roman" w:hAnsi="Times New Roman" w:cs="Times New Roman"/>
                <w:sz w:val="24"/>
              </w:rPr>
              <w:t>亳州市公交出租有限责任公司出租车改漆采购项目响应文件</w:t>
            </w:r>
          </w:p>
          <w:p w14:paraId="3F18CF40">
            <w:pPr>
              <w:wordWrap w:val="0"/>
              <w:spacing w:line="430" w:lineRule="exact"/>
              <w:ind w:firstLine="480" w:firstLineChars="200"/>
              <w:rPr>
                <w:rFonts w:ascii="Times New Roman" w:hAnsi="Times New Roman" w:cs="Times New Roman"/>
                <w:sz w:val="24"/>
              </w:rPr>
            </w:pPr>
            <w:r>
              <w:rPr>
                <w:rFonts w:hint="eastAsia" w:ascii="Times New Roman" w:hAnsi="Times New Roman" w:cs="Times New Roman"/>
                <w:sz w:val="24"/>
              </w:rPr>
              <w:t>项目编号：BZGJCZ-2025-01号</w:t>
            </w:r>
          </w:p>
          <w:p w14:paraId="35D38F69">
            <w:pPr>
              <w:wordWrap w:val="0"/>
              <w:spacing w:line="430" w:lineRule="exact"/>
              <w:ind w:firstLine="480" w:firstLineChars="200"/>
              <w:rPr>
                <w:rFonts w:ascii="Times New Roman" w:hAnsi="Times New Roman" w:cs="Times New Roman"/>
                <w:sz w:val="24"/>
              </w:rPr>
            </w:pPr>
            <w:r>
              <w:rPr>
                <w:rFonts w:hint="eastAsia" w:ascii="Times New Roman" w:hAnsi="Times New Roman" w:cs="Times New Roman"/>
                <w:sz w:val="24"/>
              </w:rPr>
              <w:t>在2025年8月4日9时00分前不得开启</w:t>
            </w:r>
            <w:permEnd w:id="22"/>
          </w:p>
        </w:tc>
      </w:tr>
      <w:tr w14:paraId="6F2DA01E">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5564341C">
            <w:pPr>
              <w:wordWrap w:val="0"/>
              <w:spacing w:line="430" w:lineRule="exact"/>
              <w:jc w:val="center"/>
              <w:rPr>
                <w:rFonts w:ascii="Times New Roman" w:hAnsi="Times New Roman" w:cs="Times New Roman"/>
                <w:szCs w:val="21"/>
              </w:rPr>
            </w:pPr>
            <w:r>
              <w:rPr>
                <w:rFonts w:hint="eastAsia" w:ascii="Times New Roman" w:hAnsi="Times New Roman" w:cs="Times New Roman"/>
                <w:szCs w:val="21"/>
              </w:rPr>
              <w:t>19</w:t>
            </w:r>
          </w:p>
        </w:tc>
        <w:tc>
          <w:tcPr>
            <w:tcW w:w="1977" w:type="dxa"/>
            <w:tcBorders>
              <w:top w:val="single" w:color="auto" w:sz="4" w:space="0"/>
              <w:left w:val="single" w:color="auto" w:sz="4" w:space="0"/>
              <w:bottom w:val="single" w:color="auto" w:sz="4" w:space="0"/>
              <w:right w:val="single" w:color="auto" w:sz="4" w:space="0"/>
            </w:tcBorders>
            <w:vAlign w:val="center"/>
          </w:tcPr>
          <w:p w14:paraId="002FF017">
            <w:pPr>
              <w:wordWrap w:val="0"/>
              <w:spacing w:line="430" w:lineRule="exact"/>
              <w:jc w:val="center"/>
              <w:rPr>
                <w:rFonts w:ascii="Times New Roman" w:hAnsi="Times New Roman" w:cs="Times New Roman"/>
                <w:sz w:val="24"/>
              </w:rPr>
            </w:pPr>
            <w:r>
              <w:rPr>
                <w:rFonts w:hint="eastAsia" w:ascii="Times New Roman" w:hAnsi="Times New Roman" w:cs="Times New Roman"/>
                <w:sz w:val="24"/>
              </w:rPr>
              <w:t>是否退还响应文件</w:t>
            </w:r>
          </w:p>
        </w:tc>
        <w:tc>
          <w:tcPr>
            <w:tcW w:w="5537" w:type="dxa"/>
            <w:tcBorders>
              <w:top w:val="single" w:color="auto" w:sz="4" w:space="0"/>
              <w:left w:val="single" w:color="auto" w:sz="4" w:space="0"/>
              <w:bottom w:val="single" w:color="auto" w:sz="4" w:space="0"/>
              <w:right w:val="single" w:color="auto" w:sz="4" w:space="0"/>
            </w:tcBorders>
            <w:vAlign w:val="center"/>
          </w:tcPr>
          <w:p w14:paraId="4A1A54A2">
            <w:pPr>
              <w:wordWrap w:val="0"/>
              <w:spacing w:line="430" w:lineRule="exact"/>
              <w:jc w:val="left"/>
              <w:rPr>
                <w:rFonts w:ascii="Times New Roman" w:hAnsi="Times New Roman" w:cs="Times New Roman"/>
                <w:sz w:val="24"/>
              </w:rPr>
            </w:pPr>
            <w:r>
              <w:rPr>
                <w:rFonts w:hint="eastAsia" w:ascii="Times New Roman" w:hAnsi="Times New Roman" w:cs="Times New Roman"/>
                <w:b/>
                <w:bCs/>
                <w:sz w:val="24"/>
              </w:rPr>
              <w:t>不退还</w:t>
            </w:r>
          </w:p>
        </w:tc>
      </w:tr>
      <w:tr w14:paraId="6C6D4E9F">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4464A23F">
            <w:pPr>
              <w:wordWrap w:val="0"/>
              <w:spacing w:line="400" w:lineRule="exact"/>
              <w:jc w:val="center"/>
              <w:rPr>
                <w:rFonts w:ascii="Times New Roman" w:hAnsi="Times New Roman" w:cs="Times New Roman"/>
                <w:szCs w:val="21"/>
              </w:rPr>
            </w:pPr>
            <w:r>
              <w:rPr>
                <w:rFonts w:hint="eastAsia" w:ascii="Times New Roman" w:hAnsi="Times New Roman" w:cs="Times New Roman"/>
                <w:szCs w:val="21"/>
              </w:rPr>
              <w:t>20</w:t>
            </w:r>
          </w:p>
        </w:tc>
        <w:tc>
          <w:tcPr>
            <w:tcW w:w="1977" w:type="dxa"/>
            <w:tcBorders>
              <w:top w:val="single" w:color="auto" w:sz="4" w:space="0"/>
              <w:left w:val="single" w:color="auto" w:sz="4" w:space="0"/>
              <w:bottom w:val="single" w:color="auto" w:sz="4" w:space="0"/>
              <w:right w:val="single" w:color="auto" w:sz="4" w:space="0"/>
            </w:tcBorders>
            <w:vAlign w:val="center"/>
          </w:tcPr>
          <w:p w14:paraId="63B134C2">
            <w:pPr>
              <w:wordWrap w:val="0"/>
              <w:spacing w:line="430" w:lineRule="exact"/>
              <w:jc w:val="center"/>
              <w:rPr>
                <w:rFonts w:ascii="Times New Roman" w:hAnsi="Times New Roman" w:cs="Times New Roman"/>
                <w:sz w:val="24"/>
              </w:rPr>
            </w:pPr>
            <w:r>
              <w:rPr>
                <w:rFonts w:hint="eastAsia" w:ascii="Times New Roman" w:hAnsi="Times New Roman" w:cs="Times New Roman"/>
                <w:sz w:val="24"/>
              </w:rPr>
              <w:t>响应文件开启时间和地点</w:t>
            </w:r>
          </w:p>
        </w:tc>
        <w:tc>
          <w:tcPr>
            <w:tcW w:w="5537" w:type="dxa"/>
            <w:tcBorders>
              <w:top w:val="single" w:color="auto" w:sz="4" w:space="0"/>
              <w:left w:val="single" w:color="auto" w:sz="4" w:space="0"/>
              <w:bottom w:val="single" w:color="auto" w:sz="4" w:space="0"/>
              <w:right w:val="single" w:color="auto" w:sz="4" w:space="0"/>
            </w:tcBorders>
            <w:vAlign w:val="center"/>
          </w:tcPr>
          <w:p w14:paraId="2041E992">
            <w:pPr>
              <w:wordWrap w:val="0"/>
              <w:spacing w:line="430" w:lineRule="exact"/>
              <w:rPr>
                <w:rFonts w:ascii="Times New Roman" w:hAnsi="Times New Roman" w:cs="Times New Roman"/>
                <w:sz w:val="24"/>
              </w:rPr>
            </w:pPr>
            <w:r>
              <w:rPr>
                <w:rFonts w:hint="eastAsia" w:ascii="Times New Roman" w:hAnsi="Times New Roman" w:cs="Times New Roman"/>
                <w:sz w:val="24"/>
              </w:rPr>
              <w:t>开启</w:t>
            </w:r>
            <w:r>
              <w:rPr>
                <w:rFonts w:ascii="Times New Roman" w:hAnsi="Times New Roman" w:cs="Times New Roman"/>
                <w:sz w:val="24"/>
              </w:rPr>
              <w:t>时间：同</w:t>
            </w:r>
            <w:r>
              <w:rPr>
                <w:rFonts w:hint="eastAsia" w:ascii="Times New Roman" w:hAnsi="Times New Roman" w:cs="Times New Roman"/>
                <w:sz w:val="24"/>
              </w:rPr>
              <w:t>响应文件递交</w:t>
            </w:r>
            <w:r>
              <w:rPr>
                <w:rFonts w:ascii="Times New Roman" w:hAnsi="Times New Roman" w:cs="Times New Roman"/>
                <w:sz w:val="24"/>
              </w:rPr>
              <w:t>截止时间</w:t>
            </w:r>
          </w:p>
          <w:p w14:paraId="1BAA3984">
            <w:pPr>
              <w:wordWrap w:val="0"/>
              <w:spacing w:line="430" w:lineRule="exact"/>
              <w:rPr>
                <w:rFonts w:ascii="Times New Roman" w:hAnsi="Times New Roman" w:eastAsia="仿宋_GB2312" w:cs="Times New Roman"/>
                <w:sz w:val="24"/>
              </w:rPr>
            </w:pPr>
            <w:r>
              <w:rPr>
                <w:rFonts w:hint="eastAsia" w:ascii="Times New Roman" w:hAnsi="Times New Roman" w:cs="Times New Roman"/>
                <w:sz w:val="24"/>
              </w:rPr>
              <w:t>开启</w:t>
            </w:r>
            <w:r>
              <w:rPr>
                <w:rFonts w:ascii="Times New Roman" w:hAnsi="Times New Roman" w:cs="Times New Roman"/>
                <w:sz w:val="24"/>
              </w:rPr>
              <w:t>地点：</w:t>
            </w:r>
            <w:r>
              <w:rPr>
                <w:rFonts w:hint="eastAsia" w:ascii="Times New Roman" w:hAnsi="Times New Roman" w:cs="Times New Roman"/>
                <w:sz w:val="24"/>
              </w:rPr>
              <w:t>同递交响应文件地点</w:t>
            </w:r>
          </w:p>
        </w:tc>
      </w:tr>
      <w:tr w14:paraId="430E3657">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386E2984">
            <w:pPr>
              <w:wordWrap w:val="0"/>
              <w:spacing w:line="400" w:lineRule="exact"/>
              <w:jc w:val="center"/>
              <w:rPr>
                <w:rFonts w:ascii="Times New Roman" w:hAnsi="Times New Roman" w:cs="Times New Roman"/>
                <w:szCs w:val="21"/>
              </w:rPr>
            </w:pPr>
            <w:r>
              <w:rPr>
                <w:rFonts w:hint="eastAsia" w:ascii="Times New Roman" w:hAnsi="Times New Roman" w:cs="Times New Roman"/>
                <w:szCs w:val="21"/>
              </w:rPr>
              <w:t>21</w:t>
            </w:r>
          </w:p>
        </w:tc>
        <w:tc>
          <w:tcPr>
            <w:tcW w:w="1977" w:type="dxa"/>
            <w:tcBorders>
              <w:top w:val="single" w:color="auto" w:sz="4" w:space="0"/>
              <w:left w:val="single" w:color="auto" w:sz="4" w:space="0"/>
              <w:bottom w:val="single" w:color="auto" w:sz="4" w:space="0"/>
              <w:right w:val="single" w:color="auto" w:sz="4" w:space="0"/>
            </w:tcBorders>
            <w:vAlign w:val="center"/>
          </w:tcPr>
          <w:p w14:paraId="753B7B40">
            <w:pPr>
              <w:wordWrap w:val="0"/>
              <w:spacing w:line="430" w:lineRule="exact"/>
              <w:jc w:val="center"/>
              <w:rPr>
                <w:rFonts w:ascii="Times New Roman" w:hAnsi="Times New Roman" w:cs="Times New Roman"/>
                <w:sz w:val="24"/>
              </w:rPr>
            </w:pPr>
            <w:r>
              <w:rPr>
                <w:rFonts w:hint="eastAsia" w:ascii="Times New Roman" w:hAnsi="Times New Roman" w:cs="Times New Roman"/>
                <w:sz w:val="24"/>
              </w:rPr>
              <w:t>开启程序</w:t>
            </w:r>
          </w:p>
        </w:tc>
        <w:tc>
          <w:tcPr>
            <w:tcW w:w="5537" w:type="dxa"/>
            <w:tcBorders>
              <w:top w:val="single" w:color="auto" w:sz="4" w:space="0"/>
              <w:left w:val="single" w:color="auto" w:sz="4" w:space="0"/>
              <w:bottom w:val="single" w:color="auto" w:sz="4" w:space="0"/>
              <w:right w:val="single" w:color="auto" w:sz="4" w:space="0"/>
            </w:tcBorders>
            <w:vAlign w:val="center"/>
          </w:tcPr>
          <w:p w14:paraId="05F43F57">
            <w:pPr>
              <w:wordWrap w:val="0"/>
              <w:spacing w:line="430" w:lineRule="exact"/>
              <w:rPr>
                <w:rFonts w:ascii="Times New Roman" w:hAnsi="Times New Roman" w:cs="Times New Roman"/>
                <w:sz w:val="24"/>
              </w:rPr>
            </w:pPr>
            <w:r>
              <w:rPr>
                <w:rFonts w:ascii="Times New Roman" w:hAnsi="Times New Roman" w:cs="Times New Roman"/>
                <w:sz w:val="24"/>
              </w:rPr>
              <w:t>密封情况检查：</w:t>
            </w:r>
            <w:r>
              <w:rPr>
                <w:rFonts w:hint="eastAsia" w:ascii="Times New Roman" w:hAnsi="Times New Roman" w:cs="Times New Roman"/>
                <w:sz w:val="24"/>
              </w:rPr>
              <w:t>由供应商代表或采购才工作人员检查确认。</w:t>
            </w:r>
          </w:p>
          <w:p w14:paraId="062E8E1A">
            <w:pPr>
              <w:wordWrap w:val="0"/>
              <w:spacing w:line="430" w:lineRule="exact"/>
              <w:rPr>
                <w:rFonts w:ascii="Times New Roman" w:hAnsi="Times New Roman" w:eastAsia="仿宋_GB2312" w:cs="Times New Roman"/>
                <w:sz w:val="24"/>
              </w:rPr>
            </w:pPr>
            <w:r>
              <w:rPr>
                <w:rFonts w:hint="eastAsia" w:ascii="Times New Roman" w:hAnsi="Times New Roman" w:cs="Times New Roman"/>
                <w:sz w:val="24"/>
              </w:rPr>
              <w:t>开启</w:t>
            </w:r>
            <w:r>
              <w:rPr>
                <w:rFonts w:ascii="Times New Roman" w:hAnsi="Times New Roman" w:cs="Times New Roman"/>
                <w:sz w:val="24"/>
              </w:rPr>
              <w:t>顺序：按签到正顺序</w:t>
            </w:r>
            <w:r>
              <w:rPr>
                <w:rFonts w:hint="eastAsia" w:ascii="Times New Roman" w:hAnsi="Times New Roman" w:cs="Times New Roman"/>
                <w:sz w:val="24"/>
              </w:rPr>
              <w:t>开启</w:t>
            </w:r>
            <w:r>
              <w:rPr>
                <w:rFonts w:ascii="Times New Roman" w:hAnsi="Times New Roman" w:cs="Times New Roman"/>
                <w:sz w:val="24"/>
              </w:rPr>
              <w:t>。</w:t>
            </w:r>
          </w:p>
        </w:tc>
      </w:tr>
      <w:tr w14:paraId="177CDAE7">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1347789B">
            <w:pPr>
              <w:wordWrap w:val="0"/>
              <w:spacing w:line="400" w:lineRule="exact"/>
              <w:jc w:val="center"/>
              <w:rPr>
                <w:rFonts w:ascii="Times New Roman" w:hAnsi="Times New Roman" w:cs="Times New Roman"/>
                <w:sz w:val="24"/>
              </w:rPr>
            </w:pPr>
            <w:r>
              <w:rPr>
                <w:rFonts w:hint="eastAsia" w:ascii="Times New Roman" w:hAnsi="Times New Roman" w:cs="Times New Roman"/>
                <w:sz w:val="24"/>
              </w:rPr>
              <w:t>22</w:t>
            </w:r>
          </w:p>
        </w:tc>
        <w:tc>
          <w:tcPr>
            <w:tcW w:w="1977" w:type="dxa"/>
            <w:tcBorders>
              <w:top w:val="single" w:color="auto" w:sz="4" w:space="0"/>
              <w:left w:val="single" w:color="auto" w:sz="4" w:space="0"/>
              <w:bottom w:val="single" w:color="auto" w:sz="4" w:space="0"/>
              <w:right w:val="single" w:color="auto" w:sz="4" w:space="0"/>
            </w:tcBorders>
            <w:vAlign w:val="center"/>
          </w:tcPr>
          <w:p w14:paraId="37EA9359">
            <w:pPr>
              <w:wordWrap w:val="0"/>
              <w:spacing w:line="430" w:lineRule="exact"/>
              <w:jc w:val="center"/>
              <w:rPr>
                <w:rFonts w:ascii="Times New Roman" w:hAnsi="Times New Roman" w:cs="Times New Roman"/>
                <w:sz w:val="24"/>
              </w:rPr>
            </w:pPr>
            <w:r>
              <w:rPr>
                <w:rFonts w:hint="eastAsia" w:ascii="Times New Roman" w:hAnsi="Times New Roman" w:cs="Times New Roman"/>
                <w:sz w:val="24"/>
              </w:rPr>
              <w:t>供应商不足3家时，是否转换采购方式</w:t>
            </w:r>
          </w:p>
        </w:tc>
        <w:tc>
          <w:tcPr>
            <w:tcW w:w="5537" w:type="dxa"/>
            <w:tcBorders>
              <w:top w:val="single" w:color="auto" w:sz="4" w:space="0"/>
              <w:left w:val="single" w:color="auto" w:sz="4" w:space="0"/>
              <w:bottom w:val="single" w:color="auto" w:sz="4" w:space="0"/>
              <w:right w:val="single" w:color="auto" w:sz="4" w:space="0"/>
            </w:tcBorders>
            <w:vAlign w:val="center"/>
          </w:tcPr>
          <w:p w14:paraId="3D238A49">
            <w:pPr>
              <w:wordWrap w:val="0"/>
              <w:spacing w:line="430" w:lineRule="exact"/>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eastAsia="仿宋_GB2312" w:cs="Times New Roman"/>
                <w:b/>
                <w:bCs/>
                <w:sz w:val="24"/>
              </w:rPr>
              <w:sym w:font="Wingdings" w:char="00FE"/>
            </w:r>
            <w:r>
              <w:rPr>
                <w:rFonts w:hint="eastAsia" w:ascii="Times New Roman" w:hAnsi="Times New Roman" w:eastAsia="仿宋_GB2312" w:cs="Times New Roman"/>
                <w:b/>
                <w:bCs/>
                <w:sz w:val="24"/>
              </w:rPr>
              <w:t>不转换</w:t>
            </w:r>
            <w:r>
              <w:rPr>
                <w:rFonts w:hint="eastAsia" w:asciiTheme="minorEastAsia" w:hAnsiTheme="minorEastAsia" w:cstheme="minorEastAsia"/>
                <w:b/>
                <w:bCs/>
                <w:sz w:val="24"/>
              </w:rPr>
              <w:t xml:space="preserve">   </w:t>
            </w:r>
            <w:r>
              <w:rPr>
                <w:rFonts w:ascii="Times New Roman" w:hAnsi="Times New Roman" w:eastAsia="仿宋_GB2312" w:cs="Times New Roman"/>
                <w:b/>
                <w:bCs/>
                <w:sz w:val="24"/>
              </w:rPr>
              <w:sym w:font="Wingdings" w:char="00A8"/>
            </w:r>
            <w:r>
              <w:rPr>
                <w:rFonts w:hint="eastAsia" w:ascii="Times New Roman" w:hAnsi="Times New Roman" w:eastAsia="仿宋_GB2312" w:cs="Times New Roman"/>
                <w:b/>
                <w:bCs/>
                <w:sz w:val="24"/>
              </w:rPr>
              <w:t>转换</w:t>
            </w:r>
          </w:p>
        </w:tc>
      </w:tr>
      <w:tr w14:paraId="770B70F9">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2BE6953A">
            <w:pPr>
              <w:wordWrap w:val="0"/>
              <w:spacing w:line="430" w:lineRule="exact"/>
              <w:jc w:val="center"/>
              <w:rPr>
                <w:rFonts w:ascii="Times New Roman" w:hAnsi="Times New Roman" w:cs="Times New Roman"/>
                <w:sz w:val="24"/>
              </w:rPr>
            </w:pPr>
            <w:r>
              <w:rPr>
                <w:rFonts w:hint="eastAsia" w:ascii="Times New Roman" w:hAnsi="Times New Roman" w:cs="Times New Roman"/>
                <w:sz w:val="24"/>
              </w:rPr>
              <w:t>23</w:t>
            </w:r>
          </w:p>
        </w:tc>
        <w:tc>
          <w:tcPr>
            <w:tcW w:w="1977" w:type="dxa"/>
            <w:tcBorders>
              <w:top w:val="single" w:color="auto" w:sz="4" w:space="0"/>
              <w:left w:val="single" w:color="auto" w:sz="4" w:space="0"/>
              <w:bottom w:val="single" w:color="auto" w:sz="4" w:space="0"/>
              <w:right w:val="single" w:color="auto" w:sz="4" w:space="0"/>
            </w:tcBorders>
            <w:vAlign w:val="center"/>
          </w:tcPr>
          <w:p w14:paraId="47F7AC95">
            <w:pPr>
              <w:wordWrap w:val="0"/>
              <w:spacing w:line="430" w:lineRule="exact"/>
              <w:jc w:val="center"/>
              <w:rPr>
                <w:rFonts w:ascii="Times New Roman" w:hAnsi="Times New Roman" w:cs="Times New Roman"/>
                <w:sz w:val="24"/>
              </w:rPr>
            </w:pPr>
            <w:r>
              <w:rPr>
                <w:rFonts w:hint="eastAsia" w:ascii="Times New Roman" w:hAnsi="Times New Roman" w:cs="Times New Roman"/>
                <w:sz w:val="24"/>
              </w:rPr>
              <w:t>评审委员会</w:t>
            </w:r>
          </w:p>
        </w:tc>
        <w:tc>
          <w:tcPr>
            <w:tcW w:w="5537" w:type="dxa"/>
            <w:tcBorders>
              <w:top w:val="single" w:color="auto" w:sz="4" w:space="0"/>
              <w:left w:val="single" w:color="auto" w:sz="4" w:space="0"/>
              <w:bottom w:val="single" w:color="auto" w:sz="4" w:space="0"/>
              <w:right w:val="single" w:color="auto" w:sz="4" w:space="0"/>
            </w:tcBorders>
            <w:vAlign w:val="center"/>
          </w:tcPr>
          <w:p w14:paraId="03A4BA28">
            <w:pPr>
              <w:wordWrap w:val="0"/>
              <w:spacing w:line="430" w:lineRule="exact"/>
              <w:rPr>
                <w:rFonts w:ascii="Times New Roman" w:hAnsi="Times New Roman" w:cs="Times New Roman"/>
                <w:sz w:val="24"/>
              </w:rPr>
            </w:pPr>
            <w:r>
              <w:rPr>
                <w:rFonts w:hint="eastAsia" w:ascii="Times New Roman" w:hAnsi="Times New Roman" w:cs="Times New Roman"/>
                <w:sz w:val="24"/>
              </w:rPr>
              <w:t>构成：3人（含3人）。</w:t>
            </w:r>
          </w:p>
          <w:p w14:paraId="618644D4">
            <w:pPr>
              <w:wordWrap w:val="0"/>
              <w:spacing w:line="430" w:lineRule="exact"/>
              <w:rPr>
                <w:rFonts w:ascii="Times New Roman" w:hAnsi="Times New Roman" w:cs="Times New Roman"/>
                <w:sz w:val="24"/>
              </w:rPr>
            </w:pPr>
            <w:r>
              <w:rPr>
                <w:rFonts w:hint="eastAsia" w:ascii="Times New Roman" w:hAnsi="Times New Roman" w:cs="Times New Roman"/>
                <w:sz w:val="24"/>
              </w:rPr>
              <w:t>组建：按有关规定组建。</w:t>
            </w:r>
          </w:p>
        </w:tc>
      </w:tr>
      <w:tr w14:paraId="185B42FB">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0CF9F93F">
            <w:pPr>
              <w:wordWrap w:val="0"/>
              <w:spacing w:line="400" w:lineRule="exact"/>
              <w:jc w:val="center"/>
              <w:rPr>
                <w:rFonts w:ascii="Times New Roman" w:hAnsi="Times New Roman" w:cs="Times New Roman"/>
                <w:sz w:val="24"/>
              </w:rPr>
            </w:pPr>
            <w:r>
              <w:rPr>
                <w:rFonts w:hint="eastAsia" w:ascii="Times New Roman" w:hAnsi="Times New Roman" w:cs="Times New Roman"/>
                <w:sz w:val="24"/>
              </w:rPr>
              <w:t>24</w:t>
            </w:r>
          </w:p>
        </w:tc>
        <w:tc>
          <w:tcPr>
            <w:tcW w:w="1977" w:type="dxa"/>
            <w:tcBorders>
              <w:top w:val="single" w:color="auto" w:sz="4" w:space="0"/>
              <w:left w:val="single" w:color="auto" w:sz="4" w:space="0"/>
              <w:bottom w:val="single" w:color="auto" w:sz="4" w:space="0"/>
              <w:right w:val="single" w:color="auto" w:sz="4" w:space="0"/>
            </w:tcBorders>
            <w:vAlign w:val="center"/>
          </w:tcPr>
          <w:p w14:paraId="6CDB91DE">
            <w:pPr>
              <w:wordWrap w:val="0"/>
              <w:spacing w:line="400" w:lineRule="exact"/>
              <w:jc w:val="center"/>
              <w:rPr>
                <w:rFonts w:ascii="Times New Roman" w:hAnsi="Times New Roman" w:cs="Times New Roman"/>
                <w:sz w:val="24"/>
              </w:rPr>
            </w:pPr>
            <w:r>
              <w:rPr>
                <w:rFonts w:hint="eastAsia" w:ascii="Times New Roman" w:hAnsi="Times New Roman" w:cs="Times New Roman"/>
                <w:sz w:val="24"/>
              </w:rPr>
              <w:t>是否授权询价小组确定成交供应商</w:t>
            </w:r>
          </w:p>
        </w:tc>
        <w:tc>
          <w:tcPr>
            <w:tcW w:w="5537" w:type="dxa"/>
            <w:tcBorders>
              <w:top w:val="single" w:color="auto" w:sz="4" w:space="0"/>
              <w:left w:val="single" w:color="auto" w:sz="4" w:space="0"/>
              <w:bottom w:val="single" w:color="auto" w:sz="4" w:space="0"/>
              <w:right w:val="single" w:color="auto" w:sz="4" w:space="0"/>
            </w:tcBorders>
            <w:vAlign w:val="center"/>
          </w:tcPr>
          <w:p w14:paraId="3E77E364">
            <w:pPr>
              <w:wordWrap w:val="0"/>
              <w:spacing w:line="400" w:lineRule="exact"/>
              <w:rPr>
                <w:rFonts w:ascii="Times New Roman" w:hAnsi="Times New Roman" w:cs="Times New Roman"/>
                <w:sz w:val="24"/>
                <w:u w:val="single"/>
              </w:rPr>
            </w:pPr>
            <w:r>
              <w:rPr>
                <w:rFonts w:hint="eastAsia" w:ascii="Times New Roman" w:hAnsi="Times New Roman" w:cs="Times New Roman"/>
                <w:sz w:val="24"/>
              </w:rPr>
              <w:t>否。</w:t>
            </w:r>
          </w:p>
        </w:tc>
      </w:tr>
      <w:tr w14:paraId="609C55B5">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00254DE3">
            <w:pPr>
              <w:wordWrap w:val="0"/>
              <w:spacing w:line="400" w:lineRule="exact"/>
              <w:jc w:val="center"/>
              <w:rPr>
                <w:rFonts w:ascii="Times New Roman" w:hAnsi="Times New Roman" w:cs="Times New Roman"/>
                <w:sz w:val="24"/>
              </w:rPr>
            </w:pPr>
            <w:r>
              <w:rPr>
                <w:rFonts w:hint="eastAsia" w:ascii="Times New Roman" w:hAnsi="Times New Roman" w:cs="Times New Roman"/>
                <w:sz w:val="24"/>
              </w:rPr>
              <w:t>25</w:t>
            </w:r>
          </w:p>
        </w:tc>
        <w:tc>
          <w:tcPr>
            <w:tcW w:w="1977" w:type="dxa"/>
            <w:tcBorders>
              <w:top w:val="single" w:color="auto" w:sz="4" w:space="0"/>
              <w:left w:val="single" w:color="auto" w:sz="4" w:space="0"/>
              <w:bottom w:val="single" w:color="auto" w:sz="4" w:space="0"/>
              <w:right w:val="single" w:color="auto" w:sz="4" w:space="0"/>
            </w:tcBorders>
            <w:vAlign w:val="center"/>
          </w:tcPr>
          <w:p w14:paraId="3229A182">
            <w:pPr>
              <w:wordWrap w:val="0"/>
              <w:spacing w:line="400" w:lineRule="exact"/>
              <w:jc w:val="center"/>
              <w:rPr>
                <w:rFonts w:ascii="Times New Roman" w:hAnsi="Times New Roman" w:cs="Times New Roman"/>
                <w:sz w:val="24"/>
              </w:rPr>
            </w:pPr>
            <w:r>
              <w:rPr>
                <w:rFonts w:hint="eastAsia" w:ascii="Times New Roman" w:hAnsi="Times New Roman" w:cs="Times New Roman"/>
                <w:sz w:val="24"/>
              </w:rPr>
              <w:t>成交候选人公示媒介及期限</w:t>
            </w:r>
          </w:p>
        </w:tc>
        <w:tc>
          <w:tcPr>
            <w:tcW w:w="5537" w:type="dxa"/>
            <w:tcBorders>
              <w:top w:val="single" w:color="auto" w:sz="4" w:space="0"/>
              <w:left w:val="single" w:color="auto" w:sz="4" w:space="0"/>
              <w:bottom w:val="single" w:color="auto" w:sz="4" w:space="0"/>
              <w:right w:val="single" w:color="auto" w:sz="4" w:space="0"/>
            </w:tcBorders>
            <w:vAlign w:val="center"/>
          </w:tcPr>
          <w:p w14:paraId="0225B9DF">
            <w:pPr>
              <w:wordWrap w:val="0"/>
              <w:spacing w:line="430" w:lineRule="exact"/>
              <w:rPr>
                <w:rFonts w:ascii="Times New Roman" w:hAnsi="Times New Roman" w:cs="Times New Roman"/>
                <w:sz w:val="24"/>
              </w:rPr>
            </w:pPr>
            <w:r>
              <w:rPr>
                <w:rFonts w:ascii="Times New Roman" w:hAnsi="Times New Roman" w:cs="Times New Roman"/>
                <w:sz w:val="24"/>
              </w:rPr>
              <w:t>公示媒介：</w:t>
            </w:r>
            <w:r>
              <w:rPr>
                <w:rFonts w:hint="eastAsia" w:ascii="Times New Roman" w:hAnsi="Times New Roman" w:cs="Times New Roman"/>
                <w:sz w:val="24"/>
              </w:rPr>
              <w:t>亳州市公共交通集团有限公司官网(www.bzbus.com.cn)。</w:t>
            </w:r>
          </w:p>
          <w:p w14:paraId="7C584001">
            <w:pPr>
              <w:wordWrap w:val="0"/>
              <w:spacing w:line="400" w:lineRule="exact"/>
              <w:rPr>
                <w:rFonts w:ascii="Times New Roman" w:hAnsi="Times New Roman" w:cs="Times New Roman"/>
                <w:sz w:val="24"/>
              </w:rPr>
            </w:pPr>
            <w:r>
              <w:rPr>
                <w:rFonts w:ascii="Times New Roman" w:hAnsi="Times New Roman" w:cs="Times New Roman"/>
                <w:sz w:val="24"/>
              </w:rPr>
              <w:t>公示期限：</w:t>
            </w:r>
            <w:r>
              <w:rPr>
                <w:rFonts w:hint="eastAsia" w:ascii="Times New Roman" w:hAnsi="Times New Roman" w:cs="Times New Roman"/>
                <w:sz w:val="24"/>
              </w:rPr>
              <w:t>不少于</w:t>
            </w:r>
            <w:r>
              <w:rPr>
                <w:rFonts w:ascii="Times New Roman" w:hAnsi="Times New Roman" w:cs="Times New Roman"/>
                <w:sz w:val="24"/>
              </w:rPr>
              <w:t>3日</w:t>
            </w:r>
          </w:p>
        </w:tc>
      </w:tr>
      <w:tr w14:paraId="445B9681">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890EE86">
            <w:pPr>
              <w:wordWrap w:val="0"/>
              <w:spacing w:line="430" w:lineRule="exact"/>
              <w:jc w:val="center"/>
              <w:rPr>
                <w:rFonts w:ascii="Times New Roman" w:hAnsi="Times New Roman" w:cs="Times New Roman"/>
                <w:sz w:val="24"/>
              </w:rPr>
            </w:pPr>
            <w:r>
              <w:rPr>
                <w:rFonts w:hint="eastAsia" w:ascii="Times New Roman" w:hAnsi="Times New Roman" w:cs="Times New Roman"/>
                <w:sz w:val="24"/>
              </w:rPr>
              <w:t>26</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1B1B687E">
            <w:pPr>
              <w:wordWrap w:val="0"/>
              <w:spacing w:line="430" w:lineRule="exact"/>
              <w:jc w:val="center"/>
              <w:rPr>
                <w:rFonts w:ascii="Times New Roman" w:hAnsi="Times New Roman" w:cs="Times New Roman"/>
                <w:sz w:val="24"/>
              </w:rPr>
            </w:pPr>
            <w:r>
              <w:rPr>
                <w:rFonts w:hint="eastAsia" w:ascii="Times New Roman" w:hAnsi="Times New Roman" w:cs="Times New Roman"/>
                <w:sz w:val="24"/>
              </w:rPr>
              <w:t>成交结果异议提出时间</w:t>
            </w:r>
          </w:p>
        </w:tc>
        <w:tc>
          <w:tcPr>
            <w:tcW w:w="5537" w:type="dxa"/>
            <w:tcBorders>
              <w:top w:val="single" w:color="auto" w:sz="4" w:space="0"/>
              <w:left w:val="single" w:color="auto" w:sz="4" w:space="0"/>
              <w:bottom w:val="single" w:color="auto" w:sz="4" w:space="0"/>
              <w:right w:val="single" w:color="auto" w:sz="4" w:space="0"/>
            </w:tcBorders>
            <w:shd w:val="clear" w:color="auto" w:fill="auto"/>
            <w:vAlign w:val="center"/>
          </w:tcPr>
          <w:p w14:paraId="05846D23">
            <w:pPr>
              <w:wordWrap w:val="0"/>
              <w:spacing w:line="430" w:lineRule="exact"/>
              <w:jc w:val="left"/>
              <w:rPr>
                <w:rFonts w:ascii="Times New Roman" w:hAnsi="Times New Roman" w:cs="Times New Roman"/>
                <w:sz w:val="24"/>
              </w:rPr>
            </w:pPr>
            <w:r>
              <w:rPr>
                <w:rFonts w:hint="eastAsia" w:ascii="Times New Roman" w:hAnsi="Times New Roman" w:cs="Times New Roman"/>
                <w:sz w:val="24"/>
              </w:rPr>
              <w:t>成交结果公示期内提出</w:t>
            </w:r>
          </w:p>
        </w:tc>
      </w:tr>
      <w:tr w14:paraId="70720704">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08A9B4F3">
            <w:pPr>
              <w:wordWrap w:val="0"/>
              <w:spacing w:line="430" w:lineRule="exact"/>
              <w:jc w:val="center"/>
              <w:rPr>
                <w:rFonts w:ascii="Times New Roman" w:hAnsi="Times New Roman" w:cs="Times New Roman"/>
                <w:sz w:val="24"/>
              </w:rPr>
            </w:pPr>
            <w:r>
              <w:rPr>
                <w:rFonts w:hint="eastAsia" w:ascii="Times New Roman" w:hAnsi="Times New Roman" w:cs="Times New Roman"/>
                <w:sz w:val="24"/>
              </w:rPr>
              <w:t>27</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718F78D5">
            <w:pPr>
              <w:wordWrap w:val="0"/>
              <w:spacing w:line="430" w:lineRule="exact"/>
              <w:jc w:val="center"/>
              <w:rPr>
                <w:rFonts w:ascii="Times New Roman" w:hAnsi="Times New Roman" w:cs="Times New Roman"/>
                <w:sz w:val="24"/>
              </w:rPr>
            </w:pPr>
            <w:r>
              <w:rPr>
                <w:rFonts w:hint="eastAsia" w:ascii="Times New Roman" w:hAnsi="Times New Roman" w:cs="Times New Roman"/>
                <w:sz w:val="24"/>
              </w:rPr>
              <w:t>异议渠道</w:t>
            </w:r>
          </w:p>
        </w:tc>
        <w:tc>
          <w:tcPr>
            <w:tcW w:w="5537" w:type="dxa"/>
            <w:tcBorders>
              <w:top w:val="single" w:color="auto" w:sz="4" w:space="0"/>
              <w:left w:val="single" w:color="auto" w:sz="4" w:space="0"/>
              <w:bottom w:val="single" w:color="auto" w:sz="4" w:space="0"/>
              <w:right w:val="single" w:color="auto" w:sz="4" w:space="0"/>
            </w:tcBorders>
            <w:shd w:val="clear" w:color="auto" w:fill="auto"/>
            <w:vAlign w:val="center"/>
          </w:tcPr>
          <w:p w14:paraId="281B8A2D">
            <w:pPr>
              <w:wordWrap w:val="0"/>
              <w:spacing w:line="430" w:lineRule="exact"/>
              <w:rPr>
                <w:rFonts w:ascii="Times New Roman" w:hAnsi="Times New Roman" w:cs="Times New Roman"/>
                <w:sz w:val="24"/>
                <w:u w:val="single"/>
              </w:rPr>
            </w:pPr>
            <w:permStart w:id="23" w:edGrp="everyone"/>
            <w:r>
              <w:rPr>
                <w:rFonts w:hint="eastAsia" w:ascii="Times New Roman" w:hAnsi="Times New Roman" w:cs="Times New Roman"/>
                <w:sz w:val="24"/>
              </w:rPr>
              <w:t>联系人：</w:t>
            </w:r>
            <w:r>
              <w:rPr>
                <w:rFonts w:hint="eastAsia" w:ascii="Times New Roman" w:hAnsi="Times New Roman" w:cs="Times New Roman"/>
                <w:sz w:val="24"/>
                <w:u w:val="single"/>
              </w:rPr>
              <w:t xml:space="preserve"> 芮工</w:t>
            </w:r>
          </w:p>
          <w:p w14:paraId="4390B17F">
            <w:pPr>
              <w:wordWrap w:val="0"/>
              <w:spacing w:line="430" w:lineRule="exact"/>
              <w:rPr>
                <w:rFonts w:ascii="Times New Roman" w:hAnsi="Times New Roman" w:cs="Times New Roman"/>
                <w:sz w:val="24"/>
                <w:u w:val="single"/>
              </w:rPr>
            </w:pPr>
            <w:r>
              <w:rPr>
                <w:rFonts w:hint="eastAsia" w:ascii="Times New Roman" w:hAnsi="Times New Roman" w:cs="Times New Roman"/>
                <w:sz w:val="24"/>
              </w:rPr>
              <w:t>联系方式：</w:t>
            </w:r>
            <w:r>
              <w:rPr>
                <w:rFonts w:hint="eastAsia" w:ascii="Times New Roman" w:hAnsi="Times New Roman" w:cs="Times New Roman"/>
                <w:sz w:val="24"/>
                <w:u w:val="single"/>
              </w:rPr>
              <w:t xml:space="preserve"> </w:t>
            </w:r>
            <w:r>
              <w:rPr>
                <w:rFonts w:ascii="Times New Roman" w:hAnsi="Times New Roman" w:cs="Times New Roman"/>
                <w:sz w:val="24"/>
                <w:u w:val="single"/>
              </w:rPr>
              <w:t>15255946166</w:t>
            </w:r>
          </w:p>
          <w:p w14:paraId="20F6241D">
            <w:pPr>
              <w:wordWrap w:val="0"/>
              <w:spacing w:line="430" w:lineRule="exact"/>
              <w:rPr>
                <w:rFonts w:ascii="Times New Roman" w:hAnsi="Times New Roman" w:cs="Times New Roman"/>
                <w:sz w:val="24"/>
                <w:u w:val="single"/>
              </w:rPr>
            </w:pPr>
            <w:r>
              <w:rPr>
                <w:rFonts w:hint="eastAsia" w:ascii="Times New Roman" w:hAnsi="Times New Roman" w:cs="Times New Roman"/>
                <w:sz w:val="24"/>
              </w:rPr>
              <w:t>地址：</w:t>
            </w:r>
            <w:r>
              <w:rPr>
                <w:rFonts w:hint="eastAsia" w:ascii="Times New Roman" w:hAnsi="Times New Roman" w:cs="Times New Roman"/>
                <w:sz w:val="24"/>
                <w:u w:val="single"/>
              </w:rPr>
              <w:t xml:space="preserve"> 亳州市公交出租有限责任公司   </w:t>
            </w:r>
          </w:p>
          <w:p w14:paraId="1DD4313F">
            <w:pPr>
              <w:wordWrap w:val="0"/>
              <w:spacing w:line="430" w:lineRule="exact"/>
              <w:rPr>
                <w:sz w:val="24"/>
              </w:rPr>
            </w:pPr>
            <w:r>
              <w:rPr>
                <w:rFonts w:hint="eastAsia" w:ascii="Times New Roman" w:hAnsi="Times New Roman" w:cs="Times New Roman"/>
                <w:sz w:val="24"/>
              </w:rPr>
              <w:t>其他：</w:t>
            </w:r>
            <w:r>
              <w:rPr>
                <w:rFonts w:hint="eastAsia" w:ascii="Times New Roman" w:hAnsi="Times New Roman" w:cs="Times New Roman"/>
                <w:sz w:val="24"/>
                <w:u w:val="single"/>
              </w:rPr>
              <w:t xml:space="preserve"> 供应商或其他利害关系人应按照询比文件规定的程序提出异议，否则视为无效异议，不予受理。 </w:t>
            </w:r>
            <w:permEnd w:id="23"/>
          </w:p>
        </w:tc>
      </w:tr>
      <w:tr w14:paraId="41705227">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61840915">
            <w:pPr>
              <w:wordWrap w:val="0"/>
              <w:spacing w:line="430" w:lineRule="exact"/>
              <w:jc w:val="center"/>
              <w:rPr>
                <w:rFonts w:ascii="Times New Roman" w:hAnsi="Times New Roman" w:cs="Times New Roman"/>
                <w:sz w:val="24"/>
              </w:rPr>
            </w:pPr>
            <w:r>
              <w:rPr>
                <w:rFonts w:hint="eastAsia" w:ascii="Times New Roman" w:hAnsi="Times New Roman" w:cs="Times New Roman"/>
                <w:sz w:val="24"/>
              </w:rPr>
              <w:t>28</w:t>
            </w:r>
          </w:p>
        </w:tc>
        <w:tc>
          <w:tcPr>
            <w:tcW w:w="1977" w:type="dxa"/>
            <w:tcBorders>
              <w:top w:val="single" w:color="auto" w:sz="4" w:space="0"/>
              <w:left w:val="single" w:color="auto" w:sz="4" w:space="0"/>
              <w:bottom w:val="single" w:color="auto" w:sz="4" w:space="0"/>
              <w:right w:val="single" w:color="auto" w:sz="4" w:space="0"/>
            </w:tcBorders>
            <w:vAlign w:val="center"/>
          </w:tcPr>
          <w:p w14:paraId="215D425F">
            <w:pPr>
              <w:wordWrap w:val="0"/>
              <w:spacing w:line="430" w:lineRule="exact"/>
              <w:jc w:val="center"/>
              <w:rPr>
                <w:rFonts w:ascii="Times New Roman" w:hAnsi="Times New Roman" w:cs="Times New Roman"/>
                <w:sz w:val="24"/>
              </w:rPr>
            </w:pPr>
            <w:r>
              <w:rPr>
                <w:rFonts w:hint="eastAsia" w:ascii="Times New Roman" w:hAnsi="Times New Roman" w:cs="Times New Roman"/>
                <w:sz w:val="24"/>
              </w:rPr>
              <w:t>解释权</w:t>
            </w:r>
          </w:p>
        </w:tc>
        <w:tc>
          <w:tcPr>
            <w:tcW w:w="5537" w:type="dxa"/>
            <w:tcBorders>
              <w:top w:val="single" w:color="auto" w:sz="4" w:space="0"/>
              <w:left w:val="single" w:color="auto" w:sz="4" w:space="0"/>
              <w:bottom w:val="single" w:color="auto" w:sz="4" w:space="0"/>
              <w:right w:val="single" w:color="auto" w:sz="4" w:space="0"/>
            </w:tcBorders>
            <w:vAlign w:val="center"/>
          </w:tcPr>
          <w:p w14:paraId="11C804E4">
            <w:pPr>
              <w:wordWrap w:val="0"/>
              <w:spacing w:line="430" w:lineRule="exact"/>
              <w:rPr>
                <w:rFonts w:ascii="Times New Roman" w:hAnsi="Times New Roman" w:cs="Times New Roman"/>
                <w:sz w:val="24"/>
              </w:rPr>
            </w:pPr>
            <w:r>
              <w:rPr>
                <w:rFonts w:ascii="Times New Roman" w:hAnsi="Times New Roman" w:cs="Times New Roman"/>
                <w:sz w:val="24"/>
              </w:rPr>
              <w:t>构成本</w:t>
            </w:r>
            <w:r>
              <w:rPr>
                <w:rFonts w:hint="eastAsia" w:ascii="Times New Roman" w:hAnsi="Times New Roman" w:cs="Times New Roman"/>
                <w:sz w:val="24"/>
              </w:rPr>
              <w:t>询比</w:t>
            </w:r>
            <w:r>
              <w:rPr>
                <w:rFonts w:ascii="Times New Roman" w:hAnsi="Times New Roman" w:cs="Times New Roman"/>
                <w:sz w:val="24"/>
              </w:rPr>
              <w:t>文件的各个组成文件应互为解释，互为说明；如有不明确或不一致，构成合同文件组成内容的，以合同文件约定内容为准，且以专用合同条款约定的合同文件优先顺序解释；除</w:t>
            </w:r>
            <w:r>
              <w:rPr>
                <w:rFonts w:hint="eastAsia" w:ascii="Times New Roman" w:hAnsi="Times New Roman" w:cs="Times New Roman"/>
                <w:sz w:val="24"/>
              </w:rPr>
              <w:t>询比</w:t>
            </w:r>
            <w:r>
              <w:rPr>
                <w:rFonts w:ascii="Times New Roman" w:hAnsi="Times New Roman" w:cs="Times New Roman"/>
                <w:sz w:val="24"/>
              </w:rPr>
              <w:t>文件中有特别规定外，仅适用于</w:t>
            </w:r>
            <w:r>
              <w:rPr>
                <w:rFonts w:hint="eastAsia" w:ascii="Times New Roman" w:hAnsi="Times New Roman" w:cs="Times New Roman"/>
                <w:sz w:val="24"/>
              </w:rPr>
              <w:t>询比</w:t>
            </w:r>
            <w:r>
              <w:rPr>
                <w:rFonts w:ascii="Times New Roman" w:hAnsi="Times New Roman" w:cs="Times New Roman"/>
                <w:sz w:val="24"/>
              </w:rPr>
              <w:t>阶段的规定，按</w:t>
            </w:r>
            <w:r>
              <w:rPr>
                <w:rFonts w:hint="eastAsia" w:ascii="Times New Roman" w:hAnsi="Times New Roman" w:cs="Times New Roman"/>
                <w:sz w:val="24"/>
              </w:rPr>
              <w:t>询比公告/邀请书</w:t>
            </w:r>
            <w:r>
              <w:rPr>
                <w:rFonts w:ascii="Times New Roman" w:hAnsi="Times New Roman" w:cs="Times New Roman"/>
                <w:sz w:val="24"/>
              </w:rPr>
              <w:t>、</w:t>
            </w:r>
            <w:r>
              <w:rPr>
                <w:rFonts w:hint="eastAsia" w:ascii="Times New Roman" w:hAnsi="Times New Roman" w:cs="Times New Roman"/>
                <w:sz w:val="24"/>
              </w:rPr>
              <w:t>供应商</w:t>
            </w:r>
            <w:r>
              <w:rPr>
                <w:rFonts w:ascii="Times New Roman" w:hAnsi="Times New Roman" w:cs="Times New Roman"/>
                <w:sz w:val="24"/>
              </w:rPr>
              <w:t>须知、</w:t>
            </w:r>
            <w:r>
              <w:rPr>
                <w:rFonts w:hint="eastAsia" w:ascii="Times New Roman" w:hAnsi="Times New Roman" w:cs="Times New Roman"/>
                <w:sz w:val="24"/>
              </w:rPr>
              <w:t>评审</w:t>
            </w:r>
            <w:r>
              <w:rPr>
                <w:rFonts w:ascii="Times New Roman" w:hAnsi="Times New Roman" w:cs="Times New Roman"/>
                <w:sz w:val="24"/>
              </w:rPr>
              <w:t>办法、</w:t>
            </w:r>
            <w:r>
              <w:rPr>
                <w:rFonts w:hint="eastAsia" w:ascii="Times New Roman" w:hAnsi="Times New Roman" w:cs="Times New Roman"/>
                <w:sz w:val="24"/>
              </w:rPr>
              <w:t>响应文件</w:t>
            </w:r>
            <w:r>
              <w:rPr>
                <w:rFonts w:ascii="Times New Roman" w:hAnsi="Times New Roman" w:cs="Times New Roman"/>
                <w:sz w:val="24"/>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Times New Roman" w:hAnsi="Times New Roman" w:cs="Times New Roman"/>
                <w:sz w:val="24"/>
              </w:rPr>
              <w:t>采购人</w:t>
            </w:r>
            <w:r>
              <w:rPr>
                <w:rFonts w:ascii="Times New Roman" w:hAnsi="Times New Roman" w:cs="Times New Roman"/>
                <w:sz w:val="24"/>
              </w:rPr>
              <w:t>负责解释。</w:t>
            </w:r>
          </w:p>
        </w:tc>
      </w:tr>
      <w:tr w14:paraId="555D26B8">
        <w:tblPrEx>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vAlign w:val="center"/>
          </w:tcPr>
          <w:p w14:paraId="0D0C8C45">
            <w:pPr>
              <w:wordWrap w:val="0"/>
              <w:spacing w:line="430" w:lineRule="exact"/>
              <w:jc w:val="center"/>
              <w:rPr>
                <w:rFonts w:ascii="Times New Roman" w:hAnsi="Times New Roman" w:cs="Times New Roman"/>
                <w:szCs w:val="21"/>
              </w:rPr>
            </w:pPr>
            <w:r>
              <w:rPr>
                <w:rFonts w:ascii="Times New Roman" w:hAnsi="Times New Roman" w:cs="Times New Roman"/>
                <w:szCs w:val="21"/>
              </w:rPr>
              <w:t>……</w:t>
            </w:r>
          </w:p>
        </w:tc>
        <w:tc>
          <w:tcPr>
            <w:tcW w:w="7514" w:type="dxa"/>
            <w:gridSpan w:val="2"/>
            <w:tcBorders>
              <w:top w:val="single" w:color="auto" w:sz="4" w:space="0"/>
              <w:left w:val="single" w:color="auto" w:sz="4" w:space="0"/>
              <w:bottom w:val="single" w:color="auto" w:sz="4" w:space="0"/>
              <w:right w:val="single" w:color="auto" w:sz="4" w:space="0"/>
            </w:tcBorders>
            <w:vAlign w:val="center"/>
          </w:tcPr>
          <w:p w14:paraId="356DEE56">
            <w:pPr>
              <w:wordWrap w:val="0"/>
              <w:spacing w:line="430" w:lineRule="exact"/>
              <w:jc w:val="center"/>
              <w:rPr>
                <w:rFonts w:ascii="Times New Roman" w:hAnsi="Times New Roman" w:cs="Times New Roman"/>
                <w:szCs w:val="21"/>
              </w:rPr>
            </w:pPr>
            <w:r>
              <w:rPr>
                <w:rFonts w:ascii="Times New Roman" w:hAnsi="Times New Roman" w:cs="Times New Roman"/>
                <w:szCs w:val="21"/>
              </w:rPr>
              <w:t>……</w:t>
            </w:r>
          </w:p>
        </w:tc>
      </w:tr>
    </w:tbl>
    <w:p w14:paraId="43A1D877">
      <w:pPr>
        <w:pStyle w:val="66"/>
        <w:rPr>
          <w:rFonts w:ascii="黑体" w:hAnsi="黑体" w:eastAsia="黑体" w:cs="宋体"/>
        </w:rPr>
      </w:pPr>
    </w:p>
    <w:p w14:paraId="71A333A3">
      <w:pPr>
        <w:pStyle w:val="66"/>
        <w:rPr>
          <w:rFonts w:ascii="黑体" w:hAnsi="黑体" w:eastAsia="黑体"/>
        </w:rPr>
      </w:pPr>
      <w:r>
        <w:rPr>
          <w:rFonts w:hint="eastAsia" w:ascii="黑体" w:hAnsi="黑体" w:eastAsia="黑体" w:cs="宋体"/>
        </w:rPr>
        <w:t>一、说明</w:t>
      </w:r>
    </w:p>
    <w:p w14:paraId="1D00E968">
      <w:pPr>
        <w:pStyle w:val="66"/>
      </w:pPr>
      <w:bookmarkStart w:id="4" w:name="_Toc152042308"/>
      <w:bookmarkStart w:id="5" w:name="_Toc144974500"/>
      <w:bookmarkStart w:id="6" w:name="_Toc152045532"/>
      <w:bookmarkStart w:id="7" w:name="_Toc179632549"/>
      <w:bookmarkStart w:id="8" w:name="_Toc246996178"/>
      <w:bookmarkStart w:id="9" w:name="_Toc247085692"/>
      <w:bookmarkStart w:id="10" w:name="_Toc246996921"/>
      <w:bookmarkStart w:id="11" w:name="_Toc296602423"/>
      <w:r>
        <w:rPr>
          <w:rFonts w:hint="eastAsia"/>
        </w:rPr>
        <w:t>1.</w:t>
      </w:r>
      <w:bookmarkEnd w:id="4"/>
      <w:bookmarkEnd w:id="5"/>
      <w:bookmarkEnd w:id="6"/>
      <w:bookmarkEnd w:id="7"/>
      <w:bookmarkEnd w:id="8"/>
      <w:bookmarkEnd w:id="9"/>
      <w:bookmarkEnd w:id="10"/>
      <w:bookmarkEnd w:id="11"/>
      <w:r>
        <w:rPr>
          <w:rFonts w:hint="eastAsia" w:ascii="宋体" w:hAnsi="宋体" w:eastAsia="宋体" w:cs="宋体"/>
        </w:rPr>
        <w:t>合格供应商</w:t>
      </w:r>
    </w:p>
    <w:p w14:paraId="4706F18E">
      <w:pPr>
        <w:pStyle w:val="66"/>
      </w:pPr>
      <w:r>
        <w:rPr>
          <w:rFonts w:hint="eastAsia"/>
        </w:rPr>
        <w:t>1.1</w:t>
      </w:r>
      <w:r>
        <w:rPr>
          <w:rFonts w:hint="eastAsia" w:ascii="宋体" w:hAnsi="宋体" w:eastAsia="宋体" w:cs="宋体"/>
        </w:rPr>
        <w:t>凡来自中华人民共和国或是与中华人民共和国有正常贸易往来的国家或地区的获得一般纳税人的法人均为合格供应商。</w:t>
      </w:r>
    </w:p>
    <w:p w14:paraId="706DA5F5">
      <w:pPr>
        <w:pStyle w:val="66"/>
        <w:rPr>
          <w:rFonts w:ascii="宋体" w:hAnsi="宋体" w:eastAsia="宋体" w:cs="宋体"/>
        </w:rPr>
      </w:pPr>
      <w:r>
        <w:rPr>
          <w:rFonts w:hint="eastAsia" w:ascii="宋体" w:hAnsi="宋体" w:eastAsia="宋体" w:cs="宋体"/>
        </w:rPr>
        <w:t>1.2 供应商之间如果存在下列情形之一的，不得同时参加本次询比活动：</w:t>
      </w:r>
    </w:p>
    <w:p w14:paraId="39848BE2">
      <w:pPr>
        <w:pStyle w:val="66"/>
        <w:rPr>
          <w:rFonts w:ascii="宋体" w:hAnsi="宋体" w:eastAsia="宋体" w:cs="宋体"/>
        </w:rPr>
      </w:pPr>
      <w:r>
        <w:rPr>
          <w:rFonts w:hint="eastAsia" w:ascii="宋体" w:hAnsi="宋体" w:eastAsia="宋体" w:cs="宋体"/>
        </w:rPr>
        <w:t>（1）与采购人存在利害关系且可能影响询比公正性；</w:t>
      </w:r>
    </w:p>
    <w:p w14:paraId="2CF73BE3">
      <w:pPr>
        <w:pStyle w:val="66"/>
        <w:rPr>
          <w:rFonts w:ascii="宋体" w:hAnsi="宋体" w:eastAsia="宋体" w:cs="宋体"/>
        </w:rPr>
      </w:pPr>
      <w:r>
        <w:rPr>
          <w:rFonts w:hint="eastAsia" w:ascii="宋体" w:hAnsi="宋体" w:eastAsia="宋体" w:cs="宋体"/>
        </w:rPr>
        <w:t>（2）与本询比项目的其他供应商为同一个法定代表人（单位负责人）；</w:t>
      </w:r>
    </w:p>
    <w:p w14:paraId="23C144B0">
      <w:pPr>
        <w:pStyle w:val="66"/>
        <w:rPr>
          <w:rFonts w:ascii="宋体" w:hAnsi="宋体" w:eastAsia="宋体" w:cs="宋体"/>
        </w:rPr>
      </w:pPr>
      <w:r>
        <w:rPr>
          <w:rFonts w:hint="eastAsia" w:ascii="宋体" w:hAnsi="宋体" w:eastAsia="宋体" w:cs="宋体"/>
        </w:rPr>
        <w:t>（3）与本询比项目的其他供应商存在控股、管理关系；</w:t>
      </w:r>
    </w:p>
    <w:p w14:paraId="4874E9E1">
      <w:pPr>
        <w:pStyle w:val="66"/>
        <w:rPr>
          <w:rFonts w:ascii="宋体" w:hAnsi="宋体" w:eastAsia="宋体" w:cs="宋体"/>
        </w:rPr>
      </w:pPr>
      <w:r>
        <w:rPr>
          <w:rFonts w:hint="eastAsia" w:ascii="宋体" w:hAnsi="宋体" w:eastAsia="宋体" w:cs="宋体"/>
        </w:rPr>
        <w:t>（4）为本询比项目的采购平台；</w:t>
      </w:r>
    </w:p>
    <w:p w14:paraId="483D43B1">
      <w:pPr>
        <w:pStyle w:val="66"/>
        <w:rPr>
          <w:rFonts w:ascii="宋体" w:hAnsi="宋体" w:eastAsia="宋体" w:cs="宋体"/>
        </w:rPr>
      </w:pPr>
      <w:r>
        <w:rPr>
          <w:rFonts w:hint="eastAsia" w:ascii="宋体" w:hAnsi="宋体" w:eastAsia="宋体" w:cs="宋体"/>
        </w:rPr>
        <w:t>（5）被责令停产停业、暂扣或者吊销许可证、暂扣或者吊销执照；</w:t>
      </w:r>
    </w:p>
    <w:p w14:paraId="715AA6CE">
      <w:pPr>
        <w:pStyle w:val="66"/>
        <w:rPr>
          <w:rFonts w:ascii="宋体" w:hAnsi="宋体" w:eastAsia="宋体" w:cs="宋体"/>
        </w:rPr>
      </w:pPr>
      <w:r>
        <w:rPr>
          <w:rFonts w:hint="eastAsia" w:ascii="宋体" w:hAnsi="宋体" w:eastAsia="宋体" w:cs="宋体"/>
        </w:rPr>
        <w:t>（6）进入清算程序，或被宣告破产，或其他丧失履约能力的情形；</w:t>
      </w:r>
    </w:p>
    <w:p w14:paraId="3DBE0DF2">
      <w:pPr>
        <w:pStyle w:val="66"/>
        <w:rPr>
          <w:rFonts w:ascii="宋体" w:hAnsi="宋体" w:eastAsia="宋体" w:cs="宋体"/>
        </w:rPr>
      </w:pPr>
      <w:r>
        <w:rPr>
          <w:rFonts w:hint="eastAsia" w:ascii="宋体" w:hAnsi="宋体" w:eastAsia="宋体" w:cs="宋体"/>
        </w:rPr>
        <w:t>（7）法律法规或供应商须知前附表及询比公告/邀请书规定的其他情形。</w:t>
      </w:r>
    </w:p>
    <w:p w14:paraId="3F29BFFA">
      <w:pPr>
        <w:pStyle w:val="66"/>
        <w:rPr>
          <w:rFonts w:ascii="黑体" w:hAnsi="黑体" w:eastAsia="黑体" w:cs="宋体"/>
        </w:rPr>
      </w:pPr>
      <w:r>
        <w:rPr>
          <w:rFonts w:hint="eastAsia" w:ascii="宋体" w:hAnsi="宋体" w:eastAsia="宋体" w:cs="宋体"/>
        </w:rPr>
        <w:t>2.费用承担</w:t>
      </w:r>
    </w:p>
    <w:p w14:paraId="3FB6A31A">
      <w:pPr>
        <w:pStyle w:val="66"/>
        <w:rPr>
          <w:rFonts w:ascii="宋体" w:hAnsi="宋体" w:eastAsia="宋体" w:cs="宋体"/>
        </w:rPr>
      </w:pPr>
      <w:r>
        <w:rPr>
          <w:rFonts w:hint="eastAsia" w:ascii="宋体" w:hAnsi="宋体" w:eastAsia="宋体" w:cs="宋体"/>
        </w:rPr>
        <w:t>供应商应承担所有与准备和参加本次询比采购活动有关的费用。无论结果如何，或项目因故取消，采购人和采购平台对上述费用不承担任何责任和义务。</w:t>
      </w:r>
    </w:p>
    <w:p w14:paraId="5C9BE8A5">
      <w:pPr>
        <w:pStyle w:val="66"/>
        <w:rPr>
          <w:rFonts w:ascii="宋体" w:hAnsi="宋体" w:eastAsia="宋体" w:cs="宋体"/>
        </w:rPr>
      </w:pPr>
      <w:bookmarkStart w:id="12" w:name="_Toc246996924"/>
      <w:bookmarkStart w:id="13" w:name="_Toc144974504"/>
      <w:bookmarkStart w:id="14" w:name="_Toc246996181"/>
      <w:bookmarkStart w:id="15" w:name="_Toc296602426"/>
      <w:bookmarkStart w:id="16" w:name="_Toc152045536"/>
      <w:bookmarkStart w:id="17" w:name="_Toc152042312"/>
      <w:bookmarkStart w:id="18" w:name="_Toc247085695"/>
      <w:bookmarkStart w:id="19" w:name="_Toc179632553"/>
      <w:r>
        <w:rPr>
          <w:rFonts w:hint="eastAsia" w:ascii="宋体" w:hAnsi="宋体" w:eastAsia="宋体" w:cs="宋体"/>
        </w:rPr>
        <w:t>3.保密</w:t>
      </w:r>
      <w:bookmarkEnd w:id="12"/>
      <w:bookmarkEnd w:id="13"/>
      <w:bookmarkEnd w:id="14"/>
      <w:bookmarkEnd w:id="15"/>
      <w:bookmarkEnd w:id="16"/>
      <w:bookmarkEnd w:id="17"/>
      <w:bookmarkEnd w:id="18"/>
      <w:bookmarkEnd w:id="19"/>
    </w:p>
    <w:p w14:paraId="6438F7BA">
      <w:pPr>
        <w:pStyle w:val="66"/>
        <w:rPr>
          <w:rFonts w:ascii="宋体" w:hAnsi="宋体" w:eastAsia="宋体" w:cs="宋体"/>
        </w:rPr>
      </w:pPr>
      <w:r>
        <w:rPr>
          <w:rFonts w:hint="eastAsia" w:ascii="宋体" w:hAnsi="宋体" w:eastAsia="宋体" w:cs="宋体"/>
        </w:rPr>
        <w:t xml:space="preserve">参与询比活动的各方应对询比文件和响应文件中的商业和技术等秘密保密，违者应对由此造成的后果承担法律责任。 </w:t>
      </w:r>
    </w:p>
    <w:p w14:paraId="78848916">
      <w:pPr>
        <w:pStyle w:val="66"/>
        <w:rPr>
          <w:rFonts w:ascii="宋体" w:hAnsi="宋体" w:eastAsia="宋体" w:cs="宋体"/>
        </w:rPr>
      </w:pPr>
      <w:bookmarkStart w:id="20" w:name="_Toc144974505"/>
      <w:bookmarkStart w:id="21" w:name="_Toc246996925"/>
      <w:bookmarkStart w:id="22" w:name="_Toc296602427"/>
      <w:bookmarkStart w:id="23" w:name="_Toc247085696"/>
      <w:bookmarkStart w:id="24" w:name="_Toc179632554"/>
      <w:bookmarkStart w:id="25" w:name="_Toc152042313"/>
      <w:bookmarkStart w:id="26" w:name="_Toc246996182"/>
      <w:bookmarkStart w:id="27" w:name="_Toc152045537"/>
      <w:r>
        <w:rPr>
          <w:rFonts w:hint="eastAsia" w:ascii="宋体" w:hAnsi="宋体" w:eastAsia="宋体" w:cs="宋体"/>
        </w:rPr>
        <w:t>4.语言</w:t>
      </w:r>
      <w:bookmarkEnd w:id="20"/>
      <w:r>
        <w:rPr>
          <w:rFonts w:hint="eastAsia" w:ascii="宋体" w:hAnsi="宋体" w:eastAsia="宋体" w:cs="宋体"/>
        </w:rPr>
        <w:t>文字</w:t>
      </w:r>
      <w:bookmarkEnd w:id="21"/>
      <w:bookmarkEnd w:id="22"/>
      <w:bookmarkEnd w:id="23"/>
      <w:bookmarkEnd w:id="24"/>
      <w:bookmarkEnd w:id="25"/>
      <w:bookmarkEnd w:id="26"/>
      <w:bookmarkEnd w:id="27"/>
    </w:p>
    <w:p w14:paraId="0F8C0E20">
      <w:pPr>
        <w:pStyle w:val="66"/>
        <w:rPr>
          <w:rFonts w:ascii="宋体" w:hAnsi="宋体" w:eastAsia="宋体" w:cs="宋体"/>
        </w:rPr>
      </w:pPr>
      <w:bookmarkStart w:id="28" w:name="_Toc179632555"/>
      <w:bookmarkStart w:id="29" w:name="_Toc152042314"/>
      <w:bookmarkStart w:id="30" w:name="_Toc247085697"/>
      <w:bookmarkStart w:id="31" w:name="_Toc144974506"/>
      <w:bookmarkStart w:id="32" w:name="_Toc246996183"/>
      <w:bookmarkStart w:id="33" w:name="_Toc152045538"/>
      <w:bookmarkStart w:id="34" w:name="_Toc246996926"/>
      <w:r>
        <w:rPr>
          <w:rFonts w:hint="eastAsia" w:ascii="宋体" w:hAnsi="宋体" w:eastAsia="宋体" w:cs="宋体"/>
        </w:rPr>
        <w:t>询比响应文件使用的语言文字为中文。专用术语使用外文的，应附有中文注释。</w:t>
      </w:r>
    </w:p>
    <w:bookmarkEnd w:id="28"/>
    <w:bookmarkEnd w:id="29"/>
    <w:bookmarkEnd w:id="30"/>
    <w:bookmarkEnd w:id="31"/>
    <w:bookmarkEnd w:id="32"/>
    <w:bookmarkEnd w:id="33"/>
    <w:bookmarkEnd w:id="34"/>
    <w:p w14:paraId="0B06A24B">
      <w:pPr>
        <w:pStyle w:val="66"/>
        <w:rPr>
          <w:rFonts w:ascii="黑体" w:hAnsi="黑体" w:eastAsia="黑体" w:cs="宋体"/>
        </w:rPr>
      </w:pPr>
      <w:bookmarkStart w:id="35" w:name="_Toc247085701"/>
      <w:bookmarkStart w:id="36" w:name="_Toc152042318"/>
      <w:bookmarkStart w:id="37" w:name="_Toc144974510"/>
      <w:bookmarkStart w:id="38" w:name="_Toc179632560"/>
      <w:bookmarkStart w:id="39" w:name="_Toc296602432"/>
      <w:bookmarkStart w:id="40" w:name="_Toc246996187"/>
      <w:bookmarkStart w:id="41" w:name="_Toc246996930"/>
      <w:bookmarkStart w:id="42" w:name="_Toc152045542"/>
      <w:r>
        <w:rPr>
          <w:rFonts w:hint="eastAsia" w:ascii="黑体" w:hAnsi="黑体" w:eastAsia="黑体" w:cs="宋体"/>
        </w:rPr>
        <w:t>二、询比文件</w:t>
      </w:r>
      <w:bookmarkEnd w:id="35"/>
      <w:bookmarkEnd w:id="36"/>
      <w:bookmarkEnd w:id="37"/>
      <w:bookmarkEnd w:id="38"/>
      <w:bookmarkEnd w:id="39"/>
      <w:bookmarkEnd w:id="40"/>
      <w:bookmarkEnd w:id="41"/>
      <w:bookmarkEnd w:id="42"/>
    </w:p>
    <w:p w14:paraId="188CC15C">
      <w:pPr>
        <w:pStyle w:val="66"/>
        <w:rPr>
          <w:rFonts w:ascii="宋体" w:hAnsi="宋体" w:eastAsia="宋体" w:cs="宋体"/>
        </w:rPr>
      </w:pPr>
      <w:bookmarkStart w:id="43" w:name="_Toc144974511"/>
      <w:bookmarkStart w:id="44" w:name="_Toc152045543"/>
      <w:bookmarkStart w:id="45" w:name="_Toc296602433"/>
      <w:bookmarkStart w:id="46" w:name="_Toc246996188"/>
      <w:bookmarkStart w:id="47" w:name="_Toc152042319"/>
      <w:bookmarkStart w:id="48" w:name="_Toc246996931"/>
      <w:bookmarkStart w:id="49" w:name="_Toc247085702"/>
      <w:bookmarkStart w:id="50" w:name="_Toc179632561"/>
      <w:r>
        <w:rPr>
          <w:rFonts w:hint="eastAsia" w:ascii="宋体" w:hAnsi="宋体" w:eastAsia="宋体" w:cs="宋体"/>
        </w:rPr>
        <w:t>5.询比文件的组成</w:t>
      </w:r>
      <w:bookmarkEnd w:id="43"/>
      <w:bookmarkEnd w:id="44"/>
      <w:bookmarkEnd w:id="45"/>
      <w:bookmarkEnd w:id="46"/>
      <w:bookmarkEnd w:id="47"/>
      <w:bookmarkEnd w:id="48"/>
      <w:bookmarkEnd w:id="49"/>
      <w:bookmarkEnd w:id="50"/>
    </w:p>
    <w:p w14:paraId="6AE29D0B">
      <w:pPr>
        <w:pStyle w:val="66"/>
        <w:rPr>
          <w:rFonts w:ascii="宋体" w:hAnsi="宋体" w:eastAsia="宋体" w:cs="宋体"/>
        </w:rPr>
      </w:pPr>
      <w:r>
        <w:rPr>
          <w:rFonts w:hint="eastAsia" w:ascii="宋体" w:hAnsi="宋体" w:eastAsia="宋体" w:cs="宋体"/>
        </w:rPr>
        <w:t>供应商应检查询比文件中所有的须知、格式、条款、技术规格和其他资料。如果供应商没有按照询比文件的要求提交全部资料，或者提交的资料没有对询比文件在各方面作出实质性响应，可能导致其响应被拒绝，该风险由供应商承担。</w:t>
      </w:r>
    </w:p>
    <w:p w14:paraId="12AF98CC">
      <w:pPr>
        <w:pStyle w:val="66"/>
        <w:rPr>
          <w:rFonts w:ascii="宋体" w:hAnsi="宋体" w:eastAsia="宋体" w:cs="宋体"/>
        </w:rPr>
      </w:pPr>
      <w:bookmarkStart w:id="51" w:name="_Toc152045544"/>
      <w:bookmarkStart w:id="52" w:name="_Toc247085703"/>
      <w:bookmarkStart w:id="53" w:name="_Toc296602434"/>
      <w:bookmarkStart w:id="54" w:name="_Toc152042320"/>
      <w:bookmarkStart w:id="55" w:name="_Toc246996189"/>
      <w:bookmarkStart w:id="56" w:name="_Toc144974512"/>
      <w:bookmarkStart w:id="57" w:name="_Toc179632562"/>
      <w:bookmarkStart w:id="58" w:name="_Toc246996932"/>
      <w:r>
        <w:rPr>
          <w:rFonts w:hint="eastAsia" w:ascii="宋体" w:hAnsi="宋体" w:eastAsia="宋体" w:cs="宋体"/>
        </w:rPr>
        <w:t>6.询比文件的澄清</w:t>
      </w:r>
      <w:bookmarkEnd w:id="51"/>
      <w:bookmarkEnd w:id="52"/>
      <w:bookmarkEnd w:id="53"/>
      <w:bookmarkEnd w:id="54"/>
      <w:bookmarkEnd w:id="55"/>
      <w:bookmarkEnd w:id="56"/>
      <w:bookmarkEnd w:id="57"/>
      <w:bookmarkEnd w:id="58"/>
      <w:r>
        <w:rPr>
          <w:rFonts w:hint="eastAsia" w:ascii="宋体" w:hAnsi="宋体" w:eastAsia="宋体" w:cs="宋体"/>
        </w:rPr>
        <w:t xml:space="preserve"> </w:t>
      </w:r>
    </w:p>
    <w:p w14:paraId="75858FDD">
      <w:pPr>
        <w:pStyle w:val="66"/>
        <w:rPr>
          <w:rFonts w:ascii="宋体" w:hAnsi="宋体" w:eastAsia="宋体" w:cs="宋体"/>
        </w:rPr>
      </w:pPr>
      <w:r>
        <w:rPr>
          <w:rFonts w:hint="eastAsia" w:ascii="宋体" w:hAnsi="宋体" w:eastAsia="宋体" w:cs="宋体"/>
        </w:rPr>
        <w:t>6.1供应商要求对询比文件进行澄清的，应以书面或扫描电邮方式通知采购人/采购平台。对前附表规定的时间以前收到的对询比文件的澄清要求，采购人/采购平台予以答复。供应商应当在响应截止时间之前自行查看，如有遗漏，供应商自行承担责任。</w:t>
      </w:r>
    </w:p>
    <w:p w14:paraId="1FED159C">
      <w:pPr>
        <w:pStyle w:val="66"/>
        <w:rPr>
          <w:rFonts w:hint="eastAsia" w:ascii="宋体" w:hAnsi="宋体" w:eastAsia="宋体" w:cs="宋体"/>
        </w:rPr>
      </w:pPr>
      <w:r>
        <w:rPr>
          <w:rFonts w:hint="eastAsia" w:ascii="宋体" w:hAnsi="宋体" w:eastAsia="宋体" w:cs="宋体"/>
        </w:rPr>
        <w:t xml:space="preserve">6.2供应商要求对询比文件的澄清必须在供应商须知前附表规定的时间内提出。采购人/采购平台有权不接收逾期提出的异议。 </w:t>
      </w:r>
    </w:p>
    <w:p w14:paraId="6562D31E">
      <w:pPr>
        <w:pStyle w:val="66"/>
        <w:rPr>
          <w:rFonts w:ascii="宋体" w:hAnsi="宋体" w:eastAsia="宋体" w:cs="宋体"/>
        </w:rPr>
      </w:pPr>
      <w:bookmarkStart w:id="59" w:name="_Toc152042321"/>
      <w:bookmarkStart w:id="60" w:name="_Toc247085704"/>
      <w:bookmarkStart w:id="61" w:name="_Toc246996933"/>
      <w:bookmarkStart w:id="62" w:name="_Toc246996190"/>
      <w:bookmarkStart w:id="63" w:name="_Toc179632563"/>
      <w:bookmarkStart w:id="64" w:name="_Toc152045545"/>
      <w:bookmarkStart w:id="65" w:name="_Toc296602435"/>
      <w:bookmarkStart w:id="66" w:name="_Toc144974513"/>
      <w:r>
        <w:rPr>
          <w:rFonts w:hint="eastAsia" w:ascii="宋体" w:hAnsi="宋体" w:eastAsia="宋体" w:cs="宋体"/>
        </w:rPr>
        <w:t>7.询比文件的修改</w:t>
      </w:r>
      <w:bookmarkEnd w:id="59"/>
      <w:bookmarkEnd w:id="60"/>
      <w:bookmarkEnd w:id="61"/>
      <w:bookmarkEnd w:id="62"/>
      <w:bookmarkEnd w:id="63"/>
      <w:bookmarkEnd w:id="64"/>
      <w:bookmarkEnd w:id="65"/>
      <w:bookmarkEnd w:id="66"/>
    </w:p>
    <w:p w14:paraId="1B4A10C0">
      <w:pPr>
        <w:pStyle w:val="66"/>
        <w:rPr>
          <w:rFonts w:ascii="宋体" w:hAnsi="宋体" w:eastAsia="宋体" w:cs="宋体"/>
        </w:rPr>
      </w:pPr>
      <w:r>
        <w:rPr>
          <w:rFonts w:hint="eastAsia" w:ascii="宋体" w:hAnsi="宋体" w:eastAsia="宋体" w:cs="宋体"/>
        </w:rPr>
        <w:t>7.1采购人或采购平台可以因任何原因，在响应文件递交截止期前对询比文件进行修改，并于平台发布澄清答疑公告，供应商应主动查询。采购人/采购平台不承担供应商未及时关注相关信息引发的相关责任。</w:t>
      </w:r>
    </w:p>
    <w:p w14:paraId="037149FB">
      <w:pPr>
        <w:pStyle w:val="66"/>
        <w:rPr>
          <w:rFonts w:ascii="宋体" w:hAnsi="宋体" w:eastAsia="宋体" w:cs="宋体"/>
        </w:rPr>
      </w:pPr>
      <w:r>
        <w:rPr>
          <w:rFonts w:hint="eastAsia" w:ascii="宋体" w:hAnsi="宋体" w:eastAsia="宋体" w:cs="宋体"/>
        </w:rPr>
        <w:t>7.2询比文件的修改内容将作为询比文件的组成部分，对供应商具有同样约束力。当询比文件的答疑、澄清、变更、通知或补充等在同一内容的表述上不一致时以最后发出的书面文件为准。供应商应主动查询。采购人/采购平台不承担供应商未及时关注相关信息引发的相关责任。</w:t>
      </w:r>
    </w:p>
    <w:p w14:paraId="2C2FC673">
      <w:pPr>
        <w:pStyle w:val="66"/>
        <w:rPr>
          <w:rFonts w:ascii="宋体" w:hAnsi="宋体" w:eastAsia="宋体" w:cs="宋体"/>
        </w:rPr>
      </w:pPr>
      <w:r>
        <w:rPr>
          <w:rFonts w:hint="eastAsia" w:ascii="宋体" w:hAnsi="宋体" w:eastAsia="宋体" w:cs="宋体"/>
        </w:rPr>
        <w:t>7.3询比文件的修改应考虑给予供应商合理的时间制作相应的响应文件。采购人/采购平台可酌情延长响应文件递交截止日期，</w:t>
      </w:r>
      <w:bookmarkStart w:id="67" w:name="_Toc296602436"/>
      <w:bookmarkStart w:id="68" w:name="_Toc246996934"/>
      <w:bookmarkStart w:id="69" w:name="_Toc246996191"/>
      <w:bookmarkStart w:id="70" w:name="_Toc152045546"/>
      <w:bookmarkStart w:id="71" w:name="_Toc144974514"/>
      <w:bookmarkStart w:id="72" w:name="_Toc179632564"/>
      <w:bookmarkStart w:id="73" w:name="_Toc152042322"/>
      <w:bookmarkStart w:id="74" w:name="_Toc247085705"/>
      <w:r>
        <w:rPr>
          <w:rFonts w:hint="eastAsia" w:ascii="宋体" w:hAnsi="宋体" w:eastAsia="宋体" w:cs="宋体"/>
        </w:rPr>
        <w:t>平台如发布延期公告，供应商应主动查询。采购人/采购平台不承担供应商未及时关注相关信息引发的相关责任。</w:t>
      </w:r>
    </w:p>
    <w:p w14:paraId="3FDD0052">
      <w:pPr>
        <w:pStyle w:val="66"/>
        <w:rPr>
          <w:rFonts w:ascii="黑体" w:hAnsi="黑体" w:eastAsia="黑体" w:cs="宋体"/>
        </w:rPr>
      </w:pPr>
      <w:r>
        <w:rPr>
          <w:rFonts w:hint="eastAsia" w:ascii="黑体" w:hAnsi="黑体" w:eastAsia="黑体" w:cs="宋体"/>
        </w:rPr>
        <w:t>三、</w:t>
      </w:r>
      <w:bookmarkEnd w:id="67"/>
      <w:bookmarkEnd w:id="68"/>
      <w:bookmarkEnd w:id="69"/>
      <w:bookmarkEnd w:id="70"/>
      <w:bookmarkEnd w:id="71"/>
      <w:bookmarkEnd w:id="72"/>
      <w:bookmarkEnd w:id="73"/>
      <w:bookmarkEnd w:id="74"/>
      <w:r>
        <w:rPr>
          <w:rFonts w:hint="eastAsia" w:ascii="黑体" w:hAnsi="黑体" w:eastAsia="黑体" w:cs="宋体"/>
        </w:rPr>
        <w:t>响应文件</w:t>
      </w:r>
    </w:p>
    <w:p w14:paraId="1C621BC3">
      <w:pPr>
        <w:pStyle w:val="66"/>
        <w:rPr>
          <w:rFonts w:ascii="宋体" w:hAnsi="宋体" w:eastAsia="宋体" w:cs="宋体"/>
        </w:rPr>
      </w:pPr>
      <w:bookmarkStart w:id="75" w:name="_Toc152045547"/>
      <w:bookmarkStart w:id="76" w:name="_Toc179632565"/>
      <w:bookmarkStart w:id="77" w:name="_Toc152042323"/>
      <w:bookmarkStart w:id="78" w:name="_Toc247085706"/>
      <w:bookmarkStart w:id="79" w:name="_Toc144974515"/>
      <w:bookmarkStart w:id="80" w:name="_Toc246996192"/>
      <w:bookmarkStart w:id="81" w:name="_Toc246996935"/>
      <w:bookmarkStart w:id="82" w:name="_Toc296602437"/>
      <w:r>
        <w:rPr>
          <w:rFonts w:hint="eastAsia" w:ascii="宋体" w:hAnsi="宋体" w:eastAsia="宋体" w:cs="宋体"/>
        </w:rPr>
        <w:t>8.响应文件的构成</w:t>
      </w:r>
      <w:bookmarkEnd w:id="75"/>
      <w:bookmarkEnd w:id="76"/>
      <w:bookmarkEnd w:id="77"/>
      <w:bookmarkEnd w:id="78"/>
      <w:bookmarkEnd w:id="79"/>
      <w:bookmarkEnd w:id="80"/>
      <w:bookmarkEnd w:id="81"/>
      <w:bookmarkEnd w:id="82"/>
    </w:p>
    <w:p w14:paraId="7ACFD6BC">
      <w:pPr>
        <w:pStyle w:val="66"/>
        <w:rPr>
          <w:rFonts w:ascii="宋体" w:hAnsi="宋体" w:eastAsia="宋体" w:cs="宋体"/>
        </w:rPr>
      </w:pPr>
      <w:r>
        <w:rPr>
          <w:rFonts w:hint="eastAsia" w:ascii="宋体" w:hAnsi="宋体" w:eastAsia="宋体" w:cs="宋体"/>
        </w:rPr>
        <w:t>8.1响应文件的构成：供应商应按照响应文件格式的要求装订并连续编写页码，认真按照格式填写全部内容。</w:t>
      </w:r>
    </w:p>
    <w:p w14:paraId="126DF4C4">
      <w:pPr>
        <w:pStyle w:val="66"/>
        <w:rPr>
          <w:rFonts w:ascii="宋体" w:hAnsi="宋体" w:eastAsia="宋体" w:cs="宋体"/>
        </w:rPr>
      </w:pPr>
      <w:r>
        <w:rPr>
          <w:rFonts w:hint="eastAsia" w:ascii="宋体" w:hAnsi="宋体" w:eastAsia="宋体" w:cs="宋体"/>
        </w:rPr>
        <w:t>注：响应文件如未按照本条要求提供相应材料可能导致其响应被否决。</w:t>
      </w:r>
    </w:p>
    <w:p w14:paraId="1F53D075">
      <w:pPr>
        <w:pStyle w:val="66"/>
        <w:rPr>
          <w:rFonts w:ascii="宋体" w:hAnsi="宋体" w:eastAsia="宋体" w:cs="宋体"/>
        </w:rPr>
      </w:pPr>
      <w:r>
        <w:rPr>
          <w:rFonts w:hint="eastAsia" w:ascii="宋体" w:hAnsi="宋体" w:eastAsia="宋体" w:cs="宋体"/>
        </w:rPr>
        <w:t>8.2如供应商无详细说明对询比文件的商务和技术不响应或者没有填写商务技术偏离表，则视为供应商默认响应询比文件的商务和技术全部要求。</w:t>
      </w:r>
    </w:p>
    <w:p w14:paraId="6D70D664">
      <w:pPr>
        <w:pStyle w:val="66"/>
        <w:rPr>
          <w:rFonts w:ascii="宋体" w:hAnsi="宋体" w:eastAsia="宋体" w:cs="宋体"/>
        </w:rPr>
      </w:pPr>
      <w:r>
        <w:rPr>
          <w:rFonts w:hint="eastAsia" w:ascii="宋体" w:hAnsi="宋体" w:eastAsia="宋体" w:cs="宋体"/>
        </w:rPr>
        <w:t>8.3所提供的全部文件应是真实的、可靠的、在有效期内的。如经审查供应商有虚报瞒报行为的，视其响应无效并不予退还响应担保。</w:t>
      </w:r>
    </w:p>
    <w:p w14:paraId="1CDDBBE2">
      <w:pPr>
        <w:pStyle w:val="66"/>
        <w:rPr>
          <w:rFonts w:ascii="宋体" w:hAnsi="宋体" w:eastAsia="宋体" w:cs="宋体"/>
        </w:rPr>
      </w:pPr>
      <w:r>
        <w:rPr>
          <w:rFonts w:hint="eastAsia" w:ascii="宋体" w:hAnsi="宋体" w:eastAsia="宋体" w:cs="宋体"/>
        </w:rPr>
        <w:t>8.4不接受电话、传真等形式的响应，响应文件不退回。</w:t>
      </w:r>
    </w:p>
    <w:p w14:paraId="017D82D4">
      <w:pPr>
        <w:pStyle w:val="66"/>
        <w:rPr>
          <w:rFonts w:hint="eastAsia" w:ascii="宋体" w:hAnsi="宋体" w:eastAsia="宋体" w:cs="宋体"/>
        </w:rPr>
      </w:pPr>
      <w:bookmarkStart w:id="83" w:name="_Toc247085707"/>
      <w:bookmarkStart w:id="84" w:name="_Toc152045548"/>
      <w:bookmarkStart w:id="85" w:name="_Toc296602438"/>
      <w:bookmarkStart w:id="86" w:name="_Toc144974516"/>
      <w:bookmarkStart w:id="87" w:name="_Toc179632566"/>
      <w:bookmarkStart w:id="88" w:name="_Toc152042324"/>
      <w:bookmarkStart w:id="89" w:name="_Toc246996193"/>
      <w:bookmarkStart w:id="90" w:name="_Toc246996936"/>
      <w:r>
        <w:rPr>
          <w:rFonts w:hint="eastAsia" w:ascii="宋体" w:hAnsi="宋体" w:eastAsia="宋体" w:cs="宋体"/>
        </w:rPr>
        <w:t>9.</w:t>
      </w:r>
      <w:bookmarkEnd w:id="83"/>
      <w:bookmarkEnd w:id="84"/>
      <w:bookmarkEnd w:id="85"/>
      <w:bookmarkEnd w:id="86"/>
      <w:bookmarkEnd w:id="87"/>
      <w:bookmarkEnd w:id="88"/>
      <w:bookmarkEnd w:id="89"/>
      <w:bookmarkEnd w:id="90"/>
      <w:r>
        <w:rPr>
          <w:rFonts w:hint="eastAsia" w:ascii="宋体" w:hAnsi="宋体" w:eastAsia="宋体" w:cs="宋体"/>
        </w:rPr>
        <w:t>响应价格</w:t>
      </w:r>
    </w:p>
    <w:p w14:paraId="4710BB8F">
      <w:pPr>
        <w:pStyle w:val="66"/>
        <w:rPr>
          <w:rFonts w:ascii="宋体" w:hAnsi="宋体" w:eastAsia="宋体" w:cs="宋体"/>
        </w:rPr>
      </w:pPr>
      <w:bookmarkStart w:id="91" w:name="_Toc152045549"/>
      <w:bookmarkStart w:id="92" w:name="_Toc152042325"/>
      <w:bookmarkStart w:id="93" w:name="_Toc144974517"/>
      <w:bookmarkStart w:id="94" w:name="_Toc179632567"/>
      <w:r>
        <w:rPr>
          <w:rFonts w:hint="eastAsia" w:ascii="宋体" w:hAnsi="宋体" w:eastAsia="宋体" w:cs="宋体"/>
        </w:rPr>
        <w:t>9.1响应报价为单台报价，如分项报价中存在缺漏项，则视为缺漏项价格已包含在其他分项报价之中。供应商不接受此种修正，评审委员会有权否决其响应（免费赠送部分除外）。</w:t>
      </w:r>
    </w:p>
    <w:p w14:paraId="67F82DCC">
      <w:pPr>
        <w:pStyle w:val="66"/>
        <w:rPr>
          <w:rFonts w:ascii="宋体" w:hAnsi="宋体" w:eastAsia="宋体" w:cs="宋体"/>
        </w:rPr>
      </w:pPr>
      <w:r>
        <w:rPr>
          <w:rFonts w:hint="eastAsia" w:ascii="宋体" w:hAnsi="宋体" w:eastAsia="宋体" w:cs="宋体"/>
        </w:rPr>
        <w:t>9.2供应商应按照询比文件规定的商务、合同和技术责任进行报价。如响应作出商务和技术的偏离，应在相应偏离表中列出，并提供由于偏离所引起的价格差异。不提供商务和技术偏离表的，视为全部满足本询比文件的要求。</w:t>
      </w:r>
    </w:p>
    <w:p w14:paraId="3701D00A">
      <w:pPr>
        <w:pStyle w:val="66"/>
        <w:rPr>
          <w:rFonts w:ascii="宋体" w:hAnsi="宋体" w:eastAsia="宋体" w:cs="宋体"/>
        </w:rPr>
      </w:pPr>
      <w:r>
        <w:rPr>
          <w:rFonts w:hint="eastAsia" w:ascii="宋体" w:hAnsi="宋体" w:eastAsia="宋体" w:cs="宋体"/>
        </w:rPr>
        <w:t>9.3供应商所报的价格在合同执行过程中是固定的，不得以任何理由予以变更。</w:t>
      </w:r>
    </w:p>
    <w:p w14:paraId="5B96DCCF">
      <w:pPr>
        <w:pStyle w:val="66"/>
        <w:rPr>
          <w:rFonts w:ascii="宋体" w:hAnsi="宋体" w:eastAsia="宋体" w:cs="宋体"/>
        </w:rPr>
      </w:pPr>
      <w:r>
        <w:rPr>
          <w:rFonts w:hint="eastAsia" w:ascii="宋体" w:hAnsi="宋体" w:eastAsia="宋体" w:cs="宋体"/>
        </w:rPr>
        <w:t>9.4最低报价不能作为成交的保证。</w:t>
      </w:r>
    </w:p>
    <w:p w14:paraId="45A1CE7C">
      <w:pPr>
        <w:pStyle w:val="66"/>
        <w:rPr>
          <w:rFonts w:ascii="宋体" w:hAnsi="宋体" w:eastAsia="宋体" w:cs="宋体"/>
        </w:rPr>
      </w:pPr>
      <w:bookmarkStart w:id="95" w:name="_Toc247085708"/>
      <w:bookmarkStart w:id="96" w:name="_Toc246996937"/>
      <w:bookmarkStart w:id="97" w:name="_Toc246996194"/>
      <w:bookmarkStart w:id="98" w:name="_Toc296602439"/>
      <w:r>
        <w:rPr>
          <w:rFonts w:hint="eastAsia" w:ascii="宋体" w:hAnsi="宋体" w:eastAsia="宋体" w:cs="宋体"/>
        </w:rPr>
        <w:t>10.</w:t>
      </w:r>
      <w:bookmarkEnd w:id="91"/>
      <w:bookmarkEnd w:id="92"/>
      <w:bookmarkEnd w:id="93"/>
      <w:bookmarkEnd w:id="94"/>
      <w:bookmarkEnd w:id="95"/>
      <w:bookmarkEnd w:id="96"/>
      <w:bookmarkEnd w:id="97"/>
      <w:bookmarkEnd w:id="98"/>
      <w:r>
        <w:rPr>
          <w:rFonts w:hint="eastAsia" w:ascii="宋体" w:hAnsi="宋体" w:eastAsia="宋体" w:cs="宋体"/>
        </w:rPr>
        <w:t>响应担保</w:t>
      </w:r>
    </w:p>
    <w:p w14:paraId="6B7B4A5A">
      <w:pPr>
        <w:pStyle w:val="66"/>
        <w:rPr>
          <w:rFonts w:ascii="宋体" w:hAnsi="宋体" w:eastAsia="宋体" w:cs="宋体"/>
        </w:rPr>
      </w:pPr>
      <w:r>
        <w:rPr>
          <w:rFonts w:hint="eastAsia" w:ascii="宋体" w:hAnsi="宋体" w:eastAsia="宋体" w:cs="宋体"/>
        </w:rPr>
        <w:t>10.1 供应商应按照询比文件的相关规定提交响应担保，并作为其响应文件的组成部分。</w:t>
      </w:r>
    </w:p>
    <w:p w14:paraId="73E060B1">
      <w:pPr>
        <w:pStyle w:val="66"/>
        <w:rPr>
          <w:rFonts w:ascii="宋体" w:hAnsi="宋体" w:eastAsia="宋体" w:cs="宋体"/>
        </w:rPr>
      </w:pPr>
      <w:r>
        <w:rPr>
          <w:rFonts w:hint="eastAsia" w:ascii="宋体" w:hAnsi="宋体" w:eastAsia="宋体" w:cs="宋体"/>
        </w:rPr>
        <w:t>10.2 供应商以现金方式提交响应担保的，须从供应商本单位账户汇出，不接受其他单位或个人代缴的响应担保。</w:t>
      </w:r>
    </w:p>
    <w:p w14:paraId="01EA6C34">
      <w:pPr>
        <w:pStyle w:val="66"/>
        <w:rPr>
          <w:rFonts w:ascii="宋体" w:hAnsi="宋体" w:eastAsia="宋体" w:cs="宋体"/>
        </w:rPr>
      </w:pPr>
      <w:r>
        <w:rPr>
          <w:rFonts w:hint="eastAsia" w:ascii="宋体" w:hAnsi="宋体" w:eastAsia="宋体" w:cs="宋体"/>
        </w:rPr>
        <w:t>10.3 未按照询比文件的规定提交响应担保的，其响应将被否决。</w:t>
      </w:r>
    </w:p>
    <w:p w14:paraId="1945AAC9">
      <w:pPr>
        <w:pStyle w:val="66"/>
        <w:rPr>
          <w:rFonts w:ascii="宋体" w:hAnsi="宋体" w:eastAsia="宋体" w:cs="宋体"/>
        </w:rPr>
      </w:pPr>
      <w:r>
        <w:rPr>
          <w:rFonts w:hint="eastAsia" w:ascii="宋体" w:hAnsi="宋体" w:eastAsia="宋体" w:cs="宋体"/>
        </w:rPr>
        <w:t>10.4供应商以现金方式提交的响应担保将一律按电汇或转账方式退还至供应商单位账户，不退至个人，不退纸币。</w:t>
      </w:r>
    </w:p>
    <w:p w14:paraId="20B594BA">
      <w:pPr>
        <w:pStyle w:val="66"/>
        <w:rPr>
          <w:rFonts w:ascii="宋体" w:hAnsi="宋体" w:eastAsia="宋体" w:cs="宋体"/>
        </w:rPr>
      </w:pPr>
      <w:r>
        <w:rPr>
          <w:rFonts w:hint="eastAsia" w:ascii="宋体" w:hAnsi="宋体" w:eastAsia="宋体" w:cs="宋体"/>
        </w:rPr>
        <w:t>10.5下列任何情况发生时，响应保证金将不予退还：</w:t>
      </w:r>
    </w:p>
    <w:p w14:paraId="7117546C">
      <w:pPr>
        <w:pStyle w:val="66"/>
        <w:rPr>
          <w:rFonts w:ascii="宋体" w:hAnsi="宋体" w:eastAsia="宋体" w:cs="宋体"/>
        </w:rPr>
      </w:pPr>
      <w:r>
        <w:rPr>
          <w:rFonts w:hint="eastAsia" w:ascii="宋体" w:hAnsi="宋体" w:eastAsia="宋体" w:cs="宋体"/>
        </w:rPr>
        <w:t>（1）供应商在响应有效期内撤销其响应；</w:t>
      </w:r>
    </w:p>
    <w:p w14:paraId="270E9D8F">
      <w:pPr>
        <w:pStyle w:val="66"/>
        <w:rPr>
          <w:rFonts w:ascii="宋体" w:hAnsi="宋体" w:eastAsia="宋体" w:cs="宋体"/>
        </w:rPr>
      </w:pPr>
      <w:r>
        <w:rPr>
          <w:rFonts w:hint="eastAsia" w:ascii="宋体" w:hAnsi="宋体" w:eastAsia="宋体" w:cs="宋体"/>
        </w:rPr>
        <w:t>（2）成交人未能在规定的时间内签署合同；</w:t>
      </w:r>
    </w:p>
    <w:p w14:paraId="76BF4732">
      <w:pPr>
        <w:pStyle w:val="66"/>
        <w:rPr>
          <w:rFonts w:ascii="宋体" w:hAnsi="宋体" w:eastAsia="宋体" w:cs="宋体"/>
        </w:rPr>
      </w:pPr>
      <w:r>
        <w:rPr>
          <w:rFonts w:hint="eastAsia" w:ascii="宋体" w:hAnsi="宋体" w:eastAsia="宋体" w:cs="宋体"/>
        </w:rPr>
        <w:t>（3）未能在规定的时间内提供履约担保；</w:t>
      </w:r>
    </w:p>
    <w:p w14:paraId="231B379C">
      <w:pPr>
        <w:pStyle w:val="66"/>
        <w:rPr>
          <w:rFonts w:ascii="宋体" w:hAnsi="宋体" w:eastAsia="宋体" w:cs="宋体"/>
        </w:rPr>
      </w:pPr>
      <w:r>
        <w:rPr>
          <w:rFonts w:hint="eastAsia" w:ascii="宋体" w:hAnsi="宋体" w:eastAsia="宋体" w:cs="宋体"/>
        </w:rPr>
        <w:t>（4）供应商在响应文件中提供虚假材料或有串标、围标等恶意行为的；</w:t>
      </w:r>
    </w:p>
    <w:p w14:paraId="66312B9E">
      <w:pPr>
        <w:pStyle w:val="66"/>
        <w:rPr>
          <w:rFonts w:ascii="宋体" w:hAnsi="宋体" w:eastAsia="宋体" w:cs="宋体"/>
        </w:rPr>
      </w:pPr>
      <w:r>
        <w:rPr>
          <w:rFonts w:hint="eastAsia" w:ascii="宋体" w:hAnsi="宋体" w:eastAsia="宋体" w:cs="宋体"/>
        </w:rPr>
        <w:t>（5）法律法规规定的其他不予退还的情形。</w:t>
      </w:r>
    </w:p>
    <w:p w14:paraId="07634556">
      <w:pPr>
        <w:pStyle w:val="66"/>
        <w:rPr>
          <w:rFonts w:ascii="黑体" w:hAnsi="黑体" w:eastAsia="黑体" w:cs="宋体"/>
        </w:rPr>
      </w:pPr>
      <w:bookmarkStart w:id="99" w:name="_Toc144974523"/>
      <w:bookmarkStart w:id="100" w:name="_Toc246996199"/>
      <w:bookmarkStart w:id="101" w:name="_Toc296602443"/>
      <w:bookmarkStart w:id="102" w:name="_Toc246996942"/>
      <w:bookmarkStart w:id="103" w:name="_Toc179632573"/>
      <w:bookmarkStart w:id="104" w:name="_Toc152042331"/>
      <w:bookmarkStart w:id="105" w:name="_Toc247085713"/>
      <w:bookmarkStart w:id="106" w:name="_Toc152045555"/>
      <w:r>
        <w:rPr>
          <w:rFonts w:hint="eastAsia" w:ascii="黑体" w:hAnsi="黑体" w:eastAsia="黑体" w:cs="宋体"/>
        </w:rPr>
        <w:t>四</w:t>
      </w:r>
      <w:bookmarkEnd w:id="99"/>
      <w:bookmarkEnd w:id="100"/>
      <w:bookmarkEnd w:id="101"/>
      <w:bookmarkEnd w:id="102"/>
      <w:bookmarkEnd w:id="103"/>
      <w:bookmarkEnd w:id="104"/>
      <w:bookmarkEnd w:id="105"/>
      <w:bookmarkEnd w:id="106"/>
      <w:r>
        <w:rPr>
          <w:rFonts w:hint="eastAsia" w:ascii="黑体" w:hAnsi="黑体" w:eastAsia="黑体" w:cs="宋体"/>
        </w:rPr>
        <w:t>、响应文件的提交</w:t>
      </w:r>
    </w:p>
    <w:p w14:paraId="0667AE2A">
      <w:pPr>
        <w:pStyle w:val="66"/>
        <w:rPr>
          <w:rFonts w:ascii="宋体" w:hAnsi="宋体" w:eastAsia="宋体" w:cs="宋体"/>
        </w:rPr>
      </w:pPr>
      <w:bookmarkStart w:id="107" w:name="_Toc296602444"/>
      <w:bookmarkStart w:id="108" w:name="_Toc152045556"/>
      <w:bookmarkStart w:id="109" w:name="_Toc247085714"/>
      <w:bookmarkStart w:id="110" w:name="_Toc179632574"/>
      <w:bookmarkStart w:id="111" w:name="_Toc144974524"/>
      <w:bookmarkStart w:id="112" w:name="_Toc246996200"/>
      <w:bookmarkStart w:id="113" w:name="_Toc152042332"/>
      <w:bookmarkStart w:id="114" w:name="_Toc246996943"/>
      <w:r>
        <w:rPr>
          <w:rFonts w:hint="eastAsia" w:ascii="宋体" w:hAnsi="宋体" w:eastAsia="宋体" w:cs="宋体"/>
        </w:rPr>
        <w:t>11.</w:t>
      </w:r>
      <w:bookmarkEnd w:id="107"/>
      <w:bookmarkEnd w:id="108"/>
      <w:bookmarkEnd w:id="109"/>
      <w:bookmarkEnd w:id="110"/>
      <w:bookmarkEnd w:id="111"/>
      <w:bookmarkEnd w:id="112"/>
      <w:bookmarkEnd w:id="113"/>
      <w:bookmarkEnd w:id="114"/>
      <w:r>
        <w:rPr>
          <w:rFonts w:hint="eastAsia" w:ascii="宋体" w:hAnsi="宋体" w:eastAsia="宋体" w:cs="宋体"/>
        </w:rPr>
        <w:t>响应文件的密封和标识</w:t>
      </w:r>
    </w:p>
    <w:p w14:paraId="52914465">
      <w:pPr>
        <w:pStyle w:val="66"/>
        <w:rPr>
          <w:rFonts w:ascii="宋体" w:hAnsi="宋体" w:eastAsia="宋体" w:cs="宋体"/>
        </w:rPr>
      </w:pPr>
      <w:bookmarkStart w:id="115" w:name="_Toc144974525"/>
      <w:bookmarkStart w:id="116" w:name="_Toc152045557"/>
      <w:bookmarkStart w:id="117" w:name="_Toc246996201"/>
      <w:bookmarkStart w:id="118" w:name="_Toc179632575"/>
      <w:bookmarkStart w:id="119" w:name="_Toc247085715"/>
      <w:bookmarkStart w:id="120" w:name="_Toc152042333"/>
      <w:bookmarkStart w:id="121" w:name="_Toc246996944"/>
      <w:r>
        <w:rPr>
          <w:rFonts w:hint="eastAsia" w:ascii="宋体" w:hAnsi="宋体" w:eastAsia="宋体" w:cs="宋体"/>
        </w:rPr>
        <w:t>11.1响应文件正本和所有的副本须密封装在包装中。</w:t>
      </w:r>
    </w:p>
    <w:p w14:paraId="29F9A6F1">
      <w:pPr>
        <w:pStyle w:val="66"/>
        <w:rPr>
          <w:rFonts w:ascii="宋体" w:hAnsi="宋体" w:eastAsia="宋体" w:cs="宋体"/>
        </w:rPr>
      </w:pPr>
      <w:r>
        <w:rPr>
          <w:rFonts w:hint="eastAsia" w:ascii="宋体" w:hAnsi="宋体" w:eastAsia="宋体" w:cs="宋体"/>
        </w:rPr>
        <w:t>11.2如果包装未按规定标记并密封，采购人或采购平台将不承担错放或提前启封的责任。</w:t>
      </w:r>
    </w:p>
    <w:bookmarkEnd w:id="115"/>
    <w:bookmarkEnd w:id="116"/>
    <w:bookmarkEnd w:id="117"/>
    <w:bookmarkEnd w:id="118"/>
    <w:bookmarkEnd w:id="119"/>
    <w:bookmarkEnd w:id="120"/>
    <w:bookmarkEnd w:id="121"/>
    <w:p w14:paraId="698633A1">
      <w:pPr>
        <w:pStyle w:val="66"/>
        <w:rPr>
          <w:rFonts w:ascii="宋体" w:hAnsi="宋体" w:eastAsia="宋体" w:cs="宋体"/>
        </w:rPr>
      </w:pPr>
      <w:r>
        <w:rPr>
          <w:rFonts w:hint="eastAsia" w:ascii="宋体" w:hAnsi="宋体" w:eastAsia="宋体" w:cs="宋体"/>
        </w:rPr>
        <w:t>12.提交响应文件的截止日期</w:t>
      </w:r>
    </w:p>
    <w:p w14:paraId="5C779DA6">
      <w:pPr>
        <w:pStyle w:val="66"/>
        <w:rPr>
          <w:rFonts w:ascii="宋体" w:hAnsi="宋体" w:eastAsia="宋体" w:cs="宋体"/>
        </w:rPr>
      </w:pPr>
      <w:r>
        <w:rPr>
          <w:rFonts w:hint="eastAsia" w:ascii="宋体" w:hAnsi="宋体" w:eastAsia="宋体" w:cs="宋体"/>
        </w:rPr>
        <w:t>12.1响应文件应于规定的响应文件递交截止日期之前送达规定的地点。</w:t>
      </w:r>
    </w:p>
    <w:p w14:paraId="73E7D44D">
      <w:pPr>
        <w:pStyle w:val="66"/>
        <w:rPr>
          <w:rFonts w:ascii="宋体" w:hAnsi="宋体" w:eastAsia="宋体" w:cs="宋体"/>
        </w:rPr>
      </w:pPr>
      <w:r>
        <w:rPr>
          <w:rFonts w:hint="eastAsia" w:ascii="宋体" w:hAnsi="宋体" w:eastAsia="宋体" w:cs="宋体"/>
        </w:rPr>
        <w:t>12.2采购人和采购平台可以依照法律规定延长响应文件递交截止期。在此情况下采购平台和供应商受响应截止期制约的所有权利和义务均应延长至新的截止日期。</w:t>
      </w:r>
    </w:p>
    <w:p w14:paraId="1FC87680">
      <w:pPr>
        <w:pStyle w:val="66"/>
        <w:rPr>
          <w:rFonts w:ascii="宋体" w:hAnsi="宋体" w:eastAsia="宋体" w:cs="宋体"/>
        </w:rPr>
      </w:pPr>
      <w:r>
        <w:rPr>
          <w:rFonts w:ascii="宋体" w:hAnsi="宋体" w:eastAsia="宋体" w:cs="宋体"/>
        </w:rPr>
        <w:t>12.3</w:t>
      </w:r>
      <w:r>
        <w:rPr>
          <w:rFonts w:hint="eastAsia" w:ascii="宋体" w:hAnsi="宋体" w:eastAsia="宋体" w:cs="宋体"/>
        </w:rPr>
        <w:t>采购人和采购平台将拒绝并退回在响应文件递交截止期后收到的任何响应文件。</w:t>
      </w:r>
    </w:p>
    <w:p w14:paraId="6876CEF6">
      <w:pPr>
        <w:pStyle w:val="66"/>
        <w:rPr>
          <w:rFonts w:ascii="宋体" w:hAnsi="宋体" w:eastAsia="宋体" w:cs="宋体"/>
        </w:rPr>
      </w:pPr>
      <w:bookmarkStart w:id="122" w:name="_Toc247085716"/>
      <w:bookmarkStart w:id="123" w:name="_Toc144974526"/>
      <w:bookmarkStart w:id="124" w:name="_Toc246996202"/>
      <w:bookmarkStart w:id="125" w:name="_Toc246996945"/>
      <w:bookmarkStart w:id="126" w:name="_Toc152045558"/>
      <w:bookmarkStart w:id="127" w:name="_Toc179632576"/>
      <w:bookmarkStart w:id="128" w:name="_Toc296602446"/>
      <w:bookmarkStart w:id="129" w:name="_Toc152042334"/>
      <w:r>
        <w:rPr>
          <w:rFonts w:hint="eastAsia" w:ascii="宋体" w:hAnsi="宋体" w:eastAsia="宋体" w:cs="宋体"/>
        </w:rPr>
        <w:t>13.响应文件的修改与撤回</w:t>
      </w:r>
      <w:bookmarkEnd w:id="122"/>
      <w:bookmarkEnd w:id="123"/>
      <w:bookmarkEnd w:id="124"/>
      <w:bookmarkEnd w:id="125"/>
      <w:bookmarkEnd w:id="126"/>
      <w:bookmarkEnd w:id="127"/>
      <w:bookmarkEnd w:id="128"/>
      <w:bookmarkEnd w:id="129"/>
    </w:p>
    <w:p w14:paraId="30EE91A1">
      <w:pPr>
        <w:pStyle w:val="66"/>
        <w:rPr>
          <w:rFonts w:ascii="宋体" w:hAnsi="宋体" w:eastAsia="宋体" w:cs="宋体"/>
        </w:rPr>
      </w:pPr>
      <w:r>
        <w:rPr>
          <w:rFonts w:hint="eastAsia" w:ascii="宋体" w:hAnsi="宋体" w:eastAsia="宋体" w:cs="宋体"/>
        </w:rPr>
        <w:t>13.1供应商在提交响应文件后，可以修改或撤回其响应文件，但这种修改和撤回，必须在规定的响应文件递交截止时间前，并以书面形式通知采购平台。在响应文件递交截止时间后，供应商不得再要求修改或撤销其响应文件。</w:t>
      </w:r>
    </w:p>
    <w:p w14:paraId="4B55944C">
      <w:pPr>
        <w:pStyle w:val="66"/>
        <w:rPr>
          <w:rFonts w:ascii="宋体" w:hAnsi="宋体" w:eastAsia="宋体" w:cs="宋体"/>
        </w:rPr>
      </w:pPr>
      <w:r>
        <w:rPr>
          <w:rFonts w:hint="eastAsia" w:ascii="宋体" w:hAnsi="宋体" w:eastAsia="宋体" w:cs="宋体"/>
        </w:rPr>
        <w:t>13.2从响应文件递交截止期至响应文件有效期结束为止，供应商不得撤销其响应文件，否则将不予退还其响应担保。</w:t>
      </w:r>
    </w:p>
    <w:p w14:paraId="2D26F40A">
      <w:pPr>
        <w:pStyle w:val="66"/>
        <w:rPr>
          <w:rFonts w:ascii="黑体" w:hAnsi="黑体" w:eastAsia="黑体" w:cs="宋体"/>
        </w:rPr>
      </w:pPr>
      <w:bookmarkStart w:id="130" w:name="_Toc179632577"/>
      <w:bookmarkStart w:id="131" w:name="_Toc152045559"/>
      <w:bookmarkStart w:id="132" w:name="_Toc152042335"/>
      <w:bookmarkStart w:id="133" w:name="_Toc144974527"/>
      <w:bookmarkStart w:id="134" w:name="_Toc246996203"/>
      <w:bookmarkStart w:id="135" w:name="_Toc247085717"/>
      <w:bookmarkStart w:id="136" w:name="_Toc296602447"/>
      <w:bookmarkStart w:id="137" w:name="_Toc246996946"/>
      <w:r>
        <w:rPr>
          <w:rFonts w:hint="eastAsia" w:ascii="黑体" w:hAnsi="黑体" w:eastAsia="黑体" w:cs="宋体"/>
        </w:rPr>
        <w:t>五、</w:t>
      </w:r>
      <w:bookmarkEnd w:id="130"/>
      <w:bookmarkEnd w:id="131"/>
      <w:bookmarkEnd w:id="132"/>
      <w:bookmarkEnd w:id="133"/>
      <w:bookmarkEnd w:id="134"/>
      <w:bookmarkEnd w:id="135"/>
      <w:bookmarkEnd w:id="136"/>
      <w:bookmarkEnd w:id="137"/>
      <w:r>
        <w:rPr>
          <w:rFonts w:hint="eastAsia" w:ascii="黑体" w:hAnsi="黑体" w:eastAsia="黑体" w:cs="宋体"/>
        </w:rPr>
        <w:t>开启</w:t>
      </w:r>
    </w:p>
    <w:p w14:paraId="4A6CE199">
      <w:pPr>
        <w:pStyle w:val="66"/>
        <w:rPr>
          <w:rFonts w:ascii="宋体" w:hAnsi="宋体" w:eastAsia="宋体" w:cs="宋体"/>
        </w:rPr>
      </w:pPr>
      <w:bookmarkStart w:id="138" w:name="_Toc246996204"/>
      <w:bookmarkStart w:id="139" w:name="_Toc179632578"/>
      <w:bookmarkStart w:id="140" w:name="_Toc152045560"/>
      <w:bookmarkStart w:id="141" w:name="_Toc247085718"/>
      <w:bookmarkStart w:id="142" w:name="_Toc144974528"/>
      <w:bookmarkStart w:id="143" w:name="_Toc296602448"/>
      <w:bookmarkStart w:id="144" w:name="_Toc152042336"/>
      <w:bookmarkStart w:id="145" w:name="_Toc246996947"/>
      <w:r>
        <w:rPr>
          <w:rFonts w:hint="eastAsia" w:ascii="宋体" w:hAnsi="宋体" w:eastAsia="宋体" w:cs="宋体"/>
        </w:rPr>
        <w:t>14.开启（或开启响应文件）时间和地点</w:t>
      </w:r>
      <w:bookmarkEnd w:id="138"/>
      <w:bookmarkEnd w:id="139"/>
      <w:bookmarkEnd w:id="140"/>
      <w:bookmarkEnd w:id="141"/>
      <w:bookmarkEnd w:id="142"/>
      <w:bookmarkEnd w:id="143"/>
      <w:bookmarkEnd w:id="144"/>
      <w:bookmarkEnd w:id="145"/>
    </w:p>
    <w:p w14:paraId="4E178CBD">
      <w:pPr>
        <w:pStyle w:val="66"/>
        <w:rPr>
          <w:rFonts w:ascii="宋体" w:hAnsi="宋体" w:eastAsia="宋体" w:cs="宋体"/>
        </w:rPr>
      </w:pPr>
      <w:r>
        <w:rPr>
          <w:rFonts w:hint="eastAsia" w:ascii="宋体" w:hAnsi="宋体" w:eastAsia="宋体" w:cs="宋体"/>
        </w:rPr>
        <w:t>14.1采购平台在供应商须知前附表规定的时间和地点公开开启。出席开启仪式的供应商的授权代表携带身份证明，签名报到以证明其出席。在评审结束前，未得到采购人或采购平台的允许，供应商授权代表原则上不得离开开启现场。</w:t>
      </w:r>
    </w:p>
    <w:p w14:paraId="787F068C">
      <w:pPr>
        <w:pStyle w:val="66"/>
        <w:rPr>
          <w:rFonts w:ascii="宋体" w:hAnsi="宋体" w:eastAsia="宋体" w:cs="宋体"/>
        </w:rPr>
      </w:pPr>
      <w:r>
        <w:rPr>
          <w:rFonts w:hint="eastAsia" w:ascii="宋体" w:hAnsi="宋体" w:eastAsia="宋体" w:cs="宋体"/>
        </w:rPr>
        <w:t>14.2在开启时，采购平台宣读供应商名称、响应价格，以及采购平台认为合适的其他内容。开启结束后，所有被开封唱标的响应文件，均提交评审委员会评审。</w:t>
      </w:r>
    </w:p>
    <w:p w14:paraId="3C2B2B89">
      <w:pPr>
        <w:pStyle w:val="66"/>
        <w:rPr>
          <w:rFonts w:ascii="宋体" w:hAnsi="宋体" w:eastAsia="宋体" w:cs="宋体"/>
        </w:rPr>
      </w:pPr>
      <w:bookmarkStart w:id="146" w:name="_Toc246996948"/>
      <w:bookmarkStart w:id="147" w:name="_Toc246996205"/>
      <w:bookmarkStart w:id="148" w:name="_Toc179632579"/>
      <w:bookmarkStart w:id="149" w:name="_Toc247085719"/>
      <w:bookmarkStart w:id="150" w:name="_Toc144974529"/>
      <w:bookmarkStart w:id="151" w:name="_Toc296602449"/>
      <w:bookmarkStart w:id="152" w:name="_Toc152045561"/>
      <w:bookmarkStart w:id="153" w:name="_Toc152042337"/>
      <w:r>
        <w:rPr>
          <w:rFonts w:hint="eastAsia" w:ascii="宋体" w:hAnsi="宋体" w:eastAsia="宋体" w:cs="宋体"/>
        </w:rPr>
        <w:t>15.开启程序</w:t>
      </w:r>
      <w:bookmarkEnd w:id="146"/>
      <w:bookmarkEnd w:id="147"/>
      <w:bookmarkEnd w:id="148"/>
      <w:bookmarkEnd w:id="149"/>
      <w:bookmarkEnd w:id="150"/>
      <w:bookmarkEnd w:id="151"/>
      <w:bookmarkEnd w:id="152"/>
      <w:bookmarkEnd w:id="153"/>
    </w:p>
    <w:p w14:paraId="5F31F837">
      <w:pPr>
        <w:pStyle w:val="66"/>
        <w:rPr>
          <w:rFonts w:ascii="宋体" w:hAnsi="宋体" w:eastAsia="宋体" w:cs="宋体"/>
        </w:rPr>
      </w:pPr>
      <w:r>
        <w:rPr>
          <w:rFonts w:hint="eastAsia" w:ascii="宋体" w:hAnsi="宋体" w:eastAsia="宋体" w:cs="宋体"/>
        </w:rPr>
        <w:t>15.1评审由依照有关规定组建的评审委员会负责。评审委员会将按照询比文件确定的方法进行评审。在详细评审之前，评审委员会将判定每个响应文件是否完整以及是否实质性响应了询比文件的要求。</w:t>
      </w:r>
    </w:p>
    <w:p w14:paraId="1B0C40D5">
      <w:pPr>
        <w:pStyle w:val="66"/>
        <w:rPr>
          <w:rFonts w:ascii="宋体" w:hAnsi="宋体" w:eastAsia="宋体" w:cs="宋体"/>
        </w:rPr>
      </w:pPr>
      <w:r>
        <w:rPr>
          <w:rFonts w:ascii="宋体" w:hAnsi="宋体" w:eastAsia="宋体" w:cs="宋体"/>
        </w:rPr>
        <w:t>1</w:t>
      </w:r>
      <w:r>
        <w:rPr>
          <w:rFonts w:hint="eastAsia" w:ascii="宋体" w:hAnsi="宋体" w:eastAsia="宋体" w:cs="宋体"/>
        </w:rPr>
        <w:t>5</w:t>
      </w:r>
      <w:r>
        <w:rPr>
          <w:rFonts w:ascii="宋体" w:hAnsi="宋体" w:eastAsia="宋体" w:cs="宋体"/>
        </w:rPr>
        <w:t>.2</w:t>
      </w:r>
      <w:r>
        <w:rPr>
          <w:rFonts w:hint="eastAsia" w:ascii="宋体" w:hAnsi="宋体" w:eastAsia="宋体" w:cs="宋体"/>
        </w:rPr>
        <w:t>评审委员会成员有下列情形之一的，应当回避：</w:t>
      </w:r>
    </w:p>
    <w:p w14:paraId="401FDF9B">
      <w:pPr>
        <w:pStyle w:val="66"/>
        <w:rPr>
          <w:rFonts w:ascii="宋体" w:hAnsi="宋体" w:eastAsia="宋体" w:cs="宋体"/>
        </w:rPr>
      </w:pPr>
      <w:r>
        <w:rPr>
          <w:rFonts w:hint="eastAsia" w:ascii="宋体" w:hAnsi="宋体" w:eastAsia="宋体" w:cs="宋体"/>
        </w:rPr>
        <w:t>（</w:t>
      </w:r>
      <w:r>
        <w:rPr>
          <w:rFonts w:ascii="宋体" w:hAnsi="宋体" w:eastAsia="宋体" w:cs="宋体"/>
        </w:rPr>
        <w:t>1</w:t>
      </w:r>
      <w:r>
        <w:rPr>
          <w:rFonts w:hint="eastAsia" w:ascii="宋体" w:hAnsi="宋体" w:eastAsia="宋体" w:cs="宋体"/>
        </w:rPr>
        <w:t>）供应商或供应商主要负责人的近亲属；</w:t>
      </w:r>
    </w:p>
    <w:p w14:paraId="21D207F0">
      <w:pPr>
        <w:pStyle w:val="66"/>
        <w:rPr>
          <w:rFonts w:ascii="宋体" w:hAnsi="宋体" w:eastAsia="宋体" w:cs="宋体"/>
        </w:rPr>
      </w:pPr>
      <w:r>
        <w:rPr>
          <w:rFonts w:hint="eastAsia" w:ascii="宋体" w:hAnsi="宋体" w:eastAsia="宋体" w:cs="宋体"/>
        </w:rPr>
        <w:t>（</w:t>
      </w:r>
      <w:r>
        <w:rPr>
          <w:rFonts w:ascii="宋体" w:hAnsi="宋体" w:eastAsia="宋体" w:cs="宋体"/>
        </w:rPr>
        <w:t>2</w:t>
      </w:r>
      <w:r>
        <w:rPr>
          <w:rFonts w:hint="eastAsia" w:ascii="宋体" w:hAnsi="宋体" w:eastAsia="宋体" w:cs="宋体"/>
        </w:rPr>
        <w:t>）与供应商有经济利益关系，可能影响对响应公正评审的；</w:t>
      </w:r>
    </w:p>
    <w:p w14:paraId="118758BC">
      <w:pPr>
        <w:pStyle w:val="66"/>
        <w:rPr>
          <w:rFonts w:ascii="宋体" w:hAnsi="宋体" w:eastAsia="宋体" w:cs="宋体"/>
        </w:rPr>
      </w:pPr>
      <w:r>
        <w:rPr>
          <w:rFonts w:hint="eastAsia" w:ascii="宋体" w:hAnsi="宋体" w:eastAsia="宋体" w:cs="宋体"/>
        </w:rPr>
        <w:t>（</w:t>
      </w:r>
      <w:r>
        <w:rPr>
          <w:rFonts w:ascii="宋体" w:hAnsi="宋体" w:eastAsia="宋体" w:cs="宋体"/>
        </w:rPr>
        <w:t>3</w:t>
      </w:r>
      <w:r>
        <w:rPr>
          <w:rFonts w:hint="eastAsia" w:ascii="宋体" w:hAnsi="宋体" w:eastAsia="宋体" w:cs="宋体"/>
        </w:rPr>
        <w:t>）曾因在询比、评审以及其他与招标响应有关活动中从事违法行为而受过行政处罚或刑事处罚的；</w:t>
      </w:r>
    </w:p>
    <w:p w14:paraId="1063CFE9">
      <w:pPr>
        <w:pStyle w:val="66"/>
        <w:rPr>
          <w:rFonts w:ascii="宋体" w:hAnsi="宋体" w:eastAsia="宋体" w:cs="宋体"/>
        </w:rPr>
      </w:pPr>
      <w:r>
        <w:rPr>
          <w:rFonts w:hint="eastAsia" w:ascii="宋体" w:hAnsi="宋体" w:eastAsia="宋体" w:cs="宋体"/>
        </w:rPr>
        <w:t>（</w:t>
      </w:r>
      <w:r>
        <w:rPr>
          <w:rFonts w:ascii="宋体" w:hAnsi="宋体" w:eastAsia="宋体" w:cs="宋体"/>
        </w:rPr>
        <w:t>4</w:t>
      </w:r>
      <w:r>
        <w:rPr>
          <w:rFonts w:hint="eastAsia" w:ascii="宋体" w:hAnsi="宋体" w:eastAsia="宋体" w:cs="宋体"/>
        </w:rPr>
        <w:t>）与供应商有其他利害关系。</w:t>
      </w:r>
    </w:p>
    <w:p w14:paraId="602BC62E">
      <w:pPr>
        <w:pStyle w:val="66"/>
        <w:rPr>
          <w:rFonts w:ascii="宋体" w:hAnsi="宋体" w:eastAsia="宋体" w:cs="宋体"/>
        </w:rPr>
      </w:pPr>
      <w:r>
        <w:rPr>
          <w:rFonts w:ascii="宋体" w:hAnsi="宋体" w:eastAsia="宋体" w:cs="宋体"/>
        </w:rPr>
        <w:t>1</w:t>
      </w:r>
      <w:r>
        <w:rPr>
          <w:rFonts w:hint="eastAsia" w:ascii="宋体" w:hAnsi="宋体" w:eastAsia="宋体" w:cs="宋体"/>
        </w:rPr>
        <w:t>5</w:t>
      </w:r>
      <w:r>
        <w:rPr>
          <w:rFonts w:ascii="宋体" w:hAnsi="宋体" w:eastAsia="宋体" w:cs="宋体"/>
        </w:rPr>
        <w:t>.3</w:t>
      </w:r>
      <w:r>
        <w:rPr>
          <w:rFonts w:hint="eastAsia" w:ascii="宋体" w:hAnsi="宋体" w:eastAsia="宋体" w:cs="宋体"/>
        </w:rPr>
        <w:t>评审过程中，评审委员会成员有回避事由、擅离职守或者因健康等原因不能继续评审的，采购人有权更换。被更换的评审委员会成员作出的评审结论无效，更换后的评审委员会成员重新进行评审。</w:t>
      </w:r>
    </w:p>
    <w:p w14:paraId="0A5EB6D2">
      <w:pPr>
        <w:pStyle w:val="66"/>
        <w:rPr>
          <w:rFonts w:ascii="宋体" w:hAnsi="宋体" w:eastAsia="宋体" w:cs="宋体"/>
        </w:rPr>
      </w:pPr>
      <w:r>
        <w:rPr>
          <w:rFonts w:ascii="宋体" w:hAnsi="宋体" w:eastAsia="宋体" w:cs="宋体"/>
        </w:rPr>
        <w:t>1</w:t>
      </w:r>
      <w:r>
        <w:rPr>
          <w:rFonts w:hint="eastAsia" w:ascii="宋体" w:hAnsi="宋体" w:eastAsia="宋体" w:cs="宋体"/>
        </w:rPr>
        <w:t>5</w:t>
      </w:r>
      <w:r>
        <w:rPr>
          <w:rFonts w:ascii="宋体" w:hAnsi="宋体" w:eastAsia="宋体" w:cs="宋体"/>
        </w:rPr>
        <w:t>.4</w:t>
      </w:r>
      <w:r>
        <w:rPr>
          <w:rFonts w:hint="eastAsia" w:ascii="宋体" w:hAnsi="宋体" w:eastAsia="宋体" w:cs="宋体"/>
        </w:rPr>
        <w:t>评审委员会对响应文件响应性的判定基于响应文件本身的内容，而不寻求外部的证据，无论何种原因，即使供应商开启时携带了材料的原件，但在响应文件中未提供与之内容完全一致的复制件的，评审委员会可视为其未提供。</w:t>
      </w:r>
    </w:p>
    <w:p w14:paraId="6E983D2D">
      <w:pPr>
        <w:pStyle w:val="66"/>
        <w:rPr>
          <w:rFonts w:ascii="宋体" w:hAnsi="宋体" w:eastAsia="宋体" w:cs="宋体"/>
        </w:rPr>
      </w:pPr>
      <w:r>
        <w:rPr>
          <w:rFonts w:ascii="宋体" w:hAnsi="宋体" w:eastAsia="宋体" w:cs="宋体"/>
        </w:rPr>
        <w:t>1</w:t>
      </w:r>
      <w:r>
        <w:rPr>
          <w:rFonts w:hint="eastAsia" w:ascii="宋体" w:hAnsi="宋体" w:eastAsia="宋体" w:cs="宋体"/>
        </w:rPr>
        <w:t>5</w:t>
      </w:r>
      <w:r>
        <w:rPr>
          <w:rFonts w:ascii="宋体" w:hAnsi="宋体" w:eastAsia="宋体" w:cs="宋体"/>
        </w:rPr>
        <w:t>.5</w:t>
      </w:r>
      <w:r>
        <w:rPr>
          <w:rFonts w:hint="eastAsia" w:ascii="宋体" w:hAnsi="宋体" w:eastAsia="宋体" w:cs="宋体"/>
        </w:rPr>
        <w:t>如果响应没有实质性响应询比文件的要求，其响应将被否决。供应商</w:t>
      </w:r>
      <w:r>
        <w:rPr>
          <w:rFonts w:ascii="宋体" w:hAnsi="宋体" w:eastAsia="宋体" w:cs="宋体"/>
        </w:rPr>
        <w:t>不</w:t>
      </w:r>
      <w:r>
        <w:rPr>
          <w:rFonts w:hint="eastAsia" w:ascii="宋体" w:hAnsi="宋体" w:eastAsia="宋体" w:cs="宋体"/>
        </w:rPr>
        <w:t>得通过修正或撤销不符合要求的偏离或保留从而使其响应成为实质性响应的响应。如现有下列情形之一的，其响应将被否决：</w:t>
      </w:r>
    </w:p>
    <w:p w14:paraId="616FCB9A">
      <w:pPr>
        <w:pStyle w:val="66"/>
        <w:rPr>
          <w:rFonts w:ascii="宋体" w:hAnsi="宋体" w:eastAsia="宋体" w:cs="宋体"/>
        </w:rPr>
      </w:pPr>
      <w:r>
        <w:rPr>
          <w:rFonts w:hint="eastAsia" w:ascii="宋体" w:hAnsi="宋体" w:eastAsia="宋体" w:cs="宋体"/>
        </w:rPr>
        <w:t>（1）供应商未提交响应担保或提交的担保不符合询比文件要求的：</w:t>
      </w:r>
    </w:p>
    <w:p w14:paraId="18E2AE49">
      <w:pPr>
        <w:pStyle w:val="66"/>
        <w:rPr>
          <w:rFonts w:ascii="宋体" w:hAnsi="宋体" w:eastAsia="宋体" w:cs="宋体"/>
        </w:rPr>
      </w:pPr>
      <w:r>
        <w:rPr>
          <w:rFonts w:hint="eastAsia" w:ascii="宋体" w:hAnsi="宋体" w:eastAsia="宋体" w:cs="宋体"/>
        </w:rPr>
        <w:t>（2）资格和资质证明文件不全的或不满足询比文件的资格要求的：</w:t>
      </w:r>
    </w:p>
    <w:p w14:paraId="4B44EA1B">
      <w:pPr>
        <w:pStyle w:val="66"/>
        <w:rPr>
          <w:rFonts w:ascii="宋体" w:hAnsi="宋体" w:eastAsia="宋体" w:cs="宋体"/>
        </w:rPr>
      </w:pPr>
      <w:r>
        <w:rPr>
          <w:rFonts w:hint="eastAsia" w:ascii="宋体" w:hAnsi="宋体" w:eastAsia="宋体" w:cs="宋体"/>
        </w:rPr>
        <w:t>（3）响应有效期不足的；</w:t>
      </w:r>
    </w:p>
    <w:p w14:paraId="2DD5E181">
      <w:pPr>
        <w:pStyle w:val="66"/>
        <w:rPr>
          <w:rFonts w:ascii="宋体" w:hAnsi="宋体" w:eastAsia="宋体" w:cs="宋体"/>
        </w:rPr>
      </w:pPr>
      <w:r>
        <w:rPr>
          <w:rFonts w:hint="eastAsia" w:ascii="宋体" w:hAnsi="宋体" w:eastAsia="宋体" w:cs="宋体"/>
        </w:rPr>
        <w:t>（4）响应文件商务和技术条款有重大偏离的；</w:t>
      </w:r>
    </w:p>
    <w:p w14:paraId="0138E796">
      <w:pPr>
        <w:pStyle w:val="66"/>
        <w:rPr>
          <w:rFonts w:ascii="宋体" w:hAnsi="宋体" w:eastAsia="宋体" w:cs="宋体"/>
        </w:rPr>
      </w:pPr>
      <w:r>
        <w:rPr>
          <w:rFonts w:hint="eastAsia" w:ascii="宋体" w:hAnsi="宋体" w:eastAsia="宋体" w:cs="宋体"/>
        </w:rPr>
        <w:t>（5）未提供询比文件要求的相关评审材料或格式文件造成重大影响无法审查的；</w:t>
      </w:r>
    </w:p>
    <w:p w14:paraId="7F19112C">
      <w:pPr>
        <w:pStyle w:val="66"/>
        <w:rPr>
          <w:rFonts w:ascii="宋体" w:hAnsi="宋体" w:eastAsia="宋体" w:cs="宋体"/>
        </w:rPr>
      </w:pPr>
      <w:r>
        <w:rPr>
          <w:rFonts w:hint="eastAsia" w:ascii="宋体" w:hAnsi="宋体" w:eastAsia="宋体" w:cs="宋体"/>
        </w:rPr>
        <w:t>（6）响应文件提供虚假材料的；</w:t>
      </w:r>
    </w:p>
    <w:p w14:paraId="7FB4C137">
      <w:pPr>
        <w:pStyle w:val="66"/>
        <w:rPr>
          <w:rFonts w:ascii="宋体" w:hAnsi="宋体" w:eastAsia="宋体" w:cs="宋体"/>
        </w:rPr>
      </w:pPr>
      <w:r>
        <w:rPr>
          <w:rFonts w:hint="eastAsia" w:ascii="宋体" w:hAnsi="宋体" w:eastAsia="宋体" w:cs="宋体"/>
        </w:rPr>
        <w:t>（7）响应文件附有采购人不能接受的条件的；</w:t>
      </w:r>
    </w:p>
    <w:p w14:paraId="54654680">
      <w:pPr>
        <w:pStyle w:val="66"/>
        <w:rPr>
          <w:rFonts w:ascii="宋体" w:hAnsi="宋体" w:eastAsia="宋体" w:cs="宋体"/>
        </w:rPr>
      </w:pPr>
      <w:r>
        <w:rPr>
          <w:rFonts w:hint="eastAsia" w:ascii="宋体" w:hAnsi="宋体" w:eastAsia="宋体" w:cs="宋体"/>
        </w:rPr>
        <w:t>（8）评审委员会发现供应商的报价明显低于其他报价，而供应商不能合理说明或者不能提供相关证明材料，由评审委员会认定该供应商以影响履约的异常价格进行报价竞标的；</w:t>
      </w:r>
    </w:p>
    <w:p w14:paraId="4C4E8F84">
      <w:pPr>
        <w:pStyle w:val="66"/>
        <w:rPr>
          <w:rFonts w:ascii="宋体" w:hAnsi="宋体" w:eastAsia="宋体" w:cs="宋体"/>
        </w:rPr>
      </w:pPr>
      <w:r>
        <w:rPr>
          <w:rFonts w:hint="eastAsia" w:ascii="宋体" w:hAnsi="宋体" w:eastAsia="宋体" w:cs="宋体"/>
        </w:rPr>
        <w:t>（9）不符合询比文件中规定的其他实质性要求的；</w:t>
      </w:r>
    </w:p>
    <w:p w14:paraId="7CE48DD2">
      <w:pPr>
        <w:pStyle w:val="66"/>
        <w:rPr>
          <w:rFonts w:ascii="宋体" w:hAnsi="宋体" w:eastAsia="宋体" w:cs="宋体"/>
        </w:rPr>
      </w:pPr>
      <w:r>
        <w:rPr>
          <w:rFonts w:hint="eastAsia" w:ascii="宋体" w:hAnsi="宋体" w:eastAsia="宋体" w:cs="宋体"/>
        </w:rPr>
        <w:t>（10）在评审过程中，评审委员会发现供应商以他人的名义响应、串通响应、以行贿手段谋取中标或者以其他弄虚作假方式响应的；</w:t>
      </w:r>
    </w:p>
    <w:p w14:paraId="6721AD71">
      <w:pPr>
        <w:pStyle w:val="66"/>
        <w:rPr>
          <w:rFonts w:ascii="宋体" w:hAnsi="宋体" w:eastAsia="宋体" w:cs="宋体"/>
        </w:rPr>
      </w:pPr>
      <w:r>
        <w:rPr>
          <w:rFonts w:hint="eastAsia" w:ascii="宋体" w:hAnsi="宋体" w:eastAsia="宋体" w:cs="宋体"/>
        </w:rPr>
        <w:t>（11）法律法规规定的其他否决响应的情形。</w:t>
      </w:r>
    </w:p>
    <w:p w14:paraId="1207C782">
      <w:pPr>
        <w:pStyle w:val="66"/>
        <w:rPr>
          <w:rFonts w:ascii="宋体" w:hAnsi="宋体" w:eastAsia="宋体" w:cs="宋体"/>
        </w:rPr>
      </w:pPr>
      <w:r>
        <w:rPr>
          <w:rFonts w:hint="eastAsia" w:ascii="宋体" w:hAnsi="宋体" w:eastAsia="宋体" w:cs="宋体"/>
        </w:rPr>
        <w:t>15.6评审委员会只对在初审中确定为实质性响应的响应文件进行进一步的详细评审。</w:t>
      </w:r>
    </w:p>
    <w:p w14:paraId="4F7D7894">
      <w:pPr>
        <w:pStyle w:val="66"/>
        <w:rPr>
          <w:rFonts w:ascii="宋体" w:hAnsi="宋体" w:eastAsia="宋体" w:cs="宋体"/>
        </w:rPr>
      </w:pPr>
      <w:r>
        <w:rPr>
          <w:rFonts w:hint="eastAsia" w:ascii="宋体" w:hAnsi="宋体" w:eastAsia="宋体" w:cs="宋体"/>
        </w:rPr>
        <w:t>15.7出现下列情况之一时，评审委员会有权宣布废标：</w:t>
      </w:r>
    </w:p>
    <w:p w14:paraId="1B87A201">
      <w:pPr>
        <w:pStyle w:val="66"/>
        <w:rPr>
          <w:rFonts w:ascii="宋体" w:hAnsi="宋体" w:eastAsia="宋体" w:cs="宋体"/>
        </w:rPr>
      </w:pPr>
      <w:r>
        <w:rPr>
          <w:rFonts w:hint="eastAsia" w:ascii="宋体" w:hAnsi="宋体" w:eastAsia="宋体" w:cs="宋体"/>
        </w:rPr>
        <w:t>（1）有效供应商数量不足，导致本次询比缺乏竞争的；</w:t>
      </w:r>
    </w:p>
    <w:p w14:paraId="3D5ECAD8">
      <w:pPr>
        <w:pStyle w:val="66"/>
        <w:rPr>
          <w:rFonts w:ascii="宋体" w:hAnsi="宋体" w:eastAsia="宋体" w:cs="宋体"/>
        </w:rPr>
      </w:pPr>
      <w:r>
        <w:rPr>
          <w:rFonts w:hint="eastAsia" w:ascii="宋体" w:hAnsi="宋体" w:eastAsia="宋体" w:cs="宋体"/>
        </w:rPr>
        <w:t>（2）出现影响采购公正的违法、违规行为的；</w:t>
      </w:r>
    </w:p>
    <w:p w14:paraId="78988912">
      <w:pPr>
        <w:pStyle w:val="66"/>
        <w:rPr>
          <w:rFonts w:ascii="宋体" w:hAnsi="宋体" w:eastAsia="宋体" w:cs="宋体"/>
        </w:rPr>
      </w:pPr>
      <w:r>
        <w:rPr>
          <w:rFonts w:hint="eastAsia" w:ascii="宋体" w:hAnsi="宋体" w:eastAsia="宋体" w:cs="宋体"/>
        </w:rPr>
        <w:t>（3）供应商的报价均超过了采购预算，采购人不能支付的；</w:t>
      </w:r>
    </w:p>
    <w:p w14:paraId="0ECF781F">
      <w:pPr>
        <w:pStyle w:val="66"/>
        <w:rPr>
          <w:rFonts w:ascii="宋体" w:hAnsi="宋体" w:eastAsia="宋体" w:cs="宋体"/>
        </w:rPr>
      </w:pPr>
      <w:r>
        <w:rPr>
          <w:rFonts w:hint="eastAsia" w:ascii="宋体" w:hAnsi="宋体" w:eastAsia="宋体" w:cs="宋体"/>
        </w:rPr>
        <w:t>（4）因重大变故，采购任务取消的；</w:t>
      </w:r>
    </w:p>
    <w:p w14:paraId="483FE50C">
      <w:pPr>
        <w:pStyle w:val="66"/>
        <w:rPr>
          <w:rFonts w:ascii="宋体" w:hAnsi="宋体" w:eastAsia="宋体" w:cs="宋体"/>
        </w:rPr>
      </w:pPr>
      <w:r>
        <w:rPr>
          <w:rFonts w:hint="eastAsia" w:ascii="宋体" w:hAnsi="宋体" w:eastAsia="宋体" w:cs="宋体"/>
        </w:rPr>
        <w:t>（5）评委评审后一致认定应予废标的。</w:t>
      </w:r>
    </w:p>
    <w:p w14:paraId="5642E881">
      <w:pPr>
        <w:pStyle w:val="66"/>
        <w:rPr>
          <w:rFonts w:ascii="宋体" w:hAnsi="宋体" w:eastAsia="宋体" w:cs="宋体"/>
        </w:rPr>
      </w:pPr>
      <w:r>
        <w:rPr>
          <w:rFonts w:hint="eastAsia" w:ascii="宋体" w:hAnsi="宋体" w:eastAsia="宋体" w:cs="宋体"/>
        </w:rPr>
        <w:t>16.响应文件的澄清</w:t>
      </w:r>
    </w:p>
    <w:p w14:paraId="5FDE9353">
      <w:pPr>
        <w:pStyle w:val="66"/>
        <w:rPr>
          <w:rFonts w:ascii="宋体" w:hAnsi="宋体" w:eastAsia="宋体" w:cs="宋体"/>
        </w:rPr>
      </w:pPr>
      <w:r>
        <w:rPr>
          <w:rFonts w:hint="eastAsia" w:ascii="宋体" w:hAnsi="宋体" w:eastAsia="宋体" w:cs="宋体"/>
        </w:rPr>
        <w:t>16.1对于响应文件中含义不明确、同类问题表述不一致或者有明显文字和计算错误的内容，评审委员会应当以书面形式要求供应商作出必要的澄清、说明或者补正。</w:t>
      </w:r>
    </w:p>
    <w:p w14:paraId="78C6B7A8">
      <w:pPr>
        <w:pStyle w:val="66"/>
        <w:rPr>
          <w:rFonts w:ascii="宋体" w:hAnsi="宋体" w:eastAsia="宋体" w:cs="宋体"/>
        </w:rPr>
      </w:pPr>
      <w:r>
        <w:rPr>
          <w:rFonts w:hint="eastAsia" w:ascii="宋体" w:hAnsi="宋体" w:eastAsia="宋体" w:cs="宋体"/>
        </w:rPr>
        <w:t>16.2供应商的澄清、说明或者补正应当采用书面形式，并加盖公章或者由法定代表人（单位负责人）或其授权的代表签字。供应商的澄清、说明或者补正不得超出响应文件的范围或者改变响应文件的实质性内容</w:t>
      </w:r>
    </w:p>
    <w:p w14:paraId="7A80A66F">
      <w:pPr>
        <w:pStyle w:val="66"/>
        <w:rPr>
          <w:rFonts w:ascii="宋体" w:hAnsi="宋体" w:eastAsia="宋体" w:cs="宋体"/>
        </w:rPr>
      </w:pPr>
      <w:bookmarkStart w:id="154" w:name="_Toc144974531"/>
      <w:bookmarkStart w:id="155" w:name="_Toc152042339"/>
      <w:bookmarkStart w:id="156" w:name="_Toc179632581"/>
      <w:bookmarkStart w:id="157" w:name="_Toc246996207"/>
      <w:bookmarkStart w:id="158" w:name="_Toc247085721"/>
      <w:bookmarkStart w:id="159" w:name="_Toc246996950"/>
      <w:bookmarkStart w:id="160" w:name="_Toc152045563"/>
      <w:bookmarkStart w:id="161" w:name="_Toc296602452"/>
      <w:r>
        <w:rPr>
          <w:rFonts w:hint="eastAsia" w:ascii="宋体" w:hAnsi="宋体" w:eastAsia="宋体" w:cs="宋体"/>
        </w:rPr>
        <w:t>17.</w:t>
      </w:r>
      <w:bookmarkEnd w:id="154"/>
      <w:bookmarkEnd w:id="155"/>
      <w:bookmarkEnd w:id="156"/>
      <w:bookmarkEnd w:id="157"/>
      <w:bookmarkEnd w:id="158"/>
      <w:bookmarkEnd w:id="159"/>
      <w:bookmarkEnd w:id="160"/>
      <w:bookmarkEnd w:id="161"/>
      <w:r>
        <w:rPr>
          <w:rFonts w:hint="eastAsia" w:ascii="宋体" w:hAnsi="宋体" w:eastAsia="宋体" w:cs="宋体"/>
        </w:rPr>
        <w:t>响应文件的详细评审</w:t>
      </w:r>
    </w:p>
    <w:p w14:paraId="347DDAA6">
      <w:pPr>
        <w:pStyle w:val="66"/>
        <w:rPr>
          <w:rFonts w:ascii="宋体" w:hAnsi="宋体" w:eastAsia="宋体" w:cs="宋体"/>
        </w:rPr>
      </w:pPr>
      <w:r>
        <w:rPr>
          <w:rFonts w:hint="eastAsia" w:ascii="宋体" w:hAnsi="宋体" w:eastAsia="宋体" w:cs="宋体"/>
        </w:rPr>
        <w:t>17.1在初步评审中，若评审委员会成员对同一供应商的评审结论不一致的，按照少数服从多数原则确定最终初步评审结论。评审委员会只对通过初步评审的响应文件进行详细评审。</w:t>
      </w:r>
    </w:p>
    <w:p w14:paraId="5B39E28D">
      <w:pPr>
        <w:pStyle w:val="66"/>
        <w:rPr>
          <w:rFonts w:ascii="宋体" w:hAnsi="宋体" w:eastAsia="宋体" w:cs="宋体"/>
        </w:rPr>
      </w:pPr>
      <w:r>
        <w:rPr>
          <w:rFonts w:hint="eastAsia" w:ascii="宋体" w:hAnsi="宋体" w:eastAsia="宋体" w:cs="宋体"/>
        </w:rPr>
        <w:t>17.2供应商响应报价修正。由评审委员会根据询比文件的要求，以询比文件规定的询比范围为基准，对各供应商的报价内容和范围进行核定，以确定其报价总价的合理性和有效性，并调整到同一可比基准。检查和评审承诺服务范围完整性，供应商缺报、漏报项的，将以其他供应商所报该项目的最高价增加该供应商的评审价。该评审价仅为评审比较之用，供应商的响应价仍然不变。若供应商提供了超过询比文件要求的功能、部件或服务，不予核减。评审后的报价总价作为价格评审的依据。</w:t>
      </w:r>
    </w:p>
    <w:p w14:paraId="56B529AA">
      <w:pPr>
        <w:pStyle w:val="66"/>
        <w:rPr>
          <w:rFonts w:ascii="宋体" w:hAnsi="宋体" w:eastAsia="宋体" w:cs="宋体"/>
        </w:rPr>
      </w:pPr>
      <w:r>
        <w:rPr>
          <w:rFonts w:hint="eastAsia" w:ascii="宋体" w:hAnsi="宋体" w:eastAsia="宋体" w:cs="宋体"/>
        </w:rPr>
        <w:t>17.3响应文件报价出现前后不一致的，除供应商须知前附表另有规定外，按照下列规定修正：</w:t>
      </w:r>
    </w:p>
    <w:p w14:paraId="7F0C54EB">
      <w:pPr>
        <w:pStyle w:val="66"/>
        <w:rPr>
          <w:rFonts w:ascii="宋体" w:hAnsi="宋体" w:eastAsia="宋体" w:cs="宋体"/>
        </w:rPr>
      </w:pPr>
      <w:r>
        <w:rPr>
          <w:rFonts w:hint="eastAsia" w:ascii="宋体" w:hAnsi="宋体" w:eastAsia="宋体" w:cs="宋体"/>
        </w:rPr>
        <w:t>（1）响应文件中报价表内容与响应文件中相应内容不一致的，以报价表为准；</w:t>
      </w:r>
    </w:p>
    <w:p w14:paraId="1722A65F">
      <w:pPr>
        <w:pStyle w:val="66"/>
        <w:rPr>
          <w:rFonts w:ascii="宋体" w:hAnsi="宋体" w:eastAsia="宋体" w:cs="宋体"/>
        </w:rPr>
      </w:pPr>
      <w:r>
        <w:rPr>
          <w:rFonts w:hint="eastAsia" w:ascii="宋体" w:hAnsi="宋体" w:eastAsia="宋体" w:cs="宋体"/>
        </w:rPr>
        <w:t>（2）大写金额和小写金额不一致的，以大写金额为准；</w:t>
      </w:r>
    </w:p>
    <w:p w14:paraId="27554CAD">
      <w:pPr>
        <w:pStyle w:val="66"/>
        <w:rPr>
          <w:rFonts w:ascii="宋体" w:hAnsi="宋体" w:eastAsia="宋体" w:cs="宋体"/>
        </w:rPr>
      </w:pPr>
      <w:r>
        <w:rPr>
          <w:rFonts w:hint="eastAsia" w:ascii="宋体" w:hAnsi="宋体" w:eastAsia="宋体" w:cs="宋体"/>
        </w:rPr>
        <w:t>（3）单价金额小数点或者百分比有明显错位的，以报价表的总价为准，并修改单价；</w:t>
      </w:r>
    </w:p>
    <w:p w14:paraId="0E6B4B3D">
      <w:pPr>
        <w:pStyle w:val="66"/>
        <w:rPr>
          <w:rFonts w:ascii="宋体" w:hAnsi="宋体" w:eastAsia="宋体" w:cs="宋体"/>
        </w:rPr>
      </w:pPr>
      <w:r>
        <w:rPr>
          <w:rFonts w:hint="eastAsia" w:ascii="宋体" w:hAnsi="宋体" w:eastAsia="宋体" w:cs="宋体"/>
        </w:rPr>
        <w:t>（4）总价金额与按单价汇总金额不一致的，以单价金额计算结果为准。</w:t>
      </w:r>
    </w:p>
    <w:p w14:paraId="45321417">
      <w:pPr>
        <w:pStyle w:val="66"/>
        <w:rPr>
          <w:rFonts w:ascii="宋体" w:hAnsi="宋体" w:eastAsia="宋体" w:cs="宋体"/>
        </w:rPr>
      </w:pPr>
      <w:r>
        <w:rPr>
          <w:rFonts w:hint="eastAsia" w:ascii="宋体" w:hAnsi="宋体" w:eastAsia="宋体" w:cs="宋体"/>
        </w:rPr>
        <w:t>同时出现两种以上不一致的，按照有利于非过错方的公平公正原则进行修正，修正后的报价经供应商确认后产生约束力，供应商不确认的，其响应将被否决。</w:t>
      </w:r>
    </w:p>
    <w:p w14:paraId="2D398149">
      <w:pPr>
        <w:pStyle w:val="66"/>
        <w:rPr>
          <w:rFonts w:ascii="宋体" w:hAnsi="宋体" w:eastAsia="宋体" w:cs="宋体"/>
        </w:rPr>
      </w:pPr>
      <w:r>
        <w:rPr>
          <w:rFonts w:hint="eastAsia" w:ascii="宋体" w:hAnsi="宋体" w:eastAsia="宋体" w:cs="宋体"/>
        </w:rPr>
        <w:t>17.4供应商不足3家处理预案。</w:t>
      </w:r>
    </w:p>
    <w:p w14:paraId="12219993">
      <w:pPr>
        <w:pStyle w:val="66"/>
        <w:rPr>
          <w:rFonts w:ascii="宋体" w:hAnsi="宋体" w:eastAsia="宋体" w:cs="宋体"/>
        </w:rPr>
      </w:pPr>
      <w:r>
        <w:rPr>
          <w:rFonts w:hint="eastAsia" w:ascii="宋体" w:hAnsi="宋体" w:eastAsia="宋体" w:cs="宋体"/>
        </w:rPr>
        <w:t>响应文件提交截止时间后供应商不足3家的，采购人可以因竞争性不足宣布流标，或在征得现场供应商同意下转为其他采购人式。</w:t>
      </w:r>
    </w:p>
    <w:p w14:paraId="2E0D5DE4">
      <w:pPr>
        <w:pStyle w:val="66"/>
        <w:rPr>
          <w:rFonts w:ascii="宋体" w:hAnsi="宋体" w:eastAsia="宋体" w:cs="宋体"/>
        </w:rPr>
      </w:pPr>
      <w:r>
        <w:rPr>
          <w:rFonts w:hint="eastAsia" w:ascii="宋体" w:hAnsi="宋体" w:eastAsia="宋体" w:cs="宋体"/>
        </w:rPr>
        <w:t>18.与采购人和采购平台的接触</w:t>
      </w:r>
    </w:p>
    <w:p w14:paraId="51D7C43A">
      <w:pPr>
        <w:pStyle w:val="66"/>
        <w:rPr>
          <w:rFonts w:ascii="宋体" w:hAnsi="宋体" w:eastAsia="宋体" w:cs="宋体"/>
        </w:rPr>
      </w:pPr>
      <w:r>
        <w:rPr>
          <w:rFonts w:hint="eastAsia" w:ascii="宋体" w:hAnsi="宋体" w:eastAsia="宋体" w:cs="宋体"/>
        </w:rPr>
        <w:t>18.1除按评审委员会要求的澄清外，从开启到签署合同期间，供应商不得就与其响应有关的任何事项与采购平台、采购人和评审委员会联系。</w:t>
      </w:r>
    </w:p>
    <w:p w14:paraId="5D8FBB16">
      <w:pPr>
        <w:pStyle w:val="66"/>
        <w:rPr>
          <w:rFonts w:ascii="宋体" w:hAnsi="宋体" w:eastAsia="宋体" w:cs="宋体"/>
        </w:rPr>
      </w:pPr>
      <w:r>
        <w:rPr>
          <w:rFonts w:hint="eastAsia" w:ascii="宋体" w:hAnsi="宋体" w:eastAsia="宋体" w:cs="宋体"/>
        </w:rPr>
        <w:t>18.2供应商试图对采购平台、采购人和评审委员会的评审、确定成交人或签署合同的决定进行影响，都可能导致废标。</w:t>
      </w:r>
    </w:p>
    <w:p w14:paraId="6E0928E9">
      <w:pPr>
        <w:pStyle w:val="66"/>
        <w:rPr>
          <w:rFonts w:ascii="宋体" w:hAnsi="宋体" w:eastAsia="宋体" w:cs="宋体"/>
        </w:rPr>
      </w:pPr>
      <w:r>
        <w:rPr>
          <w:rFonts w:hint="eastAsia" w:ascii="宋体" w:hAnsi="宋体" w:eastAsia="宋体" w:cs="宋体"/>
        </w:rPr>
        <w:t>18.3 异议</w:t>
      </w:r>
    </w:p>
    <w:p w14:paraId="70735E64">
      <w:pPr>
        <w:pStyle w:val="66"/>
        <w:rPr>
          <w:rFonts w:ascii="宋体" w:hAnsi="宋体" w:eastAsia="宋体" w:cs="宋体"/>
        </w:rPr>
      </w:pPr>
      <w:r>
        <w:rPr>
          <w:rFonts w:hint="eastAsia" w:ascii="宋体" w:hAnsi="宋体" w:eastAsia="宋体" w:cs="宋体"/>
        </w:rPr>
        <w:t>18.3.1如对询比文件内容有异议，请在《供应商须知》前附表规定的时间前提出。采购人及代理机构有权不接受逾期提出的异议。</w:t>
      </w:r>
    </w:p>
    <w:p w14:paraId="14F903F6">
      <w:pPr>
        <w:pStyle w:val="66"/>
        <w:rPr>
          <w:rFonts w:ascii="宋体" w:hAnsi="宋体" w:eastAsia="宋体" w:cs="宋体"/>
        </w:rPr>
      </w:pPr>
      <w:r>
        <w:rPr>
          <w:rFonts w:hint="eastAsia" w:ascii="宋体" w:hAnsi="宋体" w:eastAsia="宋体" w:cs="宋体"/>
        </w:rPr>
        <w:t>18.3.2对开启环节有异议的，供应商须在开评审现场提出。相关环节结束后，采购人及采购平台将不接收对该环节提出的异议。</w:t>
      </w:r>
    </w:p>
    <w:p w14:paraId="3019C1EB">
      <w:pPr>
        <w:pStyle w:val="66"/>
        <w:rPr>
          <w:rFonts w:ascii="宋体" w:hAnsi="宋体" w:eastAsia="宋体" w:cs="宋体"/>
        </w:rPr>
      </w:pPr>
      <w:r>
        <w:rPr>
          <w:rFonts w:hint="eastAsia" w:ascii="宋体" w:hAnsi="宋体" w:eastAsia="宋体" w:cs="宋体"/>
        </w:rPr>
        <w:t>18.3.3各供应商的各项评审内容、分项得分和总分均属于需保密的评审过程内容，采购人和采购平台无义务向各供应商公布。</w:t>
      </w:r>
    </w:p>
    <w:p w14:paraId="67312E22">
      <w:pPr>
        <w:pStyle w:val="66"/>
        <w:rPr>
          <w:rFonts w:ascii="宋体" w:hAnsi="宋体" w:eastAsia="宋体" w:cs="宋体"/>
        </w:rPr>
      </w:pPr>
      <w:r>
        <w:rPr>
          <w:rFonts w:hint="eastAsia" w:ascii="宋体" w:hAnsi="宋体" w:eastAsia="宋体" w:cs="宋体"/>
        </w:rPr>
        <w:t>18.3.4供应商认为成交结果使自己的合法权益受到损害的，可以在公示期内，由供应商授权代表或法定代表人（单位负责人）附身份证明材料，以书面形式向采购人或采购平台在规定的异议期内提出异议，逾期不予受理。</w:t>
      </w:r>
    </w:p>
    <w:p w14:paraId="64C3BF6B">
      <w:pPr>
        <w:pStyle w:val="66"/>
        <w:rPr>
          <w:rFonts w:ascii="宋体" w:hAnsi="宋体" w:eastAsia="宋体" w:cs="宋体"/>
        </w:rPr>
      </w:pPr>
      <w:r>
        <w:rPr>
          <w:rFonts w:hint="eastAsia" w:ascii="宋体" w:hAnsi="宋体" w:eastAsia="宋体" w:cs="宋体"/>
        </w:rPr>
        <w:t>18.3.5 异议函内容应包括异议的详细理由和依据，并提供有关证明资料。</w:t>
      </w:r>
    </w:p>
    <w:p w14:paraId="44934962">
      <w:pPr>
        <w:pStyle w:val="66"/>
        <w:rPr>
          <w:rFonts w:ascii="宋体" w:hAnsi="宋体" w:eastAsia="宋体" w:cs="宋体"/>
        </w:rPr>
      </w:pPr>
      <w:r>
        <w:rPr>
          <w:rFonts w:hint="eastAsia" w:ascii="宋体" w:hAnsi="宋体" w:eastAsia="宋体" w:cs="宋体"/>
        </w:rPr>
        <w:t>18.3.6有以下情形之一的，视为无效异议：</w:t>
      </w:r>
    </w:p>
    <w:p w14:paraId="61730273">
      <w:pPr>
        <w:pStyle w:val="66"/>
        <w:rPr>
          <w:rFonts w:ascii="宋体" w:hAnsi="宋体" w:eastAsia="宋体" w:cs="宋体"/>
        </w:rPr>
      </w:pPr>
      <w:r>
        <w:rPr>
          <w:rFonts w:hint="eastAsia" w:ascii="宋体" w:hAnsi="宋体" w:eastAsia="宋体" w:cs="宋体"/>
        </w:rPr>
        <w:t>（1）未按规定时间或规定方式提交异议的；</w:t>
      </w:r>
    </w:p>
    <w:p w14:paraId="1431EB6B">
      <w:pPr>
        <w:pStyle w:val="66"/>
        <w:rPr>
          <w:rFonts w:ascii="宋体" w:hAnsi="宋体" w:eastAsia="宋体" w:cs="宋体"/>
        </w:rPr>
      </w:pPr>
      <w:r>
        <w:rPr>
          <w:rFonts w:hint="eastAsia" w:ascii="宋体" w:hAnsi="宋体" w:eastAsia="宋体" w:cs="宋体"/>
        </w:rPr>
        <w:t>（2）异议内容含糊不清、没有提供详细理由和依据，无法进行核查的；</w:t>
      </w:r>
    </w:p>
    <w:p w14:paraId="5A212217">
      <w:pPr>
        <w:pStyle w:val="66"/>
        <w:rPr>
          <w:rFonts w:ascii="宋体" w:hAnsi="宋体" w:eastAsia="宋体" w:cs="宋体"/>
        </w:rPr>
      </w:pPr>
      <w:r>
        <w:rPr>
          <w:rFonts w:hint="eastAsia" w:ascii="宋体" w:hAnsi="宋体" w:eastAsia="宋体" w:cs="宋体"/>
        </w:rPr>
        <w:t>（3）其他不符合异议程序和有关规定的。</w:t>
      </w:r>
    </w:p>
    <w:p w14:paraId="4425AB5D">
      <w:pPr>
        <w:pStyle w:val="66"/>
        <w:rPr>
          <w:rFonts w:ascii="宋体" w:hAnsi="宋体" w:eastAsia="宋体" w:cs="宋体"/>
        </w:rPr>
      </w:pPr>
      <w:r>
        <w:rPr>
          <w:rFonts w:hint="eastAsia" w:ascii="宋体" w:hAnsi="宋体" w:eastAsia="宋体" w:cs="宋体"/>
        </w:rPr>
        <w:t>18.3.7异议人有下列情形之一的，属于虚假、恶意异议，采购人和采购平台将驳回异议，将其列入不良行为记录名单，限制或拒绝其参加采购人和采购平台组织的采购活动，并视情况上报采购人采购主管部门或单位（包括采购人内部主管采购的部门、采购人的上级单位或主管采购的其他机构）：</w:t>
      </w:r>
    </w:p>
    <w:p w14:paraId="742BF4E9">
      <w:pPr>
        <w:pStyle w:val="66"/>
        <w:rPr>
          <w:rFonts w:ascii="宋体" w:hAnsi="宋体" w:eastAsia="宋体" w:cs="宋体"/>
        </w:rPr>
      </w:pPr>
      <w:r>
        <w:rPr>
          <w:rFonts w:hint="eastAsia" w:ascii="宋体" w:hAnsi="宋体" w:eastAsia="宋体" w:cs="宋体"/>
        </w:rPr>
        <w:t>（1）一年内三次及以上异议均查无实据的；</w:t>
      </w:r>
    </w:p>
    <w:p w14:paraId="555F7E96">
      <w:pPr>
        <w:pStyle w:val="66"/>
        <w:rPr>
          <w:rFonts w:ascii="宋体" w:hAnsi="宋体" w:eastAsia="宋体" w:cs="宋体"/>
        </w:rPr>
      </w:pPr>
      <w:r>
        <w:rPr>
          <w:rFonts w:hint="eastAsia" w:ascii="宋体" w:hAnsi="宋体" w:eastAsia="宋体" w:cs="宋体"/>
        </w:rPr>
        <w:t>（2）捏造事实、提供虚假投诉材料或提供以非法手段取得的证明材料异议的；</w:t>
      </w:r>
    </w:p>
    <w:p w14:paraId="4B8828B8">
      <w:pPr>
        <w:pStyle w:val="66"/>
        <w:rPr>
          <w:rFonts w:ascii="宋体" w:hAnsi="宋体" w:eastAsia="宋体" w:cs="宋体"/>
        </w:rPr>
      </w:pPr>
      <w:r>
        <w:rPr>
          <w:rFonts w:hint="eastAsia" w:ascii="宋体" w:hAnsi="宋体" w:eastAsia="宋体" w:cs="宋体"/>
        </w:rPr>
        <w:t>（3）其他经认定属于虚假、恶意投诉的行为。</w:t>
      </w:r>
    </w:p>
    <w:p w14:paraId="418EE7B8">
      <w:pPr>
        <w:pStyle w:val="66"/>
        <w:rPr>
          <w:rFonts w:ascii="黑体" w:hAnsi="黑体" w:eastAsia="黑体" w:cs="宋体"/>
        </w:rPr>
      </w:pPr>
      <w:bookmarkStart w:id="162" w:name="_Toc152042342"/>
      <w:bookmarkStart w:id="163" w:name="_Toc246996953"/>
      <w:bookmarkStart w:id="164" w:name="_Toc296602455"/>
      <w:bookmarkStart w:id="165" w:name="_Toc144974534"/>
      <w:bookmarkStart w:id="166" w:name="_Toc247085724"/>
      <w:bookmarkStart w:id="167" w:name="_Toc246996210"/>
      <w:bookmarkStart w:id="168" w:name="_Toc152045566"/>
      <w:bookmarkStart w:id="169" w:name="_Toc179632584"/>
      <w:r>
        <w:rPr>
          <w:rFonts w:hint="eastAsia" w:ascii="黑体" w:hAnsi="黑体" w:eastAsia="黑体" w:cs="宋体"/>
        </w:rPr>
        <w:t>六、</w:t>
      </w:r>
      <w:bookmarkEnd w:id="162"/>
      <w:bookmarkEnd w:id="163"/>
      <w:bookmarkEnd w:id="164"/>
      <w:bookmarkEnd w:id="165"/>
      <w:bookmarkEnd w:id="166"/>
      <w:bookmarkEnd w:id="167"/>
      <w:bookmarkEnd w:id="168"/>
      <w:bookmarkEnd w:id="169"/>
      <w:r>
        <w:rPr>
          <w:rFonts w:hint="eastAsia" w:ascii="黑体" w:hAnsi="黑体" w:eastAsia="黑体" w:cs="宋体"/>
        </w:rPr>
        <w:t>成交人确定</w:t>
      </w:r>
    </w:p>
    <w:p w14:paraId="225C659F">
      <w:pPr>
        <w:pStyle w:val="66"/>
        <w:rPr>
          <w:rFonts w:ascii="宋体" w:hAnsi="宋体" w:eastAsia="宋体" w:cs="宋体"/>
        </w:rPr>
      </w:pPr>
      <w:bookmarkStart w:id="170" w:name="_Toc152042343"/>
      <w:bookmarkStart w:id="171" w:name="_Toc144974535"/>
      <w:bookmarkStart w:id="172" w:name="_Toc179632585"/>
      <w:bookmarkStart w:id="173" w:name="_Toc152045567"/>
      <w:bookmarkStart w:id="174" w:name="_Toc247085725"/>
      <w:bookmarkStart w:id="175" w:name="_Toc296602456"/>
      <w:bookmarkStart w:id="176" w:name="_Toc246996211"/>
      <w:bookmarkStart w:id="177" w:name="_Toc246996954"/>
      <w:r>
        <w:rPr>
          <w:rFonts w:hint="eastAsia" w:ascii="宋体" w:hAnsi="宋体" w:eastAsia="宋体" w:cs="宋体"/>
        </w:rPr>
        <w:t>19.</w:t>
      </w:r>
      <w:bookmarkEnd w:id="170"/>
      <w:bookmarkEnd w:id="171"/>
      <w:bookmarkEnd w:id="172"/>
      <w:bookmarkEnd w:id="173"/>
      <w:bookmarkEnd w:id="174"/>
      <w:bookmarkEnd w:id="175"/>
      <w:bookmarkEnd w:id="176"/>
      <w:bookmarkEnd w:id="177"/>
      <w:r>
        <w:rPr>
          <w:rFonts w:hint="eastAsia" w:ascii="宋体" w:hAnsi="宋体" w:eastAsia="宋体" w:cs="宋体"/>
        </w:rPr>
        <w:t>审查确认</w:t>
      </w:r>
    </w:p>
    <w:p w14:paraId="4DB34E31">
      <w:pPr>
        <w:pStyle w:val="66"/>
        <w:rPr>
          <w:rFonts w:ascii="宋体" w:hAnsi="宋体" w:eastAsia="宋体" w:cs="宋体"/>
        </w:rPr>
      </w:pPr>
      <w:r>
        <w:rPr>
          <w:rFonts w:hint="eastAsia" w:ascii="宋体" w:hAnsi="宋体" w:eastAsia="宋体" w:cs="宋体"/>
        </w:rPr>
        <w:t>19.1成交候选人的经营、财务状况发生较大变化或者存在违法行为，采购人认为可能影响其履约能力的，应当在发出成交通知书前由原评审委员会按照询比文件规定的标准和方法审查确认。</w:t>
      </w:r>
    </w:p>
    <w:p w14:paraId="72CB87F0">
      <w:pPr>
        <w:pStyle w:val="66"/>
        <w:rPr>
          <w:rFonts w:ascii="宋体" w:hAnsi="宋体" w:eastAsia="宋体" w:cs="宋体"/>
        </w:rPr>
      </w:pPr>
      <w:r>
        <w:rPr>
          <w:rFonts w:hint="eastAsia" w:ascii="宋体" w:hAnsi="宋体" w:eastAsia="宋体" w:cs="宋体"/>
        </w:rPr>
        <w:t>19.2如审查第一成交候选人不符合成交条件，采购人有权取消其成交资格，重新组织询比活动或者委托评审委员会按照排名依次审查确认其他成交候选人。</w:t>
      </w:r>
    </w:p>
    <w:p w14:paraId="052AEFBD">
      <w:pPr>
        <w:pStyle w:val="66"/>
        <w:rPr>
          <w:rFonts w:ascii="宋体" w:hAnsi="宋体" w:eastAsia="宋体" w:cs="宋体"/>
        </w:rPr>
      </w:pPr>
      <w:bookmarkStart w:id="178" w:name="_Toc296602457"/>
      <w:r>
        <w:rPr>
          <w:rFonts w:hint="eastAsia" w:ascii="宋体" w:hAnsi="宋体" w:eastAsia="宋体" w:cs="宋体"/>
        </w:rPr>
        <w:t>20.</w:t>
      </w:r>
      <w:bookmarkEnd w:id="178"/>
      <w:r>
        <w:rPr>
          <w:rFonts w:hint="eastAsia" w:ascii="宋体" w:hAnsi="宋体" w:eastAsia="宋体" w:cs="宋体"/>
        </w:rPr>
        <w:t>确定成交人的标准</w:t>
      </w:r>
    </w:p>
    <w:p w14:paraId="5B3BC85A">
      <w:pPr>
        <w:pStyle w:val="66"/>
        <w:rPr>
          <w:rFonts w:ascii="宋体" w:hAnsi="宋体" w:eastAsia="宋体" w:cs="宋体"/>
        </w:rPr>
      </w:pPr>
      <w:r>
        <w:rPr>
          <w:rFonts w:hint="eastAsia" w:ascii="宋体" w:hAnsi="宋体" w:eastAsia="宋体" w:cs="宋体"/>
        </w:rPr>
        <w:t>评审委员会将根据询比文件确定的评分办法及评审标准对所有响应文件进行相同程序的评审和比较，并根据评审结果推荐1~2名成交候选人，且标明排序。</w:t>
      </w:r>
    </w:p>
    <w:p w14:paraId="1F82025C">
      <w:pPr>
        <w:pStyle w:val="66"/>
        <w:rPr>
          <w:rFonts w:ascii="宋体" w:hAnsi="宋体" w:eastAsia="宋体" w:cs="宋体"/>
        </w:rPr>
      </w:pPr>
      <w:bookmarkStart w:id="179" w:name="_Toc152045568"/>
      <w:bookmarkStart w:id="180" w:name="_Toc296602458"/>
      <w:bookmarkStart w:id="181" w:name="_Toc247085726"/>
      <w:bookmarkStart w:id="182" w:name="_Toc246996212"/>
      <w:bookmarkStart w:id="183" w:name="_Toc152042344"/>
      <w:bookmarkStart w:id="184" w:name="_Toc144974536"/>
      <w:bookmarkStart w:id="185" w:name="_Toc246996955"/>
      <w:bookmarkStart w:id="186" w:name="_Toc179632586"/>
      <w:r>
        <w:rPr>
          <w:rFonts w:hint="eastAsia" w:ascii="宋体" w:hAnsi="宋体" w:eastAsia="宋体" w:cs="宋体"/>
        </w:rPr>
        <w:t>21.</w:t>
      </w:r>
      <w:bookmarkEnd w:id="179"/>
      <w:bookmarkEnd w:id="180"/>
      <w:bookmarkEnd w:id="181"/>
      <w:bookmarkEnd w:id="182"/>
      <w:bookmarkEnd w:id="183"/>
      <w:bookmarkEnd w:id="184"/>
      <w:bookmarkEnd w:id="185"/>
      <w:bookmarkEnd w:id="186"/>
      <w:r>
        <w:rPr>
          <w:rFonts w:hint="eastAsia" w:ascii="宋体" w:hAnsi="宋体" w:eastAsia="宋体" w:cs="宋体"/>
        </w:rPr>
        <w:t>采购人的权利</w:t>
      </w:r>
    </w:p>
    <w:p w14:paraId="59A138D8">
      <w:pPr>
        <w:pStyle w:val="66"/>
        <w:rPr>
          <w:rFonts w:ascii="宋体" w:hAnsi="宋体" w:eastAsia="宋体" w:cs="宋体"/>
        </w:rPr>
      </w:pPr>
      <w:r>
        <w:rPr>
          <w:rFonts w:hint="eastAsia" w:ascii="宋体" w:hAnsi="宋体" w:eastAsia="宋体" w:cs="宋体"/>
        </w:rPr>
        <w:t>采购人在中标通知发出之前的任何时候，有取消本次询比或宣布响应无效或拒绝所有响应的权利，对因此而受影响的供应商不承担任何责任，也没有义务向受影响的供应商解释采取这一行动的理由并不承担任何赔偿费用。</w:t>
      </w:r>
    </w:p>
    <w:p w14:paraId="190EA3DE">
      <w:pPr>
        <w:pStyle w:val="66"/>
        <w:rPr>
          <w:rFonts w:ascii="宋体" w:hAnsi="宋体" w:eastAsia="宋体" w:cs="宋体"/>
        </w:rPr>
      </w:pPr>
      <w:bookmarkStart w:id="187" w:name="_Toc144974537"/>
      <w:bookmarkStart w:id="188" w:name="_Toc179632587"/>
      <w:bookmarkStart w:id="189" w:name="_Toc247085727"/>
      <w:bookmarkStart w:id="190" w:name="_Toc296602459"/>
      <w:bookmarkStart w:id="191" w:name="_Toc246996213"/>
      <w:bookmarkStart w:id="192" w:name="_Toc246996956"/>
      <w:bookmarkStart w:id="193" w:name="_Toc152045569"/>
      <w:bookmarkStart w:id="194" w:name="_Toc152042345"/>
      <w:r>
        <w:rPr>
          <w:rFonts w:hint="eastAsia" w:ascii="宋体" w:hAnsi="宋体" w:eastAsia="宋体" w:cs="宋体"/>
        </w:rPr>
        <w:t>22.</w:t>
      </w:r>
      <w:bookmarkEnd w:id="187"/>
      <w:bookmarkEnd w:id="188"/>
      <w:bookmarkEnd w:id="189"/>
      <w:bookmarkEnd w:id="190"/>
      <w:bookmarkEnd w:id="191"/>
      <w:bookmarkEnd w:id="192"/>
      <w:bookmarkEnd w:id="193"/>
      <w:bookmarkEnd w:id="194"/>
      <w:r>
        <w:rPr>
          <w:rFonts w:hint="eastAsia" w:ascii="宋体" w:hAnsi="宋体" w:eastAsia="宋体" w:cs="宋体"/>
        </w:rPr>
        <w:t>成交通知书</w:t>
      </w:r>
    </w:p>
    <w:p w14:paraId="61B1369E">
      <w:pPr>
        <w:pStyle w:val="66"/>
        <w:rPr>
          <w:rFonts w:ascii="宋体" w:hAnsi="宋体" w:eastAsia="宋体" w:cs="宋体"/>
        </w:rPr>
      </w:pPr>
      <w:r>
        <w:rPr>
          <w:rFonts w:hint="eastAsia" w:ascii="宋体" w:hAnsi="宋体" w:eastAsia="宋体" w:cs="宋体"/>
        </w:rPr>
        <w:t>在响应有效期满之前，采购人向成交人发出成交通知书。成交通知书将构成合同的一部分。</w:t>
      </w:r>
    </w:p>
    <w:p w14:paraId="6689235D">
      <w:pPr>
        <w:pStyle w:val="66"/>
        <w:rPr>
          <w:rFonts w:ascii="黑体" w:hAnsi="黑体" w:eastAsia="黑体" w:cs="宋体"/>
        </w:rPr>
      </w:pPr>
      <w:bookmarkStart w:id="195" w:name="_Toc296602461"/>
      <w:r>
        <w:rPr>
          <w:rFonts w:hint="eastAsia" w:ascii="黑体" w:hAnsi="黑体" w:eastAsia="黑体" w:cs="宋体"/>
        </w:rPr>
        <w:t>七、</w:t>
      </w:r>
      <w:bookmarkEnd w:id="195"/>
      <w:r>
        <w:rPr>
          <w:rFonts w:hint="eastAsia" w:ascii="黑体" w:hAnsi="黑体" w:eastAsia="黑体" w:cs="宋体"/>
        </w:rPr>
        <w:t>合同的签署</w:t>
      </w:r>
    </w:p>
    <w:p w14:paraId="361E8A11">
      <w:pPr>
        <w:pStyle w:val="66"/>
        <w:rPr>
          <w:rFonts w:ascii="宋体" w:hAnsi="宋体" w:eastAsia="宋体" w:cs="宋体"/>
        </w:rPr>
      </w:pPr>
      <w:bookmarkStart w:id="196" w:name="_Toc246996219"/>
      <w:bookmarkStart w:id="197" w:name="_Toc296590983"/>
      <w:bookmarkStart w:id="198" w:name="_Toc246996962"/>
      <w:bookmarkStart w:id="199" w:name="_Toc152045575"/>
      <w:bookmarkStart w:id="200" w:name="_Toc179632593"/>
      <w:bookmarkStart w:id="201" w:name="_Toc144974543"/>
      <w:bookmarkStart w:id="202" w:name="_Toc247085733"/>
      <w:bookmarkStart w:id="203" w:name="_Toc296602462"/>
      <w:bookmarkStart w:id="204" w:name="_Toc152042351"/>
      <w:r>
        <w:rPr>
          <w:rFonts w:hint="eastAsia" w:ascii="宋体" w:hAnsi="宋体" w:eastAsia="宋体" w:cs="宋体"/>
        </w:rPr>
        <w:t>23.</w:t>
      </w:r>
      <w:bookmarkEnd w:id="196"/>
      <w:bookmarkEnd w:id="197"/>
      <w:bookmarkEnd w:id="198"/>
      <w:bookmarkEnd w:id="199"/>
      <w:bookmarkEnd w:id="200"/>
      <w:bookmarkEnd w:id="201"/>
      <w:bookmarkEnd w:id="202"/>
      <w:bookmarkEnd w:id="203"/>
      <w:bookmarkEnd w:id="204"/>
      <w:r>
        <w:rPr>
          <w:rFonts w:hint="eastAsia" w:ascii="宋体" w:hAnsi="宋体" w:eastAsia="宋体" w:cs="宋体"/>
        </w:rPr>
        <w:t>合同的签署</w:t>
      </w:r>
    </w:p>
    <w:p w14:paraId="4CA37B80">
      <w:pPr>
        <w:pStyle w:val="66"/>
        <w:rPr>
          <w:rFonts w:ascii="宋体" w:hAnsi="宋体" w:eastAsia="宋体" w:cs="宋体"/>
        </w:rPr>
      </w:pPr>
      <w:r>
        <w:rPr>
          <w:rFonts w:hint="eastAsia" w:ascii="宋体" w:hAnsi="宋体" w:eastAsia="宋体" w:cs="宋体"/>
        </w:rPr>
        <w:t>23.1成交人应按法律法规及询比文件规定的时间与采购人签订合同。</w:t>
      </w:r>
    </w:p>
    <w:p w14:paraId="36C5C8B9">
      <w:pPr>
        <w:pStyle w:val="66"/>
        <w:rPr>
          <w:rFonts w:ascii="宋体" w:hAnsi="宋体" w:eastAsia="宋体" w:cs="宋体"/>
        </w:rPr>
      </w:pPr>
      <w:r>
        <w:rPr>
          <w:rFonts w:hint="eastAsia" w:ascii="宋体" w:hAnsi="宋体" w:eastAsia="宋体" w:cs="宋体"/>
        </w:rPr>
        <w:t>23.2采购双方必须严格按照询比文件、响应文件及有关承诺签订采购合同，不得擅自变更。合同的标的、价款、质量、履行期限等主要条款应当与询比文件和成交人的响应文件的内容一致，采购人和成交人不得再行订立背离合同实质性内容的其他协议。对任何因双方擅自变更合同实质性内容引起的问题，由双方通过其他法律途径解决，采购平台对此不承担责任，合同风险由双方自行承担。</w:t>
      </w:r>
    </w:p>
    <w:p w14:paraId="5CB23846">
      <w:pPr>
        <w:pStyle w:val="66"/>
        <w:rPr>
          <w:rFonts w:ascii="宋体" w:hAnsi="宋体" w:eastAsia="宋体" w:cs="宋体"/>
        </w:rPr>
      </w:pPr>
      <w:bookmarkStart w:id="205" w:name="_Toc296602463"/>
      <w:bookmarkStart w:id="206" w:name="_Toc246996220"/>
      <w:bookmarkStart w:id="207" w:name="_Toc246996963"/>
      <w:bookmarkStart w:id="208" w:name="_Toc179632594"/>
      <w:bookmarkStart w:id="209" w:name="_Toc247085734"/>
      <w:bookmarkStart w:id="210" w:name="_Toc152045576"/>
      <w:bookmarkStart w:id="211" w:name="_Toc144974544"/>
      <w:bookmarkStart w:id="212" w:name="_Toc152042352"/>
      <w:r>
        <w:rPr>
          <w:rFonts w:hint="eastAsia" w:ascii="宋体" w:hAnsi="宋体" w:eastAsia="宋体" w:cs="宋体"/>
        </w:rPr>
        <w:t>24.</w:t>
      </w:r>
      <w:bookmarkEnd w:id="205"/>
      <w:bookmarkEnd w:id="206"/>
      <w:bookmarkEnd w:id="207"/>
      <w:bookmarkEnd w:id="208"/>
      <w:bookmarkEnd w:id="209"/>
      <w:bookmarkEnd w:id="210"/>
      <w:bookmarkEnd w:id="211"/>
      <w:bookmarkEnd w:id="212"/>
      <w:r>
        <w:rPr>
          <w:rFonts w:hint="eastAsia" w:ascii="宋体" w:hAnsi="宋体" w:eastAsia="宋体" w:cs="宋体"/>
        </w:rPr>
        <w:t>履约担保</w:t>
      </w:r>
    </w:p>
    <w:p w14:paraId="3C25B1D1">
      <w:pPr>
        <w:pStyle w:val="66"/>
        <w:rPr>
          <w:rFonts w:ascii="宋体" w:hAnsi="宋体" w:eastAsia="宋体" w:cs="宋体"/>
        </w:rPr>
      </w:pPr>
      <w:r>
        <w:rPr>
          <w:rFonts w:hint="eastAsia" w:ascii="宋体" w:hAnsi="宋体" w:eastAsia="宋体" w:cs="宋体"/>
        </w:rPr>
        <w:t>24.1成交人须按照供应商须知前附表中的规定提交履约担保。</w:t>
      </w:r>
    </w:p>
    <w:p w14:paraId="0D237758">
      <w:pPr>
        <w:pStyle w:val="66"/>
        <w:rPr>
          <w:rFonts w:ascii="宋体" w:hAnsi="宋体" w:eastAsia="宋体" w:cs="宋体"/>
        </w:rPr>
      </w:pPr>
      <w:r>
        <w:rPr>
          <w:rFonts w:hint="eastAsia" w:ascii="宋体" w:hAnsi="宋体" w:eastAsia="宋体" w:cs="宋体"/>
        </w:rPr>
        <w:t>24.2采购人与成交人签订书面合同后，采购平台将通知所有未中标的供应商，并退还其响应担保。</w:t>
      </w:r>
    </w:p>
    <w:p w14:paraId="24A62B56">
      <w:pPr>
        <w:pStyle w:val="66"/>
        <w:rPr>
          <w:rFonts w:ascii="宋体" w:hAnsi="宋体" w:eastAsia="宋体" w:cs="宋体"/>
        </w:rPr>
      </w:pPr>
      <w:r>
        <w:rPr>
          <w:rFonts w:hint="eastAsia" w:ascii="宋体" w:hAnsi="宋体" w:eastAsia="宋体" w:cs="宋体"/>
        </w:rPr>
        <w:t>24.3如果成交人没有遵守本章 23.1、24.1的规定，或出现法律法规规定的其他不符合成交条件的情形的，采购人有权取消其成交资格、不予退还其提交的响应担保。在此情况下，采购人可以确定下一个综合排名最高的供应商为成交人并授予其合同，或重新采购。</w:t>
      </w:r>
    </w:p>
    <w:p w14:paraId="15D936D8">
      <w:pPr>
        <w:pStyle w:val="66"/>
        <w:rPr>
          <w:rFonts w:ascii="宋体" w:hAnsi="宋体" w:eastAsia="宋体" w:cs="宋体"/>
        </w:rPr>
      </w:pPr>
      <w:bookmarkStart w:id="213" w:name="_Toc247085735"/>
      <w:bookmarkStart w:id="214" w:name="_Toc246996964"/>
      <w:bookmarkStart w:id="215" w:name="_Toc152045577"/>
      <w:bookmarkStart w:id="216" w:name="_Toc152042353"/>
      <w:bookmarkStart w:id="217" w:name="_Toc179632595"/>
      <w:bookmarkStart w:id="218" w:name="_Toc246996221"/>
      <w:bookmarkStart w:id="219" w:name="_Toc296602464"/>
      <w:bookmarkStart w:id="220" w:name="_Toc144974545"/>
      <w:r>
        <w:rPr>
          <w:rFonts w:hint="eastAsia" w:ascii="宋体" w:hAnsi="宋体" w:eastAsia="宋体" w:cs="宋体"/>
        </w:rPr>
        <w:t>25.</w:t>
      </w:r>
      <w:bookmarkEnd w:id="213"/>
      <w:bookmarkEnd w:id="214"/>
      <w:bookmarkEnd w:id="215"/>
      <w:bookmarkEnd w:id="216"/>
      <w:bookmarkEnd w:id="217"/>
      <w:bookmarkEnd w:id="218"/>
      <w:bookmarkEnd w:id="219"/>
      <w:bookmarkEnd w:id="220"/>
      <w:r>
        <w:rPr>
          <w:rFonts w:hint="eastAsia" w:ascii="宋体" w:hAnsi="宋体" w:eastAsia="宋体" w:cs="宋体"/>
        </w:rPr>
        <w:t>解释权</w:t>
      </w:r>
    </w:p>
    <w:p w14:paraId="4919C393">
      <w:pPr>
        <w:pStyle w:val="66"/>
        <w:rPr>
          <w:rFonts w:ascii="宋体" w:hAnsi="宋体" w:eastAsia="宋体" w:cs="宋体"/>
        </w:rPr>
      </w:pPr>
      <w:r>
        <w:rPr>
          <w:rFonts w:hint="eastAsia" w:ascii="宋体" w:hAnsi="宋体" w:eastAsia="宋体" w:cs="宋体"/>
        </w:rPr>
        <w:t>本询比文件的最终解释权归采购人所有。</w:t>
      </w:r>
    </w:p>
    <w:p w14:paraId="7C70C6B3">
      <w:pPr>
        <w:pStyle w:val="66"/>
        <w:rPr>
          <w:rFonts w:hint="eastAsia" w:asciiTheme="majorEastAsia" w:hAnsiTheme="majorEastAsia" w:eastAsiaTheme="majorEastAsia" w:cstheme="majorEastAsia"/>
          <w:b/>
          <w:bCs/>
        </w:rPr>
      </w:pPr>
      <w:r>
        <w:rPr>
          <w:rFonts w:asciiTheme="majorEastAsia" w:hAnsiTheme="majorEastAsia" w:eastAsiaTheme="majorEastAsia" w:cstheme="majorEastAsia"/>
          <w:b/>
          <w:bCs/>
        </w:rPr>
        <w:br w:type="page"/>
      </w:r>
    </w:p>
    <w:p w14:paraId="0D83BB3D">
      <w:pPr>
        <w:pStyle w:val="2"/>
        <w:jc w:val="center"/>
        <w:rPr>
          <w:rFonts w:hint="eastAsia" w:ascii="黑体" w:hAnsi="黑体" w:eastAsia="黑体"/>
          <w:sz w:val="32"/>
          <w:szCs w:val="32"/>
        </w:rPr>
      </w:pPr>
      <w:bookmarkStart w:id="221" w:name="_Toc204594024"/>
      <w:r>
        <w:rPr>
          <w:rFonts w:ascii="黑体" w:hAnsi="黑体" w:eastAsia="黑体"/>
          <w:sz w:val="32"/>
          <w:szCs w:val="32"/>
        </w:rPr>
        <w:t xml:space="preserve">第三章 </w:t>
      </w:r>
      <w:r>
        <w:rPr>
          <w:rFonts w:hint="eastAsia" w:ascii="黑体" w:hAnsi="黑体" w:eastAsia="黑体"/>
          <w:sz w:val="32"/>
          <w:szCs w:val="32"/>
        </w:rPr>
        <w:t>评审</w:t>
      </w:r>
      <w:r>
        <w:rPr>
          <w:rFonts w:ascii="黑体" w:hAnsi="黑体" w:eastAsia="黑体"/>
          <w:sz w:val="32"/>
          <w:szCs w:val="32"/>
        </w:rPr>
        <w:t>办法</w:t>
      </w:r>
      <w:bookmarkEnd w:id="221"/>
    </w:p>
    <w:p w14:paraId="11B2D088">
      <w:pPr>
        <w:spacing w:line="480" w:lineRule="exact"/>
        <w:ind w:firstLine="480" w:firstLineChars="200"/>
        <w:rPr>
          <w:rFonts w:hint="eastAsia" w:ascii="宋体" w:hAnsi="宋体"/>
          <w:sz w:val="24"/>
        </w:rPr>
      </w:pPr>
      <w:r>
        <w:rPr>
          <w:rFonts w:hint="eastAsia" w:ascii="宋体" w:hAnsi="宋体"/>
          <w:sz w:val="24"/>
        </w:rPr>
        <w:t>本次评审采用</w:t>
      </w:r>
      <w:permStart w:id="24" w:edGrp="everyone"/>
      <w:r>
        <w:rPr>
          <w:rFonts w:hint="eastAsia" w:ascii="宋体" w:hAnsi="宋体"/>
          <w:sz w:val="24"/>
        </w:rPr>
        <w:t>最低评审价法</w:t>
      </w:r>
      <w:permEnd w:id="24"/>
      <w:r>
        <w:rPr>
          <w:rFonts w:hint="eastAsia" w:ascii="宋体" w:hAnsi="宋体"/>
          <w:sz w:val="24"/>
        </w:rPr>
        <w:t>，根据项目询比文件要求，实行初审和复审。</w:t>
      </w:r>
    </w:p>
    <w:p w14:paraId="13F69BD2">
      <w:pPr>
        <w:spacing w:line="440" w:lineRule="exact"/>
        <w:rPr>
          <w:rFonts w:hint="eastAsia" w:ascii="宋体" w:hAnsi="宋体"/>
          <w:b/>
          <w:sz w:val="24"/>
        </w:rPr>
      </w:pPr>
      <w:r>
        <w:rPr>
          <w:rFonts w:hint="eastAsia" w:ascii="宋体" w:hAnsi="宋体"/>
          <w:b/>
          <w:sz w:val="24"/>
        </w:rPr>
        <w:t>评审程序：</w:t>
      </w:r>
    </w:p>
    <w:p w14:paraId="76C4736B">
      <w:pPr>
        <w:spacing w:line="440" w:lineRule="exact"/>
        <w:rPr>
          <w:rFonts w:hint="eastAsia" w:ascii="宋体" w:hAnsi="宋体"/>
          <w:sz w:val="24"/>
        </w:rPr>
      </w:pPr>
      <w:r>
        <w:rPr>
          <w:rFonts w:hint="eastAsia" w:ascii="宋体" w:hAnsi="宋体"/>
          <w:sz w:val="24"/>
        </w:rPr>
        <w:t>（一）项目开启结束后，评审委员会应当对供应商进行资格性和符合性审查，对出现不符合下列情形之一时，作无效响应处理。</w:t>
      </w:r>
    </w:p>
    <w:p w14:paraId="698CCF8C">
      <w:pPr>
        <w:spacing w:line="440" w:lineRule="exact"/>
        <w:rPr>
          <w:rFonts w:hint="eastAsia" w:asciiTheme="majorEastAsia" w:hAnsiTheme="majorEastAsia" w:eastAsiaTheme="majorEastAsia" w:cstheme="majorEastAsia"/>
          <w:b/>
          <w:bCs/>
          <w:sz w:val="28"/>
          <w:szCs w:val="28"/>
        </w:rPr>
      </w:pPr>
      <w:r>
        <w:rPr>
          <w:rFonts w:hint="eastAsia" w:ascii="宋体" w:hAnsi="宋体"/>
          <w:sz w:val="24"/>
        </w:rPr>
        <w:t>《资格性和符合性审查表》如下：</w:t>
      </w:r>
    </w:p>
    <w:tbl>
      <w:tblPr>
        <w:tblStyle w:val="29"/>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1"/>
        <w:gridCol w:w="2323"/>
        <w:gridCol w:w="4836"/>
      </w:tblGrid>
      <w:tr w14:paraId="197BE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1" w:type="dxa"/>
            <w:tcBorders>
              <w:top w:val="single" w:color="auto" w:sz="4" w:space="0"/>
              <w:bottom w:val="single" w:color="auto" w:sz="4" w:space="0"/>
              <w:right w:val="single" w:color="auto" w:sz="4" w:space="0"/>
            </w:tcBorders>
            <w:vAlign w:val="center"/>
          </w:tcPr>
          <w:p w14:paraId="5A031B7A">
            <w:pPr>
              <w:wordWrap w:val="0"/>
              <w:spacing w:line="440" w:lineRule="exact"/>
              <w:jc w:val="center"/>
              <w:rPr>
                <w:rFonts w:ascii="Times New Roman" w:hAnsi="Times New Roman" w:cs="Times New Roman"/>
                <w:b/>
                <w:kern w:val="0"/>
                <w:sz w:val="24"/>
              </w:rPr>
            </w:pPr>
            <w:bookmarkStart w:id="222" w:name="_Toc246996232"/>
            <w:bookmarkStart w:id="223" w:name="_Toc296602477"/>
            <w:bookmarkStart w:id="224" w:name="_Toc152042366"/>
            <w:bookmarkStart w:id="225" w:name="_Toc179632607"/>
            <w:bookmarkStart w:id="226" w:name="_Toc144974556"/>
            <w:bookmarkStart w:id="227" w:name="_Toc247085747"/>
            <w:bookmarkStart w:id="228" w:name="_Toc246996975"/>
            <w:bookmarkStart w:id="229" w:name="_Toc152045589"/>
            <w:r>
              <w:rPr>
                <w:rFonts w:ascii="Times New Roman" w:hAnsi="Times New Roman" w:cs="Times New Roman"/>
                <w:b/>
                <w:kern w:val="0"/>
                <w:sz w:val="24"/>
              </w:rPr>
              <w:t>条款号</w:t>
            </w:r>
          </w:p>
        </w:tc>
        <w:tc>
          <w:tcPr>
            <w:tcW w:w="2323" w:type="dxa"/>
            <w:tcBorders>
              <w:top w:val="single" w:color="auto" w:sz="4" w:space="0"/>
              <w:left w:val="single" w:color="auto" w:sz="4" w:space="0"/>
              <w:bottom w:val="single" w:color="auto" w:sz="4" w:space="0"/>
              <w:right w:val="single" w:color="auto" w:sz="4" w:space="0"/>
            </w:tcBorders>
            <w:vAlign w:val="center"/>
          </w:tcPr>
          <w:p w14:paraId="44420D8F">
            <w:pPr>
              <w:wordWrap w:val="0"/>
              <w:spacing w:line="440" w:lineRule="exact"/>
              <w:jc w:val="center"/>
              <w:rPr>
                <w:rFonts w:ascii="Times New Roman" w:hAnsi="Times New Roman" w:cs="Times New Roman"/>
                <w:b/>
                <w:kern w:val="0"/>
                <w:sz w:val="24"/>
              </w:rPr>
            </w:pPr>
            <w:r>
              <w:rPr>
                <w:rFonts w:ascii="Times New Roman" w:hAnsi="Times New Roman" w:cs="Times New Roman"/>
                <w:b/>
                <w:kern w:val="0"/>
                <w:sz w:val="24"/>
              </w:rPr>
              <w:t>评审因素</w:t>
            </w:r>
          </w:p>
        </w:tc>
        <w:tc>
          <w:tcPr>
            <w:tcW w:w="4836" w:type="dxa"/>
            <w:tcBorders>
              <w:top w:val="single" w:color="auto" w:sz="4" w:space="0"/>
              <w:left w:val="single" w:color="auto" w:sz="4" w:space="0"/>
              <w:bottom w:val="single" w:color="auto" w:sz="4" w:space="0"/>
              <w:right w:val="single" w:color="auto" w:sz="4" w:space="0"/>
            </w:tcBorders>
            <w:vAlign w:val="center"/>
          </w:tcPr>
          <w:p w14:paraId="350EF28E">
            <w:pPr>
              <w:wordWrap w:val="0"/>
              <w:spacing w:line="440" w:lineRule="exact"/>
              <w:jc w:val="center"/>
              <w:rPr>
                <w:rFonts w:ascii="Times New Roman" w:hAnsi="Times New Roman" w:cs="Times New Roman"/>
                <w:b/>
                <w:kern w:val="0"/>
                <w:sz w:val="24"/>
              </w:rPr>
            </w:pPr>
            <w:r>
              <w:rPr>
                <w:rFonts w:ascii="Times New Roman" w:hAnsi="Times New Roman" w:cs="Times New Roman"/>
                <w:b/>
                <w:kern w:val="0"/>
                <w:sz w:val="24"/>
              </w:rPr>
              <w:t>评审标准</w:t>
            </w:r>
          </w:p>
        </w:tc>
      </w:tr>
      <w:tr w14:paraId="183A5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1" w:type="dxa"/>
            <w:tcBorders>
              <w:top w:val="single" w:color="auto" w:sz="4" w:space="0"/>
              <w:bottom w:val="single" w:color="auto" w:sz="4" w:space="0"/>
              <w:right w:val="single" w:color="auto" w:sz="4" w:space="0"/>
            </w:tcBorders>
            <w:vAlign w:val="center"/>
          </w:tcPr>
          <w:p w14:paraId="42A4B640">
            <w:pPr>
              <w:wordWrap w:val="0"/>
              <w:spacing w:line="440" w:lineRule="exact"/>
              <w:jc w:val="center"/>
              <w:rPr>
                <w:rFonts w:ascii="Times New Roman" w:hAnsi="Times New Roman" w:cs="Times New Roman"/>
                <w:b/>
                <w:kern w:val="0"/>
                <w:sz w:val="24"/>
              </w:rPr>
            </w:pPr>
            <w:r>
              <w:rPr>
                <w:rFonts w:hint="eastAsia" w:ascii="Times New Roman" w:hAnsi="Times New Roman" w:cs="Times New Roman"/>
                <w:kern w:val="0"/>
                <w:sz w:val="24"/>
              </w:rPr>
              <w:t>1</w:t>
            </w:r>
          </w:p>
        </w:tc>
        <w:tc>
          <w:tcPr>
            <w:tcW w:w="2323" w:type="dxa"/>
            <w:tcBorders>
              <w:top w:val="single" w:color="auto" w:sz="4" w:space="0"/>
              <w:left w:val="single" w:color="auto" w:sz="4" w:space="0"/>
              <w:bottom w:val="single" w:color="auto" w:sz="4" w:space="0"/>
              <w:right w:val="single" w:color="auto" w:sz="4" w:space="0"/>
            </w:tcBorders>
            <w:vAlign w:val="center"/>
          </w:tcPr>
          <w:p w14:paraId="43F08905">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供应商</w:t>
            </w:r>
            <w:r>
              <w:rPr>
                <w:rFonts w:ascii="Times New Roman" w:hAnsi="Times New Roman" w:cs="Times New Roman"/>
                <w:kern w:val="0"/>
                <w:sz w:val="24"/>
              </w:rPr>
              <w:t>名称</w:t>
            </w:r>
          </w:p>
        </w:tc>
        <w:tc>
          <w:tcPr>
            <w:tcW w:w="4836" w:type="dxa"/>
            <w:tcBorders>
              <w:top w:val="single" w:color="auto" w:sz="4" w:space="0"/>
              <w:left w:val="single" w:color="auto" w:sz="4" w:space="0"/>
              <w:bottom w:val="single" w:color="auto" w:sz="4" w:space="0"/>
              <w:right w:val="single" w:color="auto" w:sz="4" w:space="0"/>
            </w:tcBorders>
            <w:vAlign w:val="center"/>
          </w:tcPr>
          <w:p w14:paraId="7DC56180">
            <w:pPr>
              <w:wordWrap w:val="0"/>
              <w:spacing w:line="440" w:lineRule="exact"/>
              <w:rPr>
                <w:rFonts w:ascii="Times New Roman" w:hAnsi="Times New Roman" w:cs="Times New Roman"/>
                <w:kern w:val="0"/>
                <w:sz w:val="24"/>
              </w:rPr>
            </w:pPr>
            <w:r>
              <w:rPr>
                <w:rFonts w:ascii="Times New Roman" w:hAnsi="Times New Roman" w:cs="Times New Roman"/>
                <w:kern w:val="0"/>
                <w:sz w:val="24"/>
              </w:rPr>
              <w:t>与营业执照、资质证书一致</w:t>
            </w:r>
          </w:p>
        </w:tc>
      </w:tr>
      <w:tr w14:paraId="7BF5E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1" w:type="dxa"/>
            <w:tcBorders>
              <w:top w:val="single" w:color="auto" w:sz="4" w:space="0"/>
              <w:bottom w:val="single" w:color="auto" w:sz="4" w:space="0"/>
              <w:right w:val="single" w:color="auto" w:sz="4" w:space="0"/>
            </w:tcBorders>
            <w:vAlign w:val="center"/>
          </w:tcPr>
          <w:p w14:paraId="12799EA1">
            <w:pPr>
              <w:wordWrap w:val="0"/>
              <w:spacing w:line="440" w:lineRule="exact"/>
              <w:jc w:val="center"/>
              <w:rPr>
                <w:rFonts w:ascii="Times New Roman" w:hAnsi="Times New Roman" w:cs="Times New Roman"/>
                <w:b/>
                <w:kern w:val="0"/>
                <w:sz w:val="24"/>
              </w:rPr>
            </w:pPr>
            <w:r>
              <w:rPr>
                <w:rFonts w:hint="eastAsia" w:ascii="Times New Roman" w:hAnsi="Times New Roman" w:cs="Times New Roman"/>
                <w:kern w:val="0"/>
                <w:sz w:val="24"/>
              </w:rPr>
              <w:t>2</w:t>
            </w:r>
          </w:p>
        </w:tc>
        <w:tc>
          <w:tcPr>
            <w:tcW w:w="2323" w:type="dxa"/>
            <w:tcBorders>
              <w:top w:val="single" w:color="auto" w:sz="4" w:space="0"/>
              <w:left w:val="single" w:color="auto" w:sz="4" w:space="0"/>
              <w:bottom w:val="single" w:color="auto" w:sz="4" w:space="0"/>
              <w:right w:val="single" w:color="auto" w:sz="4" w:space="0"/>
            </w:tcBorders>
            <w:vAlign w:val="center"/>
          </w:tcPr>
          <w:p w14:paraId="5EC73C96">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响应文件</w:t>
            </w:r>
            <w:r>
              <w:rPr>
                <w:rFonts w:ascii="Times New Roman" w:hAnsi="Times New Roman" w:cs="Times New Roman"/>
                <w:kern w:val="0"/>
                <w:sz w:val="24"/>
              </w:rPr>
              <w:t>签字盖章</w:t>
            </w:r>
          </w:p>
        </w:tc>
        <w:tc>
          <w:tcPr>
            <w:tcW w:w="4836" w:type="dxa"/>
            <w:tcBorders>
              <w:top w:val="single" w:color="auto" w:sz="4" w:space="0"/>
              <w:left w:val="single" w:color="auto" w:sz="4" w:space="0"/>
              <w:bottom w:val="single" w:color="auto" w:sz="4" w:space="0"/>
              <w:right w:val="single" w:color="auto" w:sz="4" w:space="0"/>
            </w:tcBorders>
            <w:vAlign w:val="center"/>
          </w:tcPr>
          <w:p w14:paraId="1C6C25E1">
            <w:pPr>
              <w:wordWrap w:val="0"/>
              <w:spacing w:line="440" w:lineRule="exact"/>
              <w:rPr>
                <w:rFonts w:ascii="Times New Roman" w:hAnsi="Times New Roman" w:cs="Times New Roman"/>
                <w:kern w:val="0"/>
                <w:sz w:val="24"/>
              </w:rPr>
            </w:pPr>
            <w:r>
              <w:rPr>
                <w:rFonts w:ascii="Times New Roman" w:hAnsi="Times New Roman" w:cs="Times New Roman"/>
                <w:kern w:val="0"/>
                <w:sz w:val="24"/>
              </w:rPr>
              <w:t>有法定代表人或其委托代理人签字或加盖单</w:t>
            </w:r>
            <w:r>
              <w:rPr>
                <w:rFonts w:hint="eastAsia" w:ascii="Times New Roman" w:hAnsi="Times New Roman" w:cs="Times New Roman"/>
                <w:kern w:val="0"/>
                <w:sz w:val="24"/>
              </w:rPr>
              <w:t>位公</w:t>
            </w:r>
            <w:r>
              <w:rPr>
                <w:rFonts w:ascii="Times New Roman" w:hAnsi="Times New Roman" w:cs="Times New Roman"/>
                <w:kern w:val="0"/>
                <w:sz w:val="24"/>
              </w:rPr>
              <w:t>章</w:t>
            </w:r>
          </w:p>
        </w:tc>
      </w:tr>
      <w:tr w14:paraId="7FD01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1" w:type="dxa"/>
            <w:tcBorders>
              <w:top w:val="single" w:color="auto" w:sz="4" w:space="0"/>
              <w:bottom w:val="single" w:color="auto" w:sz="4" w:space="0"/>
              <w:right w:val="single" w:color="auto" w:sz="4" w:space="0"/>
            </w:tcBorders>
            <w:vAlign w:val="center"/>
          </w:tcPr>
          <w:p w14:paraId="235E4C86">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3</w:t>
            </w:r>
          </w:p>
        </w:tc>
        <w:tc>
          <w:tcPr>
            <w:tcW w:w="2323" w:type="dxa"/>
            <w:tcBorders>
              <w:top w:val="single" w:color="auto" w:sz="4" w:space="0"/>
              <w:left w:val="single" w:color="auto" w:sz="4" w:space="0"/>
              <w:bottom w:val="single" w:color="auto" w:sz="4" w:space="0"/>
              <w:right w:val="single" w:color="auto" w:sz="4" w:space="0"/>
            </w:tcBorders>
            <w:vAlign w:val="center"/>
          </w:tcPr>
          <w:p w14:paraId="73AA7456">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响应</w:t>
            </w:r>
            <w:r>
              <w:rPr>
                <w:rFonts w:ascii="Times New Roman" w:hAnsi="Times New Roman" w:cs="Times New Roman"/>
                <w:kern w:val="0"/>
                <w:sz w:val="24"/>
              </w:rPr>
              <w:t>文件格式</w:t>
            </w:r>
          </w:p>
        </w:tc>
        <w:tc>
          <w:tcPr>
            <w:tcW w:w="4836" w:type="dxa"/>
            <w:tcBorders>
              <w:top w:val="single" w:color="auto" w:sz="4" w:space="0"/>
              <w:left w:val="single" w:color="auto" w:sz="4" w:space="0"/>
              <w:bottom w:val="single" w:color="auto" w:sz="4" w:space="0"/>
              <w:right w:val="single" w:color="auto" w:sz="4" w:space="0"/>
            </w:tcBorders>
            <w:vAlign w:val="center"/>
          </w:tcPr>
          <w:p w14:paraId="6D3E0844">
            <w:pPr>
              <w:wordWrap w:val="0"/>
              <w:spacing w:line="440" w:lineRule="exact"/>
              <w:rPr>
                <w:rFonts w:ascii="Times New Roman" w:hAnsi="Times New Roman" w:cs="Times New Roman"/>
                <w:kern w:val="0"/>
                <w:sz w:val="24"/>
              </w:rPr>
            </w:pPr>
            <w:r>
              <w:rPr>
                <w:rFonts w:hint="eastAsia" w:ascii="宋体" w:hAnsi="宋体"/>
                <w:sz w:val="24"/>
              </w:rPr>
              <w:t>符合询比文件要求（格式附后）</w:t>
            </w:r>
          </w:p>
        </w:tc>
      </w:tr>
      <w:tr w14:paraId="29F8B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1" w:type="dxa"/>
            <w:tcBorders>
              <w:top w:val="single" w:color="auto" w:sz="4" w:space="0"/>
              <w:bottom w:val="single" w:color="auto" w:sz="4" w:space="0"/>
              <w:right w:val="single" w:color="auto" w:sz="4" w:space="0"/>
            </w:tcBorders>
            <w:vAlign w:val="center"/>
          </w:tcPr>
          <w:p w14:paraId="6C21DBFE">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4</w:t>
            </w:r>
          </w:p>
        </w:tc>
        <w:tc>
          <w:tcPr>
            <w:tcW w:w="2323" w:type="dxa"/>
            <w:tcBorders>
              <w:top w:val="single" w:color="auto" w:sz="4" w:space="0"/>
              <w:left w:val="single" w:color="auto" w:sz="4" w:space="0"/>
              <w:bottom w:val="single" w:color="auto" w:sz="4" w:space="0"/>
              <w:right w:val="single" w:color="auto" w:sz="4" w:space="0"/>
            </w:tcBorders>
            <w:vAlign w:val="center"/>
          </w:tcPr>
          <w:p w14:paraId="6A0196C8">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报价唯一</w:t>
            </w:r>
          </w:p>
        </w:tc>
        <w:tc>
          <w:tcPr>
            <w:tcW w:w="4836" w:type="dxa"/>
            <w:tcBorders>
              <w:top w:val="single" w:color="auto" w:sz="4" w:space="0"/>
              <w:left w:val="single" w:color="auto" w:sz="4" w:space="0"/>
              <w:bottom w:val="single" w:color="auto" w:sz="4" w:space="0"/>
              <w:right w:val="single" w:color="auto" w:sz="4" w:space="0"/>
            </w:tcBorders>
            <w:vAlign w:val="center"/>
          </w:tcPr>
          <w:p w14:paraId="5A026C11">
            <w:pPr>
              <w:wordWrap w:val="0"/>
              <w:spacing w:line="440" w:lineRule="exact"/>
              <w:rPr>
                <w:rFonts w:ascii="Times New Roman" w:hAnsi="Times New Roman" w:cs="Times New Roman"/>
                <w:kern w:val="0"/>
                <w:sz w:val="24"/>
              </w:rPr>
            </w:pPr>
            <w:r>
              <w:rPr>
                <w:rFonts w:hint="eastAsia" w:ascii="Times New Roman" w:hAnsi="Times New Roman" w:cs="Times New Roman"/>
                <w:kern w:val="0"/>
                <w:sz w:val="24"/>
              </w:rPr>
              <w:t>只能有一个有效报价</w:t>
            </w:r>
          </w:p>
        </w:tc>
      </w:tr>
      <w:tr w14:paraId="6CEFE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1" w:type="dxa"/>
            <w:tcBorders>
              <w:top w:val="single" w:color="auto" w:sz="4" w:space="0"/>
              <w:bottom w:val="single" w:color="auto" w:sz="4" w:space="0"/>
              <w:right w:val="single" w:color="auto" w:sz="4" w:space="0"/>
            </w:tcBorders>
            <w:vAlign w:val="center"/>
          </w:tcPr>
          <w:p w14:paraId="460CBB5A">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5</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14:paraId="717C50B2">
            <w:pPr>
              <w:wordWrap w:val="0"/>
              <w:spacing w:line="440" w:lineRule="exact"/>
              <w:jc w:val="center"/>
              <w:rPr>
                <w:rFonts w:ascii="Times New Roman" w:hAnsi="Times New Roman" w:cs="Times New Roman"/>
                <w:kern w:val="0"/>
                <w:sz w:val="24"/>
              </w:rPr>
            </w:pPr>
            <w:r>
              <w:rPr>
                <w:rFonts w:ascii="Times New Roman" w:hAnsi="Times New Roman" w:cs="Times New Roman"/>
                <w:kern w:val="0"/>
                <w:sz w:val="24"/>
              </w:rPr>
              <w:t>营业执照</w:t>
            </w:r>
          </w:p>
        </w:tc>
        <w:tc>
          <w:tcPr>
            <w:tcW w:w="4836" w:type="dxa"/>
            <w:tcBorders>
              <w:top w:val="single" w:color="auto" w:sz="4" w:space="0"/>
              <w:left w:val="single" w:color="auto" w:sz="4" w:space="0"/>
              <w:bottom w:val="single" w:color="auto" w:sz="4" w:space="0"/>
              <w:right w:val="single" w:color="auto" w:sz="4" w:space="0"/>
            </w:tcBorders>
            <w:shd w:val="clear" w:color="auto" w:fill="auto"/>
            <w:vAlign w:val="center"/>
          </w:tcPr>
          <w:p w14:paraId="4930B72C">
            <w:pPr>
              <w:wordWrap w:val="0"/>
              <w:spacing w:line="440" w:lineRule="exact"/>
              <w:rPr>
                <w:rFonts w:ascii="Times New Roman" w:hAnsi="Times New Roman" w:cs="Times New Roman"/>
                <w:kern w:val="0"/>
                <w:sz w:val="24"/>
              </w:rPr>
            </w:pPr>
            <w:r>
              <w:rPr>
                <w:rFonts w:ascii="Times New Roman" w:hAnsi="Times New Roman" w:cs="Times New Roman"/>
                <w:kern w:val="0"/>
                <w:sz w:val="24"/>
              </w:rPr>
              <w:t>提供合法有效的“多证合一”证件</w:t>
            </w:r>
          </w:p>
        </w:tc>
      </w:tr>
      <w:tr w14:paraId="0BE3A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1" w:type="dxa"/>
            <w:tcBorders>
              <w:top w:val="single" w:color="auto" w:sz="4" w:space="0"/>
              <w:bottom w:val="single" w:color="auto" w:sz="4" w:space="0"/>
              <w:right w:val="single" w:color="auto" w:sz="4" w:space="0"/>
            </w:tcBorders>
            <w:vAlign w:val="center"/>
          </w:tcPr>
          <w:p w14:paraId="4B462D5C">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6</w:t>
            </w:r>
          </w:p>
        </w:tc>
        <w:tc>
          <w:tcPr>
            <w:tcW w:w="2323" w:type="dxa"/>
            <w:tcBorders>
              <w:top w:val="single" w:color="auto" w:sz="4" w:space="0"/>
              <w:left w:val="single" w:color="auto" w:sz="4" w:space="0"/>
              <w:bottom w:val="single" w:color="auto" w:sz="4" w:space="0"/>
              <w:right w:val="single" w:color="auto" w:sz="4" w:space="0"/>
            </w:tcBorders>
            <w:vAlign w:val="center"/>
          </w:tcPr>
          <w:p w14:paraId="5E46F691">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资质要求</w:t>
            </w:r>
          </w:p>
        </w:tc>
        <w:tc>
          <w:tcPr>
            <w:tcW w:w="4836" w:type="dxa"/>
            <w:tcBorders>
              <w:top w:val="single" w:color="auto" w:sz="4" w:space="0"/>
              <w:left w:val="single" w:color="auto" w:sz="4" w:space="0"/>
              <w:bottom w:val="single" w:color="auto" w:sz="4" w:space="0"/>
              <w:right w:val="single" w:color="auto" w:sz="4" w:space="0"/>
            </w:tcBorders>
            <w:vAlign w:val="center"/>
          </w:tcPr>
          <w:p w14:paraId="636DF1D7">
            <w:pPr>
              <w:wordWrap w:val="0"/>
              <w:spacing w:line="440" w:lineRule="exact"/>
              <w:rPr>
                <w:rFonts w:ascii="Times New Roman" w:hAnsi="Times New Roman" w:cs="Times New Roman"/>
                <w:kern w:val="0"/>
                <w:sz w:val="24"/>
              </w:rPr>
            </w:pPr>
            <w:r>
              <w:rPr>
                <w:rFonts w:ascii="Times New Roman" w:hAnsi="Times New Roman" w:cs="Times New Roman"/>
                <w:kern w:val="0"/>
                <w:sz w:val="24"/>
              </w:rPr>
              <w:t>符合</w:t>
            </w:r>
            <w:r>
              <w:rPr>
                <w:rFonts w:hint="eastAsia" w:ascii="宋体" w:hAnsi="宋体"/>
                <w:sz w:val="24"/>
              </w:rPr>
              <w:t>询比文件</w:t>
            </w:r>
            <w:r>
              <w:rPr>
                <w:rFonts w:ascii="Times New Roman" w:hAnsi="Times New Roman" w:cs="Times New Roman"/>
                <w:kern w:val="0"/>
                <w:sz w:val="24"/>
              </w:rPr>
              <w:t>要求</w:t>
            </w:r>
          </w:p>
        </w:tc>
      </w:tr>
      <w:tr w14:paraId="765E0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361" w:type="dxa"/>
            <w:tcBorders>
              <w:top w:val="single" w:color="auto" w:sz="4" w:space="0"/>
              <w:bottom w:val="single" w:color="auto" w:sz="4" w:space="0"/>
              <w:right w:val="single" w:color="auto" w:sz="4" w:space="0"/>
            </w:tcBorders>
            <w:vAlign w:val="center"/>
          </w:tcPr>
          <w:p w14:paraId="3735B180">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7</w:t>
            </w:r>
          </w:p>
        </w:tc>
        <w:tc>
          <w:tcPr>
            <w:tcW w:w="2323" w:type="dxa"/>
            <w:tcBorders>
              <w:top w:val="single" w:color="auto" w:sz="4" w:space="0"/>
              <w:left w:val="single" w:color="auto" w:sz="4" w:space="0"/>
              <w:bottom w:val="single" w:color="auto" w:sz="4" w:space="0"/>
              <w:right w:val="single" w:color="auto" w:sz="4" w:space="0"/>
            </w:tcBorders>
          </w:tcPr>
          <w:p w14:paraId="21E7465B">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报价函</w:t>
            </w:r>
          </w:p>
        </w:tc>
        <w:tc>
          <w:tcPr>
            <w:tcW w:w="4836" w:type="dxa"/>
            <w:tcBorders>
              <w:top w:val="single" w:color="auto" w:sz="4" w:space="0"/>
              <w:left w:val="single" w:color="auto" w:sz="4" w:space="0"/>
              <w:bottom w:val="single" w:color="auto" w:sz="4" w:space="0"/>
              <w:right w:val="single" w:color="auto" w:sz="4" w:space="0"/>
            </w:tcBorders>
            <w:vAlign w:val="center"/>
          </w:tcPr>
          <w:p w14:paraId="4082D625">
            <w:pPr>
              <w:wordWrap w:val="0"/>
              <w:spacing w:line="440" w:lineRule="exact"/>
              <w:rPr>
                <w:rFonts w:ascii="Times New Roman" w:hAnsi="Times New Roman" w:cs="Times New Roman"/>
                <w:kern w:val="0"/>
                <w:sz w:val="24"/>
              </w:rPr>
            </w:pPr>
            <w:r>
              <w:rPr>
                <w:rFonts w:hint="eastAsia" w:ascii="宋体" w:hAnsi="宋体"/>
                <w:sz w:val="24"/>
              </w:rPr>
              <w:t>符合询比文件要求（格式附后）</w:t>
            </w:r>
          </w:p>
        </w:tc>
      </w:tr>
      <w:tr w14:paraId="72BDE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1361" w:type="dxa"/>
            <w:tcBorders>
              <w:top w:val="single" w:color="auto" w:sz="4" w:space="0"/>
              <w:bottom w:val="single" w:color="auto" w:sz="4" w:space="0"/>
              <w:right w:val="single" w:color="auto" w:sz="4" w:space="0"/>
            </w:tcBorders>
            <w:vAlign w:val="center"/>
          </w:tcPr>
          <w:p w14:paraId="117435C0">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8</w:t>
            </w:r>
          </w:p>
        </w:tc>
        <w:tc>
          <w:tcPr>
            <w:tcW w:w="2323" w:type="dxa"/>
            <w:tcBorders>
              <w:top w:val="single" w:color="auto" w:sz="4" w:space="0"/>
              <w:left w:val="single" w:color="auto" w:sz="4" w:space="0"/>
              <w:bottom w:val="single" w:color="auto" w:sz="4" w:space="0"/>
              <w:right w:val="single" w:color="auto" w:sz="4" w:space="0"/>
            </w:tcBorders>
            <w:vAlign w:val="center"/>
          </w:tcPr>
          <w:p w14:paraId="323EB9ED">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法定代表人身份证明书或授权委托书</w:t>
            </w:r>
          </w:p>
        </w:tc>
        <w:tc>
          <w:tcPr>
            <w:tcW w:w="4836" w:type="dxa"/>
            <w:tcBorders>
              <w:top w:val="single" w:color="auto" w:sz="4" w:space="0"/>
              <w:left w:val="single" w:color="auto" w:sz="4" w:space="0"/>
              <w:bottom w:val="single" w:color="auto" w:sz="4" w:space="0"/>
              <w:right w:val="single" w:color="auto" w:sz="4" w:space="0"/>
            </w:tcBorders>
            <w:vAlign w:val="center"/>
          </w:tcPr>
          <w:p w14:paraId="2B6F9543">
            <w:pPr>
              <w:wordWrap w:val="0"/>
              <w:spacing w:line="440" w:lineRule="exact"/>
              <w:rPr>
                <w:rFonts w:ascii="Times New Roman" w:hAnsi="Times New Roman" w:cs="Times New Roman"/>
                <w:kern w:val="0"/>
                <w:sz w:val="24"/>
              </w:rPr>
            </w:pPr>
            <w:r>
              <w:rPr>
                <w:rFonts w:hint="eastAsia" w:ascii="宋体" w:hAnsi="宋体"/>
                <w:sz w:val="24"/>
              </w:rPr>
              <w:t>符合询比文件要求（格式附后），若法定代表人本人参与，不需提供授权委托书；若被授权人（代理人）参与，须同时提供法定代表人身份证明。</w:t>
            </w:r>
          </w:p>
        </w:tc>
      </w:tr>
      <w:tr w14:paraId="17143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61" w:type="dxa"/>
            <w:tcBorders>
              <w:top w:val="single" w:color="auto" w:sz="4" w:space="0"/>
              <w:bottom w:val="single" w:color="auto" w:sz="4" w:space="0"/>
              <w:right w:val="single" w:color="auto" w:sz="4" w:space="0"/>
            </w:tcBorders>
            <w:vAlign w:val="center"/>
          </w:tcPr>
          <w:p w14:paraId="7B80EDEB">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9</w:t>
            </w:r>
          </w:p>
        </w:tc>
        <w:tc>
          <w:tcPr>
            <w:tcW w:w="2323" w:type="dxa"/>
            <w:tcBorders>
              <w:top w:val="single" w:color="auto" w:sz="4" w:space="0"/>
              <w:left w:val="single" w:color="auto" w:sz="4" w:space="0"/>
              <w:bottom w:val="single" w:color="auto" w:sz="4" w:space="0"/>
              <w:right w:val="single" w:color="auto" w:sz="4" w:space="0"/>
            </w:tcBorders>
            <w:vAlign w:val="center"/>
          </w:tcPr>
          <w:p w14:paraId="1C345093">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承诺书</w:t>
            </w:r>
          </w:p>
        </w:tc>
        <w:tc>
          <w:tcPr>
            <w:tcW w:w="4836" w:type="dxa"/>
            <w:tcBorders>
              <w:top w:val="single" w:color="auto" w:sz="4" w:space="0"/>
              <w:left w:val="single" w:color="auto" w:sz="4" w:space="0"/>
              <w:bottom w:val="single" w:color="auto" w:sz="4" w:space="0"/>
              <w:right w:val="single" w:color="auto" w:sz="4" w:space="0"/>
            </w:tcBorders>
            <w:vAlign w:val="center"/>
          </w:tcPr>
          <w:p w14:paraId="1E03E927">
            <w:pPr>
              <w:wordWrap w:val="0"/>
              <w:spacing w:line="440" w:lineRule="exact"/>
              <w:rPr>
                <w:rFonts w:hint="eastAsia" w:ascii="宋体" w:hAnsi="宋体"/>
                <w:sz w:val="24"/>
              </w:rPr>
            </w:pPr>
            <w:r>
              <w:rPr>
                <w:rFonts w:hint="eastAsia" w:ascii="宋体" w:hAnsi="宋体"/>
                <w:sz w:val="24"/>
              </w:rPr>
              <w:t>符合询比文件要求（格式附后）</w:t>
            </w:r>
          </w:p>
        </w:tc>
      </w:tr>
      <w:tr w14:paraId="372B9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1" w:type="dxa"/>
            <w:tcBorders>
              <w:top w:val="single" w:color="auto" w:sz="4" w:space="0"/>
              <w:bottom w:val="single" w:color="auto" w:sz="4" w:space="0"/>
              <w:right w:val="single" w:color="auto" w:sz="4" w:space="0"/>
            </w:tcBorders>
            <w:vAlign w:val="center"/>
          </w:tcPr>
          <w:p w14:paraId="7D95105C">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10</w:t>
            </w:r>
          </w:p>
        </w:tc>
        <w:tc>
          <w:tcPr>
            <w:tcW w:w="2323" w:type="dxa"/>
            <w:tcBorders>
              <w:top w:val="single" w:color="auto" w:sz="4" w:space="0"/>
              <w:left w:val="single" w:color="auto" w:sz="4" w:space="0"/>
              <w:bottom w:val="single" w:color="auto" w:sz="4" w:space="0"/>
              <w:right w:val="single" w:color="auto" w:sz="4" w:space="0"/>
            </w:tcBorders>
            <w:vAlign w:val="center"/>
          </w:tcPr>
          <w:p w14:paraId="5AA18BE9">
            <w:pPr>
              <w:wordWrap w:val="0"/>
              <w:spacing w:line="440" w:lineRule="exact"/>
              <w:jc w:val="center"/>
              <w:rPr>
                <w:rFonts w:ascii="Times New Roman" w:hAnsi="Times New Roman" w:cs="Times New Roman"/>
                <w:kern w:val="0"/>
                <w:sz w:val="24"/>
              </w:rPr>
            </w:pPr>
            <w:r>
              <w:rPr>
                <w:rFonts w:hint="eastAsia" w:ascii="Times New Roman" w:hAnsi="Times New Roman" w:cs="Times New Roman"/>
                <w:kern w:val="0"/>
                <w:sz w:val="24"/>
              </w:rPr>
              <w:t>响应</w:t>
            </w:r>
            <w:r>
              <w:rPr>
                <w:rFonts w:ascii="Times New Roman" w:hAnsi="Times New Roman" w:cs="Times New Roman"/>
                <w:kern w:val="0"/>
                <w:sz w:val="24"/>
              </w:rPr>
              <w:t>文件其他内容</w:t>
            </w:r>
          </w:p>
        </w:tc>
        <w:tc>
          <w:tcPr>
            <w:tcW w:w="4836" w:type="dxa"/>
            <w:tcBorders>
              <w:top w:val="single" w:color="auto" w:sz="4" w:space="0"/>
              <w:left w:val="single" w:color="auto" w:sz="4" w:space="0"/>
              <w:bottom w:val="single" w:color="auto" w:sz="4" w:space="0"/>
              <w:right w:val="single" w:color="auto" w:sz="4" w:space="0"/>
            </w:tcBorders>
            <w:vAlign w:val="center"/>
          </w:tcPr>
          <w:p w14:paraId="02815878">
            <w:pPr>
              <w:wordWrap w:val="0"/>
              <w:spacing w:line="400" w:lineRule="exact"/>
              <w:rPr>
                <w:rFonts w:ascii="Times New Roman" w:hAnsi="Times New Roman" w:cs="Times New Roman"/>
                <w:kern w:val="0"/>
                <w:sz w:val="24"/>
              </w:rPr>
            </w:pPr>
            <w:r>
              <w:rPr>
                <w:rFonts w:ascii="Times New Roman" w:hAnsi="Times New Roman" w:cs="Times New Roman"/>
                <w:kern w:val="0"/>
                <w:sz w:val="24"/>
              </w:rPr>
              <w:t>响应</w:t>
            </w:r>
            <w:r>
              <w:rPr>
                <w:rFonts w:hint="eastAsia" w:ascii="Times New Roman" w:hAnsi="Times New Roman" w:cs="Times New Roman"/>
                <w:kern w:val="0"/>
                <w:sz w:val="24"/>
              </w:rPr>
              <w:t>询比文件</w:t>
            </w:r>
            <w:r>
              <w:rPr>
                <w:rFonts w:ascii="Times New Roman" w:hAnsi="Times New Roman" w:cs="Times New Roman"/>
                <w:kern w:val="0"/>
                <w:sz w:val="24"/>
              </w:rPr>
              <w:t>的实质性要求，包括报价、服务时间、</w:t>
            </w:r>
            <w:r>
              <w:rPr>
                <w:rFonts w:hint="eastAsia" w:ascii="Times New Roman" w:hAnsi="Times New Roman" w:cs="Times New Roman"/>
                <w:kern w:val="0"/>
                <w:sz w:val="24"/>
              </w:rPr>
              <w:t>质量标准、</w:t>
            </w:r>
            <w:r>
              <w:rPr>
                <w:rFonts w:ascii="Times New Roman" w:hAnsi="Times New Roman" w:cs="Times New Roman"/>
                <w:kern w:val="0"/>
                <w:sz w:val="24"/>
              </w:rPr>
              <w:t>质保期及售后服务措施等</w:t>
            </w:r>
          </w:p>
        </w:tc>
      </w:tr>
    </w:tbl>
    <w:p w14:paraId="1EACE6A0">
      <w:pPr>
        <w:wordWrap w:val="0"/>
        <w:spacing w:line="440" w:lineRule="exact"/>
        <w:rPr>
          <w:rFonts w:hint="eastAsia" w:ascii="宋体" w:hAnsi="宋体" w:eastAsia="宋体" w:cs="宋体"/>
          <w:kern w:val="0"/>
          <w:sz w:val="24"/>
          <w:szCs w:val="21"/>
        </w:rPr>
      </w:pPr>
      <w:r>
        <w:rPr>
          <w:rFonts w:hint="eastAsia" w:ascii="宋体" w:hAnsi="宋体" w:eastAsia="宋体" w:cs="宋体"/>
          <w:kern w:val="0"/>
          <w:sz w:val="24"/>
          <w:szCs w:val="21"/>
        </w:rPr>
        <w:t>注：1.资格性检查和符合性检查的相关证照、证明、证书、证件、合同等，原件的扫描件编入响应文件，原件成交后由采购人核验。</w:t>
      </w:r>
    </w:p>
    <w:p w14:paraId="6A183CCC">
      <w:pPr>
        <w:wordWrap w:val="0"/>
        <w:spacing w:line="440" w:lineRule="exact"/>
        <w:ind w:firstLine="480" w:firstLineChars="200"/>
        <w:rPr>
          <w:rFonts w:hint="eastAsia" w:ascii="宋体" w:hAnsi="宋体" w:eastAsia="宋体" w:cs="宋体"/>
          <w:kern w:val="0"/>
          <w:sz w:val="24"/>
          <w:szCs w:val="21"/>
        </w:rPr>
      </w:pPr>
      <w:r>
        <w:rPr>
          <w:rFonts w:ascii="宋体" w:hAnsi="宋体" w:eastAsia="宋体" w:cs="宋体"/>
          <w:kern w:val="0"/>
          <w:sz w:val="24"/>
          <w:szCs w:val="21"/>
        </w:rPr>
        <w:t>2</w:t>
      </w:r>
      <w:r>
        <w:rPr>
          <w:rFonts w:hint="eastAsia" w:ascii="宋体" w:hAnsi="宋体" w:eastAsia="宋体" w:cs="宋体"/>
          <w:kern w:val="0"/>
          <w:sz w:val="24"/>
          <w:szCs w:val="21"/>
        </w:rPr>
        <w:t>.供应商应</w:t>
      </w:r>
      <w:r>
        <w:rPr>
          <w:rFonts w:ascii="宋体" w:hAnsi="宋体" w:eastAsia="宋体" w:cs="宋体"/>
          <w:kern w:val="0"/>
          <w:sz w:val="24"/>
          <w:szCs w:val="21"/>
        </w:rPr>
        <w:t>按照</w:t>
      </w:r>
      <w:r>
        <w:rPr>
          <w:rFonts w:hint="eastAsia" w:ascii="宋体" w:hAnsi="宋体" w:eastAsia="宋体" w:cs="宋体"/>
          <w:kern w:val="0"/>
          <w:sz w:val="24"/>
          <w:szCs w:val="21"/>
        </w:rPr>
        <w:t>询比</w:t>
      </w:r>
      <w:r>
        <w:rPr>
          <w:rFonts w:ascii="宋体" w:hAnsi="宋体" w:eastAsia="宋体" w:cs="宋体"/>
          <w:kern w:val="0"/>
          <w:sz w:val="24"/>
          <w:szCs w:val="21"/>
        </w:rPr>
        <w:t>文件要求进行签字或盖章</w:t>
      </w:r>
      <w:r>
        <w:rPr>
          <w:rFonts w:hint="eastAsia" w:ascii="宋体" w:hAnsi="宋体" w:eastAsia="宋体" w:cs="宋体"/>
          <w:kern w:val="0"/>
          <w:sz w:val="24"/>
          <w:szCs w:val="21"/>
        </w:rPr>
        <w:t>，否则评审委员会应按无效响应处理，具体要求详见供应商须知前附表17。</w:t>
      </w:r>
    </w:p>
    <w:p w14:paraId="3EE1528C">
      <w:pPr>
        <w:rPr>
          <w:rFonts w:ascii="宋体" w:hAnsi="宋体" w:eastAsia="宋体" w:cs="宋体"/>
          <w:kern w:val="0"/>
          <w:sz w:val="24"/>
          <w:szCs w:val="21"/>
        </w:rPr>
      </w:pPr>
      <w:bookmarkStart w:id="230" w:name="_Toc247085751"/>
      <w:bookmarkStart w:id="231" w:name="_Toc152045593"/>
      <w:bookmarkStart w:id="232" w:name="_Toc296602481"/>
      <w:bookmarkStart w:id="233" w:name="_Toc152042370"/>
      <w:bookmarkStart w:id="234" w:name="_Toc179632611"/>
      <w:bookmarkStart w:id="235" w:name="_Toc246996979"/>
      <w:bookmarkStart w:id="236" w:name="_Toc144974560"/>
      <w:bookmarkStart w:id="237" w:name="_Toc246996236"/>
    </w:p>
    <w:p w14:paraId="6528A909">
      <w:pPr>
        <w:pStyle w:val="66"/>
        <w:rPr>
          <w:rFonts w:ascii="黑体" w:hAnsi="黑体" w:eastAsia="黑体" w:cs="宋体"/>
        </w:rPr>
      </w:pPr>
      <w:r>
        <w:rPr>
          <w:rFonts w:ascii="黑体" w:hAnsi="黑体" w:eastAsia="黑体" w:cs="宋体"/>
        </w:rPr>
        <w:t xml:space="preserve">1. </w:t>
      </w:r>
      <w:r>
        <w:rPr>
          <w:rFonts w:hint="eastAsia" w:ascii="黑体" w:hAnsi="黑体" w:eastAsia="黑体" w:cs="宋体"/>
        </w:rPr>
        <w:t>评审方法（最低评审价法）</w:t>
      </w:r>
    </w:p>
    <w:p w14:paraId="63E9B8DA">
      <w:pPr>
        <w:pStyle w:val="66"/>
        <w:rPr>
          <w:rFonts w:ascii="宋体" w:hAnsi="宋体" w:eastAsia="宋体" w:cs="宋体"/>
        </w:rPr>
      </w:pPr>
      <w:r>
        <w:rPr>
          <w:rFonts w:hint="eastAsia" w:ascii="宋体" w:hAnsi="宋体" w:eastAsia="宋体" w:cs="宋体"/>
        </w:rPr>
        <w:t>本次评审采用最低评审价法。（同类型单价对单价评审）评标委员会对满足询比文件实质要求的响应文件，按照报价由低到高的顺序推荐成交候选人，或根据采购人授权直接确定成交人，但报价低于其成本的除外。报价也相等的，由采购人或其授权的评审委员会自行确定。</w:t>
      </w:r>
    </w:p>
    <w:p w14:paraId="18656355">
      <w:pPr>
        <w:pStyle w:val="66"/>
        <w:rPr>
          <w:rFonts w:ascii="黑体" w:hAnsi="黑体" w:eastAsia="黑体" w:cs="宋体"/>
        </w:rPr>
      </w:pPr>
      <w:r>
        <w:rPr>
          <w:rFonts w:hint="eastAsia" w:ascii="黑体" w:hAnsi="黑体" w:eastAsia="黑体" w:cs="宋体"/>
        </w:rPr>
        <w:t>2</w:t>
      </w:r>
      <w:r>
        <w:rPr>
          <w:rFonts w:ascii="黑体" w:hAnsi="黑体" w:eastAsia="黑体" w:cs="宋体"/>
        </w:rPr>
        <w:t xml:space="preserve">. </w:t>
      </w:r>
      <w:r>
        <w:rPr>
          <w:rFonts w:hint="eastAsia" w:ascii="黑体" w:hAnsi="黑体" w:eastAsia="黑体" w:cs="宋体"/>
        </w:rPr>
        <w:t>评审程序</w:t>
      </w:r>
      <w:bookmarkEnd w:id="230"/>
      <w:bookmarkEnd w:id="231"/>
      <w:bookmarkEnd w:id="232"/>
      <w:bookmarkEnd w:id="233"/>
      <w:bookmarkEnd w:id="234"/>
      <w:bookmarkEnd w:id="235"/>
      <w:bookmarkEnd w:id="236"/>
      <w:bookmarkEnd w:id="237"/>
    </w:p>
    <w:p w14:paraId="04A06915">
      <w:pPr>
        <w:pStyle w:val="66"/>
        <w:rPr>
          <w:rFonts w:ascii="宋体" w:hAnsi="宋体" w:eastAsia="宋体" w:cs="宋体"/>
        </w:rPr>
      </w:pPr>
      <w:r>
        <w:rPr>
          <w:rFonts w:hint="eastAsia" w:ascii="宋体" w:hAnsi="宋体" w:eastAsia="宋体" w:cs="宋体"/>
        </w:rPr>
        <w:t>2.1评审时，应当遵循下列工作程序：</w:t>
      </w:r>
    </w:p>
    <w:p w14:paraId="18EBFCC2">
      <w:pPr>
        <w:pStyle w:val="66"/>
        <w:rPr>
          <w:rFonts w:ascii="宋体" w:hAnsi="宋体" w:eastAsia="宋体" w:cs="宋体"/>
        </w:rPr>
      </w:pPr>
      <w:r>
        <w:rPr>
          <w:rFonts w:hint="eastAsia" w:ascii="宋体" w:hAnsi="宋体" w:eastAsia="宋体" w:cs="宋体"/>
        </w:rPr>
        <w:t>2.1.1资格性检查。依据法律法规和询比文件的规定，对响应文件中的资格证明、响应保证金等进行审查，以确定供应商是否具备资格。</w:t>
      </w:r>
    </w:p>
    <w:p w14:paraId="304C65CF">
      <w:pPr>
        <w:pStyle w:val="66"/>
        <w:rPr>
          <w:rFonts w:ascii="宋体" w:hAnsi="宋体" w:eastAsia="宋体" w:cs="宋体"/>
        </w:rPr>
      </w:pPr>
      <w:r>
        <w:rPr>
          <w:rFonts w:hint="eastAsia" w:ascii="宋体" w:hAnsi="宋体" w:eastAsia="宋体" w:cs="宋体"/>
        </w:rPr>
        <w:t>2.1.2符合性检查。依据询比文件的规定，从响应文件的有效性、完整性和对询比文件的响应程度进行审查，以确定是否对询比文件的实质性要求作出响应。</w:t>
      </w:r>
    </w:p>
    <w:p w14:paraId="7DEA8D0A">
      <w:pPr>
        <w:pStyle w:val="66"/>
        <w:rPr>
          <w:rFonts w:ascii="宋体" w:hAnsi="宋体" w:eastAsia="宋体" w:cs="宋体"/>
        </w:rPr>
      </w:pPr>
      <w:r>
        <w:rPr>
          <w:rFonts w:hint="eastAsia" w:ascii="宋体" w:hAnsi="宋体" w:eastAsia="宋体" w:cs="宋体"/>
        </w:rPr>
        <w:t>2.2澄清有关问题。对响应文件中含义不明确、同类问题表述不一致或者有明显文字和计算错误的内容，评审委员会可以书面形式要求供应商作出必要的澄清、说明或者纠正。供应商的澄清、说明或者补正应当采用书面形式，由其授权的代表签字，并不得超出响应文件的范围或者改变响应文件的实质性内容。</w:t>
      </w:r>
    </w:p>
    <w:p w14:paraId="2A31A67B">
      <w:pPr>
        <w:pStyle w:val="66"/>
        <w:rPr>
          <w:rFonts w:ascii="宋体" w:hAnsi="宋体" w:eastAsia="宋体" w:cs="宋体"/>
        </w:rPr>
      </w:pPr>
      <w:r>
        <w:rPr>
          <w:rFonts w:hint="eastAsia" w:ascii="宋体" w:hAnsi="宋体" w:eastAsia="宋体" w:cs="宋体"/>
        </w:rPr>
        <w:t>2.3</w:t>
      </w:r>
      <w:r>
        <w:rPr>
          <w:rFonts w:ascii="宋体" w:hAnsi="宋体" w:eastAsia="宋体" w:cs="宋体"/>
        </w:rPr>
        <w:t xml:space="preserve"> </w:t>
      </w:r>
      <w:r>
        <w:rPr>
          <w:rFonts w:hint="eastAsia" w:ascii="宋体" w:hAnsi="宋体" w:eastAsia="宋体" w:cs="宋体"/>
        </w:rPr>
        <w:t>供应商有以下情形之一的，评审委员会应当认定其响应无效：</w:t>
      </w:r>
    </w:p>
    <w:p w14:paraId="4DCC7B40">
      <w:pPr>
        <w:pStyle w:val="66"/>
        <w:rPr>
          <w:rFonts w:ascii="宋体" w:hAnsi="宋体" w:eastAsia="宋体" w:cs="宋体"/>
        </w:rPr>
      </w:pPr>
      <w:r>
        <w:rPr>
          <w:rFonts w:hint="eastAsia" w:ascii="宋体" w:hAnsi="宋体" w:eastAsia="宋体" w:cs="宋体"/>
        </w:rPr>
        <w:t>（</w:t>
      </w:r>
      <w:r>
        <w:rPr>
          <w:rFonts w:ascii="宋体" w:hAnsi="宋体" w:eastAsia="宋体" w:cs="宋体"/>
        </w:rPr>
        <w:t>1</w:t>
      </w:r>
      <w:r>
        <w:rPr>
          <w:rFonts w:hint="eastAsia" w:ascii="宋体" w:hAnsi="宋体" w:eastAsia="宋体" w:cs="宋体"/>
        </w:rPr>
        <w:t>）不符合资格性和符合性审查规定的任何一种情形的；</w:t>
      </w:r>
    </w:p>
    <w:p w14:paraId="38A1136D">
      <w:pPr>
        <w:pStyle w:val="66"/>
        <w:rPr>
          <w:rFonts w:ascii="宋体" w:hAnsi="宋体" w:eastAsia="宋体" w:cs="宋体"/>
        </w:rPr>
      </w:pPr>
      <w:r>
        <w:rPr>
          <w:rFonts w:hint="eastAsia" w:ascii="宋体" w:hAnsi="宋体" w:eastAsia="宋体" w:cs="宋体"/>
        </w:rPr>
        <w:t>（2）相互串通或弄虚作假或有其他违法行为的；</w:t>
      </w:r>
    </w:p>
    <w:p w14:paraId="167319E3">
      <w:pPr>
        <w:pStyle w:val="66"/>
        <w:rPr>
          <w:rFonts w:ascii="宋体" w:hAnsi="宋体" w:eastAsia="宋体" w:cs="宋体"/>
        </w:rPr>
      </w:pPr>
      <w:r>
        <w:rPr>
          <w:rFonts w:hint="eastAsia" w:ascii="宋体" w:hAnsi="宋体" w:eastAsia="宋体" w:cs="宋体"/>
        </w:rPr>
        <w:t>（3）不按评审委员会要求澄清、说明或补正的。</w:t>
      </w:r>
    </w:p>
    <w:p w14:paraId="58B4D269">
      <w:pPr>
        <w:pStyle w:val="66"/>
        <w:rPr>
          <w:rFonts w:ascii="宋体" w:hAnsi="宋体" w:eastAsia="宋体" w:cs="宋体"/>
        </w:rPr>
      </w:pPr>
      <w:r>
        <w:rPr>
          <w:rFonts w:hint="eastAsia" w:ascii="宋体" w:hAnsi="宋体" w:eastAsia="宋体" w:cs="宋体"/>
        </w:rPr>
        <w:t>2.4报价有算术错误的，评审委员会按以下原则对报价进行修正，修正的价格经供应商书面确认后具有约束力。供应商不接受修正价格的，评审委员会应当认定其响应无效。</w:t>
      </w:r>
    </w:p>
    <w:p w14:paraId="2BF8E1C9">
      <w:pPr>
        <w:pStyle w:val="66"/>
        <w:rPr>
          <w:rFonts w:ascii="宋体" w:hAnsi="宋体" w:eastAsia="宋体" w:cs="宋体"/>
        </w:rPr>
      </w:pPr>
      <w:r>
        <w:rPr>
          <w:rFonts w:hint="eastAsia" w:ascii="宋体" w:hAnsi="宋体" w:eastAsia="宋体" w:cs="宋体"/>
        </w:rPr>
        <w:t>（</w:t>
      </w:r>
      <w:r>
        <w:rPr>
          <w:rFonts w:ascii="宋体" w:hAnsi="宋体" w:eastAsia="宋体" w:cs="宋体"/>
        </w:rPr>
        <w:t>1</w:t>
      </w:r>
      <w:r>
        <w:rPr>
          <w:rFonts w:hint="eastAsia" w:ascii="宋体" w:hAnsi="宋体" w:eastAsia="宋体" w:cs="宋体"/>
        </w:rPr>
        <w:t>）响应文件中的大写金额与小写金额不一致的，以大写金额为准；</w:t>
      </w:r>
    </w:p>
    <w:p w14:paraId="05FA951E">
      <w:pPr>
        <w:pStyle w:val="66"/>
        <w:rPr>
          <w:rFonts w:ascii="宋体" w:hAnsi="宋体" w:eastAsia="宋体" w:cs="宋体"/>
        </w:rPr>
      </w:pPr>
      <w:r>
        <w:rPr>
          <w:rFonts w:hint="eastAsia" w:ascii="宋体" w:hAnsi="宋体" w:eastAsia="宋体" w:cs="宋体"/>
        </w:rPr>
        <w:t>（</w:t>
      </w:r>
      <w:r>
        <w:rPr>
          <w:rFonts w:ascii="宋体" w:hAnsi="宋体" w:eastAsia="宋体" w:cs="宋体"/>
        </w:rPr>
        <w:t>2</w:t>
      </w:r>
      <w:r>
        <w:rPr>
          <w:rFonts w:hint="eastAsia" w:ascii="宋体" w:hAnsi="宋体" w:eastAsia="宋体" w:cs="宋体"/>
        </w:rPr>
        <w:t>）总价金额与依据单价计算出的结果不一致的，以单价金额为准修正总价，但单价金额小数点有明显错误的除外。</w:t>
      </w:r>
    </w:p>
    <w:p w14:paraId="7937631B">
      <w:pPr>
        <w:pStyle w:val="66"/>
        <w:rPr>
          <w:rFonts w:ascii="宋体" w:hAnsi="宋体" w:eastAsia="宋体" w:cs="宋体"/>
        </w:rPr>
      </w:pPr>
      <w:bookmarkStart w:id="238" w:name="_Toc144974563"/>
      <w:bookmarkStart w:id="239" w:name="_Toc152045596"/>
      <w:bookmarkStart w:id="240" w:name="_Toc179632614"/>
      <w:bookmarkStart w:id="241" w:name="_Toc247085754"/>
      <w:bookmarkStart w:id="242" w:name="_Toc246996982"/>
      <w:bookmarkStart w:id="243" w:name="_Toc152042373"/>
      <w:bookmarkStart w:id="244" w:name="_Toc296602484"/>
      <w:bookmarkStart w:id="245" w:name="_Toc246996239"/>
      <w:r>
        <w:rPr>
          <w:rFonts w:hint="eastAsia" w:ascii="宋体" w:hAnsi="宋体" w:eastAsia="宋体" w:cs="宋体"/>
        </w:rPr>
        <w:t>2.5评审委员会发现供应商的报价明显低于其他报价，使得其报价可能低于其个别成本的，应当要求供应商作出书面说明并提供相应的证明材料。供应商</w:t>
      </w:r>
      <w:r>
        <w:rPr>
          <w:rFonts w:ascii="宋体" w:hAnsi="宋体" w:eastAsia="宋体" w:cs="宋体"/>
        </w:rPr>
        <w:t>不</w:t>
      </w:r>
      <w:r>
        <w:rPr>
          <w:rFonts w:hint="eastAsia" w:ascii="宋体" w:hAnsi="宋体" w:eastAsia="宋体" w:cs="宋体"/>
        </w:rPr>
        <w:t>能合理说明或者不能提供相应证明材料的，评审委员会应当认定该供应商以低于成本报价竞标，其响应文件将被视为无效。</w:t>
      </w:r>
    </w:p>
    <w:p w14:paraId="5CE20063">
      <w:pPr>
        <w:pStyle w:val="66"/>
        <w:rPr>
          <w:rFonts w:ascii="黑体" w:hAnsi="黑体" w:eastAsia="黑体" w:cs="宋体"/>
        </w:rPr>
      </w:pPr>
      <w:r>
        <w:rPr>
          <w:rFonts w:ascii="黑体" w:hAnsi="黑体" w:eastAsia="黑体" w:cs="宋体"/>
        </w:rPr>
        <w:t>3</w:t>
      </w:r>
      <w:r>
        <w:rPr>
          <w:rFonts w:hint="eastAsia" w:ascii="黑体" w:hAnsi="黑体" w:eastAsia="黑体" w:cs="宋体"/>
        </w:rPr>
        <w:t>.响应文件的澄清</w:t>
      </w:r>
      <w:bookmarkEnd w:id="238"/>
      <w:r>
        <w:rPr>
          <w:rFonts w:hint="eastAsia" w:ascii="黑体" w:hAnsi="黑体" w:eastAsia="黑体" w:cs="宋体"/>
        </w:rPr>
        <w:t>和补正</w:t>
      </w:r>
      <w:bookmarkEnd w:id="239"/>
      <w:bookmarkEnd w:id="240"/>
      <w:bookmarkEnd w:id="241"/>
      <w:bookmarkEnd w:id="242"/>
      <w:bookmarkEnd w:id="243"/>
      <w:bookmarkEnd w:id="244"/>
      <w:bookmarkEnd w:id="245"/>
    </w:p>
    <w:p w14:paraId="6535C049">
      <w:pPr>
        <w:pStyle w:val="66"/>
        <w:rPr>
          <w:rFonts w:ascii="宋体" w:hAnsi="宋体" w:eastAsia="宋体" w:cs="宋体"/>
        </w:rPr>
      </w:pPr>
      <w:r>
        <w:rPr>
          <w:rFonts w:ascii="宋体" w:hAnsi="宋体" w:eastAsia="宋体" w:cs="宋体"/>
        </w:rPr>
        <w:t xml:space="preserve">3.1 </w:t>
      </w:r>
      <w:r>
        <w:rPr>
          <w:rFonts w:hint="eastAsia" w:ascii="宋体" w:hAnsi="宋体" w:eastAsia="宋体" w:cs="宋体"/>
        </w:rPr>
        <w:t>在评审过程中，评审委员会可以书面形式要求供应商对所提交响应文件中不明确的内容进行书面澄清或说明，或者对细微偏差进行补正。评审委员会不接受供应商主动提出的澄清、说明或补正。</w:t>
      </w:r>
    </w:p>
    <w:p w14:paraId="5A1EA70E">
      <w:pPr>
        <w:pStyle w:val="66"/>
        <w:rPr>
          <w:rFonts w:ascii="宋体" w:hAnsi="宋体" w:eastAsia="宋体" w:cs="宋体"/>
        </w:rPr>
      </w:pPr>
      <w:r>
        <w:rPr>
          <w:rFonts w:ascii="宋体" w:hAnsi="宋体" w:eastAsia="宋体" w:cs="宋体"/>
        </w:rPr>
        <w:t xml:space="preserve">3.2 </w:t>
      </w:r>
      <w:r>
        <w:rPr>
          <w:rFonts w:hint="eastAsia" w:ascii="宋体" w:hAnsi="宋体" w:eastAsia="宋体" w:cs="宋体"/>
        </w:rPr>
        <w:t>澄清、说明和补正不得改变响应文件的实质性内容。供应商的书面澄清、说明和补正属于响应文件的组成部分。</w:t>
      </w:r>
    </w:p>
    <w:p w14:paraId="64FBAB8F">
      <w:pPr>
        <w:pStyle w:val="66"/>
        <w:rPr>
          <w:rFonts w:ascii="宋体" w:hAnsi="宋体" w:eastAsia="宋体" w:cs="宋体"/>
        </w:rPr>
      </w:pPr>
      <w:r>
        <w:rPr>
          <w:rFonts w:ascii="宋体" w:hAnsi="宋体" w:eastAsia="宋体" w:cs="宋体"/>
        </w:rPr>
        <w:t xml:space="preserve">3.3 </w:t>
      </w:r>
      <w:r>
        <w:rPr>
          <w:rFonts w:hint="eastAsia" w:ascii="宋体" w:hAnsi="宋体" w:eastAsia="宋体" w:cs="宋体"/>
        </w:rPr>
        <w:t>评审委员会对供应商提交的澄清、说明或补正有疑问的，可以要求供应商进一步澄清、说明或补正，直至满足评审委员会的要求。</w:t>
      </w:r>
    </w:p>
    <w:p w14:paraId="25F1873C">
      <w:pPr>
        <w:pStyle w:val="66"/>
        <w:rPr>
          <w:rFonts w:ascii="黑体" w:hAnsi="黑体" w:eastAsia="黑体" w:cs="宋体"/>
        </w:rPr>
      </w:pPr>
      <w:r>
        <w:rPr>
          <w:rFonts w:hint="eastAsia" w:ascii="黑体" w:hAnsi="黑体" w:eastAsia="黑体" w:cs="宋体"/>
        </w:rPr>
        <w:t>4 .特殊情况处理</w:t>
      </w:r>
    </w:p>
    <w:p w14:paraId="3DDDCD0F">
      <w:pPr>
        <w:pStyle w:val="66"/>
        <w:rPr>
          <w:rFonts w:ascii="宋体" w:hAnsi="宋体" w:eastAsia="宋体" w:cs="宋体"/>
        </w:rPr>
      </w:pPr>
      <w:r>
        <w:rPr>
          <w:rFonts w:hint="eastAsia" w:ascii="宋体" w:hAnsi="宋体" w:eastAsia="宋体" w:cs="宋体"/>
        </w:rPr>
        <w:t>经评审，有效供应商不足3家的，应当对响应文件是否明显缺乏竞争和是否需要否决全部响应文件进行充分论证，并在评审报告中记载论证过程和结果。并按以下情形处理：</w:t>
      </w:r>
    </w:p>
    <w:p w14:paraId="01107E23">
      <w:pPr>
        <w:pStyle w:val="66"/>
        <w:rPr>
          <w:rFonts w:ascii="宋体" w:hAnsi="宋体" w:eastAsia="宋体" w:cs="宋体"/>
        </w:rPr>
      </w:pPr>
      <w:r>
        <w:rPr>
          <w:rFonts w:hint="eastAsia" w:ascii="宋体" w:hAnsi="宋体" w:eastAsia="宋体" w:cs="宋体"/>
        </w:rPr>
        <w:t>（1）响应文件明显缺乏竞争性的（有效供应商为2家及以下，且报价均明显高于市场价或采购人预期的），评审委员会可以否决全部响应文件。</w:t>
      </w:r>
    </w:p>
    <w:p w14:paraId="70C3B557">
      <w:pPr>
        <w:pStyle w:val="66"/>
        <w:rPr>
          <w:rFonts w:ascii="宋体" w:hAnsi="宋体" w:eastAsia="宋体" w:cs="宋体"/>
        </w:rPr>
      </w:pPr>
      <w:r>
        <w:rPr>
          <w:rFonts w:hint="eastAsia" w:ascii="宋体" w:hAnsi="宋体" w:eastAsia="宋体" w:cs="宋体"/>
        </w:rPr>
        <w:t>（2）响应文件具有竞争性的（当有效供应商为2家及以下，且报价没有明显高于市场价或采购人预期的），可以继续评审。</w:t>
      </w:r>
    </w:p>
    <w:p w14:paraId="1F10C664">
      <w:pPr>
        <w:pStyle w:val="66"/>
        <w:rPr>
          <w:rFonts w:ascii="黑体" w:hAnsi="黑体" w:eastAsia="黑体" w:cs="宋体"/>
        </w:rPr>
      </w:pPr>
      <w:r>
        <w:rPr>
          <w:rFonts w:hint="eastAsia" w:ascii="黑体" w:hAnsi="黑体" w:eastAsia="黑体" w:cs="宋体"/>
        </w:rPr>
        <w:t>5</w:t>
      </w:r>
      <w:r>
        <w:rPr>
          <w:rFonts w:ascii="黑体" w:hAnsi="黑体" w:eastAsia="黑体" w:cs="宋体"/>
        </w:rPr>
        <w:t xml:space="preserve"> </w:t>
      </w:r>
      <w:r>
        <w:rPr>
          <w:rFonts w:hint="eastAsia" w:ascii="黑体" w:hAnsi="黑体" w:eastAsia="黑体" w:cs="宋体"/>
        </w:rPr>
        <w:t>.评审结果</w:t>
      </w:r>
    </w:p>
    <w:p w14:paraId="6197AC0A">
      <w:pPr>
        <w:pStyle w:val="66"/>
        <w:rPr>
          <w:rFonts w:ascii="宋体" w:hAnsi="宋体" w:eastAsia="宋体" w:cs="宋体"/>
        </w:rPr>
      </w:pPr>
      <w:r>
        <w:rPr>
          <w:rFonts w:hint="eastAsia" w:ascii="宋体" w:hAnsi="宋体" w:eastAsia="宋体" w:cs="宋体"/>
        </w:rPr>
        <w:t>5</w:t>
      </w:r>
      <w:r>
        <w:rPr>
          <w:rFonts w:ascii="宋体" w:hAnsi="宋体" w:eastAsia="宋体" w:cs="宋体"/>
        </w:rPr>
        <w:t xml:space="preserve">.1 </w:t>
      </w:r>
      <w:r>
        <w:rPr>
          <w:rFonts w:hint="eastAsia" w:ascii="宋体" w:hAnsi="宋体" w:eastAsia="宋体" w:cs="宋体"/>
        </w:rPr>
        <w:t>除第二章</w:t>
      </w:r>
      <w:r>
        <w:rPr>
          <w:rFonts w:ascii="宋体" w:hAnsi="宋体" w:eastAsia="宋体" w:cs="宋体"/>
        </w:rPr>
        <w:t>“</w:t>
      </w:r>
      <w:r>
        <w:rPr>
          <w:rFonts w:hint="eastAsia" w:ascii="宋体" w:hAnsi="宋体" w:eastAsia="宋体" w:cs="宋体"/>
        </w:rPr>
        <w:t>供应商须知</w:t>
      </w:r>
      <w:r>
        <w:rPr>
          <w:rFonts w:ascii="宋体" w:hAnsi="宋体" w:eastAsia="宋体" w:cs="宋体"/>
        </w:rPr>
        <w:t>”</w:t>
      </w:r>
      <w:r>
        <w:rPr>
          <w:rFonts w:hint="eastAsia" w:ascii="宋体" w:hAnsi="宋体" w:eastAsia="宋体" w:cs="宋体"/>
        </w:rPr>
        <w:t>前附表授权直接确定成交人外，评审委员会按照本询比文件的规定推荐成交候选人。</w:t>
      </w:r>
    </w:p>
    <w:p w14:paraId="12AFE0F0">
      <w:pPr>
        <w:pStyle w:val="66"/>
        <w:rPr>
          <w:rFonts w:ascii="宋体" w:hAnsi="宋体" w:eastAsia="宋体" w:cs="宋体"/>
        </w:rPr>
      </w:pPr>
      <w:r>
        <w:rPr>
          <w:rFonts w:hint="eastAsia" w:ascii="宋体" w:hAnsi="宋体" w:eastAsia="宋体" w:cs="宋体"/>
        </w:rPr>
        <w:t>5.2 评审委员会完成评审后，应当向采购人提交书面评审报告。</w:t>
      </w:r>
    </w:p>
    <w:p w14:paraId="005520D9">
      <w:pPr>
        <w:wordWrap w:val="0"/>
        <w:spacing w:line="440" w:lineRule="exact"/>
        <w:ind w:firstLine="480" w:firstLineChars="200"/>
        <w:rPr>
          <w:rFonts w:ascii="Times New Roman" w:hAnsi="Times New Roman" w:cs="Times New Roman"/>
          <w:kern w:val="0"/>
          <w:sz w:val="24"/>
        </w:rPr>
      </w:pPr>
    </w:p>
    <w:p w14:paraId="64374744">
      <w:pPr>
        <w:pStyle w:val="66"/>
      </w:pPr>
    </w:p>
    <w:p w14:paraId="5B3D4893">
      <w:pPr>
        <w:pStyle w:val="66"/>
      </w:pPr>
    </w:p>
    <w:p w14:paraId="3D67A174">
      <w:pPr>
        <w:pStyle w:val="66"/>
      </w:pPr>
    </w:p>
    <w:p w14:paraId="4A553968">
      <w:pPr>
        <w:pStyle w:val="66"/>
      </w:pPr>
    </w:p>
    <w:p w14:paraId="45B5C8EB">
      <w:pPr>
        <w:pStyle w:val="66"/>
      </w:pPr>
    </w:p>
    <w:p w14:paraId="44599679">
      <w:pPr>
        <w:pStyle w:val="66"/>
      </w:pPr>
    </w:p>
    <w:p w14:paraId="473373BD">
      <w:pPr>
        <w:pStyle w:val="66"/>
      </w:pPr>
    </w:p>
    <w:p w14:paraId="44C1347E">
      <w:pPr>
        <w:pStyle w:val="66"/>
        <w:rPr>
          <w:rFonts w:hint="eastAsia"/>
        </w:rPr>
      </w:pPr>
    </w:p>
    <w:p w14:paraId="7AE38596">
      <w:pPr>
        <w:pStyle w:val="66"/>
      </w:pPr>
    </w:p>
    <w:p w14:paraId="6C79B7B8">
      <w:pPr>
        <w:pStyle w:val="66"/>
      </w:pPr>
    </w:p>
    <w:p w14:paraId="0C16790B">
      <w:pPr>
        <w:pStyle w:val="66"/>
      </w:pPr>
    </w:p>
    <w:p w14:paraId="7B51E57B">
      <w:pPr>
        <w:pStyle w:val="66"/>
      </w:pPr>
    </w:p>
    <w:p w14:paraId="16D0B838">
      <w:pPr>
        <w:pStyle w:val="66"/>
      </w:pPr>
    </w:p>
    <w:p w14:paraId="1FE110C0">
      <w:pPr>
        <w:pStyle w:val="66"/>
      </w:pPr>
    </w:p>
    <w:p w14:paraId="46A40E10">
      <w:pPr>
        <w:pStyle w:val="66"/>
      </w:pPr>
    </w:p>
    <w:p w14:paraId="3AA1B42B">
      <w:pPr>
        <w:pStyle w:val="66"/>
        <w:rPr>
          <w:rFonts w:hint="eastAsia"/>
        </w:rPr>
      </w:pPr>
    </w:p>
    <w:p w14:paraId="5D797724">
      <w:pPr>
        <w:pStyle w:val="66"/>
      </w:pPr>
    </w:p>
    <w:p w14:paraId="012113D5">
      <w:pPr>
        <w:pStyle w:val="66"/>
      </w:pPr>
    </w:p>
    <w:p w14:paraId="11F8F536">
      <w:pPr>
        <w:pStyle w:val="66"/>
        <w:rPr>
          <w:rFonts w:hint="eastAsia"/>
        </w:rPr>
      </w:pPr>
    </w:p>
    <w:p w14:paraId="5CD9C726">
      <w:pPr>
        <w:pStyle w:val="2"/>
        <w:jc w:val="center"/>
        <w:rPr>
          <w:rFonts w:hint="eastAsia" w:ascii="黑体" w:hAnsi="黑体" w:eastAsia="黑体"/>
          <w:sz w:val="32"/>
          <w:szCs w:val="32"/>
        </w:rPr>
      </w:pPr>
      <w:bookmarkStart w:id="246" w:name="_Toc204594025"/>
      <w:r>
        <w:rPr>
          <w:rFonts w:hint="eastAsia" w:ascii="黑体" w:hAnsi="黑体" w:eastAsia="黑体"/>
          <w:sz w:val="32"/>
          <w:szCs w:val="32"/>
        </w:rPr>
        <w:t xml:space="preserve">第四章 </w:t>
      </w:r>
      <w:r>
        <w:rPr>
          <w:rFonts w:ascii="黑体" w:hAnsi="黑体" w:eastAsia="黑体"/>
          <w:sz w:val="32"/>
          <w:szCs w:val="32"/>
        </w:rPr>
        <w:t>合同条款及格式</w:t>
      </w:r>
      <w:bookmarkEnd w:id="246"/>
    </w:p>
    <w:p w14:paraId="29B9DDFD">
      <w:pPr>
        <w:spacing w:before="156" w:beforeLines="50" w:after="156" w:afterLines="50" w:line="480" w:lineRule="exact"/>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合同条款前附表</w:t>
      </w:r>
    </w:p>
    <w:tbl>
      <w:tblPr>
        <w:tblStyle w:val="3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6253"/>
      </w:tblGrid>
      <w:tr w14:paraId="1857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5A860B53">
            <w:pPr>
              <w:wordWrap w:val="0"/>
              <w:spacing w:line="440" w:lineRule="exact"/>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序号</w:t>
            </w:r>
          </w:p>
        </w:tc>
        <w:tc>
          <w:tcPr>
            <w:tcW w:w="1417" w:type="dxa"/>
            <w:vAlign w:val="center"/>
          </w:tcPr>
          <w:p w14:paraId="636D55E1">
            <w:pPr>
              <w:wordWrap w:val="0"/>
              <w:spacing w:line="440" w:lineRule="exact"/>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条款名称</w:t>
            </w:r>
          </w:p>
        </w:tc>
        <w:tc>
          <w:tcPr>
            <w:tcW w:w="6253" w:type="dxa"/>
            <w:vAlign w:val="center"/>
          </w:tcPr>
          <w:p w14:paraId="748473B3">
            <w:pPr>
              <w:wordWrap w:val="0"/>
              <w:spacing w:line="440" w:lineRule="exact"/>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编列内容</w:t>
            </w:r>
          </w:p>
        </w:tc>
      </w:tr>
      <w:tr w14:paraId="3600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70F5FB82">
            <w:pPr>
              <w:wordWrap w:val="0"/>
              <w:spacing w:line="44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1</w:t>
            </w:r>
          </w:p>
        </w:tc>
        <w:tc>
          <w:tcPr>
            <w:tcW w:w="1417" w:type="dxa"/>
            <w:vAlign w:val="center"/>
          </w:tcPr>
          <w:p w14:paraId="27BEAB68">
            <w:pPr>
              <w:wordWrap w:val="0"/>
              <w:spacing w:line="44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付款人</w:t>
            </w:r>
          </w:p>
        </w:tc>
        <w:tc>
          <w:tcPr>
            <w:tcW w:w="6253" w:type="dxa"/>
            <w:vAlign w:val="center"/>
          </w:tcPr>
          <w:p w14:paraId="58C26DF3">
            <w:pPr>
              <w:wordWrap w:val="0"/>
              <w:spacing w:line="440" w:lineRule="exact"/>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亳州市公交出租有限责任公司</w:t>
            </w:r>
          </w:p>
        </w:tc>
      </w:tr>
      <w:tr w14:paraId="17FA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5D969262">
            <w:pPr>
              <w:wordWrap w:val="0"/>
              <w:spacing w:line="44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2</w:t>
            </w:r>
          </w:p>
        </w:tc>
        <w:tc>
          <w:tcPr>
            <w:tcW w:w="1417" w:type="dxa"/>
            <w:vAlign w:val="center"/>
          </w:tcPr>
          <w:p w14:paraId="747AA44C">
            <w:pPr>
              <w:wordWrap w:val="0"/>
              <w:spacing w:line="44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付款方式</w:t>
            </w:r>
          </w:p>
        </w:tc>
        <w:tc>
          <w:tcPr>
            <w:tcW w:w="6253" w:type="dxa"/>
            <w:vAlign w:val="center"/>
          </w:tcPr>
          <w:p w14:paraId="1FFDEAA0">
            <w:pPr>
              <w:wordWrap w:val="0"/>
              <w:spacing w:line="440" w:lineRule="exact"/>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无预付款，采购人和供应商每3个月进行汇总对账，经双方确认无误后，采购人向供应商支付已提供服务款的97%，剩余3%作为质保金24个月以后支付。</w:t>
            </w:r>
          </w:p>
          <w:p w14:paraId="6B1ECF11">
            <w:pPr>
              <w:wordWrap w:val="0"/>
              <w:spacing w:line="440" w:lineRule="exact"/>
              <w:ind w:firstLine="482" w:firstLineChars="200"/>
              <w:rPr>
                <w:rFonts w:ascii="Times New Roman" w:hAnsi="Times New Roman" w:eastAsia="宋体" w:cs="Times New Roman"/>
                <w:kern w:val="0"/>
                <w:sz w:val="24"/>
              </w:rPr>
            </w:pPr>
            <w:r>
              <w:rPr>
                <w:rFonts w:hint="eastAsia" w:ascii="Times New Roman" w:hAnsi="Times New Roman" w:eastAsia="宋体" w:cs="Times New Roman"/>
                <w:b/>
                <w:bCs/>
                <w:kern w:val="0"/>
                <w:sz w:val="24"/>
              </w:rPr>
              <w:t>注：采购人付款前，供应商人应按照国家税收有关规定开具等额增值税专用发票，否则采购人有权暂停付款。</w:t>
            </w:r>
          </w:p>
        </w:tc>
      </w:tr>
    </w:tbl>
    <w:p w14:paraId="09FCD905">
      <w:pPr>
        <w:wordWrap w:val="0"/>
        <w:spacing w:line="440" w:lineRule="exact"/>
        <w:ind w:firstLine="480" w:firstLineChars="200"/>
        <w:rPr>
          <w:rFonts w:ascii="Times New Roman" w:hAnsi="Times New Roman" w:cs="Times New Roman"/>
          <w:kern w:val="0"/>
          <w:sz w:val="24"/>
        </w:rPr>
      </w:pPr>
      <w:r>
        <w:rPr>
          <w:rFonts w:hint="eastAsia" w:ascii="Times New Roman" w:hAnsi="Times New Roman" w:cs="Times New Roman"/>
          <w:kern w:val="0"/>
          <w:sz w:val="24"/>
        </w:rPr>
        <w:t>说明：合同具体条款</w:t>
      </w:r>
      <w:r>
        <w:rPr>
          <w:rFonts w:ascii="Times New Roman" w:hAnsi="Times New Roman" w:cs="Times New Roman"/>
          <w:kern w:val="0"/>
          <w:sz w:val="24"/>
        </w:rPr>
        <w:t>由</w:t>
      </w:r>
      <w:r>
        <w:rPr>
          <w:rFonts w:hint="eastAsia" w:ascii="Times New Roman" w:hAnsi="Times New Roman" w:cs="Times New Roman"/>
          <w:kern w:val="0"/>
          <w:sz w:val="24"/>
        </w:rPr>
        <w:t>采购人在成交人</w:t>
      </w:r>
      <w:r>
        <w:rPr>
          <w:rFonts w:ascii="Times New Roman" w:hAnsi="Times New Roman" w:cs="Times New Roman"/>
          <w:kern w:val="0"/>
          <w:sz w:val="24"/>
        </w:rPr>
        <w:t>在不违背</w:t>
      </w:r>
      <w:r>
        <w:rPr>
          <w:rFonts w:hint="eastAsia" w:ascii="Times New Roman" w:hAnsi="Times New Roman" w:cs="Times New Roman"/>
          <w:kern w:val="0"/>
          <w:sz w:val="24"/>
        </w:rPr>
        <w:t>询比文件</w:t>
      </w:r>
      <w:r>
        <w:rPr>
          <w:rFonts w:ascii="Times New Roman" w:hAnsi="Times New Roman" w:cs="Times New Roman"/>
          <w:kern w:val="0"/>
          <w:sz w:val="24"/>
        </w:rPr>
        <w:t>内容和</w:t>
      </w:r>
      <w:r>
        <w:rPr>
          <w:rFonts w:hint="eastAsia" w:ascii="Times New Roman" w:hAnsi="Times New Roman" w:cs="Times New Roman"/>
          <w:kern w:val="0"/>
          <w:sz w:val="24"/>
        </w:rPr>
        <w:t>响应文件</w:t>
      </w:r>
      <w:r>
        <w:rPr>
          <w:rFonts w:ascii="Times New Roman" w:hAnsi="Times New Roman" w:cs="Times New Roman"/>
          <w:kern w:val="0"/>
          <w:sz w:val="24"/>
        </w:rPr>
        <w:t>承诺的条件下友好协商签订。</w:t>
      </w:r>
    </w:p>
    <w:p w14:paraId="441E4E83">
      <w:pP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br w:type="page"/>
      </w:r>
    </w:p>
    <w:bookmarkEnd w:id="222"/>
    <w:bookmarkEnd w:id="223"/>
    <w:bookmarkEnd w:id="224"/>
    <w:bookmarkEnd w:id="225"/>
    <w:bookmarkEnd w:id="226"/>
    <w:bookmarkEnd w:id="227"/>
    <w:bookmarkEnd w:id="228"/>
    <w:bookmarkEnd w:id="229"/>
    <w:p w14:paraId="59B6CC2F">
      <w:pPr>
        <w:pStyle w:val="2"/>
        <w:jc w:val="center"/>
        <w:rPr>
          <w:rFonts w:hint="eastAsia" w:ascii="黑体" w:hAnsi="黑体" w:eastAsia="黑体"/>
          <w:sz w:val="32"/>
          <w:szCs w:val="32"/>
        </w:rPr>
      </w:pPr>
      <w:bookmarkStart w:id="247" w:name="_Toc204594026"/>
      <w:r>
        <w:rPr>
          <w:rFonts w:hint="eastAsia" w:ascii="黑体" w:hAnsi="黑体" w:eastAsia="黑体"/>
          <w:sz w:val="32"/>
          <w:szCs w:val="32"/>
        </w:rPr>
        <w:t>第五章 采购需求</w:t>
      </w:r>
      <w:bookmarkEnd w:id="247"/>
    </w:p>
    <w:p w14:paraId="54C403AF">
      <w:pPr>
        <w:pStyle w:val="66"/>
        <w:rPr>
          <w:rFonts w:ascii="Cambria" w:hAnsi="Cambria"/>
        </w:rPr>
      </w:pPr>
      <w:r>
        <w:rPr>
          <w:rFonts w:hint="eastAsia" w:ascii="宋体" w:hAnsi="宋体" w:eastAsia="宋体" w:cs="宋体"/>
        </w:rPr>
        <w:t>一、采购清单</w:t>
      </w:r>
    </w:p>
    <w:tbl>
      <w:tblPr>
        <w:tblStyle w:val="29"/>
        <w:tblW w:w="5000" w:type="pct"/>
        <w:tblInd w:w="0" w:type="dxa"/>
        <w:tblLayout w:type="fixed"/>
        <w:tblCellMar>
          <w:top w:w="0" w:type="dxa"/>
          <w:left w:w="108" w:type="dxa"/>
          <w:bottom w:w="0" w:type="dxa"/>
          <w:right w:w="108" w:type="dxa"/>
        </w:tblCellMar>
      </w:tblPr>
      <w:tblGrid>
        <w:gridCol w:w="1062"/>
        <w:gridCol w:w="1169"/>
        <w:gridCol w:w="1099"/>
        <w:gridCol w:w="913"/>
        <w:gridCol w:w="1111"/>
        <w:gridCol w:w="1333"/>
        <w:gridCol w:w="236"/>
        <w:gridCol w:w="498"/>
        <w:gridCol w:w="312"/>
        <w:gridCol w:w="334"/>
        <w:gridCol w:w="401"/>
        <w:gridCol w:w="60"/>
      </w:tblGrid>
      <w:tr w14:paraId="519DA7D2">
        <w:tblPrEx>
          <w:tblCellMar>
            <w:top w:w="0" w:type="dxa"/>
            <w:left w:w="108" w:type="dxa"/>
            <w:bottom w:w="0" w:type="dxa"/>
            <w:right w:w="108" w:type="dxa"/>
          </w:tblCellMar>
        </w:tblPrEx>
        <w:trPr>
          <w:gridAfter w:val="1"/>
          <w:wAfter w:w="35" w:type="pct"/>
          <w:trHeight w:val="780" w:hRule="atLeast"/>
        </w:trPr>
        <w:tc>
          <w:tcPr>
            <w:tcW w:w="4351" w:type="pct"/>
            <w:gridSpan w:val="8"/>
            <w:tcBorders>
              <w:top w:val="nil"/>
              <w:left w:val="nil"/>
              <w:bottom w:val="nil"/>
              <w:right w:val="nil"/>
            </w:tcBorders>
            <w:shd w:val="clear" w:color="auto" w:fill="auto"/>
            <w:noWrap/>
            <w:vAlign w:val="center"/>
          </w:tcPr>
          <w:p w14:paraId="7ECE3DE4">
            <w:pPr>
              <w:widowControl/>
              <w:jc w:val="center"/>
              <w:textAlignment w:val="center"/>
              <w:rPr>
                <w:rFonts w:hint="eastAsia" w:ascii="黑体" w:hAnsi="宋体" w:eastAsia="黑体" w:cs="黑体"/>
                <w:sz w:val="36"/>
                <w:szCs w:val="36"/>
              </w:rPr>
            </w:pPr>
            <w:bookmarkStart w:id="248" w:name="OLE_LINK2"/>
            <w:r>
              <w:rPr>
                <w:rFonts w:hint="eastAsia" w:ascii="黑体" w:hAnsi="宋体" w:eastAsia="黑体" w:cs="黑体"/>
                <w:kern w:val="0"/>
                <w:sz w:val="36"/>
                <w:szCs w:val="36"/>
                <w:lang w:bidi="ar"/>
              </w:rPr>
              <w:t>物资采购清单</w:t>
            </w:r>
          </w:p>
        </w:tc>
        <w:tc>
          <w:tcPr>
            <w:tcW w:w="614" w:type="pct"/>
            <w:gridSpan w:val="3"/>
            <w:tcBorders>
              <w:top w:val="nil"/>
              <w:left w:val="nil"/>
              <w:bottom w:val="nil"/>
              <w:right w:val="nil"/>
            </w:tcBorders>
            <w:shd w:val="clear" w:color="auto" w:fill="auto"/>
            <w:noWrap/>
            <w:vAlign w:val="center"/>
          </w:tcPr>
          <w:p w14:paraId="4929548E">
            <w:pPr>
              <w:widowControl/>
              <w:jc w:val="center"/>
              <w:textAlignment w:val="center"/>
              <w:rPr>
                <w:rFonts w:hint="eastAsia" w:ascii="黑体" w:hAnsi="宋体" w:eastAsia="黑体" w:cs="黑体"/>
                <w:kern w:val="0"/>
                <w:sz w:val="36"/>
                <w:szCs w:val="36"/>
                <w:lang w:bidi="ar"/>
              </w:rPr>
            </w:pPr>
          </w:p>
        </w:tc>
      </w:tr>
      <w:tr w14:paraId="0A91CFC9">
        <w:tblPrEx>
          <w:tblCellMar>
            <w:top w:w="0" w:type="dxa"/>
            <w:left w:w="108" w:type="dxa"/>
            <w:bottom w:w="0" w:type="dxa"/>
            <w:right w:w="108" w:type="dxa"/>
          </w:tblCellMar>
        </w:tblPrEx>
        <w:trPr>
          <w:gridAfter w:val="2"/>
          <w:wAfter w:w="270" w:type="pct"/>
          <w:trHeight w:val="1387"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1422">
            <w:pPr>
              <w:widowControl/>
              <w:jc w:val="center"/>
              <w:textAlignment w:val="center"/>
              <w:rPr>
                <w:rFonts w:hint="eastAsia" w:ascii="黑体" w:hAnsi="宋体" w:eastAsia="黑体" w:cs="黑体"/>
                <w:b/>
                <w:bCs/>
                <w:sz w:val="22"/>
                <w:szCs w:val="22"/>
              </w:rPr>
            </w:pPr>
            <w:r>
              <w:rPr>
                <w:rFonts w:hint="eastAsia" w:ascii="黑体" w:hAnsi="宋体" w:eastAsia="黑体" w:cs="黑体"/>
                <w:b/>
                <w:bCs/>
                <w:kern w:val="0"/>
                <w:sz w:val="22"/>
                <w:szCs w:val="22"/>
                <w:lang w:bidi="ar"/>
              </w:rPr>
              <w:t>名称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24F6">
            <w:pPr>
              <w:widowControl/>
              <w:jc w:val="center"/>
              <w:textAlignment w:val="center"/>
              <w:rPr>
                <w:rFonts w:hint="eastAsia" w:ascii="黑体" w:hAnsi="宋体" w:eastAsia="黑体" w:cs="黑体"/>
                <w:b/>
                <w:bCs/>
                <w:sz w:val="22"/>
                <w:szCs w:val="22"/>
              </w:rPr>
            </w:pPr>
            <w:r>
              <w:rPr>
                <w:rFonts w:hint="eastAsia" w:ascii="黑体" w:hAnsi="宋体" w:eastAsia="黑体" w:cs="黑体"/>
                <w:b/>
                <w:bCs/>
                <w:kern w:val="0"/>
                <w:sz w:val="22"/>
                <w:szCs w:val="22"/>
                <w:lang w:bidi="ar"/>
              </w:rPr>
              <w:t>品牌</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A537">
            <w:pPr>
              <w:widowControl/>
              <w:jc w:val="center"/>
              <w:textAlignment w:val="center"/>
              <w:rPr>
                <w:rFonts w:hint="eastAsia" w:ascii="黑体" w:hAnsi="宋体" w:eastAsia="黑体" w:cs="黑体"/>
                <w:b/>
                <w:bCs/>
                <w:sz w:val="22"/>
                <w:szCs w:val="22"/>
              </w:rPr>
            </w:pPr>
            <w:r>
              <w:rPr>
                <w:rFonts w:hint="eastAsia" w:ascii="黑体" w:hAnsi="宋体" w:eastAsia="黑体" w:cs="黑体"/>
                <w:b/>
                <w:bCs/>
                <w:kern w:val="0"/>
                <w:sz w:val="22"/>
                <w:szCs w:val="22"/>
                <w:lang w:bidi="ar"/>
              </w:rPr>
              <w:t>型号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237F">
            <w:pPr>
              <w:widowControl/>
              <w:jc w:val="center"/>
              <w:textAlignment w:val="center"/>
              <w:rPr>
                <w:rFonts w:hint="eastAsia" w:ascii="黑体" w:hAnsi="宋体" w:eastAsia="黑体" w:cs="黑体"/>
                <w:b/>
                <w:bCs/>
                <w:sz w:val="22"/>
                <w:szCs w:val="22"/>
              </w:rPr>
            </w:pPr>
            <w:r>
              <w:rPr>
                <w:rFonts w:hint="eastAsia" w:ascii="黑体" w:hAnsi="宋体" w:eastAsia="黑体" w:cs="黑体"/>
                <w:b/>
                <w:bCs/>
                <w:kern w:val="0"/>
                <w:sz w:val="22"/>
                <w:szCs w:val="22"/>
                <w:lang w:bidi="ar"/>
              </w:rPr>
              <w:t>单位</w:t>
            </w:r>
          </w:p>
        </w:tc>
        <w:tc>
          <w:tcPr>
            <w:tcW w:w="652" w:type="pct"/>
            <w:tcBorders>
              <w:top w:val="single" w:color="000000" w:sz="4" w:space="0"/>
              <w:left w:val="single" w:color="000000" w:sz="4" w:space="0"/>
              <w:bottom w:val="nil"/>
              <w:right w:val="single" w:color="000000" w:sz="4" w:space="0"/>
            </w:tcBorders>
            <w:shd w:val="clear" w:color="auto" w:fill="auto"/>
            <w:vAlign w:val="center"/>
          </w:tcPr>
          <w:p w14:paraId="5BA883FF">
            <w:pPr>
              <w:widowControl/>
              <w:jc w:val="center"/>
              <w:textAlignment w:val="center"/>
              <w:rPr>
                <w:rFonts w:hint="eastAsia" w:ascii="黑体" w:hAnsi="宋体" w:eastAsia="黑体" w:cs="黑体"/>
                <w:b/>
                <w:bCs/>
                <w:sz w:val="22"/>
                <w:szCs w:val="22"/>
              </w:rPr>
            </w:pPr>
            <w:r>
              <w:rPr>
                <w:rFonts w:hint="eastAsia" w:ascii="黑体" w:hAnsi="宋体" w:eastAsia="黑体" w:cs="黑体"/>
                <w:b/>
                <w:bCs/>
                <w:sz w:val="22"/>
                <w:szCs w:val="22"/>
              </w:rPr>
              <w:t>数量（暂定）</w:t>
            </w:r>
          </w:p>
        </w:tc>
        <w:tc>
          <w:tcPr>
            <w:tcW w:w="782" w:type="pct"/>
            <w:tcBorders>
              <w:top w:val="single" w:color="000000" w:sz="4" w:space="0"/>
              <w:left w:val="single" w:color="000000" w:sz="4" w:space="0"/>
              <w:bottom w:val="nil"/>
              <w:right w:val="single" w:color="000000" w:sz="4" w:space="0"/>
            </w:tcBorders>
            <w:shd w:val="clear" w:color="auto" w:fill="auto"/>
            <w:vAlign w:val="center"/>
          </w:tcPr>
          <w:p w14:paraId="6ADCA4B3">
            <w:pPr>
              <w:widowControl/>
              <w:jc w:val="center"/>
              <w:textAlignment w:val="center"/>
              <w:rPr>
                <w:rFonts w:hint="eastAsia" w:ascii="黑体" w:hAnsi="宋体" w:eastAsia="黑体" w:cs="黑体"/>
                <w:b/>
                <w:bCs/>
                <w:sz w:val="22"/>
                <w:szCs w:val="22"/>
              </w:rPr>
            </w:pPr>
            <w:r>
              <w:rPr>
                <w:rFonts w:hint="eastAsia" w:ascii="黑体" w:hAnsi="宋体" w:eastAsia="黑体" w:cs="黑体"/>
                <w:b/>
                <w:bCs/>
                <w:kern w:val="0"/>
                <w:sz w:val="22"/>
                <w:szCs w:val="22"/>
                <w:lang w:bidi="ar"/>
              </w:rPr>
              <w:t>单价限价（含税）</w:t>
            </w:r>
          </w:p>
        </w:tc>
        <w:tc>
          <w:tcPr>
            <w:tcW w:w="806" w:type="pct"/>
            <w:gridSpan w:val="4"/>
            <w:tcBorders>
              <w:top w:val="single" w:color="000000" w:sz="4" w:space="0"/>
              <w:left w:val="single" w:color="000000" w:sz="4" w:space="0"/>
              <w:bottom w:val="nil"/>
              <w:right w:val="single" w:color="000000" w:sz="4" w:space="0"/>
            </w:tcBorders>
            <w:shd w:val="clear" w:color="auto" w:fill="auto"/>
            <w:vAlign w:val="center"/>
          </w:tcPr>
          <w:p w14:paraId="2DA769C7">
            <w:pPr>
              <w:widowControl/>
              <w:jc w:val="center"/>
              <w:textAlignment w:val="center"/>
              <w:rPr>
                <w:rFonts w:hint="eastAsia" w:ascii="黑体" w:hAnsi="宋体" w:eastAsia="黑体" w:cs="黑体"/>
                <w:b/>
                <w:bCs/>
                <w:sz w:val="22"/>
                <w:szCs w:val="22"/>
              </w:rPr>
            </w:pPr>
            <w:r>
              <w:rPr>
                <w:rFonts w:hint="eastAsia" w:ascii="黑体" w:hAnsi="宋体" w:eastAsia="黑体" w:cs="黑体"/>
                <w:b/>
                <w:bCs/>
                <w:kern w:val="0"/>
                <w:sz w:val="22"/>
                <w:szCs w:val="22"/>
                <w:lang w:bidi="ar"/>
              </w:rPr>
              <w:t>备注</w:t>
            </w:r>
          </w:p>
        </w:tc>
      </w:tr>
      <w:tr w14:paraId="3C45ABC3">
        <w:tblPrEx>
          <w:tblCellMar>
            <w:top w:w="0" w:type="dxa"/>
            <w:left w:w="108" w:type="dxa"/>
            <w:bottom w:w="0" w:type="dxa"/>
            <w:right w:w="108" w:type="dxa"/>
          </w:tblCellMar>
        </w:tblPrEx>
        <w:trPr>
          <w:gridAfter w:val="2"/>
          <w:wAfter w:w="270" w:type="pct"/>
          <w:trHeight w:val="668" w:hRule="atLeast"/>
        </w:trPr>
        <w:tc>
          <w:tcPr>
            <w:tcW w:w="623" w:type="pct"/>
            <w:vMerge w:val="restart"/>
            <w:tcBorders>
              <w:top w:val="single" w:color="000000" w:sz="4" w:space="0"/>
              <w:left w:val="single" w:color="000000" w:sz="4" w:space="0"/>
              <w:right w:val="single" w:color="000000" w:sz="4" w:space="0"/>
            </w:tcBorders>
            <w:shd w:val="clear" w:color="auto" w:fill="auto"/>
            <w:vAlign w:val="center"/>
          </w:tcPr>
          <w:p w14:paraId="16DD195B">
            <w:pPr>
              <w:widowControl/>
              <w:jc w:val="center"/>
              <w:textAlignment w:val="center"/>
              <w:rPr>
                <w:rFonts w:hint="eastAsia" w:ascii="宋体" w:hAnsi="宋体" w:eastAsia="宋体" w:cs="宋体"/>
                <w:sz w:val="22"/>
                <w:szCs w:val="22"/>
              </w:rPr>
            </w:pPr>
            <w:r>
              <w:rPr>
                <w:rFonts w:hint="eastAsia" w:ascii="宋体" w:hAnsi="宋体" w:eastAsia="宋体" w:cs="宋体"/>
                <w:sz w:val="22"/>
                <w:szCs w:val="22"/>
              </w:rPr>
              <w:t>出租车改漆采购项目</w:t>
            </w:r>
          </w:p>
        </w:tc>
        <w:tc>
          <w:tcPr>
            <w:tcW w:w="686" w:type="pct"/>
            <w:tcBorders>
              <w:top w:val="single" w:color="000000" w:sz="4" w:space="0"/>
              <w:left w:val="single" w:color="000000" w:sz="4" w:space="0"/>
              <w:bottom w:val="single" w:color="auto" w:sz="4" w:space="0"/>
              <w:right w:val="single" w:color="000000" w:sz="4" w:space="0"/>
            </w:tcBorders>
            <w:shd w:val="clear" w:color="auto" w:fill="auto"/>
            <w:vAlign w:val="center"/>
          </w:tcPr>
          <w:p w14:paraId="3B22688A">
            <w:pPr>
              <w:widowControl/>
              <w:jc w:val="center"/>
              <w:textAlignment w:val="center"/>
              <w:rPr>
                <w:rFonts w:ascii="Times New Roman" w:hAnsi="Times New Roman" w:eastAsia="宋体" w:cs="Times New Roman"/>
                <w:sz w:val="22"/>
                <w:szCs w:val="22"/>
              </w:rPr>
            </w:pPr>
            <w:r>
              <w:rPr>
                <w:rFonts w:hint="eastAsia" w:ascii="Times New Roman" w:hAnsi="Times New Roman" w:eastAsia="宋体" w:cs="Times New Roman"/>
                <w:sz w:val="22"/>
                <w:szCs w:val="22"/>
              </w:rPr>
              <w:t>江淮</w:t>
            </w:r>
          </w:p>
        </w:tc>
        <w:tc>
          <w:tcPr>
            <w:tcW w:w="645" w:type="pct"/>
            <w:tcBorders>
              <w:top w:val="single" w:color="000000" w:sz="4" w:space="0"/>
              <w:left w:val="single" w:color="000000" w:sz="4" w:space="0"/>
              <w:bottom w:val="single" w:color="auto" w:sz="4" w:space="0"/>
              <w:right w:val="single" w:color="000000" w:sz="4" w:space="0"/>
            </w:tcBorders>
            <w:shd w:val="clear" w:color="auto" w:fill="auto"/>
            <w:vAlign w:val="center"/>
          </w:tcPr>
          <w:p w14:paraId="32113D9E">
            <w:pPr>
              <w:widowControl/>
              <w:jc w:val="center"/>
              <w:textAlignment w:val="center"/>
              <w:rPr>
                <w:rFonts w:ascii="Times New Roman" w:hAnsi="Times New Roman" w:eastAsia="宋体" w:cs="Times New Roman"/>
                <w:sz w:val="22"/>
                <w:szCs w:val="22"/>
              </w:rPr>
            </w:pPr>
            <w:r>
              <w:rPr>
                <w:rFonts w:hint="eastAsia" w:ascii="Times New Roman" w:hAnsi="Times New Roman" w:eastAsia="宋体" w:cs="Times New Roman"/>
                <w:sz w:val="22"/>
                <w:szCs w:val="22"/>
              </w:rPr>
              <w:t>爱跑</w:t>
            </w:r>
          </w:p>
        </w:tc>
        <w:tc>
          <w:tcPr>
            <w:tcW w:w="536" w:type="pct"/>
            <w:tcBorders>
              <w:top w:val="single" w:color="000000" w:sz="4" w:space="0"/>
              <w:left w:val="single" w:color="000000" w:sz="4" w:space="0"/>
              <w:bottom w:val="single" w:color="auto" w:sz="4" w:space="0"/>
              <w:right w:val="single" w:color="000000" w:sz="4" w:space="0"/>
            </w:tcBorders>
            <w:shd w:val="clear" w:color="auto" w:fill="auto"/>
            <w:vAlign w:val="center"/>
          </w:tcPr>
          <w:p w14:paraId="5A7594D0">
            <w:pPr>
              <w:widowControl/>
              <w:jc w:val="center"/>
              <w:textAlignment w:val="center"/>
              <w:rPr>
                <w:rFonts w:hint="eastAsia" w:ascii="宋体" w:hAnsi="宋体" w:eastAsia="宋体" w:cs="宋体"/>
                <w:sz w:val="22"/>
                <w:szCs w:val="22"/>
              </w:rPr>
            </w:pPr>
            <w:r>
              <w:rPr>
                <w:rFonts w:hint="eastAsia" w:ascii="宋体" w:hAnsi="宋体" w:eastAsia="宋体" w:cs="宋体"/>
                <w:sz w:val="22"/>
                <w:szCs w:val="22"/>
              </w:rPr>
              <w:t>辆</w:t>
            </w:r>
          </w:p>
        </w:tc>
        <w:tc>
          <w:tcPr>
            <w:tcW w:w="652" w:type="pct"/>
            <w:vMerge w:val="restart"/>
            <w:tcBorders>
              <w:top w:val="single" w:color="000000" w:sz="4" w:space="0"/>
              <w:left w:val="single" w:color="000000" w:sz="4" w:space="0"/>
              <w:right w:val="single" w:color="000000" w:sz="4" w:space="0"/>
            </w:tcBorders>
            <w:shd w:val="clear" w:color="auto" w:fill="auto"/>
            <w:vAlign w:val="center"/>
          </w:tcPr>
          <w:p w14:paraId="6BDAD52A">
            <w:pPr>
              <w:jc w:val="center"/>
              <w:textAlignment w:val="center"/>
              <w:rPr>
                <w:rFonts w:hint="eastAsia" w:ascii="宋体" w:hAnsi="宋体" w:eastAsia="宋体" w:cs="宋体"/>
                <w:sz w:val="22"/>
                <w:szCs w:val="22"/>
              </w:rPr>
            </w:pPr>
            <w:r>
              <w:rPr>
                <w:rFonts w:hint="eastAsia" w:ascii="宋体" w:hAnsi="宋体" w:eastAsia="宋体" w:cs="宋体"/>
                <w:sz w:val="22"/>
                <w:szCs w:val="22"/>
              </w:rPr>
              <w:t>据实</w:t>
            </w:r>
          </w:p>
          <w:p w14:paraId="453091C9">
            <w:pPr>
              <w:jc w:val="center"/>
              <w:textAlignment w:val="center"/>
              <w:rPr>
                <w:rFonts w:hint="eastAsia" w:ascii="宋体" w:hAnsi="宋体" w:eastAsia="宋体" w:cs="宋体"/>
                <w:sz w:val="22"/>
                <w:szCs w:val="22"/>
              </w:rPr>
            </w:pPr>
            <w:r>
              <w:rPr>
                <w:rFonts w:hint="eastAsia" w:ascii="宋体" w:hAnsi="宋体" w:eastAsia="宋体" w:cs="宋体"/>
                <w:sz w:val="22"/>
                <w:szCs w:val="22"/>
              </w:rPr>
              <w:t>结算</w:t>
            </w:r>
          </w:p>
        </w:tc>
        <w:tc>
          <w:tcPr>
            <w:tcW w:w="782" w:type="pct"/>
            <w:tcBorders>
              <w:top w:val="single" w:color="000000" w:sz="4" w:space="0"/>
              <w:left w:val="single" w:color="000000" w:sz="4" w:space="0"/>
              <w:bottom w:val="single" w:color="auto" w:sz="4" w:space="0"/>
              <w:right w:val="single" w:color="000000" w:sz="4" w:space="0"/>
            </w:tcBorders>
            <w:shd w:val="clear" w:color="auto" w:fill="auto"/>
            <w:vAlign w:val="center"/>
          </w:tcPr>
          <w:p w14:paraId="7355AAA7">
            <w:pPr>
              <w:jc w:val="center"/>
              <w:textAlignment w:val="center"/>
              <w:rPr>
                <w:rFonts w:hint="eastAsia" w:ascii="宋体" w:hAnsi="宋体" w:eastAsia="宋体" w:cs="宋体"/>
                <w:sz w:val="22"/>
                <w:szCs w:val="22"/>
              </w:rPr>
            </w:pPr>
            <w:r>
              <w:rPr>
                <w:rFonts w:hint="eastAsia" w:ascii="宋体" w:hAnsi="宋体" w:eastAsia="宋体" w:cs="宋体"/>
                <w:sz w:val="22"/>
                <w:szCs w:val="22"/>
              </w:rPr>
              <w:t>1200元</w:t>
            </w:r>
          </w:p>
        </w:tc>
        <w:tc>
          <w:tcPr>
            <w:tcW w:w="806"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3880B251">
            <w:pPr>
              <w:jc w:val="center"/>
              <w:rPr>
                <w:rFonts w:hint="eastAsia" w:ascii="宋体" w:hAnsi="宋体" w:eastAsia="宋体" w:cs="宋体"/>
                <w:sz w:val="22"/>
                <w:szCs w:val="22"/>
              </w:rPr>
            </w:pPr>
          </w:p>
        </w:tc>
      </w:tr>
      <w:tr w14:paraId="33643210">
        <w:tblPrEx>
          <w:tblCellMar>
            <w:top w:w="0" w:type="dxa"/>
            <w:left w:w="108" w:type="dxa"/>
            <w:bottom w:w="0" w:type="dxa"/>
            <w:right w:w="108" w:type="dxa"/>
          </w:tblCellMar>
        </w:tblPrEx>
        <w:trPr>
          <w:gridAfter w:val="2"/>
          <w:wAfter w:w="270" w:type="pct"/>
          <w:trHeight w:val="470" w:hRule="atLeast"/>
        </w:trPr>
        <w:tc>
          <w:tcPr>
            <w:tcW w:w="623" w:type="pct"/>
            <w:vMerge w:val="continue"/>
            <w:tcBorders>
              <w:left w:val="single" w:color="000000" w:sz="4" w:space="0"/>
              <w:bottom w:val="single" w:color="000000" w:sz="4" w:space="0"/>
              <w:right w:val="single" w:color="000000" w:sz="4" w:space="0"/>
            </w:tcBorders>
            <w:shd w:val="clear" w:color="auto" w:fill="auto"/>
            <w:vAlign w:val="center"/>
          </w:tcPr>
          <w:p w14:paraId="57DB259D">
            <w:pPr>
              <w:jc w:val="center"/>
              <w:textAlignment w:val="center"/>
              <w:rPr>
                <w:rFonts w:hint="eastAsia" w:ascii="宋体" w:hAnsi="宋体" w:eastAsia="宋体" w:cs="宋体"/>
                <w:sz w:val="22"/>
                <w:szCs w:val="22"/>
              </w:rPr>
            </w:pPr>
          </w:p>
        </w:tc>
        <w:tc>
          <w:tcPr>
            <w:tcW w:w="686" w:type="pct"/>
            <w:tcBorders>
              <w:top w:val="single" w:color="auto" w:sz="4" w:space="0"/>
              <w:left w:val="single" w:color="000000" w:sz="4" w:space="0"/>
              <w:bottom w:val="single" w:color="000000" w:sz="4" w:space="0"/>
              <w:right w:val="single" w:color="000000" w:sz="4" w:space="0"/>
            </w:tcBorders>
            <w:shd w:val="clear" w:color="auto" w:fill="auto"/>
            <w:vAlign w:val="center"/>
          </w:tcPr>
          <w:p w14:paraId="0D3EE6B5">
            <w:pPr>
              <w:jc w:val="center"/>
              <w:textAlignment w:val="center"/>
              <w:rPr>
                <w:rFonts w:ascii="Times New Roman" w:hAnsi="Times New Roman" w:eastAsia="宋体" w:cs="Times New Roman"/>
                <w:sz w:val="22"/>
                <w:szCs w:val="22"/>
              </w:rPr>
            </w:pPr>
            <w:r>
              <w:rPr>
                <w:rFonts w:hint="eastAsia" w:ascii="Times New Roman" w:hAnsi="Times New Roman" w:eastAsia="宋体" w:cs="Times New Roman"/>
                <w:sz w:val="22"/>
                <w:szCs w:val="22"/>
              </w:rPr>
              <w:t>奇瑞</w:t>
            </w:r>
          </w:p>
        </w:tc>
        <w:tc>
          <w:tcPr>
            <w:tcW w:w="645" w:type="pct"/>
            <w:tcBorders>
              <w:top w:val="single" w:color="auto" w:sz="4" w:space="0"/>
              <w:left w:val="single" w:color="000000" w:sz="4" w:space="0"/>
              <w:bottom w:val="single" w:color="000000" w:sz="4" w:space="0"/>
              <w:right w:val="single" w:color="000000" w:sz="4" w:space="0"/>
            </w:tcBorders>
            <w:shd w:val="clear" w:color="auto" w:fill="auto"/>
            <w:vAlign w:val="center"/>
          </w:tcPr>
          <w:p w14:paraId="41256C18">
            <w:pPr>
              <w:jc w:val="center"/>
              <w:textAlignment w:val="center"/>
              <w:rPr>
                <w:rFonts w:ascii="Times New Roman" w:hAnsi="Times New Roman" w:eastAsia="宋体" w:cs="Times New Roman"/>
                <w:sz w:val="22"/>
                <w:szCs w:val="22"/>
              </w:rPr>
            </w:pPr>
            <w:r>
              <w:rPr>
                <w:rFonts w:hint="eastAsia" w:ascii="Times New Roman" w:hAnsi="Times New Roman" w:eastAsia="宋体" w:cs="Times New Roman"/>
                <w:sz w:val="22"/>
                <w:szCs w:val="22"/>
              </w:rPr>
              <w:t>艾瑞泽E</w:t>
            </w:r>
          </w:p>
        </w:tc>
        <w:tc>
          <w:tcPr>
            <w:tcW w:w="536" w:type="pct"/>
            <w:tcBorders>
              <w:top w:val="single" w:color="auto" w:sz="4" w:space="0"/>
              <w:left w:val="single" w:color="000000" w:sz="4" w:space="0"/>
              <w:bottom w:val="single" w:color="000000" w:sz="4" w:space="0"/>
              <w:right w:val="single" w:color="000000" w:sz="4" w:space="0"/>
            </w:tcBorders>
            <w:shd w:val="clear" w:color="auto" w:fill="auto"/>
            <w:vAlign w:val="center"/>
          </w:tcPr>
          <w:p w14:paraId="53B0B35A">
            <w:pPr>
              <w:jc w:val="center"/>
              <w:textAlignment w:val="center"/>
              <w:rPr>
                <w:rFonts w:hint="eastAsia" w:ascii="宋体" w:hAnsi="宋体" w:eastAsia="宋体" w:cs="宋体"/>
                <w:sz w:val="22"/>
                <w:szCs w:val="22"/>
              </w:rPr>
            </w:pPr>
            <w:r>
              <w:rPr>
                <w:rFonts w:hint="eastAsia" w:ascii="宋体" w:hAnsi="宋体" w:eastAsia="宋体" w:cs="宋体"/>
                <w:sz w:val="22"/>
                <w:szCs w:val="22"/>
              </w:rPr>
              <w:t>辆</w:t>
            </w:r>
          </w:p>
        </w:tc>
        <w:tc>
          <w:tcPr>
            <w:tcW w:w="652" w:type="pct"/>
            <w:vMerge w:val="continue"/>
            <w:tcBorders>
              <w:left w:val="single" w:color="000000" w:sz="4" w:space="0"/>
              <w:bottom w:val="single" w:color="000000" w:sz="4" w:space="0"/>
              <w:right w:val="single" w:color="000000" w:sz="4" w:space="0"/>
            </w:tcBorders>
            <w:shd w:val="clear" w:color="auto" w:fill="auto"/>
            <w:vAlign w:val="center"/>
          </w:tcPr>
          <w:p w14:paraId="3CDD6D58">
            <w:pPr>
              <w:jc w:val="center"/>
              <w:textAlignment w:val="center"/>
              <w:rPr>
                <w:rFonts w:hint="eastAsia" w:ascii="宋体" w:hAnsi="宋体" w:eastAsia="宋体" w:cs="宋体"/>
                <w:sz w:val="22"/>
                <w:szCs w:val="22"/>
              </w:rPr>
            </w:pPr>
          </w:p>
        </w:tc>
        <w:tc>
          <w:tcPr>
            <w:tcW w:w="782" w:type="pct"/>
            <w:tcBorders>
              <w:top w:val="single" w:color="auto" w:sz="4" w:space="0"/>
              <w:left w:val="single" w:color="000000" w:sz="4" w:space="0"/>
              <w:bottom w:val="single" w:color="000000" w:sz="4" w:space="0"/>
              <w:right w:val="single" w:color="000000" w:sz="4" w:space="0"/>
            </w:tcBorders>
            <w:shd w:val="clear" w:color="auto" w:fill="auto"/>
            <w:vAlign w:val="center"/>
          </w:tcPr>
          <w:p w14:paraId="15B8A728">
            <w:pPr>
              <w:jc w:val="center"/>
              <w:textAlignment w:val="center"/>
              <w:rPr>
                <w:rFonts w:hint="eastAsia" w:ascii="宋体" w:hAnsi="宋体" w:eastAsia="宋体" w:cs="宋体"/>
                <w:sz w:val="22"/>
                <w:szCs w:val="22"/>
              </w:rPr>
            </w:pPr>
            <w:r>
              <w:rPr>
                <w:rFonts w:hint="eastAsia" w:ascii="宋体" w:hAnsi="宋体" w:eastAsia="宋体" w:cs="宋体"/>
                <w:sz w:val="22"/>
                <w:szCs w:val="22"/>
              </w:rPr>
              <w:t>600元</w:t>
            </w:r>
          </w:p>
        </w:tc>
        <w:tc>
          <w:tcPr>
            <w:tcW w:w="806" w:type="pct"/>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67F1695E">
            <w:pPr>
              <w:jc w:val="center"/>
              <w:rPr>
                <w:rFonts w:hint="eastAsia" w:ascii="宋体" w:hAnsi="宋体" w:eastAsia="宋体" w:cs="宋体"/>
                <w:sz w:val="22"/>
                <w:szCs w:val="22"/>
              </w:rPr>
            </w:pPr>
          </w:p>
        </w:tc>
      </w:tr>
      <w:tr w14:paraId="2BA6F3FE">
        <w:tblPrEx>
          <w:tblCellMar>
            <w:top w:w="0" w:type="dxa"/>
            <w:left w:w="108" w:type="dxa"/>
            <w:bottom w:w="0" w:type="dxa"/>
            <w:right w:w="108" w:type="dxa"/>
          </w:tblCellMar>
        </w:tblPrEx>
        <w:trPr>
          <w:trHeight w:val="285" w:hRule="atLeast"/>
        </w:trPr>
        <w:tc>
          <w:tcPr>
            <w:tcW w:w="623" w:type="pct"/>
            <w:tcBorders>
              <w:top w:val="nil"/>
              <w:left w:val="nil"/>
              <w:bottom w:val="nil"/>
              <w:right w:val="nil"/>
            </w:tcBorders>
            <w:shd w:val="clear" w:color="auto" w:fill="auto"/>
            <w:vAlign w:val="center"/>
          </w:tcPr>
          <w:p w14:paraId="25E14D68">
            <w:pPr>
              <w:jc w:val="center"/>
              <w:rPr>
                <w:rFonts w:hint="eastAsia" w:ascii="宋体" w:hAnsi="宋体" w:eastAsia="宋体" w:cs="宋体"/>
                <w:sz w:val="22"/>
                <w:szCs w:val="22"/>
              </w:rPr>
            </w:pPr>
          </w:p>
        </w:tc>
        <w:tc>
          <w:tcPr>
            <w:tcW w:w="686" w:type="pct"/>
            <w:tcBorders>
              <w:top w:val="nil"/>
              <w:left w:val="nil"/>
              <w:bottom w:val="nil"/>
              <w:right w:val="nil"/>
            </w:tcBorders>
            <w:shd w:val="clear" w:color="auto" w:fill="auto"/>
            <w:vAlign w:val="center"/>
          </w:tcPr>
          <w:p w14:paraId="4F634E18">
            <w:pPr>
              <w:rPr>
                <w:rFonts w:hint="eastAsia" w:ascii="宋体" w:hAnsi="宋体" w:eastAsia="宋体" w:cs="宋体"/>
                <w:sz w:val="22"/>
                <w:szCs w:val="22"/>
              </w:rPr>
            </w:pPr>
          </w:p>
        </w:tc>
        <w:tc>
          <w:tcPr>
            <w:tcW w:w="645" w:type="pct"/>
            <w:tcBorders>
              <w:top w:val="nil"/>
              <w:left w:val="nil"/>
              <w:bottom w:val="nil"/>
              <w:right w:val="nil"/>
            </w:tcBorders>
            <w:shd w:val="clear" w:color="auto" w:fill="auto"/>
            <w:vAlign w:val="center"/>
          </w:tcPr>
          <w:p w14:paraId="2FB7DB37">
            <w:pPr>
              <w:jc w:val="center"/>
              <w:rPr>
                <w:rFonts w:ascii="Times New Roman" w:hAnsi="Times New Roman" w:eastAsia="宋体" w:cs="Times New Roman"/>
                <w:sz w:val="22"/>
                <w:szCs w:val="22"/>
              </w:rPr>
            </w:pPr>
          </w:p>
        </w:tc>
        <w:tc>
          <w:tcPr>
            <w:tcW w:w="536" w:type="pct"/>
            <w:tcBorders>
              <w:top w:val="nil"/>
              <w:left w:val="nil"/>
              <w:bottom w:val="nil"/>
              <w:right w:val="nil"/>
            </w:tcBorders>
            <w:shd w:val="clear" w:color="auto" w:fill="auto"/>
            <w:vAlign w:val="center"/>
          </w:tcPr>
          <w:p w14:paraId="3B61A76B">
            <w:pPr>
              <w:jc w:val="center"/>
              <w:rPr>
                <w:rFonts w:hint="eastAsia" w:ascii="宋体" w:hAnsi="宋体" w:eastAsia="宋体" w:cs="宋体"/>
                <w:sz w:val="22"/>
                <w:szCs w:val="22"/>
              </w:rPr>
            </w:pPr>
          </w:p>
        </w:tc>
        <w:tc>
          <w:tcPr>
            <w:tcW w:w="652" w:type="pct"/>
            <w:tcBorders>
              <w:top w:val="nil"/>
              <w:left w:val="nil"/>
              <w:bottom w:val="nil"/>
              <w:right w:val="nil"/>
            </w:tcBorders>
            <w:shd w:val="clear" w:color="auto" w:fill="auto"/>
            <w:vAlign w:val="center"/>
          </w:tcPr>
          <w:p w14:paraId="2C6096EE">
            <w:pPr>
              <w:jc w:val="center"/>
              <w:rPr>
                <w:rFonts w:hint="eastAsia" w:ascii="宋体" w:hAnsi="宋体" w:eastAsia="宋体" w:cs="宋体"/>
                <w:sz w:val="22"/>
                <w:szCs w:val="22"/>
              </w:rPr>
            </w:pPr>
          </w:p>
        </w:tc>
        <w:tc>
          <w:tcPr>
            <w:tcW w:w="782" w:type="pct"/>
            <w:tcBorders>
              <w:top w:val="nil"/>
              <w:left w:val="nil"/>
              <w:bottom w:val="nil"/>
              <w:right w:val="nil"/>
            </w:tcBorders>
            <w:shd w:val="clear" w:color="auto" w:fill="auto"/>
            <w:noWrap/>
            <w:vAlign w:val="center"/>
          </w:tcPr>
          <w:p w14:paraId="108AE0E3">
            <w:pPr>
              <w:rPr>
                <w:rFonts w:hint="eastAsia" w:ascii="宋体" w:hAnsi="宋体" w:eastAsia="宋体" w:cs="宋体"/>
                <w:sz w:val="22"/>
                <w:szCs w:val="22"/>
              </w:rPr>
            </w:pPr>
          </w:p>
        </w:tc>
        <w:tc>
          <w:tcPr>
            <w:tcW w:w="135" w:type="pct"/>
            <w:tcBorders>
              <w:top w:val="nil"/>
              <w:left w:val="nil"/>
              <w:bottom w:val="nil"/>
              <w:right w:val="nil"/>
            </w:tcBorders>
            <w:shd w:val="clear" w:color="auto" w:fill="auto"/>
            <w:vAlign w:val="center"/>
          </w:tcPr>
          <w:p w14:paraId="3AE20F53">
            <w:pPr>
              <w:jc w:val="center"/>
              <w:rPr>
                <w:rFonts w:hint="eastAsia" w:ascii="宋体" w:hAnsi="宋体" w:eastAsia="宋体" w:cs="宋体"/>
                <w:sz w:val="22"/>
                <w:szCs w:val="22"/>
              </w:rPr>
            </w:pPr>
          </w:p>
        </w:tc>
        <w:tc>
          <w:tcPr>
            <w:tcW w:w="475" w:type="pct"/>
            <w:gridSpan w:val="2"/>
            <w:tcBorders>
              <w:top w:val="nil"/>
              <w:left w:val="nil"/>
              <w:bottom w:val="nil"/>
              <w:right w:val="nil"/>
            </w:tcBorders>
            <w:shd w:val="clear" w:color="auto" w:fill="auto"/>
            <w:vAlign w:val="center"/>
          </w:tcPr>
          <w:p w14:paraId="0D72B919">
            <w:pPr>
              <w:jc w:val="center"/>
              <w:rPr>
                <w:rFonts w:hint="eastAsia" w:ascii="宋体" w:hAnsi="宋体" w:eastAsia="宋体" w:cs="宋体"/>
                <w:sz w:val="22"/>
                <w:szCs w:val="22"/>
              </w:rPr>
            </w:pPr>
          </w:p>
        </w:tc>
        <w:tc>
          <w:tcPr>
            <w:tcW w:w="466" w:type="pct"/>
            <w:gridSpan w:val="3"/>
            <w:tcBorders>
              <w:top w:val="nil"/>
              <w:left w:val="nil"/>
              <w:bottom w:val="nil"/>
              <w:right w:val="nil"/>
            </w:tcBorders>
            <w:shd w:val="clear" w:color="auto" w:fill="auto"/>
            <w:vAlign w:val="center"/>
          </w:tcPr>
          <w:p w14:paraId="0533B4AD">
            <w:pPr>
              <w:jc w:val="center"/>
              <w:rPr>
                <w:rFonts w:hint="eastAsia" w:ascii="宋体" w:hAnsi="宋体" w:eastAsia="宋体" w:cs="宋体"/>
                <w:sz w:val="22"/>
                <w:szCs w:val="22"/>
              </w:rPr>
            </w:pPr>
          </w:p>
        </w:tc>
      </w:tr>
      <w:bookmarkEnd w:id="248"/>
    </w:tbl>
    <w:p w14:paraId="3EEB1205">
      <w:pPr>
        <w:pStyle w:val="66"/>
        <w:rPr>
          <w:rFonts w:hint="eastAsia" w:ascii="宋体" w:hAnsi="宋体" w:eastAsia="宋体" w:cs="宋体"/>
          <w:shd w:val="clear" w:color="auto" w:fill="FFFFFF"/>
          <w:lang w:bidi="ar"/>
        </w:rPr>
      </w:pPr>
      <w:r>
        <w:rPr>
          <w:rFonts w:hint="eastAsia" w:ascii="宋体" w:hAnsi="宋体" w:eastAsia="宋体" w:cs="宋体"/>
          <w:shd w:val="clear" w:color="auto" w:fill="FFFFFF"/>
          <w:lang w:bidi="ar"/>
        </w:rPr>
        <w:t>二、车身改漆包括去原厂漆、喷涂防锈底漆、喷涂上蓝</w:t>
      </w:r>
      <w:r>
        <w:rPr>
          <w:rFonts w:hint="eastAsia"/>
          <w:shd w:val="clear" w:color="auto" w:fill="FFFFFF"/>
          <w:lang w:bidi="ar"/>
        </w:rPr>
        <w:t>+</w:t>
      </w:r>
      <w:r>
        <w:rPr>
          <w:rFonts w:hint="eastAsia" w:ascii="宋体" w:hAnsi="宋体" w:eastAsia="宋体" w:cs="宋体"/>
          <w:shd w:val="clear" w:color="auto" w:fill="FFFFFF"/>
          <w:lang w:bidi="ar"/>
        </w:rPr>
        <w:t>下黄面漆、左右前门张贴“亳州公交”字符、</w:t>
      </w:r>
      <w:r>
        <w:rPr>
          <w:rFonts w:hint="eastAsia"/>
          <w:shd w:val="clear" w:color="auto" w:fill="FFFFFF"/>
          <w:lang w:bidi="ar"/>
        </w:rPr>
        <w:t>LOGO</w:t>
      </w:r>
      <w:r>
        <w:rPr>
          <w:rFonts w:hint="eastAsia" w:ascii="宋体" w:hAnsi="宋体" w:eastAsia="宋体" w:cs="宋体"/>
          <w:shd w:val="clear" w:color="auto" w:fill="FFFFFF"/>
          <w:lang w:bidi="ar"/>
        </w:rPr>
        <w:t>、左右后门喷涂</w:t>
      </w:r>
      <w:r>
        <w:rPr>
          <w:rFonts w:hint="eastAsia"/>
          <w:shd w:val="clear" w:color="auto" w:fill="FFFFFF"/>
          <w:lang w:bidi="ar"/>
        </w:rPr>
        <w:t>12328</w:t>
      </w:r>
      <w:r>
        <w:rPr>
          <w:rFonts w:hint="eastAsia" w:ascii="宋体" w:hAnsi="宋体" w:eastAsia="宋体" w:cs="宋体"/>
          <w:shd w:val="clear" w:color="auto" w:fill="FFFFFF"/>
          <w:lang w:bidi="ar"/>
        </w:rPr>
        <w:t>服务热线等工作。（LOGO及字样均由采购方提供）</w:t>
      </w:r>
    </w:p>
    <w:p w14:paraId="5B1F0CE0">
      <w:pPr>
        <w:pStyle w:val="66"/>
        <w:rPr>
          <w:shd w:val="clear" w:color="auto" w:fill="FFFFFF"/>
          <w:lang w:bidi="ar"/>
        </w:rPr>
      </w:pPr>
      <w:r>
        <w:rPr>
          <w:rFonts w:hint="eastAsia" w:ascii="宋体" w:hAnsi="宋体" w:eastAsia="宋体" w:cs="宋体"/>
          <w:shd w:val="clear" w:color="auto" w:fill="FFFFFF"/>
          <w:lang w:bidi="ar"/>
        </w:rPr>
        <w:t>三、供应方应根据甲方要求提供完整的车辆信息，包括车头、铭牌、公里数、整改前和整改后加水印照片。</w:t>
      </w:r>
    </w:p>
    <w:p w14:paraId="513DDD04">
      <w:pPr>
        <w:pStyle w:val="66"/>
        <w:rPr>
          <w:shd w:val="clear" w:color="auto" w:fill="FFFFFF"/>
        </w:rPr>
      </w:pPr>
      <w:r>
        <w:rPr>
          <w:rFonts w:hint="eastAsia" w:ascii="宋体" w:hAnsi="宋体" w:eastAsia="宋体" w:cs="宋体"/>
          <w:shd w:val="clear" w:color="auto" w:fill="FFFFFF"/>
          <w:lang w:bidi="ar"/>
        </w:rPr>
        <w:t>四、在质保期内，车辆所施工部分包含：漆面、</w:t>
      </w:r>
      <w:r>
        <w:rPr>
          <w:rFonts w:hint="eastAsia"/>
          <w:shd w:val="clear" w:color="auto" w:fill="FFFFFF"/>
          <w:lang w:bidi="ar"/>
        </w:rPr>
        <w:t>LOGO</w:t>
      </w:r>
      <w:r>
        <w:rPr>
          <w:rFonts w:hint="eastAsia" w:ascii="宋体" w:hAnsi="宋体" w:eastAsia="宋体" w:cs="宋体"/>
          <w:shd w:val="clear" w:color="auto" w:fill="FFFFFF"/>
          <w:lang w:bidi="ar"/>
        </w:rPr>
        <w:t>等在非人为原因条件下禁止出现锈蚀、鼓包、脱落等现象。若质保期内出现质量问题，乙方应在</w:t>
      </w:r>
      <w:r>
        <w:rPr>
          <w:rFonts w:hint="eastAsia"/>
          <w:shd w:val="clear" w:color="auto" w:fill="FFFFFF"/>
          <w:lang w:bidi="ar"/>
        </w:rPr>
        <w:t>3</w:t>
      </w:r>
      <w:r>
        <w:rPr>
          <w:rFonts w:hint="eastAsia" w:ascii="宋体" w:hAnsi="宋体" w:eastAsia="宋体" w:cs="宋体"/>
          <w:shd w:val="clear" w:color="auto" w:fill="FFFFFF"/>
          <w:lang w:bidi="ar"/>
        </w:rPr>
        <w:t>日内完成整改，同一车经整改仍存在问题，将扣除质保金。</w:t>
      </w:r>
    </w:p>
    <w:p w14:paraId="4D54D505">
      <w:pPr>
        <w:spacing w:line="480" w:lineRule="exact"/>
        <w:rPr>
          <w:rFonts w:ascii="Times New Roman" w:hAnsi="Times New Roman" w:cs="Times New Roman" w:eastAsiaTheme="majorEastAsia"/>
          <w:b/>
          <w:bCs/>
          <w:sz w:val="32"/>
          <w:szCs w:val="32"/>
        </w:rPr>
      </w:pPr>
    </w:p>
    <w:p w14:paraId="4A7CF03D">
      <w:pPr>
        <w:spacing w:line="480" w:lineRule="exact"/>
        <w:jc w:val="center"/>
        <w:rPr>
          <w:rFonts w:ascii="Times New Roman" w:hAnsi="Times New Roman" w:cs="Times New Roman" w:eastAsiaTheme="majorEastAsia"/>
          <w:b/>
          <w:bCs/>
          <w:sz w:val="32"/>
          <w:szCs w:val="32"/>
        </w:rPr>
      </w:pPr>
    </w:p>
    <w:p w14:paraId="361942AE">
      <w:pPr>
        <w:spacing w:line="480" w:lineRule="exact"/>
        <w:jc w:val="center"/>
        <w:rPr>
          <w:rFonts w:ascii="Times New Roman" w:hAnsi="Times New Roman" w:cs="Times New Roman" w:eastAsiaTheme="majorEastAsia"/>
          <w:b/>
          <w:bCs/>
          <w:sz w:val="32"/>
          <w:szCs w:val="32"/>
        </w:rPr>
      </w:pPr>
    </w:p>
    <w:p w14:paraId="021FE3FB">
      <w:pPr>
        <w:spacing w:line="480" w:lineRule="exact"/>
        <w:jc w:val="center"/>
        <w:rPr>
          <w:rFonts w:ascii="Times New Roman" w:hAnsi="Times New Roman" w:cs="Times New Roman" w:eastAsiaTheme="majorEastAsia"/>
          <w:b/>
          <w:bCs/>
          <w:sz w:val="32"/>
          <w:szCs w:val="32"/>
        </w:rPr>
      </w:pPr>
    </w:p>
    <w:p w14:paraId="1C79D4B3">
      <w:pPr>
        <w:spacing w:line="480" w:lineRule="exact"/>
        <w:jc w:val="center"/>
        <w:rPr>
          <w:rFonts w:ascii="Times New Roman" w:hAnsi="Times New Roman" w:cs="Times New Roman" w:eastAsiaTheme="majorEastAsia"/>
          <w:b/>
          <w:bCs/>
          <w:sz w:val="32"/>
          <w:szCs w:val="32"/>
        </w:rPr>
      </w:pPr>
    </w:p>
    <w:p w14:paraId="08E19992">
      <w:pPr>
        <w:spacing w:line="480" w:lineRule="exact"/>
        <w:jc w:val="center"/>
        <w:rPr>
          <w:rFonts w:ascii="Times New Roman" w:hAnsi="Times New Roman" w:cs="Times New Roman" w:eastAsiaTheme="majorEastAsia"/>
          <w:b/>
          <w:bCs/>
          <w:sz w:val="32"/>
          <w:szCs w:val="32"/>
        </w:rPr>
      </w:pPr>
    </w:p>
    <w:p w14:paraId="51CD258B">
      <w:pPr>
        <w:spacing w:line="480" w:lineRule="exact"/>
        <w:jc w:val="center"/>
        <w:rPr>
          <w:rFonts w:ascii="Times New Roman" w:hAnsi="Times New Roman" w:cs="Times New Roman" w:eastAsiaTheme="majorEastAsia"/>
          <w:b/>
          <w:bCs/>
          <w:sz w:val="32"/>
          <w:szCs w:val="32"/>
        </w:rPr>
      </w:pPr>
    </w:p>
    <w:p w14:paraId="4626257B">
      <w:pPr>
        <w:spacing w:line="480" w:lineRule="exact"/>
        <w:jc w:val="center"/>
        <w:rPr>
          <w:rFonts w:ascii="Times New Roman" w:hAnsi="Times New Roman" w:cs="Times New Roman" w:eastAsiaTheme="majorEastAsia"/>
          <w:b/>
          <w:bCs/>
          <w:sz w:val="32"/>
          <w:szCs w:val="32"/>
        </w:rPr>
      </w:pPr>
    </w:p>
    <w:p w14:paraId="709D906E">
      <w:pPr>
        <w:spacing w:line="480" w:lineRule="exact"/>
        <w:jc w:val="center"/>
        <w:rPr>
          <w:rFonts w:hint="eastAsia" w:ascii="Times New Roman" w:hAnsi="Times New Roman" w:cs="Times New Roman" w:eastAsiaTheme="majorEastAsia"/>
          <w:b/>
          <w:bCs/>
          <w:sz w:val="32"/>
          <w:szCs w:val="32"/>
        </w:rPr>
      </w:pPr>
    </w:p>
    <w:p w14:paraId="67BAB8E8">
      <w:pPr>
        <w:pStyle w:val="2"/>
        <w:jc w:val="center"/>
        <w:rPr>
          <w:rFonts w:hint="eastAsia" w:ascii="黑体" w:hAnsi="黑体" w:eastAsia="黑体"/>
          <w:sz w:val="32"/>
          <w:szCs w:val="32"/>
        </w:rPr>
      </w:pPr>
      <w:bookmarkStart w:id="249" w:name="_Toc204594027"/>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 xml:space="preserve">章 </w:t>
      </w:r>
      <w:r>
        <w:rPr>
          <w:rFonts w:hint="eastAsia" w:ascii="黑体" w:hAnsi="黑体" w:eastAsia="黑体"/>
          <w:sz w:val="32"/>
          <w:szCs w:val="32"/>
        </w:rPr>
        <w:t>响应文件</w:t>
      </w:r>
      <w:r>
        <w:rPr>
          <w:rFonts w:ascii="黑体" w:hAnsi="黑体" w:eastAsia="黑体"/>
          <w:sz w:val="32"/>
          <w:szCs w:val="32"/>
        </w:rPr>
        <w:t>格式</w:t>
      </w:r>
      <w:bookmarkEnd w:id="249"/>
    </w:p>
    <w:p w14:paraId="01547A52">
      <w:pPr>
        <w:wordWrap w:val="0"/>
        <w:spacing w:line="520" w:lineRule="exact"/>
        <w:jc w:val="center"/>
        <w:rPr>
          <w:rFonts w:ascii="Times New Roman" w:hAnsi="Times New Roman" w:eastAsia="黑体" w:cs="Times New Roman"/>
          <w:kern w:val="0"/>
          <w:sz w:val="32"/>
          <w:szCs w:val="32"/>
        </w:rPr>
      </w:pPr>
    </w:p>
    <w:p w14:paraId="20E54DB2">
      <w:pPr>
        <w:wordWrap w:val="0"/>
        <w:spacing w:line="520" w:lineRule="exact"/>
        <w:jc w:val="center"/>
        <w:rPr>
          <w:rFonts w:ascii="Times New Roman" w:hAnsi="Times New Roman" w:eastAsia="黑体" w:cs="Times New Roman"/>
          <w:kern w:val="0"/>
          <w:sz w:val="32"/>
          <w:szCs w:val="32"/>
        </w:rPr>
      </w:pPr>
    </w:p>
    <w:p w14:paraId="17E25818">
      <w:pPr>
        <w:wordWrap w:val="0"/>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亳州市公交出租有限责任公司出租车改漆采购项目</w:t>
      </w:r>
    </w:p>
    <w:p w14:paraId="615A590F">
      <w:pPr>
        <w:wordWrap w:val="0"/>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响</w:t>
      </w:r>
    </w:p>
    <w:p w14:paraId="62178FD1">
      <w:pPr>
        <w:wordWrap w:val="0"/>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应</w:t>
      </w:r>
    </w:p>
    <w:p w14:paraId="3CF534B8">
      <w:pPr>
        <w:wordWrap w:val="0"/>
        <w:jc w:val="center"/>
        <w:rPr>
          <w:rFonts w:ascii="Times New Roman" w:hAnsi="Times New Roman" w:eastAsia="方正小标宋简体" w:cs="Times New Roman"/>
          <w:kern w:val="0"/>
          <w:sz w:val="84"/>
          <w:szCs w:val="84"/>
        </w:rPr>
      </w:pPr>
      <w:r>
        <w:rPr>
          <w:rFonts w:ascii="Times New Roman" w:hAnsi="Times New Roman" w:eastAsia="方正小标宋简体" w:cs="Times New Roman"/>
          <w:kern w:val="0"/>
          <w:sz w:val="84"/>
          <w:szCs w:val="84"/>
        </w:rPr>
        <w:t>文</w:t>
      </w:r>
    </w:p>
    <w:p w14:paraId="25F450FC">
      <w:pPr>
        <w:wordWrap w:val="0"/>
        <w:jc w:val="center"/>
        <w:rPr>
          <w:rFonts w:ascii="Times New Roman" w:hAnsi="Times New Roman" w:eastAsia="方正小标宋简体" w:cs="Times New Roman"/>
          <w:kern w:val="0"/>
          <w:sz w:val="84"/>
          <w:szCs w:val="84"/>
        </w:rPr>
      </w:pPr>
      <w:r>
        <w:rPr>
          <w:rFonts w:ascii="Times New Roman" w:hAnsi="Times New Roman" w:eastAsia="方正小标宋简体" w:cs="Times New Roman"/>
          <w:kern w:val="0"/>
          <w:sz w:val="84"/>
          <w:szCs w:val="84"/>
        </w:rPr>
        <w:t>件</w:t>
      </w:r>
    </w:p>
    <w:p w14:paraId="28D39ABB">
      <w:pPr>
        <w:wordWrap w:val="0"/>
        <w:jc w:val="center"/>
        <w:rPr>
          <w:rFonts w:ascii="Times New Roman" w:hAnsi="Times New Roman" w:eastAsia="楷体" w:cs="Times New Roman"/>
          <w:kern w:val="0"/>
          <w:sz w:val="28"/>
          <w:szCs w:val="28"/>
        </w:rPr>
      </w:pPr>
    </w:p>
    <w:p w14:paraId="58E3C0D6">
      <w:pPr>
        <w:wordWrap w:val="0"/>
        <w:jc w:val="center"/>
        <w:rPr>
          <w:rFonts w:ascii="Times New Roman" w:hAnsi="Times New Roman" w:eastAsia="楷体" w:cs="Times New Roman"/>
          <w:color w:val="FF0000"/>
          <w:kern w:val="0"/>
          <w:sz w:val="28"/>
          <w:szCs w:val="28"/>
        </w:rPr>
      </w:pPr>
      <w:r>
        <w:rPr>
          <w:rFonts w:ascii="Times New Roman" w:hAnsi="Times New Roman" w:eastAsia="楷体" w:cs="Times New Roman"/>
          <w:kern w:val="0"/>
          <w:sz w:val="28"/>
          <w:szCs w:val="28"/>
        </w:rPr>
        <w:t>项目编号：</w:t>
      </w:r>
      <w:r>
        <w:rPr>
          <w:rFonts w:hint="eastAsia" w:ascii="Times New Roman" w:hAnsi="Times New Roman" w:eastAsia="楷体" w:cs="Times New Roman"/>
          <w:color w:val="FF0000"/>
          <w:kern w:val="0"/>
          <w:sz w:val="28"/>
          <w:szCs w:val="28"/>
        </w:rPr>
        <w:t>BZGJCZ-2025-01号</w:t>
      </w:r>
    </w:p>
    <w:p w14:paraId="3469C7D5">
      <w:pPr>
        <w:wordWrap w:val="0"/>
        <w:rPr>
          <w:rFonts w:ascii="Times New Roman" w:hAnsi="Times New Roman" w:eastAsia="楷体" w:cs="Times New Roman"/>
          <w:kern w:val="0"/>
          <w:sz w:val="32"/>
          <w:szCs w:val="32"/>
        </w:rPr>
      </w:pPr>
    </w:p>
    <w:p w14:paraId="5923F40B">
      <w:pPr>
        <w:wordWrap w:val="0"/>
        <w:ind w:left="1260" w:leftChars="600"/>
        <w:jc w:val="left"/>
        <w:rPr>
          <w:rFonts w:ascii="Times New Roman" w:hAnsi="Times New Roman" w:eastAsia="楷体" w:cs="Times New Roman"/>
          <w:kern w:val="0"/>
          <w:sz w:val="32"/>
          <w:szCs w:val="32"/>
        </w:rPr>
      </w:pPr>
      <w:r>
        <w:rPr>
          <w:rFonts w:hint="eastAsia" w:ascii="Times New Roman" w:hAnsi="Times New Roman" w:eastAsia="楷体" w:cs="Times New Roman"/>
          <w:kern w:val="0"/>
          <w:sz w:val="32"/>
          <w:szCs w:val="32"/>
        </w:rPr>
        <w:t>供应商名称</w:t>
      </w:r>
      <w:r>
        <w:rPr>
          <w:rFonts w:ascii="Times New Roman" w:hAnsi="Times New Roman" w:eastAsia="楷体" w:cs="Times New Roman"/>
          <w:kern w:val="0"/>
          <w:sz w:val="32"/>
          <w:szCs w:val="32"/>
        </w:rPr>
        <w:t>：</w:t>
      </w:r>
      <w:r>
        <w:rPr>
          <w:rFonts w:ascii="Times New Roman" w:hAnsi="Times New Roman" w:eastAsia="楷体" w:cs="Times New Roman"/>
          <w:kern w:val="0"/>
          <w:sz w:val="32"/>
          <w:szCs w:val="32"/>
          <w:u w:val="single"/>
        </w:rPr>
        <w:t xml:space="preserve">                    </w:t>
      </w:r>
      <w:r>
        <w:rPr>
          <w:rFonts w:ascii="Times New Roman" w:hAnsi="Times New Roman" w:eastAsia="楷体" w:cs="Times New Roman"/>
          <w:kern w:val="0"/>
          <w:sz w:val="32"/>
          <w:szCs w:val="32"/>
        </w:rPr>
        <w:t>（盖章）</w:t>
      </w:r>
    </w:p>
    <w:p w14:paraId="535636A4">
      <w:pPr>
        <w:wordWrap w:val="0"/>
        <w:ind w:firstLine="320" w:firstLineChars="100"/>
        <w:jc w:val="left"/>
        <w:rPr>
          <w:rFonts w:ascii="Times New Roman" w:hAnsi="Times New Roman" w:eastAsia="楷体" w:cs="Times New Roman"/>
          <w:kern w:val="0"/>
          <w:sz w:val="32"/>
          <w:szCs w:val="32"/>
        </w:rPr>
      </w:pPr>
      <w:r>
        <w:rPr>
          <w:rFonts w:ascii="Times New Roman" w:hAnsi="Times New Roman" w:eastAsia="楷体" w:cs="Times New Roman"/>
          <w:kern w:val="0"/>
          <w:sz w:val="32"/>
          <w:szCs w:val="32"/>
        </w:rPr>
        <w:t>法定代表人或其委托代理人：</w:t>
      </w:r>
      <w:r>
        <w:rPr>
          <w:rFonts w:ascii="Times New Roman" w:hAnsi="Times New Roman" w:eastAsia="楷体" w:cs="Times New Roman"/>
          <w:kern w:val="0"/>
          <w:sz w:val="32"/>
          <w:szCs w:val="32"/>
          <w:u w:val="single"/>
        </w:rPr>
        <w:t xml:space="preserve">   </w:t>
      </w:r>
      <w:r>
        <w:rPr>
          <w:rFonts w:hint="eastAsia" w:ascii="Times New Roman" w:hAnsi="Times New Roman" w:eastAsia="楷体" w:cs="Times New Roman"/>
          <w:kern w:val="0"/>
          <w:sz w:val="32"/>
          <w:szCs w:val="32"/>
          <w:u w:val="single"/>
        </w:rPr>
        <w:t xml:space="preserve">  </w:t>
      </w:r>
      <w:r>
        <w:rPr>
          <w:rFonts w:ascii="Times New Roman" w:hAnsi="Times New Roman" w:eastAsia="楷体" w:cs="Times New Roman"/>
          <w:kern w:val="0"/>
          <w:sz w:val="32"/>
          <w:szCs w:val="32"/>
          <w:u w:val="single"/>
        </w:rPr>
        <w:t xml:space="preserve"> </w:t>
      </w:r>
      <w:r>
        <w:rPr>
          <w:rFonts w:ascii="Times New Roman" w:hAnsi="Times New Roman" w:eastAsia="楷体" w:cs="Times New Roman"/>
          <w:kern w:val="0"/>
          <w:sz w:val="32"/>
          <w:szCs w:val="32"/>
        </w:rPr>
        <w:t>（签字</w:t>
      </w:r>
      <w:r>
        <w:rPr>
          <w:rFonts w:hint="eastAsia" w:ascii="Times New Roman" w:hAnsi="Times New Roman" w:eastAsia="楷体" w:cs="Times New Roman"/>
          <w:kern w:val="0"/>
          <w:sz w:val="32"/>
          <w:szCs w:val="32"/>
        </w:rPr>
        <w:t>或盖章</w:t>
      </w:r>
      <w:r>
        <w:rPr>
          <w:rFonts w:ascii="Times New Roman" w:hAnsi="Times New Roman" w:eastAsia="楷体" w:cs="Times New Roman"/>
          <w:kern w:val="0"/>
          <w:sz w:val="32"/>
          <w:szCs w:val="32"/>
        </w:rPr>
        <w:t>）</w:t>
      </w:r>
    </w:p>
    <w:p w14:paraId="2D7B19F4">
      <w:pPr>
        <w:wordWrap w:val="0"/>
        <w:ind w:left="1260" w:leftChars="600"/>
        <w:jc w:val="left"/>
        <w:rPr>
          <w:rFonts w:ascii="Times New Roman" w:hAnsi="Times New Roman" w:eastAsia="楷体" w:cs="Times New Roman"/>
          <w:kern w:val="0"/>
          <w:sz w:val="32"/>
          <w:szCs w:val="32"/>
        </w:rPr>
      </w:pPr>
    </w:p>
    <w:p w14:paraId="669F8074">
      <w:pPr>
        <w:ind w:firstLine="1920" w:firstLineChars="600"/>
        <w:jc w:val="left"/>
        <w:rPr>
          <w:rFonts w:ascii="Times New Roman" w:hAnsi="Times New Roman" w:eastAsia="楷体" w:cs="Times New Roman"/>
          <w:kern w:val="0"/>
          <w:sz w:val="32"/>
          <w:szCs w:val="32"/>
        </w:rPr>
      </w:pPr>
      <w:r>
        <w:rPr>
          <w:rFonts w:ascii="Times New Roman" w:hAnsi="Times New Roman" w:eastAsia="楷体" w:cs="Times New Roman"/>
          <w:kern w:val="0"/>
          <w:sz w:val="32"/>
          <w:szCs w:val="32"/>
          <w:u w:val="single"/>
        </w:rPr>
        <w:t xml:space="preserve">       </w:t>
      </w:r>
      <w:r>
        <w:rPr>
          <w:rFonts w:ascii="Times New Roman" w:hAnsi="Times New Roman" w:eastAsia="楷体" w:cs="Times New Roman"/>
          <w:kern w:val="0"/>
          <w:sz w:val="32"/>
          <w:szCs w:val="32"/>
        </w:rPr>
        <w:t>年</w:t>
      </w:r>
      <w:r>
        <w:rPr>
          <w:rFonts w:ascii="Times New Roman" w:hAnsi="Times New Roman" w:eastAsia="楷体" w:cs="Times New Roman"/>
          <w:kern w:val="0"/>
          <w:sz w:val="32"/>
          <w:szCs w:val="32"/>
          <w:u w:val="single"/>
        </w:rPr>
        <w:t xml:space="preserve">       </w:t>
      </w:r>
      <w:r>
        <w:rPr>
          <w:rFonts w:ascii="Times New Roman" w:hAnsi="Times New Roman" w:eastAsia="楷体" w:cs="Times New Roman"/>
          <w:kern w:val="0"/>
          <w:sz w:val="32"/>
          <w:szCs w:val="32"/>
        </w:rPr>
        <w:t>月</w:t>
      </w:r>
      <w:r>
        <w:rPr>
          <w:rFonts w:ascii="Times New Roman" w:hAnsi="Times New Roman" w:eastAsia="楷体" w:cs="Times New Roman"/>
          <w:kern w:val="0"/>
          <w:sz w:val="32"/>
          <w:szCs w:val="32"/>
          <w:u w:val="single"/>
        </w:rPr>
        <w:t xml:space="preserve">       </w:t>
      </w:r>
      <w:r>
        <w:rPr>
          <w:rFonts w:ascii="Times New Roman" w:hAnsi="Times New Roman" w:eastAsia="楷体" w:cs="Times New Roman"/>
          <w:kern w:val="0"/>
          <w:sz w:val="32"/>
          <w:szCs w:val="32"/>
        </w:rPr>
        <w:t>日</w:t>
      </w:r>
    </w:p>
    <w:p w14:paraId="100FC1AD">
      <w:pPr>
        <w:pStyle w:val="66"/>
        <w:jc w:val="center"/>
        <w:rPr>
          <w:rFonts w:hint="eastAsia" w:ascii="黑体" w:hAnsi="黑体" w:eastAsia="黑体" w:cs="微软雅黑"/>
          <w:sz w:val="36"/>
          <w:szCs w:val="36"/>
        </w:rPr>
      </w:pPr>
      <w:bookmarkStart w:id="250" w:name="_Toc144974856"/>
      <w:bookmarkStart w:id="251" w:name="_Toc247514246"/>
      <w:bookmarkStart w:id="252" w:name="_Toc300835209"/>
      <w:bookmarkStart w:id="253" w:name="_Toc152045787"/>
      <w:bookmarkStart w:id="254" w:name="_Toc152042576"/>
      <w:bookmarkStart w:id="255" w:name="_Toc247527827"/>
      <w:r>
        <w:rPr>
          <w:rFonts w:ascii="黑体" w:hAnsi="黑体" w:eastAsia="黑体" w:cs="微软雅黑"/>
          <w:sz w:val="36"/>
          <w:szCs w:val="36"/>
        </w:rPr>
        <w:t>目    录</w:t>
      </w:r>
      <w:bookmarkEnd w:id="250"/>
      <w:bookmarkEnd w:id="251"/>
      <w:bookmarkEnd w:id="252"/>
      <w:bookmarkEnd w:id="253"/>
      <w:bookmarkEnd w:id="254"/>
      <w:bookmarkEnd w:id="255"/>
    </w:p>
    <w:p w14:paraId="4785D407">
      <w:pPr>
        <w:spacing w:line="540" w:lineRule="exact"/>
        <w:rPr>
          <w:rFonts w:ascii="Times New Roman" w:hAnsi="Times New Roman" w:cs="Times New Roman"/>
        </w:rPr>
      </w:pPr>
    </w:p>
    <w:tbl>
      <w:tblPr>
        <w:tblStyle w:val="3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7614"/>
      </w:tblGrid>
      <w:tr w14:paraId="0E6E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7423E3A3">
            <w:pPr>
              <w:spacing w:line="540" w:lineRule="exact"/>
              <w:jc w:val="center"/>
              <w:rPr>
                <w:rFonts w:ascii="Times New Roman" w:hAnsi="Times New Roman" w:eastAsia="宋体" w:cs="Times New Roman"/>
                <w:b/>
                <w:bCs/>
                <w:kern w:val="0"/>
                <w:sz w:val="20"/>
              </w:rPr>
            </w:pPr>
            <w:r>
              <w:rPr>
                <w:rFonts w:hint="eastAsia" w:ascii="Times New Roman" w:hAnsi="Times New Roman" w:eastAsia="宋体" w:cs="Times New Roman"/>
                <w:b/>
                <w:bCs/>
                <w:kern w:val="0"/>
                <w:sz w:val="20"/>
              </w:rPr>
              <w:t>序号</w:t>
            </w:r>
          </w:p>
        </w:tc>
        <w:tc>
          <w:tcPr>
            <w:tcW w:w="7614" w:type="dxa"/>
            <w:vAlign w:val="center"/>
          </w:tcPr>
          <w:p w14:paraId="1FE0CEEA">
            <w:pPr>
              <w:spacing w:line="540" w:lineRule="exact"/>
              <w:jc w:val="center"/>
              <w:rPr>
                <w:rFonts w:ascii="Times New Roman" w:hAnsi="Times New Roman" w:eastAsia="宋体" w:cs="Times New Roman"/>
                <w:b/>
                <w:bCs/>
                <w:kern w:val="0"/>
                <w:sz w:val="20"/>
              </w:rPr>
            </w:pPr>
            <w:r>
              <w:rPr>
                <w:rFonts w:hint="eastAsia" w:ascii="Times New Roman" w:hAnsi="Times New Roman" w:eastAsia="宋体" w:cs="Times New Roman"/>
                <w:b/>
                <w:bCs/>
                <w:kern w:val="0"/>
                <w:sz w:val="20"/>
              </w:rPr>
              <w:t>资料名称</w:t>
            </w:r>
          </w:p>
        </w:tc>
      </w:tr>
      <w:tr w14:paraId="7F64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47EF2D44">
            <w:pPr>
              <w:spacing w:line="540" w:lineRule="exact"/>
              <w:jc w:val="center"/>
              <w:rPr>
                <w:rFonts w:ascii="Times New Roman" w:hAnsi="Times New Roman" w:eastAsia="宋体" w:cs="Times New Roman"/>
                <w:kern w:val="0"/>
                <w:sz w:val="20"/>
              </w:rPr>
            </w:pPr>
            <w:r>
              <w:rPr>
                <w:rFonts w:ascii="Times New Roman" w:hAnsi="Times New Roman" w:eastAsia="宋体" w:cs="Times New Roman"/>
                <w:kern w:val="0"/>
                <w:sz w:val="20"/>
              </w:rPr>
              <w:t>一</w:t>
            </w:r>
          </w:p>
        </w:tc>
        <w:tc>
          <w:tcPr>
            <w:tcW w:w="7614" w:type="dxa"/>
            <w:vAlign w:val="center"/>
          </w:tcPr>
          <w:p w14:paraId="3DA85F7F">
            <w:pPr>
              <w:spacing w:line="540" w:lineRule="exact"/>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报价函</w:t>
            </w:r>
          </w:p>
        </w:tc>
      </w:tr>
      <w:tr w14:paraId="0FCF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4962FDEA">
            <w:pPr>
              <w:spacing w:line="540" w:lineRule="exact"/>
              <w:jc w:val="center"/>
              <w:rPr>
                <w:rFonts w:ascii="Times New Roman" w:hAnsi="Times New Roman" w:eastAsia="宋体" w:cs="Times New Roman"/>
                <w:kern w:val="0"/>
                <w:sz w:val="20"/>
              </w:rPr>
            </w:pPr>
            <w:r>
              <w:rPr>
                <w:rFonts w:ascii="Times New Roman" w:hAnsi="Times New Roman" w:eastAsia="宋体" w:cs="Times New Roman"/>
                <w:kern w:val="0"/>
                <w:sz w:val="20"/>
              </w:rPr>
              <w:t>二</w:t>
            </w:r>
          </w:p>
        </w:tc>
        <w:tc>
          <w:tcPr>
            <w:tcW w:w="7614" w:type="dxa"/>
            <w:vAlign w:val="center"/>
          </w:tcPr>
          <w:p w14:paraId="75B3DA70">
            <w:pPr>
              <w:spacing w:line="540" w:lineRule="exact"/>
              <w:jc w:val="center"/>
              <w:rPr>
                <w:rFonts w:ascii="Times New Roman" w:hAnsi="Times New Roman" w:eastAsia="宋体" w:cs="Times New Roman"/>
                <w:kern w:val="0"/>
                <w:sz w:val="20"/>
              </w:rPr>
            </w:pPr>
            <w:r>
              <w:rPr>
                <w:rFonts w:ascii="Times New Roman" w:hAnsi="Times New Roman" w:eastAsia="宋体" w:cs="Times New Roman"/>
                <w:kern w:val="0"/>
                <w:sz w:val="20"/>
              </w:rPr>
              <w:t>法定代表人</w:t>
            </w:r>
            <w:r>
              <w:rPr>
                <w:rFonts w:hint="eastAsia" w:ascii="Times New Roman" w:hAnsi="Times New Roman" w:eastAsia="宋体" w:cs="Times New Roman"/>
                <w:kern w:val="0"/>
                <w:sz w:val="20"/>
              </w:rPr>
              <w:t>身份证明</w:t>
            </w:r>
          </w:p>
        </w:tc>
      </w:tr>
      <w:tr w14:paraId="75D7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999" w:type="dxa"/>
            <w:vAlign w:val="center"/>
          </w:tcPr>
          <w:p w14:paraId="37887DC8">
            <w:pPr>
              <w:spacing w:line="540" w:lineRule="exact"/>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三</w:t>
            </w:r>
          </w:p>
        </w:tc>
        <w:tc>
          <w:tcPr>
            <w:tcW w:w="7614" w:type="dxa"/>
            <w:vAlign w:val="center"/>
          </w:tcPr>
          <w:p w14:paraId="0A4E386D">
            <w:pPr>
              <w:spacing w:line="540" w:lineRule="exact"/>
              <w:jc w:val="center"/>
              <w:rPr>
                <w:rFonts w:ascii="Times New Roman" w:hAnsi="Times New Roman" w:eastAsia="宋体" w:cs="Times New Roman"/>
                <w:kern w:val="0"/>
                <w:sz w:val="20"/>
              </w:rPr>
            </w:pPr>
            <w:r>
              <w:rPr>
                <w:rFonts w:ascii="Times New Roman" w:hAnsi="Times New Roman" w:eastAsia="宋体" w:cs="Times New Roman"/>
                <w:kern w:val="0"/>
                <w:sz w:val="20"/>
              </w:rPr>
              <w:t>授权委托书</w:t>
            </w:r>
          </w:p>
        </w:tc>
      </w:tr>
      <w:tr w14:paraId="0BC0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Align w:val="center"/>
          </w:tcPr>
          <w:p w14:paraId="64A81112">
            <w:pPr>
              <w:spacing w:line="540" w:lineRule="exact"/>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四</w:t>
            </w:r>
          </w:p>
        </w:tc>
        <w:tc>
          <w:tcPr>
            <w:tcW w:w="7614" w:type="dxa"/>
            <w:vAlign w:val="center"/>
          </w:tcPr>
          <w:p w14:paraId="1EA3C4C5">
            <w:pPr>
              <w:spacing w:line="540" w:lineRule="exact"/>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营业执照</w:t>
            </w:r>
          </w:p>
        </w:tc>
      </w:tr>
      <w:tr w14:paraId="67B4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99" w:type="dxa"/>
            <w:vAlign w:val="center"/>
          </w:tcPr>
          <w:p w14:paraId="726B9669">
            <w:pPr>
              <w:spacing w:line="540" w:lineRule="exact"/>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五</w:t>
            </w:r>
          </w:p>
        </w:tc>
        <w:tc>
          <w:tcPr>
            <w:tcW w:w="7614" w:type="dxa"/>
            <w:vAlign w:val="center"/>
          </w:tcPr>
          <w:p w14:paraId="24764151">
            <w:pPr>
              <w:spacing w:line="540" w:lineRule="exact"/>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维修厂资质证明</w:t>
            </w:r>
          </w:p>
        </w:tc>
      </w:tr>
      <w:tr w14:paraId="2E61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99" w:type="dxa"/>
            <w:vAlign w:val="center"/>
          </w:tcPr>
          <w:p w14:paraId="14B78996">
            <w:pPr>
              <w:spacing w:line="540" w:lineRule="exact"/>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六</w:t>
            </w:r>
          </w:p>
        </w:tc>
        <w:tc>
          <w:tcPr>
            <w:tcW w:w="7614" w:type="dxa"/>
            <w:vAlign w:val="center"/>
          </w:tcPr>
          <w:p w14:paraId="60260A32">
            <w:pPr>
              <w:spacing w:line="540" w:lineRule="exact"/>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商务和技术偏差表</w:t>
            </w:r>
          </w:p>
        </w:tc>
      </w:tr>
      <w:tr w14:paraId="05D6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shd w:val="clear" w:color="auto" w:fill="auto"/>
            <w:vAlign w:val="center"/>
          </w:tcPr>
          <w:p w14:paraId="004DA3B4">
            <w:pPr>
              <w:spacing w:line="540" w:lineRule="exact"/>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七</w:t>
            </w:r>
          </w:p>
        </w:tc>
        <w:tc>
          <w:tcPr>
            <w:tcW w:w="7614" w:type="dxa"/>
            <w:vAlign w:val="center"/>
          </w:tcPr>
          <w:p w14:paraId="3D8DD94D">
            <w:pPr>
              <w:spacing w:line="540" w:lineRule="exact"/>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承诺书</w:t>
            </w:r>
          </w:p>
        </w:tc>
      </w:tr>
    </w:tbl>
    <w:p w14:paraId="075117FC">
      <w:pPr>
        <w:spacing w:line="540" w:lineRule="exact"/>
        <w:rPr>
          <w:rFonts w:ascii="Times New Roman" w:hAnsi="Times New Roman" w:cs="Times New Roman"/>
        </w:rPr>
      </w:pPr>
    </w:p>
    <w:p w14:paraId="4D11D984">
      <w:pPr>
        <w:spacing w:line="540" w:lineRule="exact"/>
        <w:rPr>
          <w:rFonts w:ascii="Times New Roman" w:hAnsi="Times New Roman" w:cs="Times New Roman"/>
        </w:rPr>
      </w:pPr>
      <w:r>
        <w:rPr>
          <w:rFonts w:ascii="Times New Roman" w:hAnsi="Times New Roman" w:cs="Times New Roman"/>
        </w:rPr>
        <w:t xml:space="preserve"> </w:t>
      </w:r>
    </w:p>
    <w:p w14:paraId="40D274EB">
      <w:pPr>
        <w:spacing w:line="540" w:lineRule="exact"/>
        <w:rPr>
          <w:rFonts w:ascii="Times New Roman" w:hAnsi="Times New Roman" w:eastAsia="黑体" w:cs="Times New Roman"/>
          <w:sz w:val="20"/>
          <w:szCs w:val="20"/>
        </w:rPr>
      </w:pPr>
      <w:r>
        <w:rPr>
          <w:rFonts w:ascii="Times New Roman" w:hAnsi="Times New Roman" w:cs="Times New Roman"/>
        </w:rPr>
        <w:br w:type="page"/>
      </w:r>
    </w:p>
    <w:p w14:paraId="64DC3EA6">
      <w:pPr>
        <w:pStyle w:val="2"/>
        <w:jc w:val="center"/>
        <w:rPr>
          <w:rStyle w:val="69"/>
          <w:rFonts w:hint="default" w:ascii="黑体" w:hAnsi="黑体" w:eastAsia="黑体"/>
          <w:sz w:val="32"/>
          <w:szCs w:val="32"/>
        </w:rPr>
      </w:pPr>
      <w:bookmarkStart w:id="256" w:name="_Toc144974857"/>
      <w:bookmarkStart w:id="257" w:name="_Toc247514247"/>
      <w:bookmarkStart w:id="258" w:name="_Toc152045788"/>
      <w:bookmarkStart w:id="259" w:name="_Toc247527828"/>
      <w:bookmarkStart w:id="260" w:name="_Toc204594028"/>
      <w:bookmarkStart w:id="261" w:name="_Toc152042577"/>
      <w:bookmarkStart w:id="262" w:name="_Toc300835210"/>
      <w:r>
        <w:rPr>
          <w:rStyle w:val="69"/>
          <w:rFonts w:hint="default" w:ascii="黑体" w:hAnsi="黑体" w:eastAsia="黑体"/>
          <w:sz w:val="32"/>
          <w:szCs w:val="32"/>
        </w:rPr>
        <w:t>一、报价函</w:t>
      </w:r>
      <w:bookmarkEnd w:id="256"/>
      <w:bookmarkEnd w:id="257"/>
      <w:bookmarkEnd w:id="258"/>
      <w:bookmarkEnd w:id="259"/>
      <w:bookmarkEnd w:id="260"/>
      <w:bookmarkEnd w:id="261"/>
      <w:bookmarkEnd w:id="262"/>
    </w:p>
    <w:p w14:paraId="705C59FE">
      <w:pPr>
        <w:spacing w:line="540" w:lineRule="exact"/>
        <w:ind w:firstLine="420" w:firstLineChars="200"/>
        <w:rPr>
          <w:rFonts w:ascii="Times New Roman" w:hAnsi="Times New Roman" w:cs="Times New Roman"/>
          <w:szCs w:val="21"/>
        </w:rPr>
      </w:pPr>
      <w:bookmarkStart w:id="263" w:name="_Toc144974859"/>
      <w:bookmarkStart w:id="264" w:name="_Toc152042579"/>
      <w:bookmarkStart w:id="265" w:name="_Toc247527830"/>
      <w:bookmarkStart w:id="266" w:name="_Toc300835212"/>
      <w:bookmarkStart w:id="267" w:name="_Toc152045790"/>
      <w:bookmarkStart w:id="268" w:name="_Toc247514249"/>
      <w:r>
        <w:rPr>
          <w:rFonts w:ascii="Times New Roman" w:hAnsi="Times New Roman" w:cs="Times New Roman"/>
          <w:szCs w:val="21"/>
        </w:rPr>
        <w:t>1</w:t>
      </w:r>
      <w:r>
        <w:rPr>
          <w:rFonts w:hint="eastAsia" w:ascii="Times New Roman" w:hAnsi="Times New Roman" w:cs="Times New Roman"/>
          <w:szCs w:val="21"/>
        </w:rPr>
        <w:t>.</w:t>
      </w:r>
      <w:r>
        <w:rPr>
          <w:rFonts w:ascii="Times New Roman" w:hAnsi="Times New Roman" w:cs="Times New Roman"/>
          <w:szCs w:val="21"/>
        </w:rPr>
        <w:t>我方已仔细研究了</w:t>
      </w:r>
      <w:r>
        <w:rPr>
          <w:rFonts w:hint="eastAsia" w:ascii="Times New Roman" w:hAnsi="Times New Roman" w:cs="Times New Roman"/>
          <w:szCs w:val="21"/>
          <w:u w:val="single"/>
        </w:rPr>
        <w:t>亳州市公交出租有限责任公司出租车改漆采购项目</w:t>
      </w:r>
      <w:r>
        <w:rPr>
          <w:rFonts w:hint="eastAsia" w:ascii="Times New Roman" w:hAnsi="Times New Roman" w:cs="Times New Roman"/>
          <w:szCs w:val="21"/>
        </w:rPr>
        <w:t>（项目编号：</w:t>
      </w:r>
      <w:permStart w:id="25" w:edGrp="everyone"/>
      <w:r>
        <w:rPr>
          <w:rFonts w:hint="eastAsia" w:ascii="Times New Roman" w:hAnsi="Times New Roman" w:cs="Times New Roman"/>
          <w:szCs w:val="21"/>
        </w:rPr>
        <w:t xml:space="preserve"> </w:t>
      </w:r>
      <w:r>
        <w:rPr>
          <w:rFonts w:hint="eastAsia" w:ascii="Times New Roman" w:hAnsi="Times New Roman" w:cs="Times New Roman"/>
          <w:szCs w:val="21"/>
          <w:u w:val="single"/>
        </w:rPr>
        <w:t>BZGJCZ-2025-01号</w:t>
      </w:r>
      <w:permEnd w:id="25"/>
      <w:r>
        <w:rPr>
          <w:rFonts w:hint="eastAsia" w:ascii="Times New Roman" w:hAnsi="Times New Roman" w:cs="Times New Roman"/>
          <w:szCs w:val="21"/>
        </w:rPr>
        <w:t>）项目询比文件的全部内容，愿意江淮车全车喷漆以人民币（大写）</w:t>
      </w:r>
      <w:r>
        <w:rPr>
          <w:rFonts w:ascii="Times New Roman" w:hAnsi="Times New Roman" w:cs="Times New Roman"/>
          <w:szCs w:val="21"/>
          <w:u w:val="single"/>
        </w:rPr>
        <w:t xml:space="preserve">       </w:t>
      </w:r>
      <w:r>
        <w:rPr>
          <w:rFonts w:hint="eastAsia" w:ascii="Times New Roman" w:hAnsi="Times New Roman" w:cs="Times New Roman"/>
          <w:szCs w:val="21"/>
          <w:u w:val="single"/>
        </w:rPr>
        <w:t>元/台</w:t>
      </w:r>
      <w:r>
        <w:rPr>
          <w:rFonts w:ascii="Times New Roman" w:hAnsi="Times New Roman" w:cs="Times New Roman"/>
          <w:szCs w:val="21"/>
        </w:rPr>
        <w:t>（¥</w:t>
      </w:r>
      <w:r>
        <w:rPr>
          <w:rFonts w:ascii="Times New Roman" w:hAnsi="Times New Roman" w:cs="Times New Roman"/>
          <w:szCs w:val="21"/>
          <w:u w:val="single"/>
        </w:rPr>
        <w:t xml:space="preserve">          </w:t>
      </w:r>
      <w:r>
        <w:rPr>
          <w:rFonts w:hint="eastAsia" w:ascii="Times New Roman" w:hAnsi="Times New Roman" w:cs="Times New Roman"/>
          <w:szCs w:val="21"/>
          <w:u w:val="single"/>
        </w:rPr>
        <w:t>元</w:t>
      </w:r>
      <w:r>
        <w:rPr>
          <w:rFonts w:ascii="Times New Roman" w:hAnsi="Times New Roman" w:cs="Times New Roman"/>
          <w:szCs w:val="21"/>
        </w:rPr>
        <w:t>）</w:t>
      </w:r>
      <w:r>
        <w:rPr>
          <w:rFonts w:hint="eastAsia" w:ascii="Times New Roman" w:hAnsi="Times New Roman" w:cs="Times New Roman"/>
          <w:szCs w:val="21"/>
        </w:rPr>
        <w:t>，奇瑞车半车喷漆以人民币（大写）</w:t>
      </w:r>
      <w:r>
        <w:rPr>
          <w:rFonts w:ascii="Times New Roman" w:hAnsi="Times New Roman" w:cs="Times New Roman"/>
          <w:szCs w:val="21"/>
          <w:u w:val="single"/>
        </w:rPr>
        <w:t xml:space="preserve">       </w:t>
      </w:r>
      <w:r>
        <w:rPr>
          <w:rFonts w:hint="eastAsia" w:ascii="Times New Roman" w:hAnsi="Times New Roman" w:cs="Times New Roman"/>
          <w:szCs w:val="21"/>
          <w:u w:val="single"/>
        </w:rPr>
        <w:t>元/台</w:t>
      </w:r>
      <w:r>
        <w:rPr>
          <w:rFonts w:ascii="Times New Roman" w:hAnsi="Times New Roman" w:cs="Times New Roman"/>
          <w:szCs w:val="21"/>
        </w:rPr>
        <w:t>（¥</w:t>
      </w:r>
      <w:r>
        <w:rPr>
          <w:rFonts w:ascii="Times New Roman" w:hAnsi="Times New Roman" w:cs="Times New Roman"/>
          <w:szCs w:val="21"/>
          <w:u w:val="single"/>
        </w:rPr>
        <w:t xml:space="preserve">          </w:t>
      </w:r>
      <w:r>
        <w:rPr>
          <w:rFonts w:hint="eastAsia" w:ascii="Times New Roman" w:hAnsi="Times New Roman" w:cs="Times New Roman"/>
          <w:szCs w:val="21"/>
          <w:u w:val="single"/>
        </w:rPr>
        <w:t>元</w:t>
      </w:r>
      <w:r>
        <w:rPr>
          <w:rFonts w:ascii="Times New Roman" w:hAnsi="Times New Roman" w:cs="Times New Roman"/>
          <w:szCs w:val="21"/>
        </w:rPr>
        <w:t>）</w:t>
      </w:r>
      <w:permStart w:id="26" w:edGrp="everyone"/>
      <w:r>
        <w:rPr>
          <w:rFonts w:hint="eastAsia" w:ascii="Times New Roman" w:hAnsi="Times New Roman" w:cs="Times New Roman"/>
          <w:szCs w:val="21"/>
        </w:rPr>
        <w:t>的单价报价（其中，税率</w:t>
      </w:r>
      <w:r>
        <w:rPr>
          <w:rFonts w:hint="eastAsia" w:ascii="Times New Roman" w:hAnsi="Times New Roman" w:cs="Times New Roman"/>
          <w:szCs w:val="21"/>
          <w:u w:val="single"/>
        </w:rPr>
        <w:t xml:space="preserve">   </w:t>
      </w:r>
      <w:r>
        <w:rPr>
          <w:rFonts w:hint="eastAsia" w:ascii="Times New Roman" w:hAnsi="Times New Roman" w:cs="Times New Roman"/>
          <w:szCs w:val="21"/>
        </w:rPr>
        <w:t>%）</w:t>
      </w:r>
      <w:permEnd w:id="26"/>
      <w:r>
        <w:rPr>
          <w:rFonts w:hint="eastAsia" w:ascii="Times New Roman" w:hAnsi="Times New Roman" w:cs="Times New Roman"/>
          <w:szCs w:val="21"/>
        </w:rPr>
        <w:t>，工期：3日历日/台</w:t>
      </w:r>
      <w:r>
        <w:rPr>
          <w:rFonts w:hint="eastAsia" w:asciiTheme="minorEastAsia" w:hAnsiTheme="minorEastAsia" w:cstheme="minorEastAsia"/>
          <w:sz w:val="28"/>
          <w:szCs w:val="28"/>
        </w:rPr>
        <w:t>。</w:t>
      </w:r>
    </w:p>
    <w:p w14:paraId="21F5507F">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2．我方同意接受询比文件中响应文件有效期的相关规定。</w:t>
      </w:r>
    </w:p>
    <w:p w14:paraId="5B1DEF47">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3．如我方成交，我方承诺：</w:t>
      </w:r>
    </w:p>
    <w:p w14:paraId="26715A26">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（1）在收到成交通知书后，在成交通知书规定的期限内与你方签订合同；</w:t>
      </w:r>
    </w:p>
    <w:p w14:paraId="659C3819">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（2）在签订合同时不向你方提出附加条件；</w:t>
      </w:r>
    </w:p>
    <w:p w14:paraId="3520FE2F">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（3）在合同约定的期限内完成合同规定的全部义务。</w:t>
      </w:r>
    </w:p>
    <w:p w14:paraId="4DC42884">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4.我方愿意提供可能另外要求的、与本次询比有关的文件资料，并保证我方已提供和将要提供的文件是真实的、准确的。</w:t>
      </w:r>
    </w:p>
    <w:p w14:paraId="795328D1">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5.我方提供的此项目所有证件的扫描件与原件相符，是真实、合法、有效的。如发现虚假证件或虚假陈述，我方愿承担与此相关的一切法律后果。</w:t>
      </w:r>
    </w:p>
    <w:p w14:paraId="0651C41A">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6．我方完全理解不一定将合同授予最低报价的供应商。</w:t>
      </w:r>
    </w:p>
    <w:p w14:paraId="09DCDBC3">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u w:val="single"/>
        </w:rPr>
        <w:t xml:space="preserve">                                       </w:t>
      </w:r>
      <w:r>
        <w:rPr>
          <w:rFonts w:ascii="Times New Roman" w:hAnsi="Times New Roman" w:cs="Times New Roman"/>
          <w:szCs w:val="21"/>
        </w:rPr>
        <w:t>（其他补充说明）。</w:t>
      </w:r>
    </w:p>
    <w:p w14:paraId="78E771CC">
      <w:pPr>
        <w:spacing w:line="440" w:lineRule="exact"/>
        <w:rPr>
          <w:rFonts w:ascii="Times New Roman" w:hAnsi="Times New Roman" w:cs="Times New Roman"/>
          <w:szCs w:val="21"/>
        </w:rPr>
      </w:pPr>
    </w:p>
    <w:p w14:paraId="62059485">
      <w:pPr>
        <w:spacing w:line="440" w:lineRule="exact"/>
        <w:ind w:firstLine="2310" w:firstLineChars="1100"/>
        <w:rPr>
          <w:rFonts w:ascii="Times New Roman" w:hAnsi="Times New Roman" w:cs="Times New Roman"/>
          <w:szCs w:val="21"/>
        </w:rPr>
      </w:pPr>
    </w:p>
    <w:p w14:paraId="0B1FA470">
      <w:pPr>
        <w:spacing w:line="440" w:lineRule="exact"/>
        <w:ind w:firstLine="2310" w:firstLineChars="1100"/>
        <w:rPr>
          <w:rFonts w:ascii="Times New Roman" w:hAnsi="Times New Roman" w:cs="Times New Roman"/>
          <w:szCs w:val="21"/>
        </w:rPr>
      </w:pPr>
      <w:r>
        <w:rPr>
          <w:rFonts w:hint="eastAsia" w:ascii="Times New Roman" w:hAnsi="Times New Roman" w:cs="Times New Roman"/>
          <w:szCs w:val="21"/>
        </w:rPr>
        <w:t>供应商</w:t>
      </w:r>
      <w:r>
        <w:rPr>
          <w:rFonts w:ascii="Times New Roman" w:hAnsi="Times New Roman" w:cs="Times New Roman"/>
          <w:szCs w:val="21"/>
        </w:rPr>
        <w:t>：</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（盖单位章）</w:t>
      </w:r>
    </w:p>
    <w:p w14:paraId="57F4024D">
      <w:pPr>
        <w:spacing w:line="440" w:lineRule="exact"/>
        <w:ind w:firstLine="2310" w:firstLineChars="1100"/>
        <w:jc w:val="right"/>
        <w:rPr>
          <w:rFonts w:ascii="Times New Roman" w:hAnsi="Times New Roman" w:cs="Times New Roman"/>
          <w:szCs w:val="21"/>
        </w:rPr>
      </w:pPr>
      <w:r>
        <w:rPr>
          <w:rFonts w:ascii="Times New Roman" w:hAnsi="Times New Roman" w:cs="Times New Roman"/>
          <w:szCs w:val="21"/>
        </w:rPr>
        <w:t>法定代表人或其委托代理人：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（签字</w:t>
      </w:r>
      <w:r>
        <w:rPr>
          <w:rFonts w:hint="eastAsia" w:ascii="Times New Roman" w:hAnsi="Times New Roman" w:cs="Times New Roman"/>
          <w:szCs w:val="21"/>
        </w:rPr>
        <w:t>或盖章</w:t>
      </w:r>
      <w:r>
        <w:rPr>
          <w:rFonts w:ascii="Times New Roman" w:hAnsi="Times New Roman" w:cs="Times New Roman"/>
          <w:szCs w:val="21"/>
        </w:rPr>
        <w:t>）</w:t>
      </w:r>
    </w:p>
    <w:p w14:paraId="470924DB">
      <w:pPr>
        <w:spacing w:line="440" w:lineRule="exact"/>
        <w:ind w:firstLine="2310" w:firstLineChars="1100"/>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p>
    <w:p w14:paraId="44D7BA14">
      <w:pPr>
        <w:spacing w:line="440" w:lineRule="exact"/>
        <w:ind w:firstLine="2310" w:firstLineChars="1100"/>
        <w:rPr>
          <w:rFonts w:ascii="Times New Roman" w:hAnsi="Times New Roman" w:cs="Times New Roman"/>
          <w:szCs w:val="21"/>
          <w:u w:val="single"/>
        </w:rPr>
      </w:pPr>
      <w:r>
        <w:rPr>
          <w:rFonts w:ascii="Times New Roman" w:hAnsi="Times New Roman" w:cs="Times New Roman"/>
          <w:szCs w:val="21"/>
        </w:rPr>
        <w:t>电话：</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p>
    <w:p w14:paraId="230A66E9">
      <w:pPr>
        <w:spacing w:line="440" w:lineRule="exact"/>
        <w:ind w:firstLine="2310" w:firstLineChars="1100"/>
        <w:rPr>
          <w:rFonts w:ascii="Times New Roman" w:hAnsi="Times New Roman" w:cs="Times New Roman"/>
          <w:szCs w:val="21"/>
        </w:rPr>
      </w:pPr>
      <w:r>
        <w:rPr>
          <w:rFonts w:ascii="Times New Roman" w:hAnsi="Times New Roman" w:cs="Times New Roman"/>
          <w:szCs w:val="21"/>
        </w:rPr>
        <w:t>邮政编码：</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p>
    <w:p w14:paraId="611AC3B9">
      <w:pPr>
        <w:spacing w:line="440" w:lineRule="exact"/>
        <w:ind w:firstLine="4725" w:firstLineChars="2250"/>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bookmarkEnd w:id="263"/>
      <w:bookmarkEnd w:id="264"/>
      <w:bookmarkEnd w:id="265"/>
      <w:bookmarkEnd w:id="266"/>
      <w:bookmarkEnd w:id="267"/>
      <w:bookmarkEnd w:id="268"/>
      <w:bookmarkStart w:id="269" w:name="_Toc247514283"/>
      <w:bookmarkStart w:id="270" w:name="_Toc144974860"/>
      <w:bookmarkStart w:id="271" w:name="_Toc152045791"/>
      <w:bookmarkStart w:id="272" w:name="_Toc152042580"/>
      <w:bookmarkStart w:id="273" w:name="_Toc247527831"/>
      <w:bookmarkStart w:id="274" w:name="_Toc300835213"/>
    </w:p>
    <w:p w14:paraId="5AD36A32"/>
    <w:p w14:paraId="7B9DDFC5"/>
    <w:p w14:paraId="729E8013"/>
    <w:p w14:paraId="45A44E51"/>
    <w:p w14:paraId="4B5D452E"/>
    <w:p w14:paraId="5433C1B0">
      <w:pPr>
        <w:pStyle w:val="66"/>
        <w:rPr>
          <w:rFonts w:hint="eastAsia" w:ascii="微软雅黑" w:hAnsi="微软雅黑" w:eastAsia="微软雅黑" w:cs="微软雅黑"/>
        </w:rPr>
      </w:pPr>
    </w:p>
    <w:p w14:paraId="609A5DD1">
      <w:pPr>
        <w:pStyle w:val="66"/>
        <w:rPr>
          <w:rFonts w:hint="eastAsia" w:ascii="微软雅黑" w:hAnsi="微软雅黑" w:eastAsia="微软雅黑" w:cs="微软雅黑"/>
        </w:rPr>
      </w:pPr>
    </w:p>
    <w:p w14:paraId="1D0E15D0">
      <w:pPr>
        <w:pStyle w:val="2"/>
        <w:jc w:val="center"/>
        <w:rPr>
          <w:rStyle w:val="69"/>
          <w:rFonts w:hint="default" w:ascii="黑体" w:hAnsi="黑体" w:eastAsia="黑体"/>
          <w:sz w:val="32"/>
          <w:szCs w:val="32"/>
        </w:rPr>
      </w:pPr>
      <w:bookmarkStart w:id="275" w:name="_Toc204594029"/>
      <w:r>
        <w:rPr>
          <w:rStyle w:val="69"/>
          <w:rFonts w:hint="default" w:ascii="黑体" w:hAnsi="黑体" w:eastAsia="黑体"/>
          <w:sz w:val="32"/>
          <w:szCs w:val="32"/>
        </w:rPr>
        <w:t>二、法定代表人身份证明</w:t>
      </w:r>
      <w:bookmarkEnd w:id="269"/>
      <w:bookmarkEnd w:id="270"/>
      <w:bookmarkEnd w:id="271"/>
      <w:bookmarkEnd w:id="272"/>
      <w:bookmarkEnd w:id="273"/>
      <w:bookmarkEnd w:id="274"/>
      <w:bookmarkEnd w:id="275"/>
    </w:p>
    <w:p w14:paraId="40677BD8">
      <w:pPr>
        <w:spacing w:line="440" w:lineRule="exact"/>
        <w:rPr>
          <w:rFonts w:ascii="Times New Roman" w:hAnsi="Times New Roman" w:cs="Times New Roman"/>
          <w:szCs w:val="21"/>
        </w:rPr>
      </w:pPr>
    </w:p>
    <w:p w14:paraId="5D06D88C">
      <w:pPr>
        <w:spacing w:line="440" w:lineRule="exact"/>
        <w:rPr>
          <w:rFonts w:ascii="Times New Roman" w:hAnsi="Times New Roman" w:cs="Times New Roman"/>
          <w:szCs w:val="21"/>
        </w:rPr>
      </w:pPr>
      <w:r>
        <w:rPr>
          <w:rFonts w:hint="eastAsia" w:ascii="Times New Roman" w:hAnsi="Times New Roman" w:cs="Times New Roman"/>
          <w:szCs w:val="21"/>
        </w:rPr>
        <w:t>供应商</w:t>
      </w:r>
      <w:r>
        <w:rPr>
          <w:rFonts w:ascii="Times New Roman" w:hAnsi="Times New Roman" w:cs="Times New Roman"/>
          <w:szCs w:val="21"/>
        </w:rPr>
        <w:t>名称：</w:t>
      </w:r>
      <w:r>
        <w:rPr>
          <w:rFonts w:ascii="Times New Roman" w:hAnsi="Times New Roman" w:cs="Times New Roman"/>
          <w:szCs w:val="21"/>
          <w:u w:val="single"/>
        </w:rPr>
        <w:t xml:space="preserve">                            </w:t>
      </w:r>
      <w:r>
        <w:rPr>
          <w:rFonts w:ascii="Times New Roman" w:hAnsi="Times New Roman" w:cs="Times New Roman"/>
          <w:szCs w:val="21"/>
        </w:rPr>
        <w:t xml:space="preserve"> </w:t>
      </w:r>
    </w:p>
    <w:p w14:paraId="6AAE4CD9">
      <w:pPr>
        <w:spacing w:line="440" w:lineRule="exact"/>
        <w:rPr>
          <w:rFonts w:ascii="Times New Roman" w:hAnsi="Times New Roman" w:cs="Times New Roman"/>
          <w:szCs w:val="21"/>
        </w:rPr>
      </w:pPr>
      <w:r>
        <w:rPr>
          <w:rFonts w:ascii="Times New Roman" w:hAnsi="Times New Roman" w:cs="Times New Roman"/>
          <w:szCs w:val="21"/>
        </w:rPr>
        <w:t>姓名：</w:t>
      </w:r>
      <w:r>
        <w:rPr>
          <w:rFonts w:ascii="Times New Roman" w:hAnsi="Times New Roman" w:cs="Times New Roman"/>
          <w:szCs w:val="21"/>
          <w:u w:val="single"/>
        </w:rPr>
        <w:t xml:space="preserve">        </w:t>
      </w:r>
      <w:r>
        <w:rPr>
          <w:rFonts w:ascii="Times New Roman" w:hAnsi="Times New Roman" w:cs="Times New Roman"/>
          <w:szCs w:val="21"/>
        </w:rPr>
        <w:t xml:space="preserve"> 性别：</w:t>
      </w:r>
      <w:r>
        <w:rPr>
          <w:rFonts w:ascii="Times New Roman" w:hAnsi="Times New Roman" w:cs="Times New Roman"/>
          <w:szCs w:val="21"/>
          <w:u w:val="single"/>
        </w:rPr>
        <w:t xml:space="preserve">         </w:t>
      </w:r>
      <w:r>
        <w:rPr>
          <w:rFonts w:ascii="Times New Roman" w:hAnsi="Times New Roman" w:cs="Times New Roman"/>
          <w:szCs w:val="21"/>
        </w:rPr>
        <w:t xml:space="preserve"> 年龄：</w:t>
      </w:r>
      <w:r>
        <w:rPr>
          <w:rFonts w:ascii="Times New Roman" w:hAnsi="Times New Roman" w:cs="Times New Roman"/>
          <w:szCs w:val="21"/>
          <w:u w:val="single"/>
        </w:rPr>
        <w:t xml:space="preserve">        </w:t>
      </w:r>
      <w:r>
        <w:rPr>
          <w:rFonts w:ascii="Times New Roman" w:hAnsi="Times New Roman" w:cs="Times New Roman"/>
          <w:szCs w:val="21"/>
        </w:rPr>
        <w:t>职务：</w:t>
      </w:r>
      <w:r>
        <w:rPr>
          <w:rFonts w:ascii="Times New Roman" w:hAnsi="Times New Roman" w:cs="Times New Roman"/>
          <w:szCs w:val="21"/>
          <w:u w:val="single"/>
        </w:rPr>
        <w:t xml:space="preserve">        </w:t>
      </w:r>
    </w:p>
    <w:p w14:paraId="3BC70071">
      <w:pPr>
        <w:spacing w:line="440" w:lineRule="exact"/>
        <w:rPr>
          <w:rFonts w:ascii="Times New Roman" w:hAnsi="Times New Roman" w:cs="Times New Roman"/>
          <w:szCs w:val="21"/>
        </w:rPr>
      </w:pPr>
      <w:r>
        <w:rPr>
          <w:rFonts w:ascii="Times New Roman" w:hAnsi="Times New Roman" w:cs="Times New Roman"/>
          <w:szCs w:val="21"/>
        </w:rPr>
        <w:t>系</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hint="eastAsia" w:ascii="Times New Roman" w:hAnsi="Times New Roman" w:cs="Times New Roman"/>
          <w:szCs w:val="21"/>
        </w:rPr>
        <w:t>供应商</w:t>
      </w:r>
      <w:r>
        <w:rPr>
          <w:rFonts w:ascii="Times New Roman" w:hAnsi="Times New Roman" w:cs="Times New Roman"/>
          <w:szCs w:val="21"/>
        </w:rPr>
        <w:t>名称）的法定代表人。</w:t>
      </w:r>
    </w:p>
    <w:p w14:paraId="5C68C032">
      <w:pPr>
        <w:spacing w:line="440" w:lineRule="exact"/>
        <w:ind w:firstLine="420" w:firstLineChars="200"/>
        <w:rPr>
          <w:rFonts w:ascii="Times New Roman" w:hAnsi="Times New Roman" w:cs="Times New Roman"/>
          <w:szCs w:val="21"/>
        </w:rPr>
      </w:pPr>
      <w:r>
        <w:rPr>
          <w:rFonts w:ascii="Times New Roman" w:hAnsi="Times New Roman" w:cs="Times New Roman"/>
          <w:szCs w:val="21"/>
        </w:rPr>
        <w:t>特此证明。</w:t>
      </w:r>
    </w:p>
    <w:p w14:paraId="39A23381">
      <w:pPr>
        <w:spacing w:line="440" w:lineRule="exact"/>
        <w:rPr>
          <w:rFonts w:ascii="Times New Roman" w:hAnsi="Times New Roman" w:cs="Times New Roman"/>
          <w:szCs w:val="21"/>
        </w:rPr>
      </w:pPr>
    </w:p>
    <w:p w14:paraId="1E9EA093">
      <w:pPr>
        <w:spacing w:line="440" w:lineRule="exact"/>
        <w:rPr>
          <w:rFonts w:ascii="Times New Roman" w:hAnsi="Times New Roman" w:cs="Times New Roman"/>
          <w:szCs w:val="21"/>
        </w:rPr>
      </w:pPr>
      <w:r>
        <w:rPr>
          <w:rFonts w:ascii="Times New Roman" w:hAnsi="Times New Roman" w:cs="Times New Roman"/>
          <w:szCs w:val="21"/>
        </w:rPr>
        <w:t>附：法定代表人身份证复印件。</w:t>
      </w:r>
    </w:p>
    <w:p w14:paraId="4682F088">
      <w:pPr>
        <w:spacing w:line="440" w:lineRule="exact"/>
        <w:rPr>
          <w:rFonts w:ascii="Times New Roman" w:hAnsi="Times New Roman" w:cs="Times New Roman"/>
          <w:szCs w:val="21"/>
        </w:rPr>
      </w:pPr>
    </w:p>
    <w:p w14:paraId="28527609">
      <w:pPr>
        <w:spacing w:line="440" w:lineRule="exact"/>
        <w:rPr>
          <w:rFonts w:ascii="Times New Roman" w:hAnsi="Times New Roman" w:cs="Times New Roman"/>
          <w:szCs w:val="21"/>
        </w:rPr>
      </w:pPr>
      <w:r>
        <w:rPr>
          <w:rFonts w:hint="eastAsia" w:ascii="Times New Roman" w:hAnsi="Times New Roman" w:cs="Times New Roman"/>
          <w:szCs w:val="21"/>
        </w:rPr>
        <w:t>注：本身份证明需由供应商加盖单位公章。</w:t>
      </w:r>
    </w:p>
    <w:p w14:paraId="7E870EEF">
      <w:pPr>
        <w:spacing w:line="440" w:lineRule="exact"/>
        <w:rPr>
          <w:rFonts w:ascii="Times New Roman" w:hAnsi="Times New Roman" w:cs="Times New Roman"/>
          <w:szCs w:val="21"/>
        </w:rPr>
      </w:pPr>
    </w:p>
    <w:p w14:paraId="1E54D499">
      <w:pPr>
        <w:spacing w:line="440" w:lineRule="exact"/>
        <w:rPr>
          <w:rFonts w:ascii="Times New Roman" w:hAnsi="Times New Roman" w:cs="Times New Roman"/>
          <w:szCs w:val="21"/>
        </w:rPr>
      </w:pPr>
    </w:p>
    <w:p w14:paraId="376CA91B">
      <w:pPr>
        <w:spacing w:line="440" w:lineRule="exact"/>
        <w:rPr>
          <w:rFonts w:ascii="Times New Roman" w:hAnsi="Times New Roman" w:cs="Times New Roman"/>
          <w:szCs w:val="21"/>
        </w:rPr>
      </w:pP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 </w:t>
      </w:r>
      <w:r>
        <w:rPr>
          <w:rFonts w:hint="eastAsia" w:ascii="Times New Roman" w:hAnsi="Times New Roman" w:cs="Times New Roman"/>
          <w:szCs w:val="21"/>
        </w:rPr>
        <w:t xml:space="preserve">       供应商</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（盖单位章）</w:t>
      </w:r>
    </w:p>
    <w:p w14:paraId="5EA03B23">
      <w:pPr>
        <w:spacing w:line="440" w:lineRule="exact"/>
        <w:rPr>
          <w:rFonts w:ascii="Times New Roman" w:hAnsi="Times New Roman" w:cs="Times New Roman"/>
          <w:szCs w:val="21"/>
        </w:rPr>
      </w:pP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 </w:t>
      </w:r>
    </w:p>
    <w:p w14:paraId="44098EBF">
      <w:pPr>
        <w:spacing w:line="440" w:lineRule="exact"/>
        <w:ind w:firstLine="4410" w:firstLineChars="2100"/>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 xml:space="preserve"> 日</w:t>
      </w:r>
    </w:p>
    <w:p w14:paraId="3DB617D8">
      <w:pPr>
        <w:spacing w:line="44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p>
    <w:p w14:paraId="0DBD86E0">
      <w:pPr>
        <w:pStyle w:val="2"/>
        <w:jc w:val="center"/>
        <w:rPr>
          <w:rStyle w:val="69"/>
          <w:rFonts w:hint="default" w:ascii="黑体" w:hAnsi="黑体" w:eastAsia="黑体"/>
          <w:sz w:val="32"/>
          <w:szCs w:val="32"/>
        </w:rPr>
      </w:pPr>
      <w:bookmarkStart w:id="276" w:name="_Toc152042581"/>
      <w:bookmarkStart w:id="277" w:name="_Toc247514284"/>
      <w:bookmarkStart w:id="278" w:name="_Toc247527832"/>
      <w:bookmarkStart w:id="279" w:name="_Toc152045792"/>
      <w:bookmarkStart w:id="280" w:name="_Toc144974861"/>
      <w:bookmarkStart w:id="281" w:name="_Toc204594030"/>
      <w:bookmarkStart w:id="282" w:name="_Toc300835214"/>
      <w:r>
        <w:rPr>
          <w:rStyle w:val="69"/>
          <w:rFonts w:hint="default" w:ascii="黑体" w:hAnsi="黑体" w:eastAsia="黑体"/>
          <w:sz w:val="32"/>
          <w:szCs w:val="32"/>
        </w:rPr>
        <w:t>三、授权委托书</w:t>
      </w:r>
      <w:bookmarkEnd w:id="276"/>
      <w:bookmarkEnd w:id="277"/>
      <w:bookmarkEnd w:id="278"/>
      <w:bookmarkEnd w:id="279"/>
      <w:bookmarkEnd w:id="280"/>
      <w:bookmarkEnd w:id="281"/>
      <w:bookmarkEnd w:id="282"/>
    </w:p>
    <w:p w14:paraId="3AEBE4D7">
      <w:pPr>
        <w:topLinePunct/>
        <w:spacing w:line="500" w:lineRule="exact"/>
        <w:ind w:firstLine="420" w:firstLineChars="200"/>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适用于有委托代理人的情况</w:t>
      </w:r>
      <w:r>
        <w:rPr>
          <w:rFonts w:ascii="Times New Roman" w:hAnsi="Times New Roman" w:cs="Times New Roman"/>
          <w:szCs w:val="21"/>
        </w:rPr>
        <w:t>）</w:t>
      </w:r>
    </w:p>
    <w:p w14:paraId="06B6DF0E">
      <w:pPr>
        <w:spacing w:line="440" w:lineRule="exact"/>
        <w:rPr>
          <w:rFonts w:ascii="Times New Roman" w:hAnsi="Times New Roman" w:eastAsia="黑体" w:cs="Times New Roman"/>
          <w:szCs w:val="21"/>
        </w:rPr>
      </w:pPr>
    </w:p>
    <w:p w14:paraId="3097D27C">
      <w:pPr>
        <w:topLinePunct/>
        <w:spacing w:line="440" w:lineRule="exact"/>
        <w:ind w:firstLine="420" w:firstLineChars="200"/>
        <w:rPr>
          <w:rFonts w:ascii="Times New Roman" w:hAnsi="Times New Roman" w:cs="Times New Roman"/>
          <w:szCs w:val="21"/>
        </w:rPr>
      </w:pPr>
      <w:r>
        <w:rPr>
          <w:rFonts w:ascii="Times New Roman" w:hAnsi="Times New Roman" w:cs="Times New Roman"/>
          <w:szCs w:val="21"/>
        </w:rPr>
        <w:t>本人</w:t>
      </w:r>
      <w:r>
        <w:rPr>
          <w:rFonts w:ascii="Times New Roman" w:hAnsi="Times New Roman" w:cs="Times New Roman"/>
          <w:szCs w:val="21"/>
          <w:u w:val="single"/>
        </w:rPr>
        <w:t xml:space="preserve">       </w:t>
      </w:r>
      <w:r>
        <w:rPr>
          <w:rFonts w:ascii="Times New Roman" w:hAnsi="Times New Roman" w:cs="Times New Roman"/>
          <w:szCs w:val="21"/>
        </w:rPr>
        <w:t>（姓名）系</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供应商</w:t>
      </w:r>
      <w:r>
        <w:rPr>
          <w:rFonts w:ascii="Times New Roman" w:hAnsi="Times New Roman" w:cs="Times New Roman"/>
          <w:szCs w:val="21"/>
        </w:rPr>
        <w:t>名称）的法定代表人，现委托</w:t>
      </w:r>
      <w:r>
        <w:rPr>
          <w:rFonts w:ascii="Times New Roman" w:hAnsi="Times New Roman" w:cs="Times New Roman"/>
          <w:szCs w:val="21"/>
          <w:u w:val="single"/>
        </w:rPr>
        <w:t xml:space="preserve">        </w:t>
      </w:r>
      <w:r>
        <w:rPr>
          <w:rFonts w:ascii="Times New Roman" w:hAnsi="Times New Roman" w:cs="Times New Roman"/>
          <w:szCs w:val="21"/>
        </w:rPr>
        <w:t>（姓名）为我方代理人。代理人根据授权，以我方名义签署、澄清</w:t>
      </w:r>
      <w:r>
        <w:rPr>
          <w:rFonts w:hint="eastAsia" w:ascii="Times New Roman" w:hAnsi="Times New Roman" w:cs="Times New Roman"/>
          <w:szCs w:val="21"/>
        </w:rPr>
        <w:t>确认、递交、撤回、修改询比项目响应文件、签订合同和处理有关事宜，</w:t>
      </w:r>
      <w:r>
        <w:rPr>
          <w:rFonts w:ascii="Times New Roman" w:hAnsi="Times New Roman" w:cs="Times New Roman"/>
          <w:szCs w:val="21"/>
        </w:rPr>
        <w:t>其法律后果由我方承担。</w:t>
      </w:r>
    </w:p>
    <w:p w14:paraId="4B72B3F1">
      <w:pPr>
        <w:spacing w:line="440" w:lineRule="exact"/>
        <w:rPr>
          <w:rFonts w:ascii="Times New Roman" w:hAnsi="Times New Roman" w:cs="Times New Roman"/>
          <w:szCs w:val="21"/>
        </w:rPr>
      </w:pPr>
      <w:r>
        <w:rPr>
          <w:rFonts w:ascii="Times New Roman" w:hAnsi="Times New Roman" w:cs="Times New Roman"/>
          <w:szCs w:val="21"/>
        </w:rPr>
        <w:t xml:space="preserve">    委托期限：</w:t>
      </w:r>
      <w:r>
        <w:rPr>
          <w:rFonts w:ascii="Times New Roman" w:hAnsi="Times New Roman" w:cs="Times New Roman"/>
          <w:szCs w:val="21"/>
          <w:u w:val="single"/>
        </w:rPr>
        <w:t xml:space="preserve">             </w:t>
      </w:r>
      <w:r>
        <w:rPr>
          <w:rFonts w:ascii="Times New Roman" w:hAnsi="Times New Roman" w:cs="Times New Roman"/>
          <w:szCs w:val="21"/>
        </w:rPr>
        <w:t>。</w:t>
      </w:r>
    </w:p>
    <w:p w14:paraId="0A6DF6AD">
      <w:pPr>
        <w:spacing w:line="440" w:lineRule="exact"/>
        <w:ind w:firstLine="420" w:firstLineChars="200"/>
        <w:rPr>
          <w:rFonts w:ascii="Times New Roman" w:hAnsi="Times New Roman" w:cs="Times New Roman"/>
          <w:szCs w:val="21"/>
        </w:rPr>
      </w:pPr>
      <w:r>
        <w:rPr>
          <w:rFonts w:ascii="Times New Roman" w:hAnsi="Times New Roman" w:cs="Times New Roman"/>
          <w:szCs w:val="21"/>
        </w:rPr>
        <w:t>代理人无转委托权。</w:t>
      </w:r>
    </w:p>
    <w:p w14:paraId="379D0152">
      <w:pPr>
        <w:spacing w:line="440" w:lineRule="exact"/>
        <w:ind w:firstLine="420" w:firstLineChars="200"/>
        <w:rPr>
          <w:rFonts w:ascii="Times New Roman" w:hAnsi="Times New Roman" w:cs="Times New Roman"/>
          <w:szCs w:val="21"/>
        </w:rPr>
      </w:pPr>
      <w:r>
        <w:rPr>
          <w:rFonts w:ascii="Times New Roman" w:hAnsi="Times New Roman" w:cs="Times New Roman"/>
          <w:szCs w:val="21"/>
        </w:rPr>
        <w:t>附：法定代表人身份证明、委托代理人身份证复印件</w:t>
      </w:r>
      <w:r>
        <w:rPr>
          <w:rFonts w:hint="eastAsia" w:ascii="Times New Roman" w:hAnsi="Times New Roman" w:cs="Times New Roman"/>
          <w:szCs w:val="21"/>
        </w:rPr>
        <w:t>。</w:t>
      </w:r>
    </w:p>
    <w:p w14:paraId="1D4882A7">
      <w:pPr>
        <w:spacing w:line="440" w:lineRule="exact"/>
        <w:ind w:firstLine="420" w:firstLineChars="200"/>
        <w:rPr>
          <w:rFonts w:ascii="Times New Roman" w:hAnsi="Times New Roman" w:cs="Times New Roman"/>
          <w:szCs w:val="21"/>
        </w:rPr>
      </w:pPr>
    </w:p>
    <w:p w14:paraId="01C90EAC">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注：本授权委托书需由供应商加盖单位公章并由其法定代表人和委托代理人签字。</w:t>
      </w:r>
    </w:p>
    <w:p w14:paraId="19449356">
      <w:pPr>
        <w:spacing w:line="440" w:lineRule="exact"/>
        <w:rPr>
          <w:rFonts w:ascii="Times New Roman" w:hAnsi="Times New Roman" w:cs="Times New Roman"/>
          <w:szCs w:val="21"/>
        </w:rPr>
      </w:pPr>
    </w:p>
    <w:p w14:paraId="76D4FC38">
      <w:pPr>
        <w:spacing w:line="440" w:lineRule="exact"/>
        <w:rPr>
          <w:rFonts w:ascii="Times New Roman" w:hAnsi="Times New Roman" w:cs="Times New Roman"/>
          <w:szCs w:val="21"/>
        </w:rPr>
      </w:pPr>
    </w:p>
    <w:p w14:paraId="63DCE71A">
      <w:pPr>
        <w:spacing w:line="600" w:lineRule="exact"/>
        <w:ind w:firstLine="2100" w:firstLineChars="1000"/>
        <w:rPr>
          <w:rFonts w:ascii="Times New Roman" w:hAnsi="Times New Roman" w:cs="Times New Roman"/>
          <w:szCs w:val="21"/>
        </w:rPr>
      </w:pPr>
      <w:r>
        <w:rPr>
          <w:rFonts w:hint="eastAsia" w:ascii="Times New Roman" w:hAnsi="Times New Roman" w:cs="Times New Roman"/>
          <w:szCs w:val="21"/>
        </w:rPr>
        <w:t>供  应  商</w:t>
      </w:r>
      <w:r>
        <w:rPr>
          <w:rFonts w:ascii="Times New Roman" w:hAnsi="Times New Roman" w:cs="Times New Roman"/>
          <w:szCs w:val="21"/>
        </w:rPr>
        <w:t>：</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（盖单位章）</w:t>
      </w:r>
    </w:p>
    <w:p w14:paraId="2C9ACCE7">
      <w:pPr>
        <w:spacing w:line="600" w:lineRule="exact"/>
        <w:ind w:firstLine="2100" w:firstLineChars="1000"/>
        <w:rPr>
          <w:rFonts w:ascii="Times New Roman" w:hAnsi="Times New Roman" w:cs="Times New Roman"/>
          <w:szCs w:val="21"/>
        </w:rPr>
      </w:pPr>
      <w:r>
        <w:rPr>
          <w:rFonts w:ascii="Times New Roman" w:hAnsi="Times New Roman" w:cs="Times New Roman"/>
          <w:szCs w:val="21"/>
        </w:rPr>
        <w:t>法定代表人：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 xml:space="preserve">（签字或盖章） </w:t>
      </w:r>
    </w:p>
    <w:p w14:paraId="49B38871">
      <w:pPr>
        <w:spacing w:line="600" w:lineRule="exact"/>
        <w:ind w:firstLine="2100" w:firstLineChars="1000"/>
        <w:rPr>
          <w:rFonts w:ascii="Times New Roman" w:hAnsi="Times New Roman" w:cs="Times New Roman"/>
          <w:szCs w:val="21"/>
        </w:rPr>
      </w:pPr>
      <w:r>
        <w:rPr>
          <w:rFonts w:ascii="Times New Roman" w:hAnsi="Times New Roman" w:cs="Times New Roman"/>
          <w:szCs w:val="21"/>
        </w:rPr>
        <w:t>身份证号码：</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p>
    <w:p w14:paraId="07863EAE">
      <w:pPr>
        <w:spacing w:line="600" w:lineRule="exact"/>
        <w:ind w:firstLine="2100" w:firstLineChars="1000"/>
        <w:rPr>
          <w:rFonts w:ascii="Times New Roman" w:hAnsi="Times New Roman" w:cs="Times New Roman"/>
          <w:szCs w:val="21"/>
        </w:rPr>
      </w:pPr>
      <w:r>
        <w:rPr>
          <w:rFonts w:ascii="Times New Roman" w:hAnsi="Times New Roman" w:cs="Times New Roman"/>
          <w:szCs w:val="21"/>
        </w:rPr>
        <w:t>委托代理人：</w:t>
      </w:r>
      <w:r>
        <w:rPr>
          <w:rFonts w:ascii="Times New Roman" w:hAnsi="Times New Roman" w:cs="Times New Roman"/>
          <w:szCs w:val="21"/>
          <w:u w:val="single"/>
        </w:rPr>
        <w:t xml:space="preserve">                               </w:t>
      </w:r>
      <w:r>
        <w:rPr>
          <w:rFonts w:ascii="Times New Roman" w:hAnsi="Times New Roman" w:cs="Times New Roman"/>
          <w:szCs w:val="21"/>
        </w:rPr>
        <w:t>（签字或盖章）</w:t>
      </w:r>
    </w:p>
    <w:p w14:paraId="441F54B4">
      <w:pPr>
        <w:spacing w:line="600" w:lineRule="exact"/>
        <w:ind w:firstLine="2100" w:firstLineChars="1000"/>
        <w:rPr>
          <w:rFonts w:ascii="Times New Roman" w:hAnsi="Times New Roman" w:cs="Times New Roman"/>
          <w:szCs w:val="21"/>
          <w:u w:val="single"/>
        </w:rPr>
      </w:pPr>
      <w:r>
        <w:rPr>
          <w:rFonts w:ascii="Times New Roman" w:hAnsi="Times New Roman" w:cs="Times New Roman"/>
          <w:szCs w:val="21"/>
        </w:rPr>
        <w:t>身份证号码：</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p>
    <w:p w14:paraId="01015FC7">
      <w:pPr>
        <w:spacing w:line="440" w:lineRule="exact"/>
        <w:rPr>
          <w:rFonts w:ascii="Times New Roman" w:hAnsi="Times New Roman" w:cs="Times New Roman"/>
          <w:szCs w:val="21"/>
        </w:rPr>
      </w:pPr>
    </w:p>
    <w:p w14:paraId="2CC3F55D">
      <w:pPr>
        <w:spacing w:line="440" w:lineRule="exact"/>
        <w:ind w:firstLine="3885" w:firstLineChars="1850"/>
        <w:rPr>
          <w:rFonts w:ascii="Times New Roman" w:hAnsi="Times New Roman" w:eastAsia="黑体" w:cs="Times New Roman"/>
          <w:szCs w:val="21"/>
        </w:rPr>
      </w:pP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74A8C0BB">
      <w:pPr>
        <w:spacing w:line="400" w:lineRule="exact"/>
        <w:rPr>
          <w:rFonts w:ascii="Times New Roman" w:hAnsi="Times New Roman" w:eastAsia="黑体" w:cs="Times New Roman"/>
          <w:sz w:val="20"/>
          <w:szCs w:val="20"/>
        </w:rPr>
      </w:pPr>
    </w:p>
    <w:p w14:paraId="08F6CA5F">
      <w:pPr>
        <w:spacing w:line="400" w:lineRule="exact"/>
        <w:rPr>
          <w:rFonts w:ascii="Times New Roman" w:hAnsi="Times New Roman" w:eastAsia="黑体" w:cs="Times New Roman"/>
          <w:sz w:val="20"/>
          <w:szCs w:val="20"/>
        </w:rPr>
      </w:pPr>
    </w:p>
    <w:p w14:paraId="7EBE671D">
      <w:pPr>
        <w:spacing w:line="400" w:lineRule="exact"/>
        <w:rPr>
          <w:rFonts w:ascii="Times New Roman" w:hAnsi="Times New Roman" w:eastAsia="黑体" w:cs="Times New Roman"/>
          <w:sz w:val="20"/>
          <w:szCs w:val="20"/>
        </w:rPr>
      </w:pPr>
    </w:p>
    <w:p w14:paraId="6986C41C">
      <w:pPr>
        <w:spacing w:line="400" w:lineRule="exact"/>
        <w:rPr>
          <w:rFonts w:ascii="Times New Roman" w:hAnsi="Times New Roman" w:eastAsia="黑体" w:cs="Times New Roman"/>
          <w:sz w:val="20"/>
          <w:szCs w:val="20"/>
        </w:rPr>
      </w:pPr>
    </w:p>
    <w:p w14:paraId="721E5AAF">
      <w:pPr>
        <w:spacing w:line="400" w:lineRule="exact"/>
        <w:rPr>
          <w:rFonts w:ascii="Times New Roman" w:hAnsi="Times New Roman" w:eastAsia="黑体" w:cs="Times New Roman"/>
          <w:sz w:val="20"/>
          <w:szCs w:val="20"/>
        </w:rPr>
      </w:pPr>
    </w:p>
    <w:p w14:paraId="1189D6BA">
      <w:pPr>
        <w:spacing w:line="400" w:lineRule="exact"/>
        <w:rPr>
          <w:rFonts w:ascii="Times New Roman" w:hAnsi="Times New Roman" w:eastAsia="黑体" w:cs="Times New Roman"/>
          <w:sz w:val="20"/>
          <w:szCs w:val="20"/>
        </w:rPr>
      </w:pPr>
    </w:p>
    <w:p w14:paraId="6FFF4774">
      <w:pPr>
        <w:spacing w:line="400" w:lineRule="exact"/>
        <w:rPr>
          <w:rFonts w:ascii="Times New Roman" w:hAnsi="Times New Roman" w:eastAsia="黑体" w:cs="Times New Roman"/>
          <w:sz w:val="20"/>
          <w:szCs w:val="20"/>
        </w:rPr>
      </w:pPr>
    </w:p>
    <w:p w14:paraId="2F651B96">
      <w:pPr>
        <w:spacing w:line="400" w:lineRule="exact"/>
        <w:rPr>
          <w:rFonts w:ascii="Times New Roman" w:hAnsi="Times New Roman" w:eastAsia="黑体" w:cs="Times New Roman"/>
          <w:sz w:val="20"/>
          <w:szCs w:val="20"/>
        </w:rPr>
      </w:pPr>
    </w:p>
    <w:p w14:paraId="54E01971">
      <w:pPr>
        <w:spacing w:line="400" w:lineRule="exact"/>
        <w:rPr>
          <w:rFonts w:ascii="Times New Roman" w:hAnsi="Times New Roman" w:eastAsia="黑体" w:cs="Times New Roman"/>
          <w:sz w:val="20"/>
          <w:szCs w:val="20"/>
        </w:rPr>
      </w:pPr>
    </w:p>
    <w:p w14:paraId="343CD69F">
      <w:pPr>
        <w:spacing w:line="400" w:lineRule="exact"/>
        <w:rPr>
          <w:rFonts w:ascii="Times New Roman" w:hAnsi="Times New Roman" w:eastAsia="黑体" w:cs="Times New Roman"/>
          <w:sz w:val="20"/>
          <w:szCs w:val="20"/>
        </w:rPr>
      </w:pPr>
    </w:p>
    <w:p w14:paraId="1D02720C">
      <w:pPr>
        <w:pStyle w:val="66"/>
        <w:jc w:val="center"/>
        <w:rPr>
          <w:rFonts w:hint="eastAsia" w:ascii="黑体" w:hAnsi="黑体" w:eastAsia="黑体" w:cs="微软雅黑"/>
          <w:sz w:val="36"/>
          <w:szCs w:val="36"/>
        </w:rPr>
      </w:pPr>
    </w:p>
    <w:p w14:paraId="01DDF980">
      <w:pPr>
        <w:pStyle w:val="2"/>
        <w:jc w:val="center"/>
        <w:rPr>
          <w:rStyle w:val="69"/>
          <w:rFonts w:hint="default" w:ascii="黑体" w:hAnsi="黑体" w:eastAsia="黑体"/>
          <w:sz w:val="32"/>
          <w:szCs w:val="32"/>
        </w:rPr>
      </w:pPr>
      <w:bookmarkStart w:id="283" w:name="_Toc204594031"/>
      <w:r>
        <w:rPr>
          <w:rStyle w:val="69"/>
          <w:rFonts w:hint="default" w:ascii="黑体" w:hAnsi="黑体" w:eastAsia="黑体"/>
          <w:sz w:val="32"/>
          <w:szCs w:val="32"/>
        </w:rPr>
        <w:t>四、营业执照</w:t>
      </w:r>
      <w:bookmarkEnd w:id="283"/>
    </w:p>
    <w:p w14:paraId="3BB94D63">
      <w:pPr>
        <w:pStyle w:val="66"/>
        <w:jc w:val="center"/>
        <w:rPr>
          <w:rFonts w:asciiTheme="minorHAnsi" w:hAnsiTheme="minorHAnsi" w:eastAsiaTheme="minorEastAsia" w:cstheme="minorBidi"/>
          <w:b/>
          <w:bCs/>
          <w:kern w:val="2"/>
          <w:sz w:val="21"/>
          <w:szCs w:val="24"/>
        </w:rPr>
      </w:pPr>
      <w:r>
        <w:rPr>
          <w:rFonts w:hint="eastAsia" w:asciiTheme="minorHAnsi" w:hAnsiTheme="minorHAnsi" w:eastAsiaTheme="minorEastAsia" w:cstheme="minorBidi"/>
          <w:b/>
          <w:bCs/>
          <w:kern w:val="2"/>
          <w:sz w:val="21"/>
          <w:szCs w:val="24"/>
        </w:rPr>
        <w:t>（原件复印并加盖公章）</w:t>
      </w:r>
    </w:p>
    <w:p w14:paraId="4EDA970C">
      <w:pPr>
        <w:pStyle w:val="66"/>
        <w:jc w:val="center"/>
        <w:rPr>
          <w:rFonts w:hint="eastAsia" w:ascii="黑体" w:hAnsi="黑体" w:eastAsia="黑体" w:cs="微软雅黑"/>
          <w:sz w:val="36"/>
          <w:szCs w:val="36"/>
        </w:rPr>
      </w:pPr>
    </w:p>
    <w:p w14:paraId="32E18E2A">
      <w:pPr>
        <w:pStyle w:val="66"/>
        <w:jc w:val="center"/>
        <w:rPr>
          <w:rFonts w:hint="eastAsia" w:ascii="黑体" w:hAnsi="黑体" w:eastAsia="黑体" w:cs="微软雅黑"/>
          <w:sz w:val="36"/>
          <w:szCs w:val="36"/>
        </w:rPr>
      </w:pPr>
    </w:p>
    <w:p w14:paraId="12179CD4">
      <w:pPr>
        <w:pStyle w:val="66"/>
        <w:jc w:val="center"/>
        <w:rPr>
          <w:rFonts w:hint="eastAsia" w:ascii="黑体" w:hAnsi="黑体" w:eastAsia="黑体" w:cs="微软雅黑"/>
          <w:sz w:val="36"/>
          <w:szCs w:val="36"/>
        </w:rPr>
      </w:pPr>
    </w:p>
    <w:p w14:paraId="2EE83401">
      <w:pPr>
        <w:pStyle w:val="66"/>
        <w:jc w:val="center"/>
        <w:rPr>
          <w:rFonts w:hint="eastAsia" w:ascii="黑体" w:hAnsi="黑体" w:eastAsia="黑体" w:cs="微软雅黑"/>
          <w:sz w:val="36"/>
          <w:szCs w:val="36"/>
        </w:rPr>
      </w:pPr>
    </w:p>
    <w:p w14:paraId="1D1FCCAD">
      <w:pPr>
        <w:pStyle w:val="2"/>
        <w:jc w:val="center"/>
        <w:rPr>
          <w:rStyle w:val="69"/>
          <w:rFonts w:hint="default" w:ascii="黑体" w:hAnsi="黑体" w:eastAsia="黑体"/>
          <w:sz w:val="32"/>
          <w:szCs w:val="32"/>
        </w:rPr>
      </w:pPr>
      <w:bookmarkStart w:id="284" w:name="_Toc204594032"/>
      <w:r>
        <w:rPr>
          <w:rStyle w:val="69"/>
          <w:rFonts w:hint="default" w:ascii="黑体" w:hAnsi="黑体" w:eastAsia="黑体"/>
          <w:sz w:val="32"/>
          <w:szCs w:val="32"/>
        </w:rPr>
        <w:t>五、维修厂资质证明</w:t>
      </w:r>
      <w:bookmarkEnd w:id="284"/>
    </w:p>
    <w:p w14:paraId="67FBD92B">
      <w:pPr>
        <w:pStyle w:val="66"/>
        <w:jc w:val="center"/>
        <w:rPr>
          <w:rFonts w:asciiTheme="minorHAnsi" w:hAnsiTheme="minorHAnsi" w:eastAsiaTheme="minorEastAsia" w:cstheme="minorBidi"/>
          <w:b/>
          <w:bCs/>
          <w:kern w:val="2"/>
          <w:sz w:val="21"/>
          <w:szCs w:val="24"/>
        </w:rPr>
      </w:pPr>
      <w:r>
        <w:rPr>
          <w:rFonts w:hint="eastAsia" w:asciiTheme="minorHAnsi" w:hAnsiTheme="minorHAnsi" w:eastAsiaTheme="minorEastAsia" w:cstheme="minorBidi"/>
          <w:b/>
          <w:bCs/>
          <w:kern w:val="2"/>
          <w:sz w:val="21"/>
          <w:szCs w:val="24"/>
        </w:rPr>
        <w:t>（原件复印并加盖公章）</w:t>
      </w:r>
    </w:p>
    <w:p w14:paraId="43C73C09">
      <w:pPr>
        <w:pStyle w:val="66"/>
        <w:jc w:val="center"/>
        <w:rPr>
          <w:rFonts w:hint="eastAsia" w:ascii="黑体" w:hAnsi="黑体" w:eastAsia="黑体" w:cs="微软雅黑"/>
          <w:sz w:val="36"/>
          <w:szCs w:val="36"/>
        </w:rPr>
      </w:pPr>
    </w:p>
    <w:p w14:paraId="4D56F0F2">
      <w:pPr>
        <w:pStyle w:val="66"/>
        <w:jc w:val="center"/>
        <w:rPr>
          <w:rFonts w:hint="eastAsia" w:ascii="黑体" w:hAnsi="黑体" w:eastAsia="黑体" w:cs="微软雅黑"/>
          <w:sz w:val="36"/>
          <w:szCs w:val="36"/>
        </w:rPr>
      </w:pPr>
    </w:p>
    <w:p w14:paraId="1B665F4A">
      <w:pPr>
        <w:pStyle w:val="66"/>
        <w:jc w:val="center"/>
        <w:rPr>
          <w:rFonts w:hint="eastAsia" w:ascii="黑体" w:hAnsi="黑体" w:eastAsia="黑体" w:cs="微软雅黑"/>
          <w:sz w:val="36"/>
          <w:szCs w:val="36"/>
        </w:rPr>
      </w:pPr>
    </w:p>
    <w:p w14:paraId="41625886">
      <w:pPr>
        <w:pStyle w:val="66"/>
        <w:jc w:val="center"/>
        <w:rPr>
          <w:rFonts w:hint="eastAsia" w:ascii="黑体" w:hAnsi="黑体" w:eastAsia="黑体" w:cs="微软雅黑"/>
          <w:sz w:val="36"/>
          <w:szCs w:val="36"/>
        </w:rPr>
      </w:pPr>
    </w:p>
    <w:p w14:paraId="74EAE0D2">
      <w:pPr>
        <w:pStyle w:val="66"/>
        <w:jc w:val="center"/>
        <w:rPr>
          <w:rFonts w:hint="eastAsia" w:ascii="黑体" w:hAnsi="黑体" w:eastAsia="黑体" w:cs="微软雅黑"/>
          <w:sz w:val="36"/>
          <w:szCs w:val="36"/>
        </w:rPr>
      </w:pPr>
    </w:p>
    <w:p w14:paraId="71BFD7D0">
      <w:pPr>
        <w:pStyle w:val="66"/>
        <w:jc w:val="center"/>
        <w:rPr>
          <w:rFonts w:hint="eastAsia" w:ascii="黑体" w:hAnsi="黑体" w:eastAsia="黑体" w:cs="微软雅黑"/>
          <w:sz w:val="36"/>
          <w:szCs w:val="36"/>
        </w:rPr>
      </w:pPr>
    </w:p>
    <w:p w14:paraId="67C74CC2">
      <w:pPr>
        <w:pStyle w:val="66"/>
        <w:jc w:val="center"/>
        <w:rPr>
          <w:rFonts w:hint="eastAsia" w:ascii="黑体" w:hAnsi="黑体" w:eastAsia="黑体" w:cs="微软雅黑"/>
          <w:sz w:val="36"/>
          <w:szCs w:val="36"/>
        </w:rPr>
      </w:pPr>
    </w:p>
    <w:p w14:paraId="63D8949A">
      <w:pPr>
        <w:pStyle w:val="66"/>
        <w:jc w:val="center"/>
        <w:rPr>
          <w:rFonts w:hint="eastAsia" w:ascii="黑体" w:hAnsi="黑体" w:eastAsia="黑体" w:cs="微软雅黑"/>
          <w:sz w:val="36"/>
          <w:szCs w:val="36"/>
        </w:rPr>
      </w:pPr>
    </w:p>
    <w:p w14:paraId="06C9C7E4">
      <w:pPr>
        <w:pStyle w:val="66"/>
        <w:jc w:val="center"/>
        <w:rPr>
          <w:rFonts w:hint="eastAsia" w:ascii="黑体" w:hAnsi="黑体" w:eastAsia="黑体" w:cs="微软雅黑"/>
          <w:sz w:val="36"/>
          <w:szCs w:val="36"/>
        </w:rPr>
      </w:pPr>
    </w:p>
    <w:p w14:paraId="0606378B">
      <w:pPr>
        <w:pStyle w:val="66"/>
        <w:jc w:val="center"/>
        <w:rPr>
          <w:rFonts w:hint="eastAsia" w:ascii="黑体" w:hAnsi="黑体" w:eastAsia="黑体" w:cs="微软雅黑"/>
          <w:sz w:val="36"/>
          <w:szCs w:val="36"/>
        </w:rPr>
      </w:pPr>
    </w:p>
    <w:p w14:paraId="378D8E70">
      <w:pPr>
        <w:pStyle w:val="2"/>
        <w:jc w:val="center"/>
        <w:rPr>
          <w:rStyle w:val="69"/>
          <w:rFonts w:hint="default" w:ascii="黑体" w:hAnsi="黑体" w:eastAsia="黑体"/>
          <w:sz w:val="32"/>
          <w:szCs w:val="32"/>
        </w:rPr>
      </w:pPr>
      <w:bookmarkStart w:id="285" w:name="_Toc204594033"/>
      <w:r>
        <w:rPr>
          <w:rStyle w:val="69"/>
          <w:rFonts w:hint="default" w:ascii="黑体" w:hAnsi="黑体" w:eastAsia="黑体"/>
          <w:sz w:val="32"/>
          <w:szCs w:val="32"/>
        </w:rPr>
        <w:t>六、商务和技术偏差表</w:t>
      </w:r>
      <w:bookmarkEnd w:id="285"/>
    </w:p>
    <w:p w14:paraId="4C9E2857">
      <w:pPr>
        <w:spacing w:before="53"/>
        <w:jc w:val="center"/>
      </w:pPr>
      <w:r>
        <w:rPr>
          <w:rFonts w:hint="eastAsia"/>
          <w:b/>
          <w:bCs/>
        </w:rPr>
        <w:t>（注：供应商根据询比公告/邀请书要求按需填写，如无要求，可不填写。）</w:t>
      </w:r>
    </w:p>
    <w:p w14:paraId="6A7E80A6">
      <w:pPr>
        <w:spacing w:before="53"/>
      </w:pPr>
    </w:p>
    <w:tbl>
      <w:tblPr>
        <w:tblStyle w:val="74"/>
        <w:tblW w:w="906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3106"/>
        <w:gridCol w:w="3117"/>
        <w:gridCol w:w="1713"/>
      </w:tblGrid>
      <w:tr w14:paraId="4DD51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24" w:type="dxa"/>
          </w:tcPr>
          <w:p w14:paraId="121A417D">
            <w:pPr>
              <w:pStyle w:val="73"/>
              <w:spacing w:before="174" w:line="221" w:lineRule="auto"/>
              <w:ind w:left="344"/>
              <w:rPr>
                <w:rFonts w:hint="eastAsia"/>
                <w:kern w:val="0"/>
                <w:sz w:val="20"/>
              </w:rPr>
            </w:pPr>
            <w:r>
              <w:rPr>
                <w:spacing w:val="6"/>
                <w:kern w:val="0"/>
                <w:sz w:val="20"/>
              </w:rPr>
              <w:t>序号</w:t>
            </w:r>
          </w:p>
        </w:tc>
        <w:tc>
          <w:tcPr>
            <w:tcW w:w="3106" w:type="dxa"/>
          </w:tcPr>
          <w:p w14:paraId="144F2271">
            <w:pPr>
              <w:pStyle w:val="73"/>
              <w:spacing w:before="172" w:line="219" w:lineRule="auto"/>
              <w:ind w:left="511"/>
              <w:rPr>
                <w:rFonts w:hint="eastAsia"/>
                <w:kern w:val="0"/>
                <w:sz w:val="20"/>
                <w:lang w:eastAsia="zh-CN"/>
              </w:rPr>
            </w:pPr>
            <w:r>
              <w:rPr>
                <w:spacing w:val="1"/>
                <w:kern w:val="0"/>
                <w:sz w:val="20"/>
                <w:lang w:eastAsia="zh-CN"/>
              </w:rPr>
              <w:t>采购文件章节及条款号</w:t>
            </w:r>
          </w:p>
        </w:tc>
        <w:tc>
          <w:tcPr>
            <w:tcW w:w="3117" w:type="dxa"/>
          </w:tcPr>
          <w:p w14:paraId="3AE90E36">
            <w:pPr>
              <w:pStyle w:val="73"/>
              <w:spacing w:before="172" w:line="219" w:lineRule="auto"/>
              <w:ind w:left="524"/>
              <w:rPr>
                <w:rFonts w:hint="eastAsia"/>
                <w:kern w:val="0"/>
                <w:sz w:val="20"/>
                <w:lang w:eastAsia="zh-CN"/>
              </w:rPr>
            </w:pPr>
            <w:r>
              <w:rPr>
                <w:spacing w:val="1"/>
                <w:kern w:val="0"/>
                <w:sz w:val="20"/>
                <w:lang w:eastAsia="zh-CN"/>
              </w:rPr>
              <w:t>响应文件章节及条款号</w:t>
            </w:r>
          </w:p>
        </w:tc>
        <w:tc>
          <w:tcPr>
            <w:tcW w:w="1713" w:type="dxa"/>
          </w:tcPr>
          <w:p w14:paraId="19D2FA32">
            <w:pPr>
              <w:pStyle w:val="73"/>
              <w:spacing w:before="173" w:line="219" w:lineRule="auto"/>
              <w:ind w:left="417"/>
              <w:rPr>
                <w:rFonts w:hint="eastAsia"/>
                <w:kern w:val="0"/>
                <w:sz w:val="20"/>
              </w:rPr>
            </w:pPr>
            <w:r>
              <w:rPr>
                <w:spacing w:val="5"/>
                <w:kern w:val="0"/>
                <w:sz w:val="20"/>
              </w:rPr>
              <w:t>偏差说明</w:t>
            </w:r>
          </w:p>
        </w:tc>
      </w:tr>
      <w:tr w14:paraId="29EDF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24" w:type="dxa"/>
          </w:tcPr>
          <w:p w14:paraId="03A29218">
            <w:pPr>
              <w:pStyle w:val="73"/>
              <w:spacing w:before="233" w:line="184" w:lineRule="auto"/>
              <w:ind w:left="495"/>
              <w:rPr>
                <w:rFonts w:hint="eastAsia"/>
                <w:kern w:val="0"/>
                <w:sz w:val="20"/>
              </w:rPr>
            </w:pPr>
            <w:r>
              <w:rPr>
                <w:kern w:val="0"/>
                <w:sz w:val="20"/>
              </w:rPr>
              <w:t>1</w:t>
            </w:r>
          </w:p>
        </w:tc>
        <w:tc>
          <w:tcPr>
            <w:tcW w:w="3106" w:type="dxa"/>
          </w:tcPr>
          <w:p w14:paraId="0ECB5500">
            <w:pPr>
              <w:rPr>
                <w:rFonts w:ascii="Arial" w:hAnsi="Times New Roman" w:eastAsia="宋体" w:cs="Times New Roman"/>
                <w:kern w:val="0"/>
                <w:sz w:val="20"/>
              </w:rPr>
            </w:pPr>
          </w:p>
        </w:tc>
        <w:tc>
          <w:tcPr>
            <w:tcW w:w="3117" w:type="dxa"/>
          </w:tcPr>
          <w:p w14:paraId="29888FE8">
            <w:pPr>
              <w:rPr>
                <w:rFonts w:ascii="Arial" w:hAnsi="Times New Roman" w:eastAsia="宋体" w:cs="Times New Roman"/>
                <w:kern w:val="0"/>
                <w:sz w:val="20"/>
              </w:rPr>
            </w:pPr>
          </w:p>
        </w:tc>
        <w:tc>
          <w:tcPr>
            <w:tcW w:w="1713" w:type="dxa"/>
          </w:tcPr>
          <w:p w14:paraId="770585E1">
            <w:pPr>
              <w:rPr>
                <w:rFonts w:ascii="Arial" w:hAnsi="Times New Roman" w:eastAsia="宋体" w:cs="Times New Roman"/>
                <w:kern w:val="0"/>
                <w:sz w:val="20"/>
              </w:rPr>
            </w:pPr>
          </w:p>
        </w:tc>
      </w:tr>
      <w:tr w14:paraId="4C39C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24" w:type="dxa"/>
          </w:tcPr>
          <w:p w14:paraId="2936559E">
            <w:pPr>
              <w:pStyle w:val="73"/>
              <w:spacing w:before="235" w:line="183" w:lineRule="auto"/>
              <w:ind w:left="495"/>
              <w:rPr>
                <w:rFonts w:hint="eastAsia"/>
                <w:kern w:val="0"/>
                <w:sz w:val="20"/>
              </w:rPr>
            </w:pPr>
            <w:r>
              <w:rPr>
                <w:kern w:val="0"/>
                <w:sz w:val="20"/>
              </w:rPr>
              <w:t>2</w:t>
            </w:r>
          </w:p>
        </w:tc>
        <w:tc>
          <w:tcPr>
            <w:tcW w:w="3106" w:type="dxa"/>
          </w:tcPr>
          <w:p w14:paraId="247F4ACB">
            <w:pPr>
              <w:rPr>
                <w:rFonts w:ascii="Arial" w:hAnsi="Times New Roman" w:eastAsia="宋体" w:cs="Times New Roman"/>
                <w:kern w:val="0"/>
                <w:sz w:val="20"/>
              </w:rPr>
            </w:pPr>
          </w:p>
        </w:tc>
        <w:tc>
          <w:tcPr>
            <w:tcW w:w="3117" w:type="dxa"/>
          </w:tcPr>
          <w:p w14:paraId="426510A8">
            <w:pPr>
              <w:rPr>
                <w:rFonts w:ascii="Arial" w:hAnsi="Times New Roman" w:eastAsia="宋体" w:cs="Times New Roman"/>
                <w:kern w:val="0"/>
                <w:sz w:val="20"/>
              </w:rPr>
            </w:pPr>
          </w:p>
        </w:tc>
        <w:tc>
          <w:tcPr>
            <w:tcW w:w="1713" w:type="dxa"/>
          </w:tcPr>
          <w:p w14:paraId="3A3CDEBD">
            <w:pPr>
              <w:rPr>
                <w:rFonts w:ascii="Arial" w:hAnsi="Times New Roman" w:eastAsia="宋体" w:cs="Times New Roman"/>
                <w:kern w:val="0"/>
                <w:sz w:val="20"/>
              </w:rPr>
            </w:pPr>
          </w:p>
        </w:tc>
      </w:tr>
      <w:tr w14:paraId="1BB70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24" w:type="dxa"/>
          </w:tcPr>
          <w:p w14:paraId="607E537B">
            <w:pPr>
              <w:pStyle w:val="73"/>
              <w:spacing w:before="236" w:line="183" w:lineRule="auto"/>
              <w:ind w:left="495"/>
              <w:rPr>
                <w:rFonts w:hint="eastAsia"/>
                <w:kern w:val="0"/>
                <w:sz w:val="20"/>
              </w:rPr>
            </w:pPr>
            <w:r>
              <w:rPr>
                <w:kern w:val="0"/>
                <w:sz w:val="20"/>
              </w:rPr>
              <w:t>3</w:t>
            </w:r>
          </w:p>
        </w:tc>
        <w:tc>
          <w:tcPr>
            <w:tcW w:w="3106" w:type="dxa"/>
          </w:tcPr>
          <w:p w14:paraId="69558B3E">
            <w:pPr>
              <w:rPr>
                <w:rFonts w:ascii="Arial" w:hAnsi="Times New Roman" w:eastAsia="宋体" w:cs="Times New Roman"/>
                <w:kern w:val="0"/>
                <w:sz w:val="20"/>
              </w:rPr>
            </w:pPr>
          </w:p>
        </w:tc>
        <w:tc>
          <w:tcPr>
            <w:tcW w:w="3117" w:type="dxa"/>
          </w:tcPr>
          <w:p w14:paraId="11CBC981">
            <w:pPr>
              <w:rPr>
                <w:rFonts w:ascii="Arial" w:hAnsi="Times New Roman" w:eastAsia="宋体" w:cs="Times New Roman"/>
                <w:kern w:val="0"/>
                <w:sz w:val="20"/>
              </w:rPr>
            </w:pPr>
          </w:p>
        </w:tc>
        <w:tc>
          <w:tcPr>
            <w:tcW w:w="1713" w:type="dxa"/>
          </w:tcPr>
          <w:p w14:paraId="51FE16A1">
            <w:pPr>
              <w:rPr>
                <w:rFonts w:ascii="Arial" w:hAnsi="Times New Roman" w:eastAsia="宋体" w:cs="Times New Roman"/>
                <w:kern w:val="0"/>
                <w:sz w:val="20"/>
              </w:rPr>
            </w:pPr>
          </w:p>
        </w:tc>
      </w:tr>
      <w:tr w14:paraId="78B91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24" w:type="dxa"/>
          </w:tcPr>
          <w:p w14:paraId="572A8BA0">
            <w:pPr>
              <w:pStyle w:val="73"/>
              <w:spacing w:before="227" w:line="183" w:lineRule="auto"/>
              <w:ind w:left="495"/>
              <w:rPr>
                <w:rFonts w:hint="eastAsia"/>
                <w:kern w:val="0"/>
                <w:sz w:val="20"/>
              </w:rPr>
            </w:pPr>
            <w:r>
              <w:rPr>
                <w:kern w:val="0"/>
                <w:sz w:val="20"/>
              </w:rPr>
              <w:t>4</w:t>
            </w:r>
          </w:p>
        </w:tc>
        <w:tc>
          <w:tcPr>
            <w:tcW w:w="3106" w:type="dxa"/>
          </w:tcPr>
          <w:p w14:paraId="163B4F72">
            <w:pPr>
              <w:rPr>
                <w:rFonts w:ascii="Arial" w:hAnsi="Times New Roman" w:eastAsia="宋体" w:cs="Times New Roman"/>
                <w:kern w:val="0"/>
                <w:sz w:val="20"/>
              </w:rPr>
            </w:pPr>
          </w:p>
        </w:tc>
        <w:tc>
          <w:tcPr>
            <w:tcW w:w="3117" w:type="dxa"/>
          </w:tcPr>
          <w:p w14:paraId="7C63857A">
            <w:pPr>
              <w:rPr>
                <w:rFonts w:ascii="Arial" w:hAnsi="Times New Roman" w:eastAsia="宋体" w:cs="Times New Roman"/>
                <w:kern w:val="0"/>
                <w:sz w:val="20"/>
              </w:rPr>
            </w:pPr>
          </w:p>
        </w:tc>
        <w:tc>
          <w:tcPr>
            <w:tcW w:w="1713" w:type="dxa"/>
          </w:tcPr>
          <w:p w14:paraId="11049AF3">
            <w:pPr>
              <w:rPr>
                <w:rFonts w:ascii="Arial" w:hAnsi="Times New Roman" w:eastAsia="宋体" w:cs="Times New Roman"/>
                <w:kern w:val="0"/>
                <w:sz w:val="20"/>
              </w:rPr>
            </w:pPr>
          </w:p>
        </w:tc>
      </w:tr>
      <w:tr w14:paraId="44D6B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124" w:type="dxa"/>
          </w:tcPr>
          <w:p w14:paraId="7002A0BF">
            <w:pPr>
              <w:pStyle w:val="73"/>
              <w:spacing w:before="241" w:line="182" w:lineRule="auto"/>
              <w:ind w:left="495"/>
              <w:rPr>
                <w:rFonts w:hint="eastAsia"/>
                <w:kern w:val="0"/>
                <w:sz w:val="20"/>
              </w:rPr>
            </w:pPr>
            <w:r>
              <w:rPr>
                <w:kern w:val="0"/>
                <w:sz w:val="20"/>
              </w:rPr>
              <w:t>5</w:t>
            </w:r>
          </w:p>
        </w:tc>
        <w:tc>
          <w:tcPr>
            <w:tcW w:w="3106" w:type="dxa"/>
          </w:tcPr>
          <w:p w14:paraId="2FDDB301">
            <w:pPr>
              <w:rPr>
                <w:rFonts w:ascii="Arial" w:hAnsi="Times New Roman" w:eastAsia="宋体" w:cs="Times New Roman"/>
                <w:kern w:val="0"/>
                <w:sz w:val="20"/>
              </w:rPr>
            </w:pPr>
          </w:p>
        </w:tc>
        <w:tc>
          <w:tcPr>
            <w:tcW w:w="3117" w:type="dxa"/>
          </w:tcPr>
          <w:p w14:paraId="6728EB54">
            <w:pPr>
              <w:rPr>
                <w:rFonts w:ascii="Arial" w:hAnsi="Times New Roman" w:eastAsia="宋体" w:cs="Times New Roman"/>
                <w:kern w:val="0"/>
                <w:sz w:val="20"/>
              </w:rPr>
            </w:pPr>
          </w:p>
        </w:tc>
        <w:tc>
          <w:tcPr>
            <w:tcW w:w="1713" w:type="dxa"/>
          </w:tcPr>
          <w:p w14:paraId="27D8D7AC">
            <w:pPr>
              <w:rPr>
                <w:rFonts w:ascii="Arial" w:hAnsi="Times New Roman" w:eastAsia="宋体" w:cs="Times New Roman"/>
                <w:kern w:val="0"/>
                <w:sz w:val="20"/>
              </w:rPr>
            </w:pPr>
          </w:p>
        </w:tc>
      </w:tr>
      <w:tr w14:paraId="4305F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124" w:type="dxa"/>
          </w:tcPr>
          <w:p w14:paraId="7C92742F">
            <w:pPr>
              <w:pStyle w:val="73"/>
              <w:spacing w:before="198" w:line="331" w:lineRule="exact"/>
              <w:ind w:left="344"/>
              <w:rPr>
                <w:rFonts w:hint="eastAsia"/>
                <w:kern w:val="0"/>
                <w:sz w:val="20"/>
              </w:rPr>
            </w:pPr>
            <w:r>
              <w:rPr>
                <w:spacing w:val="-6"/>
                <w:kern w:val="0"/>
                <w:position w:val="2"/>
                <w:sz w:val="20"/>
              </w:rPr>
              <w:t>……</w:t>
            </w:r>
          </w:p>
        </w:tc>
        <w:tc>
          <w:tcPr>
            <w:tcW w:w="3106" w:type="dxa"/>
          </w:tcPr>
          <w:p w14:paraId="198026E3">
            <w:pPr>
              <w:rPr>
                <w:rFonts w:ascii="Arial" w:hAnsi="Times New Roman" w:eastAsia="宋体" w:cs="Times New Roman"/>
                <w:kern w:val="0"/>
                <w:sz w:val="20"/>
              </w:rPr>
            </w:pPr>
          </w:p>
        </w:tc>
        <w:tc>
          <w:tcPr>
            <w:tcW w:w="3117" w:type="dxa"/>
          </w:tcPr>
          <w:p w14:paraId="64609706">
            <w:pPr>
              <w:rPr>
                <w:rFonts w:ascii="Arial" w:hAnsi="Times New Roman" w:eastAsia="宋体" w:cs="Times New Roman"/>
                <w:kern w:val="0"/>
                <w:sz w:val="20"/>
              </w:rPr>
            </w:pPr>
          </w:p>
        </w:tc>
        <w:tc>
          <w:tcPr>
            <w:tcW w:w="1713" w:type="dxa"/>
          </w:tcPr>
          <w:p w14:paraId="688EA2BC">
            <w:pPr>
              <w:rPr>
                <w:rFonts w:ascii="Arial" w:hAnsi="Times New Roman" w:eastAsia="宋体" w:cs="Times New Roman"/>
                <w:kern w:val="0"/>
                <w:sz w:val="20"/>
              </w:rPr>
            </w:pPr>
          </w:p>
        </w:tc>
      </w:tr>
    </w:tbl>
    <w:p w14:paraId="564E8F89">
      <w:pPr>
        <w:pStyle w:val="13"/>
        <w:spacing w:line="252" w:lineRule="auto"/>
      </w:pPr>
    </w:p>
    <w:p w14:paraId="1EE56F96">
      <w:pPr>
        <w:spacing w:before="81" w:line="332" w:lineRule="auto"/>
        <w:ind w:right="11" w:firstLine="500"/>
        <w:rPr>
          <w:rFonts w:hint="eastAsia" w:ascii="宋体" w:hAnsi="宋体" w:eastAsia="宋体" w:cs="宋体"/>
          <w:spacing w:val="1"/>
          <w:sz w:val="25"/>
          <w:szCs w:val="25"/>
        </w:rPr>
      </w:pPr>
      <w:r>
        <w:rPr>
          <w:rFonts w:ascii="宋体" w:hAnsi="宋体" w:eastAsia="宋体" w:cs="宋体"/>
          <w:spacing w:val="2"/>
          <w:sz w:val="25"/>
          <w:szCs w:val="25"/>
        </w:rPr>
        <w:t>供应商保证：除商务和技术偏差表列出的偏差外，供应商响应采</w:t>
      </w:r>
      <w:r>
        <w:rPr>
          <w:rFonts w:ascii="宋体" w:hAnsi="宋体" w:eastAsia="宋体" w:cs="宋体"/>
          <w:spacing w:val="1"/>
          <w:sz w:val="25"/>
          <w:szCs w:val="25"/>
        </w:rPr>
        <w:t>购文件的全部要求。</w:t>
      </w:r>
    </w:p>
    <w:p w14:paraId="62F687C9">
      <w:pPr>
        <w:rPr>
          <w:rFonts w:ascii="Times New Roman" w:hAnsi="Times New Roman" w:cs="Times New Roman"/>
        </w:rPr>
      </w:pPr>
    </w:p>
    <w:p w14:paraId="26C41000">
      <w:pPr>
        <w:rPr>
          <w:rFonts w:ascii="Times New Roman" w:hAnsi="Times New Roman" w:cs="Times New Roman"/>
        </w:rPr>
      </w:pPr>
    </w:p>
    <w:p w14:paraId="4AA68BA5">
      <w:pPr>
        <w:rPr>
          <w:rFonts w:ascii="Times New Roman" w:hAnsi="Times New Roman" w:cs="Times New Roman"/>
        </w:rPr>
      </w:pPr>
    </w:p>
    <w:p w14:paraId="724802E5">
      <w:pPr>
        <w:rPr>
          <w:rFonts w:ascii="Times New Roman" w:hAnsi="Times New Roman" w:cs="Times New Roman"/>
        </w:rPr>
      </w:pPr>
    </w:p>
    <w:p w14:paraId="4FA3EFBF">
      <w:pPr>
        <w:rPr>
          <w:rFonts w:ascii="Times New Roman" w:hAnsi="Times New Roman" w:cs="Times New Roman"/>
        </w:rPr>
      </w:pPr>
    </w:p>
    <w:p w14:paraId="5F31433C">
      <w:pPr>
        <w:rPr>
          <w:rFonts w:ascii="Times New Roman" w:hAnsi="Times New Roman" w:cs="Times New Roman"/>
        </w:rPr>
      </w:pPr>
    </w:p>
    <w:p w14:paraId="7FED2E42">
      <w:pPr>
        <w:rPr>
          <w:rFonts w:ascii="Times New Roman" w:hAnsi="Times New Roman" w:cs="Times New Roman"/>
        </w:rPr>
      </w:pPr>
    </w:p>
    <w:p w14:paraId="49149588">
      <w:pPr>
        <w:rPr>
          <w:rFonts w:ascii="Times New Roman" w:hAnsi="Times New Roman" w:cs="Times New Roman"/>
        </w:rPr>
      </w:pPr>
    </w:p>
    <w:p w14:paraId="35B9707A">
      <w:pPr>
        <w:rPr>
          <w:rFonts w:ascii="Times New Roman" w:hAnsi="Times New Roman" w:cs="Times New Roman"/>
        </w:rPr>
      </w:pPr>
    </w:p>
    <w:p w14:paraId="261CCBA4">
      <w:pPr>
        <w:rPr>
          <w:rFonts w:ascii="Times New Roman" w:hAnsi="Times New Roman" w:cs="Times New Roman"/>
        </w:rPr>
      </w:pPr>
    </w:p>
    <w:p w14:paraId="39BD2BD2">
      <w:pPr>
        <w:rPr>
          <w:rFonts w:ascii="Times New Roman" w:hAnsi="Times New Roman" w:cs="Times New Roman"/>
        </w:rPr>
      </w:pPr>
    </w:p>
    <w:p w14:paraId="2946D794">
      <w:pPr>
        <w:rPr>
          <w:rFonts w:ascii="Times New Roman" w:hAnsi="Times New Roman" w:cs="Times New Roman"/>
        </w:rPr>
      </w:pPr>
    </w:p>
    <w:p w14:paraId="1DC91CC3">
      <w:pPr>
        <w:pStyle w:val="2"/>
        <w:jc w:val="center"/>
        <w:rPr>
          <w:rStyle w:val="69"/>
          <w:rFonts w:hint="default" w:ascii="黑体" w:hAnsi="黑体" w:eastAsia="黑体"/>
          <w:sz w:val="32"/>
          <w:szCs w:val="32"/>
        </w:rPr>
      </w:pPr>
      <w:bookmarkStart w:id="286" w:name="_Toc204594034"/>
      <w:r>
        <w:rPr>
          <w:rStyle w:val="69"/>
          <w:rFonts w:hint="default" w:ascii="黑体" w:hAnsi="黑体" w:eastAsia="黑体"/>
          <w:sz w:val="32"/>
          <w:szCs w:val="32"/>
        </w:rPr>
        <w:t>七、承诺书（格式附后）</w:t>
      </w:r>
      <w:bookmarkEnd w:id="286"/>
    </w:p>
    <w:p w14:paraId="47613011">
      <w:pPr>
        <w:spacing w:line="560" w:lineRule="exact"/>
        <w:jc w:val="center"/>
        <w:rPr>
          <w:rFonts w:hint="eastAsia" w:ascii="仿宋" w:hAnsi="仿宋" w:eastAsia="仿宋"/>
          <w:b/>
          <w:sz w:val="28"/>
          <w:szCs w:val="28"/>
        </w:rPr>
      </w:pPr>
      <w:r>
        <w:rPr>
          <w:rFonts w:hint="eastAsia" w:ascii="仿宋" w:hAnsi="仿宋" w:eastAsia="仿宋"/>
          <w:b/>
          <w:sz w:val="28"/>
          <w:szCs w:val="28"/>
        </w:rPr>
        <w:t>承诺书</w:t>
      </w:r>
    </w:p>
    <w:p w14:paraId="767DE419">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 xml:space="preserve">我单位自愿参加该项目的采购活动，为此，我们郑重承诺： </w:t>
      </w:r>
    </w:p>
    <w:p w14:paraId="56A490D0">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 xml:space="preserve">一、遵守法律法规，诚实守信，合法经营，严格自律，不参与、不做任何违法违纪的事。 </w:t>
      </w:r>
    </w:p>
    <w:p w14:paraId="02544D9D">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二、确保提供的材料真实、合法、有效，对他人的知识产权不构成侵权。如因材料弄虚作假，或导致知识产权侵权行为，或给采购人的使用带来严重影响，造成经济损失，我单位愿承担由此造成的一切法律责任和经济赔偿。</w:t>
      </w:r>
    </w:p>
    <w:p w14:paraId="77322F89">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三、如果我单位被确定为成交人，将保证服务质量符合采购文件和合同要求，承诺在合同规定的时间内完成服务工作，并认真履行合同约定的后续服务义务。</w:t>
      </w:r>
    </w:p>
    <w:p w14:paraId="5B56A11E">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四、本项目授权委托人和拟派项目负责人均为我单位正式工作人员。我单位和拟派项目负责人目前没有被限制参加采购活动的不良行为记录。</w:t>
      </w:r>
    </w:p>
    <w:p w14:paraId="256FE087">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五、我公司郑重承诺，在参加本次采购活动前三年内，经营活动中没有重大违法记录。</w:t>
      </w:r>
    </w:p>
    <w:p w14:paraId="500572B5">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如违反上述承诺，愿意接受取消我单位响应（报价）、成交或正在实施项目的资格，自愿放弃索要响应保证金的权利，接受不予退还响应保证金（或履约保证金）以及拒绝我单位在一定时期内进入采购人和亳州公共交通集团有限公司及下属企业进行采购活动的处理，由此引起的一切后果和经济损失均由我单位承担。</w:t>
      </w:r>
    </w:p>
    <w:p w14:paraId="7C0E7785">
      <w:pPr>
        <w:spacing w:line="400" w:lineRule="exact"/>
        <w:ind w:firstLine="560" w:firstLineChars="200"/>
        <w:rPr>
          <w:rFonts w:hint="eastAsia" w:ascii="仿宋" w:hAnsi="仿宋" w:eastAsia="仿宋"/>
          <w:sz w:val="28"/>
          <w:szCs w:val="28"/>
        </w:rPr>
      </w:pPr>
    </w:p>
    <w:p w14:paraId="520C2D7D">
      <w:pPr>
        <w:spacing w:line="400" w:lineRule="exact"/>
        <w:ind w:firstLine="3080" w:firstLineChars="1100"/>
        <w:rPr>
          <w:rFonts w:hint="eastAsia" w:ascii="仿宋" w:hAnsi="仿宋" w:eastAsia="仿宋"/>
          <w:sz w:val="28"/>
          <w:szCs w:val="28"/>
        </w:rPr>
      </w:pPr>
    </w:p>
    <w:p w14:paraId="3839FE23">
      <w:pPr>
        <w:spacing w:line="400" w:lineRule="exact"/>
        <w:ind w:firstLine="3080" w:firstLineChars="1100"/>
        <w:rPr>
          <w:rFonts w:hint="eastAsia" w:ascii="仿宋" w:hAnsi="仿宋" w:eastAsia="仿宋"/>
          <w:sz w:val="28"/>
          <w:szCs w:val="28"/>
        </w:rPr>
      </w:pPr>
      <w:r>
        <w:rPr>
          <w:rFonts w:hint="eastAsia" w:ascii="仿宋" w:hAnsi="仿宋" w:eastAsia="仿宋"/>
          <w:sz w:val="28"/>
          <w:szCs w:val="28"/>
        </w:rPr>
        <w:t>供应商名称（公章）：</w:t>
      </w:r>
    </w:p>
    <w:p w14:paraId="23D74382">
      <w:pPr>
        <w:spacing w:line="400" w:lineRule="exact"/>
        <w:ind w:firstLine="3080" w:firstLineChars="1100"/>
        <w:rPr>
          <w:rFonts w:hint="eastAsia" w:ascii="仿宋" w:hAnsi="仿宋" w:eastAsia="仿宋"/>
          <w:sz w:val="28"/>
          <w:szCs w:val="28"/>
        </w:rPr>
      </w:pPr>
    </w:p>
    <w:p w14:paraId="14458DF3">
      <w:pPr>
        <w:spacing w:line="400" w:lineRule="exact"/>
        <w:ind w:firstLine="3080" w:firstLineChars="1100"/>
        <w:rPr>
          <w:rFonts w:ascii="仿宋" w:hAnsi="仿宋" w:eastAsia="仿宋"/>
          <w:sz w:val="28"/>
          <w:szCs w:val="28"/>
        </w:rPr>
      </w:pPr>
      <w:r>
        <w:rPr>
          <w:rFonts w:hint="eastAsia" w:ascii="仿宋" w:hAnsi="仿宋" w:eastAsia="仿宋"/>
          <w:sz w:val="28"/>
          <w:szCs w:val="28"/>
        </w:rPr>
        <w:t>法定代表人签字或盖章：</w:t>
      </w:r>
    </w:p>
    <w:p w14:paraId="6C4F6F26">
      <w:pPr>
        <w:spacing w:line="400" w:lineRule="exact"/>
        <w:ind w:firstLine="3080" w:firstLineChars="1100"/>
        <w:rPr>
          <w:rFonts w:hint="eastAsia" w:ascii="仿宋" w:hAnsi="仿宋" w:eastAsia="仿宋"/>
          <w:sz w:val="28"/>
          <w:szCs w:val="28"/>
        </w:rPr>
      </w:pPr>
    </w:p>
    <w:p w14:paraId="1ED693A5">
      <w:pPr>
        <w:spacing w:line="400" w:lineRule="exact"/>
        <w:ind w:firstLine="3080" w:firstLineChars="1100"/>
        <w:rPr>
          <w:rFonts w:hint="eastAsia" w:ascii="仿宋" w:hAnsi="仿宋" w:eastAsia="仿宋"/>
          <w:sz w:val="28"/>
          <w:szCs w:val="28"/>
        </w:rPr>
      </w:pPr>
      <w:r>
        <w:rPr>
          <w:rFonts w:hint="eastAsia" w:ascii="仿宋" w:hAnsi="仿宋" w:eastAsia="仿宋"/>
          <w:sz w:val="28"/>
          <w:szCs w:val="28"/>
        </w:rPr>
        <w:t>日期：     年  月  日</w:t>
      </w:r>
    </w:p>
    <w:sectPr>
      <w:headerReference r:id="rId9" w:type="default"/>
      <w:footerReference r:id="rId10" w:type="default"/>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D53AC">
    <w:pPr>
      <w:pStyle w:val="18"/>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7199A">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8AA82">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5175069"/>
      <w:docPartObj>
        <w:docPartGallery w:val="AutoText"/>
      </w:docPartObj>
    </w:sdtPr>
    <w:sdtContent>
      <w:p w14:paraId="66F50CF6">
        <w:pPr>
          <w:pStyle w:val="18"/>
          <w:jc w:val="center"/>
        </w:pPr>
        <w:r>
          <w:fldChar w:fldCharType="begin"/>
        </w:r>
        <w:r>
          <w:instrText xml:space="preserve">PAGE   \* MERGEFORMAT</w:instrText>
        </w:r>
        <w:r>
          <w:fldChar w:fldCharType="separate"/>
        </w:r>
        <w:r>
          <w:rPr>
            <w:lang w:val="zh-CN"/>
          </w:rPr>
          <w:t>2</w:t>
        </w:r>
        <w:r>
          <w:fldChar w:fldCharType="end"/>
        </w:r>
      </w:p>
    </w:sdtContent>
  </w:sdt>
  <w:p w14:paraId="61FF2004">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2FEB6">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1AC5A">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B159E">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1518">
    <w:pPr>
      <w:pStyle w:val="2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0C2940"/>
    <w:rsid w:val="000C2940"/>
    <w:rsid w:val="000F2F2B"/>
    <w:rsid w:val="005C09A0"/>
    <w:rsid w:val="008442A5"/>
    <w:rsid w:val="00937FAA"/>
    <w:rsid w:val="00AD7F43"/>
    <w:rsid w:val="00C02CBC"/>
    <w:rsid w:val="00C11F72"/>
    <w:rsid w:val="00D90CD3"/>
    <w:rsid w:val="28EF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1"/>
    <w:basedOn w:val="1"/>
    <w:next w:val="1"/>
    <w:link w:val="35"/>
    <w:qFormat/>
    <w:uiPriority w:val="0"/>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36"/>
    <w:unhideWhenUsed/>
    <w:qFormat/>
    <w:uiPriority w:val="0"/>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37"/>
    <w:unhideWhenUsed/>
    <w:qFormat/>
    <w:uiPriority w:val="0"/>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38"/>
    <w:unhideWhenUsed/>
    <w:qFormat/>
    <w:uiPriority w:val="0"/>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39"/>
    <w:semiHidden/>
    <w:unhideWhenUsed/>
    <w:qFormat/>
    <w:uiPriority w:val="9"/>
    <w:pPr>
      <w:keepNext/>
      <w:keepLines/>
      <w:spacing w:before="80" w:after="40"/>
      <w:outlineLvl w:val="4"/>
    </w:pPr>
    <w:rPr>
      <w:rFonts w:cstheme="majorBidi"/>
      <w:color w:val="0F4761" w:themeColor="accent1" w:themeShade="BF"/>
      <w:sz w:val="24"/>
    </w:rPr>
  </w:style>
  <w:style w:type="paragraph" w:styleId="7">
    <w:name w:val="heading 6"/>
    <w:basedOn w:val="1"/>
    <w:next w:val="1"/>
    <w:link w:val="40"/>
    <w:semiHidden/>
    <w:unhideWhenUsed/>
    <w:qFormat/>
    <w:uiPriority w:val="9"/>
    <w:pPr>
      <w:keepNext/>
      <w:keepLines/>
      <w:spacing w:before="40"/>
      <w:outlineLvl w:val="5"/>
    </w:pPr>
    <w:rPr>
      <w:rFonts w:cstheme="majorBidi"/>
      <w:b/>
      <w:bCs/>
      <w:color w:val="0F4761" w:themeColor="accent1" w:themeShade="BF"/>
    </w:rPr>
  </w:style>
  <w:style w:type="paragraph" w:styleId="8">
    <w:name w:val="heading 7"/>
    <w:basedOn w:val="1"/>
    <w:next w:val="1"/>
    <w:link w:val="41"/>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42"/>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43"/>
    <w:semiHidden/>
    <w:unhideWhenUsed/>
    <w:qFormat/>
    <w:uiPriority w:val="9"/>
    <w:pPr>
      <w:keepNext/>
      <w:keepLines/>
      <w:outlineLvl w:val="8"/>
    </w:pPr>
    <w:rPr>
      <w:rFonts w:eastAsiaTheme="majorEastAsia" w:cstheme="majorBidi"/>
      <w:color w:val="585858" w:themeColor="text1" w:themeTint="A6"/>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55"/>
    <w:qFormat/>
    <w:uiPriority w:val="0"/>
    <w:pPr>
      <w:jc w:val="left"/>
    </w:pPr>
    <w:rPr>
      <w:rFonts w:eastAsia="宋体"/>
    </w:rPr>
  </w:style>
  <w:style w:type="paragraph" w:styleId="12">
    <w:name w:val="Body Text 3"/>
    <w:basedOn w:val="1"/>
    <w:link w:val="56"/>
    <w:qFormat/>
    <w:uiPriority w:val="0"/>
    <w:rPr>
      <w:rFonts w:ascii="宋体"/>
      <w:sz w:val="24"/>
      <w:szCs w:val="20"/>
    </w:rPr>
  </w:style>
  <w:style w:type="paragraph" w:styleId="13">
    <w:name w:val="Body Text"/>
    <w:basedOn w:val="1"/>
    <w:link w:val="57"/>
    <w:qFormat/>
    <w:uiPriority w:val="0"/>
    <w:pPr>
      <w:spacing w:after="120"/>
    </w:pPr>
  </w:style>
  <w:style w:type="paragraph" w:styleId="14">
    <w:name w:val="Body Text Indent"/>
    <w:basedOn w:val="1"/>
    <w:link w:val="58"/>
    <w:qFormat/>
    <w:uiPriority w:val="0"/>
    <w:pPr>
      <w:spacing w:after="120"/>
      <w:ind w:left="420" w:leftChars="200"/>
    </w:pPr>
  </w:style>
  <w:style w:type="paragraph" w:styleId="15">
    <w:name w:val="toc 3"/>
    <w:basedOn w:val="1"/>
    <w:next w:val="1"/>
    <w:autoRedefine/>
    <w:uiPriority w:val="39"/>
    <w:pPr>
      <w:ind w:left="840" w:leftChars="400"/>
    </w:pPr>
  </w:style>
  <w:style w:type="paragraph" w:styleId="16">
    <w:name w:val="Plain Text"/>
    <w:basedOn w:val="1"/>
    <w:link w:val="59"/>
    <w:qFormat/>
    <w:uiPriority w:val="0"/>
    <w:rPr>
      <w:rFonts w:ascii="宋体" w:hAnsi="Courier New"/>
      <w:szCs w:val="20"/>
    </w:rPr>
  </w:style>
  <w:style w:type="paragraph" w:styleId="17">
    <w:name w:val="Date"/>
    <w:basedOn w:val="1"/>
    <w:next w:val="1"/>
    <w:link w:val="60"/>
    <w:qFormat/>
    <w:uiPriority w:val="0"/>
    <w:pPr>
      <w:ind w:left="100" w:leftChars="2500"/>
    </w:pPr>
  </w:style>
  <w:style w:type="paragraph" w:styleId="18">
    <w:name w:val="footer"/>
    <w:basedOn w:val="1"/>
    <w:link w:val="54"/>
    <w:unhideWhenUsed/>
    <w:qFormat/>
    <w:uiPriority w:val="99"/>
    <w:pPr>
      <w:tabs>
        <w:tab w:val="center" w:pos="4153"/>
        <w:tab w:val="right" w:pos="8306"/>
      </w:tabs>
      <w:snapToGrid w:val="0"/>
      <w:jc w:val="left"/>
    </w:pPr>
    <w:rPr>
      <w:sz w:val="18"/>
      <w:szCs w:val="18"/>
    </w:rPr>
  </w:style>
  <w:style w:type="paragraph" w:styleId="19">
    <w:name w:val="envelope return"/>
    <w:basedOn w:val="1"/>
    <w:next w:val="20"/>
    <w:qFormat/>
    <w:uiPriority w:val="0"/>
    <w:pPr>
      <w:snapToGrid w:val="0"/>
    </w:pPr>
    <w:rPr>
      <w:rFonts w:ascii="Arial" w:hAnsi="Arial"/>
      <w:szCs w:val="20"/>
    </w:rPr>
  </w:style>
  <w:style w:type="paragraph" w:styleId="20">
    <w:name w:val="Title"/>
    <w:basedOn w:val="1"/>
    <w:next w:val="1"/>
    <w:link w:val="44"/>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21">
    <w:name w:val="header"/>
    <w:basedOn w:val="1"/>
    <w:link w:val="53"/>
    <w:unhideWhenUsed/>
    <w:qFormat/>
    <w:uiPriority w:val="0"/>
    <w:pPr>
      <w:tabs>
        <w:tab w:val="center" w:pos="4153"/>
        <w:tab w:val="right" w:pos="8306"/>
      </w:tabs>
      <w:snapToGrid w:val="0"/>
      <w:jc w:val="center"/>
    </w:pPr>
    <w:rPr>
      <w:sz w:val="18"/>
      <w:szCs w:val="18"/>
    </w:rPr>
  </w:style>
  <w:style w:type="paragraph" w:styleId="22">
    <w:name w:val="toc 1"/>
    <w:basedOn w:val="1"/>
    <w:next w:val="1"/>
    <w:qFormat/>
    <w:uiPriority w:val="39"/>
    <w:pPr>
      <w:spacing w:line="440" w:lineRule="exact"/>
      <w:jc w:val="center"/>
    </w:pPr>
  </w:style>
  <w:style w:type="paragraph" w:styleId="23">
    <w:name w:val="Subtitle"/>
    <w:basedOn w:val="1"/>
    <w:next w:val="1"/>
    <w:link w:val="45"/>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24">
    <w:name w:val="toc 2"/>
    <w:basedOn w:val="1"/>
    <w:next w:val="1"/>
    <w:autoRedefine/>
    <w:uiPriority w:val="39"/>
    <w:pPr>
      <w:ind w:left="420" w:leftChars="200"/>
    </w:pPr>
  </w:style>
  <w:style w:type="paragraph" w:styleId="25">
    <w:name w:val="HTML Preformatted"/>
    <w:basedOn w:val="1"/>
    <w:link w:val="61"/>
    <w:qFormat/>
    <w:uiPriority w:val="0"/>
    <w:pPr>
      <w:jc w:val="left"/>
    </w:pPr>
    <w:rPr>
      <w:rFonts w:hint="eastAsia" w:ascii="宋体" w:hAnsi="宋体"/>
      <w:kern w:val="0"/>
      <w:sz w:val="24"/>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7">
    <w:name w:val="Body Text First Indent"/>
    <w:basedOn w:val="13"/>
    <w:link w:val="62"/>
    <w:qFormat/>
    <w:uiPriority w:val="0"/>
    <w:pPr>
      <w:ind w:firstLine="420" w:firstLineChars="100"/>
    </w:pPr>
  </w:style>
  <w:style w:type="paragraph" w:styleId="28">
    <w:name w:val="Body Text First Indent 2"/>
    <w:basedOn w:val="14"/>
    <w:next w:val="1"/>
    <w:link w:val="63"/>
    <w:unhideWhenUsed/>
    <w:qFormat/>
    <w:uiPriority w:val="0"/>
    <w:pPr>
      <w:ind w:firstLine="420"/>
    </w:pPr>
  </w:style>
  <w:style w:type="table" w:styleId="30">
    <w:name w:val="Table Grid"/>
    <w:basedOn w:val="2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Hyperlink"/>
    <w:basedOn w:val="31"/>
    <w:unhideWhenUsed/>
    <w:qFormat/>
    <w:uiPriority w:val="99"/>
    <w:rPr>
      <w:color w:val="467886" w:themeColor="hyperlink"/>
      <w:u w:val="single"/>
    </w:rPr>
  </w:style>
  <w:style w:type="character" w:styleId="34">
    <w:name w:val="annotation reference"/>
    <w:basedOn w:val="31"/>
    <w:uiPriority w:val="0"/>
    <w:rPr>
      <w:sz w:val="21"/>
      <w:szCs w:val="21"/>
    </w:rPr>
  </w:style>
  <w:style w:type="character" w:customStyle="1" w:styleId="35">
    <w:name w:val="标题 1 字符"/>
    <w:basedOn w:val="31"/>
    <w:link w:val="2"/>
    <w:qFormat/>
    <w:uiPriority w:val="9"/>
    <w:rPr>
      <w:rFonts w:asciiTheme="majorHAnsi" w:hAnsiTheme="majorHAnsi" w:eastAsiaTheme="majorEastAsia" w:cstheme="majorBidi"/>
      <w:color w:val="0F4761" w:themeColor="accent1" w:themeShade="BF"/>
      <w:sz w:val="48"/>
      <w:szCs w:val="48"/>
    </w:rPr>
  </w:style>
  <w:style w:type="character" w:customStyle="1" w:styleId="36">
    <w:name w:val="标题 2 字符"/>
    <w:basedOn w:val="31"/>
    <w:link w:val="3"/>
    <w:semiHidden/>
    <w:qFormat/>
    <w:uiPriority w:val="9"/>
    <w:rPr>
      <w:rFonts w:asciiTheme="majorHAnsi" w:hAnsiTheme="majorHAnsi" w:eastAsiaTheme="majorEastAsia" w:cstheme="majorBidi"/>
      <w:color w:val="0F4761" w:themeColor="accent1" w:themeShade="BF"/>
      <w:sz w:val="40"/>
      <w:szCs w:val="40"/>
    </w:rPr>
  </w:style>
  <w:style w:type="character" w:customStyle="1" w:styleId="37">
    <w:name w:val="标题 3 字符"/>
    <w:basedOn w:val="31"/>
    <w:link w:val="4"/>
    <w:semiHidden/>
    <w:qFormat/>
    <w:uiPriority w:val="9"/>
    <w:rPr>
      <w:rFonts w:asciiTheme="majorHAnsi" w:hAnsiTheme="majorHAnsi" w:eastAsiaTheme="majorEastAsia" w:cstheme="majorBidi"/>
      <w:color w:val="0F4761" w:themeColor="accent1" w:themeShade="BF"/>
      <w:sz w:val="32"/>
      <w:szCs w:val="32"/>
    </w:rPr>
  </w:style>
  <w:style w:type="character" w:customStyle="1" w:styleId="38">
    <w:name w:val="标题 4 字符"/>
    <w:basedOn w:val="31"/>
    <w:link w:val="5"/>
    <w:uiPriority w:val="0"/>
    <w:rPr>
      <w:rFonts w:cstheme="majorBidi"/>
      <w:color w:val="0F4761" w:themeColor="accent1" w:themeShade="BF"/>
      <w:sz w:val="28"/>
      <w:szCs w:val="28"/>
    </w:rPr>
  </w:style>
  <w:style w:type="character" w:customStyle="1" w:styleId="39">
    <w:name w:val="标题 5 字符"/>
    <w:basedOn w:val="31"/>
    <w:link w:val="6"/>
    <w:semiHidden/>
    <w:qFormat/>
    <w:uiPriority w:val="9"/>
    <w:rPr>
      <w:rFonts w:cstheme="majorBidi"/>
      <w:color w:val="0F4761" w:themeColor="accent1" w:themeShade="BF"/>
      <w:sz w:val="24"/>
      <w:szCs w:val="24"/>
    </w:rPr>
  </w:style>
  <w:style w:type="character" w:customStyle="1" w:styleId="40">
    <w:name w:val="标题 6 字符"/>
    <w:basedOn w:val="31"/>
    <w:link w:val="7"/>
    <w:semiHidden/>
    <w:qFormat/>
    <w:uiPriority w:val="9"/>
    <w:rPr>
      <w:rFonts w:cstheme="majorBidi"/>
      <w:b/>
      <w:bCs/>
      <w:color w:val="0F4761" w:themeColor="accent1" w:themeShade="BF"/>
    </w:rPr>
  </w:style>
  <w:style w:type="character" w:customStyle="1" w:styleId="41">
    <w:name w:val="标题 7 字符"/>
    <w:basedOn w:val="31"/>
    <w:link w:val="8"/>
    <w:semiHidden/>
    <w:qFormat/>
    <w:uiPriority w:val="9"/>
    <w:rPr>
      <w:rFonts w:cstheme="majorBidi"/>
      <w:b/>
      <w:bCs/>
      <w:color w:val="585858" w:themeColor="text1" w:themeTint="A6"/>
    </w:rPr>
  </w:style>
  <w:style w:type="character" w:customStyle="1" w:styleId="42">
    <w:name w:val="标题 8 字符"/>
    <w:basedOn w:val="31"/>
    <w:link w:val="9"/>
    <w:semiHidden/>
    <w:uiPriority w:val="9"/>
    <w:rPr>
      <w:rFonts w:cstheme="majorBidi"/>
      <w:color w:val="585858" w:themeColor="text1" w:themeTint="A6"/>
    </w:rPr>
  </w:style>
  <w:style w:type="character" w:customStyle="1" w:styleId="43">
    <w:name w:val="标题 9 字符"/>
    <w:basedOn w:val="31"/>
    <w:link w:val="10"/>
    <w:semiHidden/>
    <w:qFormat/>
    <w:uiPriority w:val="9"/>
    <w:rPr>
      <w:rFonts w:eastAsiaTheme="majorEastAsia" w:cstheme="majorBidi"/>
      <w:color w:val="585858" w:themeColor="text1" w:themeTint="A6"/>
    </w:rPr>
  </w:style>
  <w:style w:type="character" w:customStyle="1" w:styleId="44">
    <w:name w:val="标题 字符"/>
    <w:basedOn w:val="31"/>
    <w:link w:val="20"/>
    <w:qFormat/>
    <w:uiPriority w:val="10"/>
    <w:rPr>
      <w:rFonts w:asciiTheme="majorHAnsi" w:hAnsiTheme="majorHAnsi" w:eastAsiaTheme="majorEastAsia" w:cstheme="majorBidi"/>
      <w:spacing w:val="-10"/>
      <w:kern w:val="28"/>
      <w:sz w:val="56"/>
      <w:szCs w:val="56"/>
    </w:rPr>
  </w:style>
  <w:style w:type="character" w:customStyle="1" w:styleId="45">
    <w:name w:val="副标题 字符"/>
    <w:basedOn w:val="31"/>
    <w:link w:val="23"/>
    <w:qFormat/>
    <w:uiPriority w:val="11"/>
    <w:rPr>
      <w:rFonts w:asciiTheme="majorHAnsi" w:hAnsiTheme="majorHAnsi" w:eastAsiaTheme="majorEastAsia" w:cstheme="majorBidi"/>
      <w:color w:val="585858" w:themeColor="text1" w:themeTint="A6"/>
      <w:spacing w:val="15"/>
      <w:sz w:val="28"/>
      <w:szCs w:val="28"/>
    </w:rPr>
  </w:style>
  <w:style w:type="paragraph" w:styleId="46">
    <w:name w:val="Quote"/>
    <w:basedOn w:val="1"/>
    <w:next w:val="1"/>
    <w:link w:val="47"/>
    <w:qFormat/>
    <w:uiPriority w:val="29"/>
    <w:pPr>
      <w:spacing w:before="160" w:after="160"/>
      <w:jc w:val="center"/>
    </w:pPr>
    <w:rPr>
      <w:i/>
      <w:iCs/>
      <w:color w:val="3F3F3F" w:themeColor="text1" w:themeTint="BF"/>
    </w:rPr>
  </w:style>
  <w:style w:type="character" w:customStyle="1" w:styleId="47">
    <w:name w:val="引用 字符"/>
    <w:basedOn w:val="31"/>
    <w:link w:val="46"/>
    <w:qFormat/>
    <w:uiPriority w:val="29"/>
    <w:rPr>
      <w:i/>
      <w:iCs/>
      <w:color w:val="3F3F3F" w:themeColor="text1" w:themeTint="BF"/>
    </w:rPr>
  </w:style>
  <w:style w:type="paragraph" w:styleId="48">
    <w:name w:val="List Paragraph"/>
    <w:basedOn w:val="1"/>
    <w:qFormat/>
    <w:uiPriority w:val="34"/>
    <w:pPr>
      <w:ind w:left="720"/>
      <w:contextualSpacing/>
    </w:pPr>
  </w:style>
  <w:style w:type="character" w:customStyle="1" w:styleId="49">
    <w:name w:val="Intense Emphasis"/>
    <w:basedOn w:val="31"/>
    <w:qFormat/>
    <w:uiPriority w:val="21"/>
    <w:rPr>
      <w:i/>
      <w:iCs/>
      <w:color w:val="0F4761" w:themeColor="accent1" w:themeShade="BF"/>
    </w:rPr>
  </w:style>
  <w:style w:type="paragraph" w:styleId="50">
    <w:name w:val="Intense Quote"/>
    <w:basedOn w:val="1"/>
    <w:next w:val="1"/>
    <w:link w:val="5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51">
    <w:name w:val="明显引用 字符"/>
    <w:basedOn w:val="31"/>
    <w:link w:val="50"/>
    <w:qFormat/>
    <w:uiPriority w:val="30"/>
    <w:rPr>
      <w:i/>
      <w:iCs/>
      <w:color w:val="0F4761" w:themeColor="accent1" w:themeShade="BF"/>
    </w:rPr>
  </w:style>
  <w:style w:type="character" w:customStyle="1" w:styleId="52">
    <w:name w:val="Intense Reference"/>
    <w:basedOn w:val="31"/>
    <w:qFormat/>
    <w:uiPriority w:val="32"/>
    <w:rPr>
      <w:b/>
      <w:bCs/>
      <w:smallCaps/>
      <w:color w:val="0F4761" w:themeColor="accent1" w:themeShade="BF"/>
      <w:spacing w:val="5"/>
    </w:rPr>
  </w:style>
  <w:style w:type="character" w:customStyle="1" w:styleId="53">
    <w:name w:val="页眉 字符"/>
    <w:basedOn w:val="31"/>
    <w:link w:val="21"/>
    <w:uiPriority w:val="99"/>
    <w:rPr>
      <w:sz w:val="18"/>
      <w:szCs w:val="18"/>
    </w:rPr>
  </w:style>
  <w:style w:type="character" w:customStyle="1" w:styleId="54">
    <w:name w:val="页脚 字符"/>
    <w:basedOn w:val="31"/>
    <w:link w:val="18"/>
    <w:qFormat/>
    <w:uiPriority w:val="99"/>
    <w:rPr>
      <w:sz w:val="18"/>
      <w:szCs w:val="18"/>
    </w:rPr>
  </w:style>
  <w:style w:type="character" w:customStyle="1" w:styleId="55">
    <w:name w:val="批注文字 字符"/>
    <w:basedOn w:val="31"/>
    <w:link w:val="11"/>
    <w:uiPriority w:val="0"/>
    <w:rPr>
      <w:rFonts w:eastAsia="宋体"/>
      <w:szCs w:val="24"/>
    </w:rPr>
  </w:style>
  <w:style w:type="character" w:customStyle="1" w:styleId="56">
    <w:name w:val="正文文本 3 字符"/>
    <w:basedOn w:val="31"/>
    <w:link w:val="12"/>
    <w:uiPriority w:val="0"/>
    <w:rPr>
      <w:rFonts w:ascii="宋体"/>
      <w:sz w:val="24"/>
      <w:szCs w:val="20"/>
    </w:rPr>
  </w:style>
  <w:style w:type="character" w:customStyle="1" w:styleId="57">
    <w:name w:val="正文文本 字符"/>
    <w:basedOn w:val="31"/>
    <w:link w:val="13"/>
    <w:qFormat/>
    <w:uiPriority w:val="0"/>
    <w:rPr>
      <w:szCs w:val="24"/>
    </w:rPr>
  </w:style>
  <w:style w:type="character" w:customStyle="1" w:styleId="58">
    <w:name w:val="正文文本缩进 字符"/>
    <w:basedOn w:val="31"/>
    <w:link w:val="14"/>
    <w:uiPriority w:val="0"/>
    <w:rPr>
      <w:szCs w:val="24"/>
    </w:rPr>
  </w:style>
  <w:style w:type="character" w:customStyle="1" w:styleId="59">
    <w:name w:val="纯文本 字符"/>
    <w:basedOn w:val="31"/>
    <w:link w:val="16"/>
    <w:uiPriority w:val="0"/>
    <w:rPr>
      <w:rFonts w:ascii="宋体" w:hAnsi="Courier New"/>
      <w:szCs w:val="20"/>
    </w:rPr>
  </w:style>
  <w:style w:type="character" w:customStyle="1" w:styleId="60">
    <w:name w:val="日期 字符"/>
    <w:basedOn w:val="31"/>
    <w:link w:val="17"/>
    <w:qFormat/>
    <w:uiPriority w:val="0"/>
    <w:rPr>
      <w:szCs w:val="24"/>
    </w:rPr>
  </w:style>
  <w:style w:type="character" w:customStyle="1" w:styleId="61">
    <w:name w:val="HTML 预设格式 字符"/>
    <w:basedOn w:val="31"/>
    <w:link w:val="25"/>
    <w:uiPriority w:val="0"/>
    <w:rPr>
      <w:rFonts w:ascii="宋体" w:hAnsi="宋体"/>
      <w:kern w:val="0"/>
      <w:sz w:val="24"/>
      <w:szCs w:val="24"/>
    </w:rPr>
  </w:style>
  <w:style w:type="character" w:customStyle="1" w:styleId="62">
    <w:name w:val="正文文本首行缩进 字符"/>
    <w:basedOn w:val="57"/>
    <w:link w:val="27"/>
    <w:uiPriority w:val="0"/>
    <w:rPr>
      <w:szCs w:val="24"/>
    </w:rPr>
  </w:style>
  <w:style w:type="character" w:customStyle="1" w:styleId="63">
    <w:name w:val="正文文本首行缩进 2 字符"/>
    <w:basedOn w:val="58"/>
    <w:link w:val="28"/>
    <w:uiPriority w:val="0"/>
    <w:rPr>
      <w:szCs w:val="24"/>
    </w:rPr>
  </w:style>
  <w:style w:type="paragraph" w:customStyle="1" w:styleId="64">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color w:val="auto"/>
      <w:sz w:val="28"/>
      <w:szCs w:val="20"/>
    </w:rPr>
  </w:style>
  <w:style w:type="paragraph" w:customStyle="1" w:styleId="65">
    <w:name w:val="样式 标题 3 + (中文) 黑体 小四 非加粗 段前: 7.8 磅 段后: 0 磅 行距: 固定值 20 磅"/>
    <w:basedOn w:val="4"/>
    <w:qFormat/>
    <w:uiPriority w:val="0"/>
    <w:pPr>
      <w:spacing w:before="0" w:after="0" w:line="400" w:lineRule="exact"/>
    </w:pPr>
    <w:rPr>
      <w:rFonts w:eastAsia="黑体" w:cs="宋体" w:asciiTheme="minorHAnsi" w:hAnsiTheme="minorHAnsi"/>
      <w:color w:val="auto"/>
      <w:sz w:val="24"/>
      <w:szCs w:val="20"/>
    </w:rPr>
  </w:style>
  <w:style w:type="paragraph" w:customStyle="1" w:styleId="66">
    <w:name w:val="5正文"/>
    <w:qFormat/>
    <w:uiPriority w:val="0"/>
    <w:pPr>
      <w:spacing w:after="200" w:line="360" w:lineRule="auto"/>
      <w:ind w:right="210" w:rightChars="100"/>
    </w:pPr>
    <w:rPr>
      <w:rFonts w:ascii="Calibri" w:hAnsi="Calibri" w:eastAsia="仿宋_GB2312" w:cs="Times New Roman"/>
      <w:kern w:val="0"/>
      <w:sz w:val="24"/>
      <w:szCs w:val="21"/>
      <w:lang w:val="en-US" w:eastAsia="zh-CN" w:bidi="ar-SA"/>
      <w14:ligatures w14:val="standardContextual"/>
    </w:rPr>
  </w:style>
  <w:style w:type="paragraph" w:customStyle="1" w:styleId="67">
    <w:name w:val="列出段落1"/>
    <w:basedOn w:val="1"/>
    <w:qFormat/>
    <w:uiPriority w:val="34"/>
    <w:pPr>
      <w:ind w:firstLine="420" w:firstLineChars="200"/>
    </w:pPr>
  </w:style>
  <w:style w:type="character" w:customStyle="1" w:styleId="68">
    <w:name w:val="font11"/>
    <w:basedOn w:val="31"/>
    <w:qFormat/>
    <w:uiPriority w:val="0"/>
    <w:rPr>
      <w:rFonts w:ascii="Calibri" w:hAnsi="Calibri" w:cs="Calibri"/>
      <w:color w:val="000000"/>
      <w:sz w:val="21"/>
      <w:szCs w:val="21"/>
      <w:u w:val="none"/>
    </w:rPr>
  </w:style>
  <w:style w:type="character" w:customStyle="1" w:styleId="69">
    <w:name w:val="font21"/>
    <w:basedOn w:val="31"/>
    <w:qFormat/>
    <w:uiPriority w:val="0"/>
    <w:rPr>
      <w:rFonts w:hint="eastAsia" w:ascii="宋体" w:hAnsi="宋体" w:eastAsia="宋体" w:cs="宋体"/>
      <w:color w:val="000000"/>
      <w:sz w:val="21"/>
      <w:szCs w:val="21"/>
      <w:u w:val="none"/>
    </w:rPr>
  </w:style>
  <w:style w:type="character" w:customStyle="1" w:styleId="70">
    <w:name w:val="font01"/>
    <w:basedOn w:val="31"/>
    <w:qFormat/>
    <w:uiPriority w:val="0"/>
    <w:rPr>
      <w:rFonts w:ascii="Calibri" w:hAnsi="Calibri" w:cs="Calibri"/>
      <w:color w:val="000000"/>
      <w:sz w:val="21"/>
      <w:szCs w:val="21"/>
      <w:u w:val="none"/>
    </w:rPr>
  </w:style>
  <w:style w:type="character" w:customStyle="1" w:styleId="71">
    <w:name w:val="font31"/>
    <w:basedOn w:val="31"/>
    <w:qFormat/>
    <w:uiPriority w:val="0"/>
    <w:rPr>
      <w:rFonts w:hint="default" w:ascii="Calibri" w:hAnsi="Calibri" w:cs="Calibri"/>
      <w:color w:val="000000"/>
      <w:sz w:val="21"/>
      <w:szCs w:val="21"/>
      <w:u w:val="none"/>
    </w:rPr>
  </w:style>
  <w:style w:type="paragraph" w:customStyle="1" w:styleId="72">
    <w:name w:val="Table Paragraph"/>
    <w:basedOn w:val="1"/>
    <w:qFormat/>
    <w:uiPriority w:val="1"/>
    <w:rPr>
      <w:rFonts w:ascii="宋体" w:hAnsi="宋体" w:eastAsia="宋体" w:cs="宋体"/>
    </w:rPr>
  </w:style>
  <w:style w:type="paragraph" w:customStyle="1" w:styleId="73">
    <w:name w:val="Table Text"/>
    <w:basedOn w:val="1"/>
    <w:semiHidden/>
    <w:qFormat/>
    <w:uiPriority w:val="0"/>
    <w:rPr>
      <w:rFonts w:ascii="宋体" w:hAnsi="宋体" w:eastAsia="宋体" w:cs="宋体"/>
      <w:szCs w:val="21"/>
      <w:lang w:eastAsia="en-US"/>
    </w:rPr>
  </w:style>
  <w:style w:type="table" w:customStyle="1" w:styleId="74">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75">
    <w:name w:val="font51"/>
    <w:basedOn w:val="31"/>
    <w:qFormat/>
    <w:uiPriority w:val="0"/>
    <w:rPr>
      <w:rFonts w:hint="eastAsia" w:ascii="宋体" w:hAnsi="宋体" w:eastAsia="宋体" w:cs="宋体"/>
      <w:color w:val="000000"/>
      <w:sz w:val="22"/>
      <w:szCs w:val="22"/>
      <w:u w:val="none"/>
    </w:rPr>
  </w:style>
  <w:style w:type="character" w:customStyle="1" w:styleId="76">
    <w:name w:val="font61"/>
    <w:basedOn w:val="31"/>
    <w:qFormat/>
    <w:uiPriority w:val="0"/>
    <w:rPr>
      <w:rFonts w:hint="default" w:ascii="Times New Roman" w:hAnsi="Times New Roman" w:cs="Times New Roman"/>
      <w:color w:val="000000"/>
      <w:sz w:val="22"/>
      <w:szCs w:val="22"/>
      <w:u w:val="none"/>
    </w:rPr>
  </w:style>
  <w:style w:type="character" w:customStyle="1" w:styleId="77">
    <w:name w:val="font71"/>
    <w:basedOn w:val="31"/>
    <w:qFormat/>
    <w:uiPriority w:val="0"/>
    <w:rPr>
      <w:rFonts w:hint="default" w:ascii="Times New Roman" w:hAnsi="Times New Roman" w:cs="Times New Roman"/>
      <w:color w:val="000000"/>
      <w:sz w:val="22"/>
      <w:szCs w:val="22"/>
      <w:u w:val="none"/>
    </w:rPr>
  </w:style>
  <w:style w:type="paragraph" w:customStyle="1" w:styleId="78">
    <w:name w:val="TOC Heading"/>
    <w:basedOn w:val="2"/>
    <w:next w:val="1"/>
    <w:unhideWhenUsed/>
    <w:qFormat/>
    <w:uiPriority w:val="39"/>
    <w:pPr>
      <w:widowControl/>
      <w:spacing w:before="240" w:after="0" w:line="259" w:lineRule="auto"/>
      <w:jc w:val="left"/>
      <w:outlineLvl w:val="9"/>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12145</Words>
  <Characters>12625</Characters>
  <Lines>550</Lines>
  <Paragraphs>607</Paragraphs>
  <TotalTime>17</TotalTime>
  <ScaleCrop>false</ScaleCrop>
  <LinksUpToDate>false</LinksUpToDate>
  <CharactersWithSpaces>13604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2025-07-28T03:05:00Z</dcterms:created>
  <dc:creator>ph hong</dc:creator>
  <cp:lastModifiedBy>小静</cp:lastModifiedBy>
  <dcterms:modified xsi:type="dcterms:W3CDTF">2025-07-28T03:44:40Z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eyJoZGlkIjoiNjQzODFkOTM1MTU0ZTFkYzdlOTFlMjVhZWFlNGE2ZjIiLCJ1c2VySWQiOiIyMTg0OTM4OTQifQ==</vt:lpwstr>
  </property>
  <property fmtid="{D5CDD505-2E9C-101B-9397-08002B2CF9AE}" pid="3" name="KSOProductBuildVer">
    <vt:lpwstr>2052-12.1.0.21915</vt:lpwstr>
  </property>
  <property fmtid="{D5CDD505-2E9C-101B-9397-08002B2CF9AE}" pid="4" name="ICV">
    <vt:lpwstr>023D18641B864E259C35BBE91C914C7D_12</vt:lpwstr>
  </property>
</Properties>
</file>