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outlineLvl w:val="0"/>
        <w:rPr>
          <w:rFonts w:ascii="方正小标宋简体" w:hAnsi="宋体" w:eastAsia="方正小标宋简体"/>
          <w:color w:val="auto"/>
          <w:sz w:val="21"/>
          <w:szCs w:val="21"/>
          <w:highlight w:val="none"/>
        </w:rPr>
      </w:pPr>
      <w:bookmarkStart w:id="0" w:name="_Toc15306267"/>
    </w:p>
    <w:p>
      <w:pPr>
        <w:spacing w:line="600" w:lineRule="exact"/>
        <w:jc w:val="center"/>
        <w:outlineLvl w:val="0"/>
        <w:rPr>
          <w:rFonts w:ascii="方正小标宋简体" w:hAnsi="宋体" w:eastAsia="方正小标宋简体"/>
          <w:color w:val="auto"/>
          <w:sz w:val="72"/>
          <w:szCs w:val="72"/>
          <w:highlight w:val="none"/>
        </w:rPr>
      </w:pPr>
    </w:p>
    <w:p>
      <w:pPr>
        <w:spacing w:line="600" w:lineRule="exact"/>
        <w:jc w:val="center"/>
        <w:outlineLvl w:val="0"/>
        <w:rPr>
          <w:rFonts w:ascii="方正小标宋简体" w:hAnsi="宋体" w:eastAsia="方正小标宋简体"/>
          <w:color w:val="auto"/>
          <w:sz w:val="72"/>
          <w:szCs w:val="72"/>
          <w:highlight w:val="none"/>
        </w:rPr>
      </w:pPr>
    </w:p>
    <w:p>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rPr>
      </w:pPr>
      <w:bookmarkStart w:id="1" w:name="_Toc15378441"/>
      <w:bookmarkStart w:id="2" w:name="_Toc15396597"/>
      <w:bookmarkStart w:id="3" w:name="_Toc15377193"/>
      <w:bookmarkStart w:id="4" w:name="_Toc15377425"/>
      <w:bookmarkStart w:id="5" w:name="_Toc15396475"/>
      <w:r>
        <w:rPr>
          <w:rFonts w:hint="eastAsia" w:ascii="方正小标宋简体" w:hAnsi="方正小标宋简体" w:eastAsia="方正小标宋简体" w:cs="方正小标宋简体"/>
          <w:color w:val="auto"/>
          <w:sz w:val="72"/>
          <w:szCs w:val="72"/>
          <w:highlight w:val="none"/>
        </w:rPr>
        <w:t>20</w:t>
      </w:r>
      <w:r>
        <w:rPr>
          <w:rFonts w:hint="eastAsia" w:ascii="方正小标宋简体" w:hAnsi="方正小标宋简体" w:eastAsia="方正小标宋简体" w:cs="方正小标宋简体"/>
          <w:color w:val="auto"/>
          <w:sz w:val="72"/>
          <w:szCs w:val="72"/>
          <w:highlight w:val="none"/>
          <w:lang w:val="en-US" w:eastAsia="zh-CN"/>
        </w:rPr>
        <w:t>22</w:t>
      </w:r>
      <w:r>
        <w:rPr>
          <w:rFonts w:hint="eastAsia" w:ascii="方正小标宋简体" w:hAnsi="方正小标宋简体" w:eastAsia="方正小标宋简体" w:cs="方正小标宋简体"/>
          <w:color w:val="auto"/>
          <w:sz w:val="72"/>
          <w:szCs w:val="72"/>
          <w:highlight w:val="none"/>
        </w:rPr>
        <w:t>年度</w:t>
      </w:r>
      <w:bookmarkEnd w:id="1"/>
      <w:bookmarkEnd w:id="2"/>
      <w:bookmarkEnd w:id="3"/>
      <w:bookmarkEnd w:id="4"/>
      <w:bookmarkEnd w:id="5"/>
      <w:bookmarkStart w:id="6" w:name="_Toc15396476"/>
      <w:bookmarkStart w:id="7" w:name="_Toc15377426"/>
      <w:bookmarkStart w:id="8" w:name="_Toc15396598"/>
      <w:bookmarkStart w:id="9" w:name="_Toc15378442"/>
      <w:bookmarkStart w:id="10" w:name="_Toc15377194"/>
    </w:p>
    <w:p>
      <w:pPr>
        <w:adjustRightInd w:val="0"/>
        <w:snapToGrid w:val="0"/>
        <w:spacing w:line="360" w:lineRule="auto"/>
        <w:jc w:val="center"/>
        <w:outlineLvl w:val="0"/>
        <w:rPr>
          <w:rFonts w:hint="eastAsia" w:ascii="方正小标宋简体" w:hAnsi="方正小标宋简体" w:eastAsia="方正小标宋简体" w:cs="方正小标宋简体"/>
          <w:color w:val="auto"/>
          <w:spacing w:val="-20"/>
          <w:sz w:val="72"/>
          <w:szCs w:val="72"/>
          <w:highlight w:val="none"/>
        </w:rPr>
      </w:pPr>
      <w:r>
        <w:rPr>
          <w:rFonts w:hint="eastAsia" w:ascii="方正小标宋简体" w:hAnsi="方正小标宋简体" w:eastAsia="方正小标宋简体" w:cs="方正小标宋简体"/>
          <w:color w:val="auto"/>
          <w:spacing w:val="-20"/>
          <w:sz w:val="72"/>
          <w:szCs w:val="72"/>
          <w:highlight w:val="none"/>
          <w:lang w:eastAsia="zh-CN"/>
        </w:rPr>
        <w:t>遂宁市</w:t>
      </w:r>
      <w:bookmarkEnd w:id="0"/>
      <w:bookmarkStart w:id="11" w:name="_Toc15306268"/>
      <w:r>
        <w:rPr>
          <w:rFonts w:hint="eastAsia" w:ascii="方正小标宋简体" w:hAnsi="方正小标宋简体" w:eastAsia="方正小标宋简体" w:cs="方正小标宋简体"/>
          <w:color w:val="auto"/>
          <w:spacing w:val="-20"/>
          <w:sz w:val="72"/>
          <w:szCs w:val="72"/>
          <w:highlight w:val="none"/>
        </w:rPr>
        <w:t>妇女联合会</w:t>
      </w:r>
      <w:r>
        <w:rPr>
          <w:rFonts w:hint="eastAsia" w:ascii="方正小标宋简体" w:hAnsi="方正小标宋简体" w:eastAsia="方正小标宋简体" w:cs="方正小标宋简体"/>
          <w:color w:val="auto"/>
          <w:spacing w:val="-20"/>
          <w:sz w:val="72"/>
          <w:szCs w:val="72"/>
          <w:highlight w:val="none"/>
          <w:lang w:eastAsia="zh-CN"/>
        </w:rPr>
        <w:t>单位决</w:t>
      </w:r>
      <w:r>
        <w:rPr>
          <w:rFonts w:hint="eastAsia" w:ascii="方正小标宋简体" w:hAnsi="方正小标宋简体" w:eastAsia="方正小标宋简体" w:cs="方正小标宋简体"/>
          <w:color w:val="auto"/>
          <w:spacing w:val="-20"/>
          <w:sz w:val="72"/>
          <w:szCs w:val="72"/>
          <w:highlight w:val="none"/>
        </w:rPr>
        <w:t>算</w:t>
      </w:r>
      <w:bookmarkEnd w:id="6"/>
      <w:bookmarkEnd w:id="7"/>
      <w:bookmarkEnd w:id="8"/>
      <w:bookmarkEnd w:id="9"/>
      <w:bookmarkEnd w:id="10"/>
      <w:bookmarkEnd w:id="11"/>
    </w:p>
    <w:p>
      <w:pPr>
        <w:widowControl/>
        <w:jc w:val="center"/>
        <w:rPr>
          <w:rFonts w:ascii="黑体" w:hAnsi="黑体" w:eastAsia="黑体"/>
          <w:color w:val="auto"/>
          <w:sz w:val="48"/>
          <w:szCs w:val="48"/>
          <w:highlight w:val="none"/>
        </w:rPr>
      </w:pPr>
      <w:r>
        <w:rPr>
          <w:rFonts w:ascii="方正小标宋简体" w:hAnsi="宋体" w:eastAsia="方正小标宋简体"/>
          <w:color w:val="auto"/>
          <w:sz w:val="36"/>
          <w:szCs w:val="36"/>
          <w:highlight w:val="none"/>
        </w:rPr>
        <w:br w:type="page"/>
      </w:r>
      <w:r>
        <w:rPr>
          <w:rFonts w:hint="eastAsia" w:ascii="黑体" w:hAnsi="黑体" w:eastAsia="黑体"/>
          <w:color w:val="auto"/>
          <w:sz w:val="48"/>
          <w:szCs w:val="48"/>
          <w:highlight w:val="none"/>
        </w:rPr>
        <w:t>目录</w:t>
      </w:r>
    </w:p>
    <w:p>
      <w:pPr>
        <w:widowControl/>
        <w:jc w:val="center"/>
        <w:rPr>
          <w:rFonts w:ascii="黑体" w:hAnsi="黑体" w:eastAsia="黑体" w:cstheme="minorBidi"/>
          <w:color w:val="auto"/>
          <w:sz w:val="28"/>
          <w:szCs w:val="28"/>
          <w:highlight w:val="none"/>
        </w:rPr>
      </w:pPr>
    </w:p>
    <w:p>
      <w:pPr>
        <w:pStyle w:val="10"/>
        <w:rPr>
          <w:color w:val="auto"/>
          <w:highlight w:val="none"/>
        </w:rPr>
      </w:pPr>
      <w:r>
        <w:rPr>
          <w:rFonts w:hint="eastAsia"/>
          <w:color w:val="auto"/>
          <w:highlight w:val="none"/>
        </w:rPr>
        <w:t>公开时间：20</w:t>
      </w:r>
      <w:r>
        <w:rPr>
          <w:rFonts w:hint="eastAsia"/>
          <w:color w:val="auto"/>
          <w:highlight w:val="none"/>
          <w:lang w:val="en-US" w:eastAsia="zh-CN"/>
        </w:rPr>
        <w:t>23</w:t>
      </w:r>
      <w:r>
        <w:rPr>
          <w:rFonts w:hint="eastAsia"/>
          <w:color w:val="auto"/>
          <w:highlight w:val="none"/>
        </w:rPr>
        <w:t>年</w:t>
      </w:r>
      <w:r>
        <w:rPr>
          <w:rFonts w:hint="eastAsia"/>
          <w:color w:val="auto"/>
          <w:highlight w:val="none"/>
          <w:lang w:val="en-US" w:eastAsia="zh-CN"/>
        </w:rPr>
        <w:t>8</w:t>
      </w:r>
      <w:r>
        <w:rPr>
          <w:rFonts w:hint="eastAsia"/>
          <w:color w:val="auto"/>
          <w:highlight w:val="none"/>
        </w:rPr>
        <w:t>月</w:t>
      </w:r>
      <w:r>
        <w:rPr>
          <w:rFonts w:hint="eastAsia"/>
          <w:color w:val="auto"/>
          <w:highlight w:val="none"/>
          <w:lang w:val="en-US" w:eastAsia="zh-CN"/>
        </w:rPr>
        <w:t>18</w:t>
      </w:r>
      <w:r>
        <w:rPr>
          <w:rFonts w:hint="eastAsia"/>
          <w:color w:val="auto"/>
          <w:highlight w:val="none"/>
        </w:rPr>
        <w:t>日</w:t>
      </w:r>
    </w:p>
    <w:p>
      <w:pPr>
        <w:rPr>
          <w:color w:val="auto"/>
          <w:highlight w:val="none"/>
        </w:rPr>
      </w:pPr>
    </w:p>
    <w:p>
      <w:pPr>
        <w:pStyle w:val="10"/>
        <w:adjustRightInd w:val="0"/>
        <w:snapToGrid w:val="0"/>
        <w:spacing w:before="0" w:line="440" w:lineRule="exact"/>
        <w:ind w:firstLine="480" w:firstLineChars="200"/>
        <w:jc w:val="left"/>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 xml:space="preserve">第一部分 </w:t>
      </w:r>
      <w:r>
        <w:rPr>
          <w:rFonts w:hint="eastAsia" w:asciiTheme="majorEastAsia" w:hAnsiTheme="majorEastAsia" w:eastAsiaTheme="majorEastAsia" w:cstheme="majorEastAsia"/>
          <w:color w:val="auto"/>
          <w:sz w:val="24"/>
          <w:szCs w:val="24"/>
          <w:highlight w:val="none"/>
          <w:lang w:eastAsia="zh-CN"/>
        </w:rPr>
        <w:t>单位</w:t>
      </w:r>
      <w:r>
        <w:rPr>
          <w:rFonts w:hint="eastAsia" w:asciiTheme="majorEastAsia" w:hAnsiTheme="majorEastAsia" w:eastAsiaTheme="majorEastAsia" w:cstheme="majorEastAsia"/>
          <w:color w:val="auto"/>
          <w:sz w:val="24"/>
          <w:szCs w:val="24"/>
          <w:highlight w:val="none"/>
        </w:rPr>
        <w:t>概况</w:t>
      </w:r>
    </w:p>
    <w:p>
      <w:pPr>
        <w:pStyle w:val="11"/>
        <w:adjustRightInd w:val="0"/>
        <w:snapToGrid w:val="0"/>
        <w:spacing w:line="440" w:lineRule="exact"/>
        <w:jc w:val="left"/>
        <w:rPr>
          <w:rFonts w:hint="eastAsia" w:asciiTheme="majorEastAsia" w:hAnsiTheme="majorEastAsia" w:eastAsiaTheme="majorEastAsia" w:cstheme="majorEastAsia"/>
          <w:color w:val="auto"/>
          <w:sz w:val="24"/>
          <w:szCs w:val="24"/>
          <w:highlight w:val="none"/>
          <w:lang w:eastAsia="zh-CN"/>
        </w:rPr>
      </w:pPr>
      <w:r>
        <w:rPr>
          <w:rFonts w:hint="eastAsia" w:asciiTheme="majorEastAsia" w:hAnsiTheme="majorEastAsia" w:eastAsiaTheme="majorEastAsia" w:cstheme="majorEastAsia"/>
          <w:color w:val="auto"/>
          <w:sz w:val="24"/>
          <w:szCs w:val="24"/>
          <w:highlight w:val="none"/>
        </w:rPr>
        <w:t>一、</w:t>
      </w:r>
      <w:r>
        <w:rPr>
          <w:rFonts w:hint="eastAsia" w:asciiTheme="majorEastAsia" w:hAnsiTheme="majorEastAsia" w:eastAsiaTheme="majorEastAsia" w:cstheme="majorEastAsia"/>
          <w:color w:val="auto"/>
          <w:sz w:val="24"/>
          <w:szCs w:val="24"/>
          <w:highlight w:val="none"/>
          <w:lang w:eastAsia="zh-CN"/>
        </w:rPr>
        <w:t>主要职责</w:t>
      </w:r>
    </w:p>
    <w:p>
      <w:pPr>
        <w:pStyle w:val="11"/>
        <w:adjustRightInd w:val="0"/>
        <w:snapToGrid w:val="0"/>
        <w:spacing w:line="440" w:lineRule="exact"/>
        <w:jc w:val="left"/>
        <w:rPr>
          <w:rFonts w:hint="eastAsia" w:asciiTheme="majorEastAsia" w:hAnsiTheme="majorEastAsia" w:eastAsiaTheme="majorEastAsia" w:cstheme="majorEastAsia"/>
          <w:color w:val="auto"/>
          <w:sz w:val="24"/>
          <w:szCs w:val="24"/>
          <w:highlight w:val="none"/>
          <w:lang w:eastAsia="zh-CN"/>
        </w:rPr>
      </w:pPr>
      <w:r>
        <w:rPr>
          <w:rFonts w:hint="eastAsia" w:asciiTheme="majorEastAsia" w:hAnsiTheme="majorEastAsia" w:eastAsiaTheme="majorEastAsia" w:cstheme="majorEastAsia"/>
          <w:color w:val="auto"/>
          <w:sz w:val="24"/>
          <w:szCs w:val="24"/>
          <w:highlight w:val="none"/>
          <w:lang w:eastAsia="zh-CN"/>
        </w:rPr>
        <w:t>二</w:t>
      </w:r>
      <w:r>
        <w:rPr>
          <w:rFonts w:hint="eastAsia" w:asciiTheme="majorEastAsia" w:hAnsiTheme="majorEastAsia" w:eastAsiaTheme="majorEastAsia" w:cstheme="majorEastAsia"/>
          <w:color w:val="auto"/>
          <w:sz w:val="24"/>
          <w:szCs w:val="24"/>
          <w:highlight w:val="none"/>
        </w:rPr>
        <w:t>、</w:t>
      </w:r>
      <w:r>
        <w:rPr>
          <w:rFonts w:hint="eastAsia" w:asciiTheme="majorEastAsia" w:hAnsiTheme="majorEastAsia" w:eastAsiaTheme="majorEastAsia" w:cstheme="majorEastAsia"/>
          <w:color w:val="auto"/>
          <w:sz w:val="24"/>
          <w:szCs w:val="24"/>
          <w:highlight w:val="none"/>
          <w:lang w:eastAsia="zh-CN"/>
        </w:rPr>
        <w:t>机构设置</w:t>
      </w:r>
    </w:p>
    <w:p>
      <w:pPr>
        <w:keepNext w:val="0"/>
        <w:keepLines w:val="0"/>
        <w:pageBreakBefore w:val="0"/>
        <w:widowControl w:val="0"/>
        <w:numPr>
          <w:ilvl w:val="0"/>
          <w:numId w:val="0"/>
        </w:numPr>
        <w:pBdr>
          <w:bottom w:val="single" w:color="FFFFFF" w:sz="6" w:space="30"/>
        </w:pBdr>
        <w:tabs>
          <w:tab w:val="left" w:pos="6695"/>
          <w:tab w:val="left" w:pos="6725"/>
        </w:tabs>
        <w:kinsoku/>
        <w:wordWrap/>
        <w:overflowPunct/>
        <w:topLinePunct w:val="0"/>
        <w:autoSpaceDE/>
        <w:autoSpaceDN/>
        <w:bidi w:val="0"/>
        <w:adjustRightInd/>
        <w:snapToGrid/>
        <w:spacing w:line="576" w:lineRule="exact"/>
        <w:ind w:firstLine="480" w:firstLineChars="200"/>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第二部分</w:t>
      </w:r>
      <w:r>
        <w:rPr>
          <w:rFonts w:hint="eastAsia" w:asciiTheme="majorEastAsia" w:hAnsiTheme="majorEastAsia" w:eastAsiaTheme="majorEastAsia" w:cstheme="majorEastAsia"/>
          <w:color w:val="auto"/>
          <w:sz w:val="24"/>
          <w:szCs w:val="24"/>
          <w:highlight w:val="none"/>
          <w:lang w:val="en-US" w:eastAsia="zh-CN"/>
        </w:rPr>
        <w:t xml:space="preserve"> 2022年度</w:t>
      </w:r>
      <w:r>
        <w:rPr>
          <w:rFonts w:hint="eastAsia" w:asciiTheme="majorEastAsia" w:hAnsiTheme="majorEastAsia" w:eastAsiaTheme="majorEastAsia" w:cstheme="majorEastAsia"/>
          <w:color w:val="auto"/>
          <w:sz w:val="24"/>
          <w:szCs w:val="24"/>
          <w:highlight w:val="none"/>
          <w:lang w:eastAsia="zh-CN"/>
        </w:rPr>
        <w:t>单位</w:t>
      </w:r>
      <w:r>
        <w:rPr>
          <w:rFonts w:hint="eastAsia" w:asciiTheme="majorEastAsia" w:hAnsiTheme="majorEastAsia" w:eastAsiaTheme="majorEastAsia" w:cstheme="majorEastAsia"/>
          <w:color w:val="auto"/>
          <w:sz w:val="24"/>
          <w:szCs w:val="24"/>
          <w:highlight w:val="none"/>
        </w:rPr>
        <w:t>决算情况说明</w:t>
      </w:r>
    </w:p>
    <w:p>
      <w:pPr>
        <w:keepNext w:val="0"/>
        <w:keepLines w:val="0"/>
        <w:pageBreakBefore w:val="0"/>
        <w:widowControl w:val="0"/>
        <w:numPr>
          <w:ilvl w:val="0"/>
          <w:numId w:val="0"/>
        </w:numPr>
        <w:pBdr>
          <w:bottom w:val="single" w:color="FFFFFF" w:sz="6" w:space="30"/>
        </w:pBdr>
        <w:tabs>
          <w:tab w:val="left" w:pos="6695"/>
          <w:tab w:val="left" w:pos="6725"/>
        </w:tabs>
        <w:kinsoku/>
        <w:wordWrap/>
        <w:overflowPunct/>
        <w:topLinePunct w:val="0"/>
        <w:autoSpaceDE/>
        <w:autoSpaceDN/>
        <w:bidi w:val="0"/>
        <w:adjustRightInd/>
        <w:snapToGrid/>
        <w:spacing w:line="576" w:lineRule="exact"/>
        <w:ind w:firstLine="480" w:firstLineChars="200"/>
        <w:textAlignment w:val="auto"/>
        <w:rPr>
          <w:rFonts w:hint="eastAsia"/>
          <w:color w:val="auto"/>
          <w:sz w:val="24"/>
          <w:highlight w:val="none"/>
        </w:rPr>
      </w:pPr>
      <w:r>
        <w:rPr>
          <w:rFonts w:hint="eastAsia"/>
          <w:color w:val="auto"/>
          <w:sz w:val="24"/>
          <w:highlight w:val="none"/>
        </w:rPr>
        <w:t>一、收入支出决算总体情况说明</w:t>
      </w:r>
    </w:p>
    <w:p>
      <w:pPr>
        <w:keepNext w:val="0"/>
        <w:keepLines w:val="0"/>
        <w:pageBreakBefore w:val="0"/>
        <w:widowControl w:val="0"/>
        <w:numPr>
          <w:ilvl w:val="0"/>
          <w:numId w:val="0"/>
        </w:numPr>
        <w:pBdr>
          <w:bottom w:val="single" w:color="FFFFFF" w:sz="6" w:space="30"/>
        </w:pBdr>
        <w:tabs>
          <w:tab w:val="left" w:pos="6695"/>
          <w:tab w:val="left" w:pos="6725"/>
        </w:tabs>
        <w:kinsoku/>
        <w:wordWrap/>
        <w:overflowPunct/>
        <w:topLinePunct w:val="0"/>
        <w:autoSpaceDE/>
        <w:autoSpaceDN/>
        <w:bidi w:val="0"/>
        <w:adjustRightInd/>
        <w:snapToGrid/>
        <w:spacing w:line="576" w:lineRule="exact"/>
        <w:ind w:firstLine="480" w:firstLineChars="200"/>
        <w:textAlignment w:val="auto"/>
        <w:rPr>
          <w:rFonts w:hint="eastAsia"/>
          <w:color w:val="auto"/>
          <w:sz w:val="24"/>
          <w:highlight w:val="none"/>
        </w:rPr>
      </w:pPr>
      <w:r>
        <w:rPr>
          <w:rFonts w:hint="eastAsia"/>
          <w:color w:val="auto"/>
          <w:sz w:val="24"/>
          <w:highlight w:val="none"/>
        </w:rPr>
        <w:t>二、收入决算情况说明</w:t>
      </w:r>
    </w:p>
    <w:p>
      <w:pPr>
        <w:keepNext w:val="0"/>
        <w:keepLines w:val="0"/>
        <w:pageBreakBefore w:val="0"/>
        <w:widowControl w:val="0"/>
        <w:numPr>
          <w:ilvl w:val="0"/>
          <w:numId w:val="0"/>
        </w:numPr>
        <w:pBdr>
          <w:bottom w:val="single" w:color="FFFFFF" w:sz="6" w:space="30"/>
        </w:pBdr>
        <w:tabs>
          <w:tab w:val="left" w:pos="6695"/>
          <w:tab w:val="left" w:pos="6725"/>
        </w:tabs>
        <w:kinsoku/>
        <w:wordWrap/>
        <w:overflowPunct/>
        <w:topLinePunct w:val="0"/>
        <w:autoSpaceDE/>
        <w:autoSpaceDN/>
        <w:bidi w:val="0"/>
        <w:adjustRightInd/>
        <w:snapToGrid/>
        <w:spacing w:line="576" w:lineRule="exact"/>
        <w:ind w:firstLine="480" w:firstLineChars="200"/>
        <w:textAlignment w:val="auto"/>
        <w:rPr>
          <w:rFonts w:hint="eastAsia"/>
          <w:color w:val="auto"/>
          <w:sz w:val="24"/>
          <w:highlight w:val="none"/>
        </w:rPr>
      </w:pPr>
      <w:r>
        <w:rPr>
          <w:rFonts w:hint="eastAsia"/>
          <w:color w:val="auto"/>
          <w:sz w:val="24"/>
          <w:highlight w:val="none"/>
        </w:rPr>
        <w:t>三、支出决算情况说明</w:t>
      </w:r>
    </w:p>
    <w:p>
      <w:pPr>
        <w:keepNext w:val="0"/>
        <w:keepLines w:val="0"/>
        <w:pageBreakBefore w:val="0"/>
        <w:widowControl w:val="0"/>
        <w:numPr>
          <w:ilvl w:val="0"/>
          <w:numId w:val="0"/>
        </w:numPr>
        <w:pBdr>
          <w:bottom w:val="single" w:color="FFFFFF" w:sz="6" w:space="30"/>
        </w:pBdr>
        <w:tabs>
          <w:tab w:val="left" w:pos="6695"/>
          <w:tab w:val="left" w:pos="6725"/>
        </w:tabs>
        <w:kinsoku/>
        <w:wordWrap/>
        <w:overflowPunct/>
        <w:topLinePunct w:val="0"/>
        <w:autoSpaceDE/>
        <w:autoSpaceDN/>
        <w:bidi w:val="0"/>
        <w:adjustRightInd/>
        <w:snapToGrid/>
        <w:spacing w:line="576" w:lineRule="exact"/>
        <w:ind w:firstLine="480" w:firstLineChars="200"/>
        <w:textAlignment w:val="auto"/>
        <w:rPr>
          <w:rFonts w:hint="eastAsia"/>
          <w:color w:val="auto"/>
          <w:sz w:val="24"/>
          <w:highlight w:val="none"/>
        </w:rPr>
      </w:pPr>
      <w:r>
        <w:rPr>
          <w:rFonts w:hint="eastAsia"/>
          <w:color w:val="auto"/>
          <w:sz w:val="24"/>
          <w:highlight w:val="none"/>
        </w:rPr>
        <w:t>四、财政拨款收入支出决算总体情况说明</w:t>
      </w:r>
    </w:p>
    <w:p>
      <w:pPr>
        <w:keepNext w:val="0"/>
        <w:keepLines w:val="0"/>
        <w:pageBreakBefore w:val="0"/>
        <w:widowControl w:val="0"/>
        <w:numPr>
          <w:ilvl w:val="0"/>
          <w:numId w:val="0"/>
        </w:numPr>
        <w:pBdr>
          <w:bottom w:val="single" w:color="FFFFFF" w:sz="6" w:space="30"/>
        </w:pBdr>
        <w:tabs>
          <w:tab w:val="left" w:pos="6695"/>
          <w:tab w:val="left" w:pos="6725"/>
        </w:tabs>
        <w:kinsoku/>
        <w:wordWrap/>
        <w:overflowPunct/>
        <w:topLinePunct w:val="0"/>
        <w:autoSpaceDE/>
        <w:autoSpaceDN/>
        <w:bidi w:val="0"/>
        <w:adjustRightInd/>
        <w:snapToGrid/>
        <w:spacing w:line="576" w:lineRule="exact"/>
        <w:ind w:firstLine="480" w:firstLineChars="200"/>
        <w:textAlignment w:val="auto"/>
        <w:rPr>
          <w:rFonts w:hint="eastAsia"/>
          <w:color w:val="auto"/>
          <w:sz w:val="24"/>
          <w:highlight w:val="none"/>
        </w:rPr>
      </w:pPr>
      <w:r>
        <w:rPr>
          <w:rFonts w:hint="eastAsia"/>
          <w:color w:val="auto"/>
          <w:sz w:val="24"/>
          <w:highlight w:val="none"/>
        </w:rPr>
        <w:t>五、一般公共预算财政拨款支出决算情况说明</w:t>
      </w:r>
    </w:p>
    <w:p>
      <w:pPr>
        <w:keepNext w:val="0"/>
        <w:keepLines w:val="0"/>
        <w:pageBreakBefore w:val="0"/>
        <w:widowControl w:val="0"/>
        <w:numPr>
          <w:ilvl w:val="0"/>
          <w:numId w:val="0"/>
        </w:numPr>
        <w:pBdr>
          <w:bottom w:val="single" w:color="FFFFFF" w:sz="6" w:space="30"/>
        </w:pBdr>
        <w:tabs>
          <w:tab w:val="left" w:pos="6695"/>
          <w:tab w:val="left" w:pos="6725"/>
        </w:tabs>
        <w:kinsoku/>
        <w:wordWrap/>
        <w:overflowPunct/>
        <w:topLinePunct w:val="0"/>
        <w:autoSpaceDE/>
        <w:autoSpaceDN/>
        <w:bidi w:val="0"/>
        <w:adjustRightInd/>
        <w:snapToGrid/>
        <w:spacing w:line="576" w:lineRule="exact"/>
        <w:ind w:firstLine="480" w:firstLineChars="200"/>
        <w:textAlignment w:val="auto"/>
        <w:rPr>
          <w:rFonts w:hint="eastAsia"/>
          <w:color w:val="auto"/>
          <w:sz w:val="24"/>
          <w:highlight w:val="none"/>
        </w:rPr>
      </w:pPr>
      <w:r>
        <w:rPr>
          <w:rFonts w:hint="eastAsia"/>
          <w:color w:val="auto"/>
          <w:sz w:val="24"/>
          <w:highlight w:val="none"/>
        </w:rPr>
        <w:t>六、一般公共预算财政拨款基本支出决算情况说明</w:t>
      </w:r>
    </w:p>
    <w:p>
      <w:pPr>
        <w:keepNext w:val="0"/>
        <w:keepLines w:val="0"/>
        <w:pageBreakBefore w:val="0"/>
        <w:widowControl w:val="0"/>
        <w:numPr>
          <w:ilvl w:val="0"/>
          <w:numId w:val="0"/>
        </w:numPr>
        <w:pBdr>
          <w:bottom w:val="single" w:color="FFFFFF" w:sz="6" w:space="30"/>
        </w:pBdr>
        <w:tabs>
          <w:tab w:val="left" w:pos="6695"/>
          <w:tab w:val="left" w:pos="6725"/>
        </w:tabs>
        <w:kinsoku/>
        <w:wordWrap/>
        <w:overflowPunct/>
        <w:topLinePunct w:val="0"/>
        <w:autoSpaceDE/>
        <w:autoSpaceDN/>
        <w:bidi w:val="0"/>
        <w:adjustRightInd/>
        <w:snapToGrid/>
        <w:spacing w:line="576" w:lineRule="exact"/>
        <w:ind w:firstLine="480" w:firstLineChars="200"/>
        <w:textAlignment w:val="auto"/>
        <w:rPr>
          <w:rFonts w:hint="eastAsia"/>
          <w:color w:val="auto"/>
          <w:sz w:val="24"/>
          <w:highlight w:val="none"/>
        </w:rPr>
      </w:pPr>
      <w:r>
        <w:rPr>
          <w:rFonts w:hint="eastAsia"/>
          <w:color w:val="auto"/>
          <w:sz w:val="24"/>
          <w:highlight w:val="none"/>
        </w:rPr>
        <w:t>七、财政拨款</w:t>
      </w:r>
      <w:r>
        <w:rPr>
          <w:rFonts w:hint="eastAsia"/>
          <w:color w:val="auto"/>
          <w:sz w:val="24"/>
          <w:highlight w:val="none"/>
          <w:lang w:eastAsia="zh-CN"/>
        </w:rPr>
        <w:t>“</w:t>
      </w:r>
      <w:r>
        <w:rPr>
          <w:rFonts w:hint="eastAsia"/>
          <w:color w:val="auto"/>
          <w:sz w:val="24"/>
          <w:highlight w:val="none"/>
        </w:rPr>
        <w:t>三公”经费支出决算情况说明</w:t>
      </w:r>
    </w:p>
    <w:p>
      <w:pPr>
        <w:keepNext w:val="0"/>
        <w:keepLines w:val="0"/>
        <w:pageBreakBefore w:val="0"/>
        <w:widowControl w:val="0"/>
        <w:numPr>
          <w:ilvl w:val="0"/>
          <w:numId w:val="0"/>
        </w:numPr>
        <w:pBdr>
          <w:bottom w:val="single" w:color="FFFFFF" w:sz="6" w:space="30"/>
        </w:pBdr>
        <w:tabs>
          <w:tab w:val="left" w:pos="6695"/>
          <w:tab w:val="left" w:pos="6725"/>
        </w:tabs>
        <w:kinsoku/>
        <w:wordWrap/>
        <w:overflowPunct/>
        <w:topLinePunct w:val="0"/>
        <w:autoSpaceDE/>
        <w:autoSpaceDN/>
        <w:bidi w:val="0"/>
        <w:adjustRightInd/>
        <w:snapToGrid/>
        <w:spacing w:line="576" w:lineRule="exact"/>
        <w:ind w:firstLine="480" w:firstLineChars="200"/>
        <w:textAlignment w:val="auto"/>
        <w:rPr>
          <w:rFonts w:hint="eastAsia"/>
          <w:color w:val="auto"/>
          <w:sz w:val="24"/>
          <w:highlight w:val="none"/>
        </w:rPr>
      </w:pPr>
      <w:r>
        <w:rPr>
          <w:rFonts w:hint="eastAsia"/>
          <w:color w:val="auto"/>
          <w:sz w:val="24"/>
          <w:highlight w:val="none"/>
        </w:rPr>
        <w:t>八、政府性基金预算支出决算情况说明</w:t>
      </w:r>
    </w:p>
    <w:p>
      <w:pPr>
        <w:keepNext w:val="0"/>
        <w:keepLines w:val="0"/>
        <w:pageBreakBefore w:val="0"/>
        <w:widowControl w:val="0"/>
        <w:numPr>
          <w:ilvl w:val="0"/>
          <w:numId w:val="0"/>
        </w:numPr>
        <w:pBdr>
          <w:bottom w:val="single" w:color="FFFFFF" w:sz="6" w:space="30"/>
        </w:pBdr>
        <w:tabs>
          <w:tab w:val="left" w:pos="6695"/>
          <w:tab w:val="left" w:pos="6725"/>
        </w:tabs>
        <w:kinsoku/>
        <w:wordWrap/>
        <w:overflowPunct/>
        <w:topLinePunct w:val="0"/>
        <w:autoSpaceDE/>
        <w:autoSpaceDN/>
        <w:bidi w:val="0"/>
        <w:adjustRightInd/>
        <w:snapToGrid/>
        <w:spacing w:line="576" w:lineRule="exact"/>
        <w:ind w:firstLine="480" w:firstLineChars="200"/>
        <w:textAlignment w:val="auto"/>
        <w:rPr>
          <w:rFonts w:hint="eastAsia"/>
          <w:color w:val="auto"/>
          <w:sz w:val="24"/>
          <w:highlight w:val="none"/>
        </w:rPr>
      </w:pPr>
      <w:r>
        <w:rPr>
          <w:rFonts w:hint="eastAsia"/>
          <w:color w:val="auto"/>
          <w:sz w:val="24"/>
          <w:highlight w:val="none"/>
        </w:rPr>
        <w:t>九、国有资本经营预算支出决算情况说明</w:t>
      </w:r>
    </w:p>
    <w:p>
      <w:pPr>
        <w:keepNext w:val="0"/>
        <w:keepLines w:val="0"/>
        <w:pageBreakBefore w:val="0"/>
        <w:widowControl w:val="0"/>
        <w:numPr>
          <w:ilvl w:val="0"/>
          <w:numId w:val="0"/>
        </w:numPr>
        <w:pBdr>
          <w:bottom w:val="single" w:color="FFFFFF" w:sz="6" w:space="30"/>
        </w:pBdr>
        <w:tabs>
          <w:tab w:val="left" w:pos="6695"/>
          <w:tab w:val="left" w:pos="6725"/>
        </w:tabs>
        <w:kinsoku/>
        <w:wordWrap/>
        <w:overflowPunct/>
        <w:topLinePunct w:val="0"/>
        <w:autoSpaceDE/>
        <w:autoSpaceDN/>
        <w:bidi w:val="0"/>
        <w:adjustRightInd/>
        <w:snapToGrid/>
        <w:spacing w:line="576" w:lineRule="exact"/>
        <w:ind w:firstLine="480" w:firstLineChars="200"/>
        <w:textAlignment w:val="auto"/>
        <w:rPr>
          <w:rFonts w:hint="eastAsia"/>
          <w:color w:val="auto"/>
          <w:sz w:val="24"/>
          <w:highlight w:val="none"/>
        </w:rPr>
      </w:pPr>
      <w:r>
        <w:rPr>
          <w:rFonts w:hint="eastAsia"/>
          <w:color w:val="auto"/>
          <w:sz w:val="24"/>
          <w:highlight w:val="none"/>
        </w:rPr>
        <w:t>十、其他重要事项的情况说明</w:t>
      </w:r>
    </w:p>
    <w:p>
      <w:pPr>
        <w:keepNext w:val="0"/>
        <w:keepLines w:val="0"/>
        <w:pageBreakBefore w:val="0"/>
        <w:widowControl w:val="0"/>
        <w:numPr>
          <w:ilvl w:val="0"/>
          <w:numId w:val="0"/>
        </w:numPr>
        <w:pBdr>
          <w:bottom w:val="single" w:color="FFFFFF" w:sz="6" w:space="30"/>
        </w:pBdr>
        <w:tabs>
          <w:tab w:val="left" w:pos="6695"/>
          <w:tab w:val="left" w:pos="6725"/>
        </w:tabs>
        <w:kinsoku/>
        <w:wordWrap/>
        <w:overflowPunct/>
        <w:topLinePunct w:val="0"/>
        <w:autoSpaceDE/>
        <w:autoSpaceDN/>
        <w:bidi w:val="0"/>
        <w:adjustRightInd/>
        <w:snapToGrid/>
        <w:spacing w:line="576" w:lineRule="exact"/>
        <w:ind w:firstLine="480" w:firstLineChars="200"/>
        <w:textAlignment w:val="auto"/>
        <w:rPr>
          <w:rFonts w:hint="eastAsia"/>
          <w:color w:val="auto"/>
          <w:sz w:val="24"/>
          <w:highlight w:val="none"/>
        </w:rPr>
      </w:pPr>
      <w:r>
        <w:rPr>
          <w:rFonts w:hint="eastAsia"/>
          <w:color w:val="auto"/>
          <w:sz w:val="24"/>
          <w:highlight w:val="none"/>
        </w:rPr>
        <w:t>第三部分</w:t>
      </w:r>
      <w:r>
        <w:rPr>
          <w:color w:val="auto"/>
          <w:sz w:val="24"/>
          <w:highlight w:val="none"/>
        </w:rPr>
        <w:t xml:space="preserve"> </w:t>
      </w:r>
      <w:r>
        <w:rPr>
          <w:rFonts w:hint="eastAsia"/>
          <w:color w:val="auto"/>
          <w:sz w:val="24"/>
          <w:highlight w:val="none"/>
        </w:rPr>
        <w:t>名词解释</w:t>
      </w:r>
    </w:p>
    <w:p>
      <w:pPr>
        <w:keepNext w:val="0"/>
        <w:keepLines w:val="0"/>
        <w:pageBreakBefore w:val="0"/>
        <w:widowControl w:val="0"/>
        <w:numPr>
          <w:ilvl w:val="0"/>
          <w:numId w:val="0"/>
        </w:numPr>
        <w:pBdr>
          <w:bottom w:val="single" w:color="FFFFFF" w:sz="6" w:space="30"/>
        </w:pBdr>
        <w:tabs>
          <w:tab w:val="left" w:pos="6695"/>
          <w:tab w:val="left" w:pos="6725"/>
        </w:tabs>
        <w:kinsoku/>
        <w:wordWrap/>
        <w:overflowPunct/>
        <w:topLinePunct w:val="0"/>
        <w:autoSpaceDE/>
        <w:autoSpaceDN/>
        <w:bidi w:val="0"/>
        <w:adjustRightInd/>
        <w:snapToGrid/>
        <w:spacing w:line="576" w:lineRule="exact"/>
        <w:ind w:firstLine="480" w:firstLineChars="200"/>
        <w:textAlignment w:val="auto"/>
        <w:rPr>
          <w:rFonts w:hint="eastAsia"/>
          <w:color w:val="auto"/>
          <w:sz w:val="24"/>
          <w:highlight w:val="none"/>
        </w:rPr>
      </w:pPr>
      <w:r>
        <w:rPr>
          <w:rFonts w:hint="eastAsia"/>
          <w:color w:val="auto"/>
          <w:sz w:val="24"/>
          <w:highlight w:val="none"/>
        </w:rPr>
        <w:t>第四部分</w:t>
      </w:r>
      <w:r>
        <w:rPr>
          <w:color w:val="auto"/>
          <w:sz w:val="24"/>
          <w:highlight w:val="none"/>
        </w:rPr>
        <w:t xml:space="preserve"> </w:t>
      </w:r>
      <w:r>
        <w:rPr>
          <w:rFonts w:hint="eastAsia"/>
          <w:color w:val="auto"/>
          <w:sz w:val="24"/>
          <w:highlight w:val="none"/>
        </w:rPr>
        <w:t>附件</w:t>
      </w:r>
    </w:p>
    <w:p>
      <w:pPr>
        <w:keepNext w:val="0"/>
        <w:keepLines w:val="0"/>
        <w:pageBreakBefore w:val="0"/>
        <w:widowControl w:val="0"/>
        <w:numPr>
          <w:ilvl w:val="0"/>
          <w:numId w:val="0"/>
        </w:numPr>
        <w:pBdr>
          <w:bottom w:val="single" w:color="FFFFFF" w:sz="6" w:space="30"/>
        </w:pBdr>
        <w:tabs>
          <w:tab w:val="left" w:pos="6695"/>
          <w:tab w:val="left" w:pos="6725"/>
        </w:tabs>
        <w:kinsoku/>
        <w:wordWrap/>
        <w:overflowPunct/>
        <w:topLinePunct w:val="0"/>
        <w:autoSpaceDE/>
        <w:autoSpaceDN/>
        <w:bidi w:val="0"/>
        <w:adjustRightInd/>
        <w:snapToGrid/>
        <w:spacing w:line="576" w:lineRule="exact"/>
        <w:ind w:firstLine="480" w:firstLineChars="200"/>
        <w:textAlignment w:val="auto"/>
        <w:rPr>
          <w:rFonts w:hint="eastAsia"/>
          <w:color w:val="auto"/>
          <w:sz w:val="24"/>
          <w:highlight w:val="none"/>
        </w:rPr>
      </w:pPr>
      <w:r>
        <w:rPr>
          <w:rFonts w:hint="eastAsia"/>
          <w:color w:val="auto"/>
          <w:sz w:val="24"/>
          <w:highlight w:val="none"/>
        </w:rPr>
        <w:t>第五部分</w:t>
      </w:r>
      <w:r>
        <w:rPr>
          <w:color w:val="auto"/>
          <w:sz w:val="24"/>
          <w:highlight w:val="none"/>
        </w:rPr>
        <w:t xml:space="preserve"> </w:t>
      </w:r>
      <w:r>
        <w:rPr>
          <w:rFonts w:hint="eastAsia"/>
          <w:color w:val="auto"/>
          <w:sz w:val="24"/>
          <w:highlight w:val="none"/>
        </w:rPr>
        <w:t>附表</w:t>
      </w:r>
    </w:p>
    <w:p>
      <w:pPr>
        <w:keepNext w:val="0"/>
        <w:keepLines w:val="0"/>
        <w:pageBreakBefore w:val="0"/>
        <w:widowControl w:val="0"/>
        <w:numPr>
          <w:ilvl w:val="0"/>
          <w:numId w:val="0"/>
        </w:numPr>
        <w:pBdr>
          <w:bottom w:val="single" w:color="FFFFFF" w:sz="6" w:space="30"/>
        </w:pBdr>
        <w:tabs>
          <w:tab w:val="left" w:pos="6695"/>
          <w:tab w:val="left" w:pos="6725"/>
        </w:tabs>
        <w:kinsoku/>
        <w:wordWrap/>
        <w:overflowPunct/>
        <w:topLinePunct w:val="0"/>
        <w:autoSpaceDE/>
        <w:autoSpaceDN/>
        <w:bidi w:val="0"/>
        <w:adjustRightInd/>
        <w:snapToGrid/>
        <w:spacing w:line="576" w:lineRule="exact"/>
        <w:ind w:firstLine="480" w:firstLineChars="200"/>
        <w:textAlignment w:val="auto"/>
        <w:rPr>
          <w:rFonts w:hint="eastAsia"/>
          <w:color w:val="auto"/>
          <w:sz w:val="24"/>
          <w:highlight w:val="none"/>
        </w:rPr>
      </w:pPr>
      <w:r>
        <w:rPr>
          <w:rFonts w:hint="eastAsia"/>
          <w:color w:val="auto"/>
          <w:sz w:val="24"/>
          <w:highlight w:val="none"/>
        </w:rPr>
        <w:t>一、收入支出决算总表</w:t>
      </w:r>
    </w:p>
    <w:p>
      <w:pPr>
        <w:keepNext w:val="0"/>
        <w:keepLines w:val="0"/>
        <w:pageBreakBefore w:val="0"/>
        <w:widowControl w:val="0"/>
        <w:numPr>
          <w:ilvl w:val="0"/>
          <w:numId w:val="0"/>
        </w:numPr>
        <w:pBdr>
          <w:bottom w:val="single" w:color="FFFFFF" w:sz="6" w:space="30"/>
        </w:pBdr>
        <w:tabs>
          <w:tab w:val="left" w:pos="6695"/>
          <w:tab w:val="left" w:pos="6725"/>
        </w:tabs>
        <w:kinsoku/>
        <w:wordWrap/>
        <w:overflowPunct/>
        <w:topLinePunct w:val="0"/>
        <w:autoSpaceDE/>
        <w:autoSpaceDN/>
        <w:bidi w:val="0"/>
        <w:adjustRightInd/>
        <w:snapToGrid/>
        <w:spacing w:line="576" w:lineRule="exact"/>
        <w:ind w:firstLine="480" w:firstLineChars="200"/>
        <w:textAlignment w:val="auto"/>
        <w:rPr>
          <w:rFonts w:hint="eastAsia"/>
          <w:color w:val="auto"/>
          <w:sz w:val="24"/>
          <w:highlight w:val="none"/>
        </w:rPr>
      </w:pPr>
      <w:r>
        <w:rPr>
          <w:rFonts w:hint="eastAsia"/>
          <w:color w:val="auto"/>
          <w:sz w:val="24"/>
          <w:highlight w:val="none"/>
        </w:rPr>
        <w:t>二、收入决算表</w:t>
      </w:r>
    </w:p>
    <w:p>
      <w:pPr>
        <w:keepNext w:val="0"/>
        <w:keepLines w:val="0"/>
        <w:pageBreakBefore w:val="0"/>
        <w:widowControl w:val="0"/>
        <w:numPr>
          <w:ilvl w:val="0"/>
          <w:numId w:val="0"/>
        </w:numPr>
        <w:pBdr>
          <w:bottom w:val="single" w:color="FFFFFF" w:sz="6" w:space="30"/>
        </w:pBdr>
        <w:tabs>
          <w:tab w:val="left" w:pos="6695"/>
          <w:tab w:val="left" w:pos="6725"/>
        </w:tabs>
        <w:kinsoku/>
        <w:wordWrap/>
        <w:overflowPunct/>
        <w:topLinePunct w:val="0"/>
        <w:autoSpaceDE/>
        <w:autoSpaceDN/>
        <w:bidi w:val="0"/>
        <w:adjustRightInd/>
        <w:snapToGrid/>
        <w:spacing w:line="576" w:lineRule="exact"/>
        <w:ind w:firstLine="480" w:firstLineChars="200"/>
        <w:textAlignment w:val="auto"/>
        <w:rPr>
          <w:rFonts w:hint="eastAsia"/>
          <w:color w:val="auto"/>
          <w:sz w:val="24"/>
          <w:highlight w:val="none"/>
        </w:rPr>
      </w:pPr>
      <w:r>
        <w:rPr>
          <w:rFonts w:hint="eastAsia"/>
          <w:color w:val="auto"/>
          <w:sz w:val="24"/>
          <w:highlight w:val="none"/>
        </w:rPr>
        <w:t>三、支出决算表</w:t>
      </w:r>
    </w:p>
    <w:p>
      <w:pPr>
        <w:keepNext w:val="0"/>
        <w:keepLines w:val="0"/>
        <w:pageBreakBefore w:val="0"/>
        <w:widowControl w:val="0"/>
        <w:numPr>
          <w:ilvl w:val="0"/>
          <w:numId w:val="0"/>
        </w:numPr>
        <w:pBdr>
          <w:bottom w:val="single" w:color="FFFFFF" w:sz="6" w:space="30"/>
        </w:pBdr>
        <w:tabs>
          <w:tab w:val="left" w:pos="6695"/>
          <w:tab w:val="left" w:pos="6725"/>
        </w:tabs>
        <w:kinsoku/>
        <w:wordWrap/>
        <w:overflowPunct/>
        <w:topLinePunct w:val="0"/>
        <w:autoSpaceDE/>
        <w:autoSpaceDN/>
        <w:bidi w:val="0"/>
        <w:adjustRightInd/>
        <w:snapToGrid/>
        <w:spacing w:line="576" w:lineRule="exact"/>
        <w:ind w:firstLine="480" w:firstLineChars="200"/>
        <w:textAlignment w:val="auto"/>
        <w:rPr>
          <w:rFonts w:hint="eastAsia"/>
          <w:color w:val="auto"/>
          <w:sz w:val="24"/>
          <w:highlight w:val="none"/>
        </w:rPr>
      </w:pPr>
      <w:r>
        <w:rPr>
          <w:rFonts w:hint="eastAsia"/>
          <w:color w:val="auto"/>
          <w:sz w:val="24"/>
          <w:highlight w:val="none"/>
        </w:rPr>
        <w:t>四、财政拨款收入支出决算总表</w:t>
      </w:r>
    </w:p>
    <w:p>
      <w:pPr>
        <w:keepNext w:val="0"/>
        <w:keepLines w:val="0"/>
        <w:pageBreakBefore w:val="0"/>
        <w:widowControl w:val="0"/>
        <w:numPr>
          <w:ilvl w:val="0"/>
          <w:numId w:val="0"/>
        </w:numPr>
        <w:pBdr>
          <w:bottom w:val="single" w:color="FFFFFF" w:sz="6" w:space="30"/>
        </w:pBdr>
        <w:tabs>
          <w:tab w:val="left" w:pos="6695"/>
          <w:tab w:val="left" w:pos="6725"/>
        </w:tabs>
        <w:kinsoku/>
        <w:wordWrap/>
        <w:overflowPunct/>
        <w:topLinePunct w:val="0"/>
        <w:autoSpaceDE/>
        <w:autoSpaceDN/>
        <w:bidi w:val="0"/>
        <w:adjustRightInd/>
        <w:snapToGrid/>
        <w:spacing w:line="576" w:lineRule="exact"/>
        <w:ind w:firstLine="480" w:firstLineChars="200"/>
        <w:textAlignment w:val="auto"/>
        <w:rPr>
          <w:rFonts w:hint="eastAsia"/>
          <w:color w:val="auto"/>
          <w:sz w:val="24"/>
          <w:highlight w:val="none"/>
        </w:rPr>
      </w:pPr>
      <w:r>
        <w:rPr>
          <w:rFonts w:hint="eastAsia"/>
          <w:color w:val="auto"/>
          <w:sz w:val="24"/>
          <w:highlight w:val="none"/>
        </w:rPr>
        <w:t>五、财政拨款支出决算明细表</w:t>
      </w:r>
    </w:p>
    <w:p>
      <w:pPr>
        <w:keepNext w:val="0"/>
        <w:keepLines w:val="0"/>
        <w:pageBreakBefore w:val="0"/>
        <w:widowControl w:val="0"/>
        <w:numPr>
          <w:ilvl w:val="0"/>
          <w:numId w:val="0"/>
        </w:numPr>
        <w:pBdr>
          <w:bottom w:val="single" w:color="FFFFFF" w:sz="6" w:space="30"/>
        </w:pBdr>
        <w:tabs>
          <w:tab w:val="left" w:pos="6695"/>
          <w:tab w:val="left" w:pos="6725"/>
        </w:tabs>
        <w:kinsoku/>
        <w:wordWrap/>
        <w:overflowPunct/>
        <w:topLinePunct w:val="0"/>
        <w:autoSpaceDE/>
        <w:autoSpaceDN/>
        <w:bidi w:val="0"/>
        <w:adjustRightInd/>
        <w:snapToGrid/>
        <w:spacing w:line="576" w:lineRule="exact"/>
        <w:ind w:firstLine="480" w:firstLineChars="200"/>
        <w:textAlignment w:val="auto"/>
        <w:rPr>
          <w:rFonts w:hint="eastAsia"/>
          <w:color w:val="auto"/>
          <w:sz w:val="24"/>
          <w:highlight w:val="none"/>
        </w:rPr>
      </w:pPr>
      <w:r>
        <w:rPr>
          <w:rFonts w:hint="eastAsia"/>
          <w:color w:val="auto"/>
          <w:sz w:val="24"/>
          <w:highlight w:val="none"/>
        </w:rPr>
        <w:t>六、一般公共预算财政拨款支出决算表</w:t>
      </w:r>
    </w:p>
    <w:p>
      <w:pPr>
        <w:keepNext w:val="0"/>
        <w:keepLines w:val="0"/>
        <w:pageBreakBefore w:val="0"/>
        <w:widowControl w:val="0"/>
        <w:numPr>
          <w:ilvl w:val="0"/>
          <w:numId w:val="0"/>
        </w:numPr>
        <w:pBdr>
          <w:bottom w:val="single" w:color="FFFFFF" w:sz="6" w:space="30"/>
        </w:pBdr>
        <w:tabs>
          <w:tab w:val="left" w:pos="6695"/>
          <w:tab w:val="left" w:pos="6725"/>
        </w:tabs>
        <w:kinsoku/>
        <w:wordWrap/>
        <w:overflowPunct/>
        <w:topLinePunct w:val="0"/>
        <w:autoSpaceDE/>
        <w:autoSpaceDN/>
        <w:bidi w:val="0"/>
        <w:adjustRightInd/>
        <w:snapToGrid/>
        <w:spacing w:line="576" w:lineRule="exact"/>
        <w:ind w:firstLine="480" w:firstLineChars="200"/>
        <w:textAlignment w:val="auto"/>
        <w:rPr>
          <w:rFonts w:hint="eastAsia"/>
          <w:color w:val="auto"/>
          <w:sz w:val="24"/>
          <w:highlight w:val="none"/>
        </w:rPr>
      </w:pPr>
      <w:r>
        <w:rPr>
          <w:rFonts w:hint="eastAsia"/>
          <w:color w:val="auto"/>
          <w:sz w:val="24"/>
          <w:highlight w:val="none"/>
        </w:rPr>
        <w:t>七、一般公共预算财政拨款支出决算明细表</w:t>
      </w:r>
    </w:p>
    <w:p>
      <w:pPr>
        <w:keepNext w:val="0"/>
        <w:keepLines w:val="0"/>
        <w:pageBreakBefore w:val="0"/>
        <w:widowControl w:val="0"/>
        <w:numPr>
          <w:ilvl w:val="0"/>
          <w:numId w:val="0"/>
        </w:numPr>
        <w:pBdr>
          <w:bottom w:val="single" w:color="FFFFFF" w:sz="6" w:space="30"/>
        </w:pBdr>
        <w:tabs>
          <w:tab w:val="left" w:pos="6695"/>
          <w:tab w:val="left" w:pos="6725"/>
        </w:tabs>
        <w:kinsoku/>
        <w:wordWrap/>
        <w:overflowPunct/>
        <w:topLinePunct w:val="0"/>
        <w:autoSpaceDE/>
        <w:autoSpaceDN/>
        <w:bidi w:val="0"/>
        <w:adjustRightInd/>
        <w:snapToGrid/>
        <w:spacing w:line="576" w:lineRule="exact"/>
        <w:ind w:firstLine="480" w:firstLineChars="200"/>
        <w:textAlignment w:val="auto"/>
        <w:rPr>
          <w:rFonts w:hint="eastAsia"/>
          <w:color w:val="auto"/>
          <w:sz w:val="24"/>
          <w:highlight w:val="none"/>
        </w:rPr>
      </w:pPr>
      <w:r>
        <w:rPr>
          <w:rFonts w:hint="eastAsia"/>
          <w:color w:val="auto"/>
          <w:sz w:val="24"/>
          <w:highlight w:val="none"/>
        </w:rPr>
        <w:t>八、一般公共预算财政拨款基本支出决算</w:t>
      </w:r>
      <w:r>
        <w:rPr>
          <w:rFonts w:hint="eastAsia"/>
          <w:color w:val="auto"/>
          <w:sz w:val="24"/>
          <w:highlight w:val="none"/>
          <w:lang w:eastAsia="zh-CN"/>
        </w:rPr>
        <w:t>明细</w:t>
      </w:r>
      <w:r>
        <w:rPr>
          <w:rFonts w:hint="eastAsia"/>
          <w:color w:val="auto"/>
          <w:sz w:val="24"/>
          <w:highlight w:val="none"/>
        </w:rPr>
        <w:t>表</w:t>
      </w:r>
    </w:p>
    <w:p>
      <w:pPr>
        <w:keepNext w:val="0"/>
        <w:keepLines w:val="0"/>
        <w:pageBreakBefore w:val="0"/>
        <w:widowControl w:val="0"/>
        <w:numPr>
          <w:ilvl w:val="0"/>
          <w:numId w:val="0"/>
        </w:numPr>
        <w:pBdr>
          <w:bottom w:val="single" w:color="FFFFFF" w:sz="6" w:space="30"/>
        </w:pBdr>
        <w:tabs>
          <w:tab w:val="left" w:pos="6695"/>
          <w:tab w:val="left" w:pos="6725"/>
        </w:tabs>
        <w:kinsoku/>
        <w:wordWrap/>
        <w:overflowPunct/>
        <w:topLinePunct w:val="0"/>
        <w:autoSpaceDE/>
        <w:autoSpaceDN/>
        <w:bidi w:val="0"/>
        <w:adjustRightInd/>
        <w:snapToGrid/>
        <w:spacing w:line="576" w:lineRule="exact"/>
        <w:ind w:firstLine="480" w:firstLineChars="200"/>
        <w:textAlignment w:val="auto"/>
        <w:rPr>
          <w:rFonts w:hint="eastAsia"/>
          <w:color w:val="auto"/>
          <w:sz w:val="24"/>
          <w:highlight w:val="none"/>
        </w:rPr>
      </w:pPr>
      <w:r>
        <w:rPr>
          <w:rFonts w:hint="eastAsia"/>
          <w:color w:val="auto"/>
          <w:sz w:val="24"/>
          <w:highlight w:val="none"/>
        </w:rPr>
        <w:t>九、一般公共预算财政拨款项目支出决算表</w:t>
      </w:r>
    </w:p>
    <w:p>
      <w:pPr>
        <w:keepNext w:val="0"/>
        <w:keepLines w:val="0"/>
        <w:pageBreakBefore w:val="0"/>
        <w:widowControl w:val="0"/>
        <w:numPr>
          <w:ilvl w:val="0"/>
          <w:numId w:val="0"/>
        </w:numPr>
        <w:pBdr>
          <w:bottom w:val="single" w:color="FFFFFF" w:sz="6" w:space="30"/>
        </w:pBdr>
        <w:tabs>
          <w:tab w:val="left" w:pos="6695"/>
          <w:tab w:val="left" w:pos="6725"/>
        </w:tabs>
        <w:kinsoku/>
        <w:wordWrap/>
        <w:overflowPunct/>
        <w:topLinePunct w:val="0"/>
        <w:autoSpaceDE/>
        <w:autoSpaceDN/>
        <w:bidi w:val="0"/>
        <w:adjustRightInd/>
        <w:snapToGrid/>
        <w:spacing w:line="576" w:lineRule="exact"/>
        <w:ind w:firstLine="480" w:firstLineChars="200"/>
        <w:textAlignment w:val="auto"/>
        <w:rPr>
          <w:rFonts w:hint="eastAsia"/>
          <w:color w:val="auto"/>
          <w:sz w:val="24"/>
          <w:highlight w:val="none"/>
        </w:rPr>
      </w:pPr>
      <w:r>
        <w:rPr>
          <w:rFonts w:hint="eastAsia"/>
          <w:color w:val="auto"/>
          <w:sz w:val="24"/>
          <w:highlight w:val="none"/>
        </w:rPr>
        <w:t>十、政府性基金预算财政拨款收入支出决算表</w:t>
      </w:r>
    </w:p>
    <w:p>
      <w:pPr>
        <w:keepNext w:val="0"/>
        <w:keepLines w:val="0"/>
        <w:pageBreakBefore w:val="0"/>
        <w:widowControl w:val="0"/>
        <w:numPr>
          <w:ilvl w:val="0"/>
          <w:numId w:val="0"/>
        </w:numPr>
        <w:pBdr>
          <w:bottom w:val="single" w:color="FFFFFF" w:sz="6" w:space="30"/>
        </w:pBdr>
        <w:tabs>
          <w:tab w:val="left" w:pos="6695"/>
          <w:tab w:val="left" w:pos="6725"/>
        </w:tabs>
        <w:kinsoku/>
        <w:wordWrap/>
        <w:overflowPunct/>
        <w:topLinePunct w:val="0"/>
        <w:autoSpaceDE/>
        <w:autoSpaceDN/>
        <w:bidi w:val="0"/>
        <w:adjustRightInd/>
        <w:snapToGrid/>
        <w:spacing w:line="576" w:lineRule="exact"/>
        <w:ind w:firstLine="480" w:firstLineChars="200"/>
        <w:textAlignment w:val="auto"/>
        <w:rPr>
          <w:rFonts w:hint="eastAsia"/>
          <w:color w:val="auto"/>
          <w:sz w:val="24"/>
          <w:highlight w:val="none"/>
        </w:rPr>
      </w:pPr>
      <w:r>
        <w:rPr>
          <w:rFonts w:hint="eastAsia"/>
          <w:color w:val="auto"/>
          <w:sz w:val="24"/>
          <w:highlight w:val="none"/>
        </w:rPr>
        <w:t>十一、国有资本经营预算财政拨款收入支出决算表</w:t>
      </w:r>
    </w:p>
    <w:p>
      <w:pPr>
        <w:keepNext w:val="0"/>
        <w:keepLines w:val="0"/>
        <w:pageBreakBefore w:val="0"/>
        <w:widowControl w:val="0"/>
        <w:numPr>
          <w:ilvl w:val="0"/>
          <w:numId w:val="0"/>
        </w:numPr>
        <w:pBdr>
          <w:bottom w:val="single" w:color="FFFFFF" w:sz="6" w:space="30"/>
        </w:pBdr>
        <w:tabs>
          <w:tab w:val="left" w:pos="6695"/>
          <w:tab w:val="left" w:pos="6725"/>
        </w:tabs>
        <w:kinsoku/>
        <w:wordWrap/>
        <w:overflowPunct/>
        <w:topLinePunct w:val="0"/>
        <w:autoSpaceDE/>
        <w:autoSpaceDN/>
        <w:bidi w:val="0"/>
        <w:adjustRightInd/>
        <w:snapToGrid/>
        <w:spacing w:line="576" w:lineRule="exact"/>
        <w:ind w:firstLine="480" w:firstLineChars="200"/>
        <w:textAlignment w:val="auto"/>
        <w:rPr>
          <w:rFonts w:hint="eastAsia"/>
          <w:color w:val="auto"/>
          <w:sz w:val="24"/>
          <w:highlight w:val="none"/>
          <w:lang w:val="en-US" w:eastAsia="zh-CN"/>
        </w:rPr>
      </w:pPr>
      <w:r>
        <w:rPr>
          <w:rFonts w:hint="eastAsia"/>
          <w:color w:val="auto"/>
          <w:sz w:val="24"/>
          <w:highlight w:val="none"/>
        </w:rPr>
        <w:t>十二、</w:t>
      </w:r>
      <w:r>
        <w:rPr>
          <w:rFonts w:hint="eastAsia"/>
          <w:color w:val="auto"/>
          <w:sz w:val="24"/>
          <w:highlight w:val="none"/>
          <w:lang w:val="en-US" w:eastAsia="zh-CN"/>
        </w:rPr>
        <w:t>国有资本经营预算财政拨款支出决算表</w:t>
      </w:r>
    </w:p>
    <w:p>
      <w:pPr>
        <w:keepNext w:val="0"/>
        <w:keepLines w:val="0"/>
        <w:pageBreakBefore w:val="0"/>
        <w:widowControl w:val="0"/>
        <w:numPr>
          <w:ilvl w:val="0"/>
          <w:numId w:val="0"/>
        </w:numPr>
        <w:pBdr>
          <w:bottom w:val="single" w:color="FFFFFF" w:sz="6" w:space="30"/>
        </w:pBdr>
        <w:tabs>
          <w:tab w:val="left" w:pos="6695"/>
          <w:tab w:val="left" w:pos="6725"/>
        </w:tabs>
        <w:kinsoku/>
        <w:wordWrap/>
        <w:overflowPunct/>
        <w:topLinePunct w:val="0"/>
        <w:autoSpaceDE/>
        <w:autoSpaceDN/>
        <w:bidi w:val="0"/>
        <w:adjustRightInd/>
        <w:snapToGrid/>
        <w:spacing w:line="576" w:lineRule="exact"/>
        <w:ind w:firstLine="480" w:firstLineChars="200"/>
        <w:textAlignment w:val="auto"/>
        <w:rPr>
          <w:rFonts w:hint="eastAsia"/>
          <w:color w:val="auto"/>
          <w:sz w:val="24"/>
          <w:highlight w:val="none"/>
        </w:rPr>
      </w:pPr>
      <w:r>
        <w:rPr>
          <w:rFonts w:hint="eastAsia"/>
          <w:color w:val="auto"/>
          <w:sz w:val="24"/>
          <w:highlight w:val="none"/>
        </w:rPr>
        <w:t>十三、财政拨款“三公”经费支出决算表</w:t>
      </w:r>
    </w:p>
    <w:p>
      <w:pPr>
        <w:widowControl/>
        <w:adjustRightInd w:val="0"/>
        <w:snapToGrid w:val="0"/>
        <w:spacing w:line="440" w:lineRule="exact"/>
        <w:ind w:firstLine="1320" w:firstLineChars="550"/>
        <w:jc w:val="left"/>
        <w:rPr>
          <w:rFonts w:ascii="仿宋" w:hAnsi="仿宋" w:eastAsia="仿宋"/>
          <w:color w:val="auto"/>
          <w:sz w:val="24"/>
          <w:highlight w:val="none"/>
        </w:rPr>
      </w:pPr>
      <w:r>
        <w:rPr>
          <w:rFonts w:ascii="仿宋" w:hAnsi="仿宋" w:eastAsia="仿宋"/>
          <w:color w:val="auto"/>
          <w:sz w:val="24"/>
          <w:highlight w:val="none"/>
        </w:rPr>
        <w:t>(注：</w:t>
      </w:r>
      <w:r>
        <w:rPr>
          <w:rFonts w:hint="eastAsia" w:ascii="仿宋" w:hAnsi="仿宋" w:eastAsia="仿宋"/>
          <w:color w:val="auto"/>
          <w:sz w:val="24"/>
          <w:highlight w:val="none"/>
        </w:rPr>
        <w:t>请</w:t>
      </w:r>
      <w:r>
        <w:rPr>
          <w:rFonts w:hint="eastAsia" w:ascii="仿宋" w:hAnsi="仿宋" w:eastAsia="仿宋"/>
          <w:color w:val="auto"/>
          <w:sz w:val="24"/>
          <w:highlight w:val="none"/>
          <w:lang w:eastAsia="zh-CN"/>
        </w:rPr>
        <w:t>单位</w:t>
      </w:r>
      <w:r>
        <w:rPr>
          <w:rFonts w:hint="eastAsia" w:ascii="仿宋" w:hAnsi="仿宋" w:eastAsia="仿宋"/>
          <w:color w:val="auto"/>
          <w:sz w:val="24"/>
          <w:highlight w:val="none"/>
        </w:rPr>
        <w:t>根据实际注明页码</w:t>
      </w:r>
      <w:r>
        <w:rPr>
          <w:rFonts w:ascii="仿宋" w:hAnsi="仿宋" w:eastAsia="仿宋"/>
          <w:color w:val="auto"/>
          <w:sz w:val="24"/>
          <w:highlight w:val="none"/>
        </w:rPr>
        <w:t>)</w:t>
      </w:r>
    </w:p>
    <w:p>
      <w:pPr>
        <w:widowControl/>
        <w:spacing w:line="440" w:lineRule="exact"/>
        <w:jc w:val="left"/>
        <w:rPr>
          <w:rFonts w:ascii="仿宋" w:hAnsi="仿宋" w:eastAsia="仿宋"/>
          <w:bCs/>
          <w:color w:val="auto"/>
          <w:kern w:val="44"/>
          <w:sz w:val="24"/>
          <w:highlight w:val="none"/>
        </w:rPr>
      </w:pPr>
      <w:bookmarkStart w:id="12" w:name="_Toc15377196"/>
      <w:bookmarkStart w:id="13" w:name="_Toc15396599"/>
      <w:r>
        <w:rPr>
          <w:rFonts w:ascii="仿宋" w:hAnsi="仿宋" w:eastAsia="仿宋"/>
          <w:b/>
          <w:color w:val="auto"/>
          <w:sz w:val="24"/>
          <w:highlight w:val="none"/>
        </w:rPr>
        <w:br w:type="page"/>
      </w:r>
    </w:p>
    <w:p>
      <w:pPr>
        <w:pStyle w:val="3"/>
        <w:jc w:val="center"/>
        <w:rPr>
          <w:rStyle w:val="24"/>
          <w:rFonts w:ascii="黑体" w:hAnsi="黑体" w:eastAsia="黑体"/>
          <w:b/>
          <w:bCs w:val="0"/>
          <w:color w:val="auto"/>
          <w:highlight w:val="none"/>
        </w:rPr>
      </w:pPr>
      <w:r>
        <w:rPr>
          <w:rFonts w:hint="eastAsia" w:ascii="黑体" w:hAnsi="黑体" w:eastAsia="黑体"/>
          <w:b w:val="0"/>
          <w:color w:val="auto"/>
          <w:highlight w:val="none"/>
        </w:rPr>
        <w:t xml:space="preserve">第一部分 </w:t>
      </w:r>
      <w:r>
        <w:rPr>
          <w:rFonts w:hint="eastAsia" w:ascii="黑体" w:hAnsi="黑体" w:eastAsia="黑体"/>
          <w:b w:val="0"/>
          <w:color w:val="auto"/>
          <w:highlight w:val="none"/>
          <w:lang w:eastAsia="zh-CN"/>
        </w:rPr>
        <w:t>单位</w:t>
      </w:r>
      <w:r>
        <w:rPr>
          <w:rStyle w:val="24"/>
          <w:rFonts w:hint="eastAsia" w:ascii="黑体" w:hAnsi="黑体" w:eastAsia="黑体"/>
          <w:b w:val="0"/>
          <w:bCs w:val="0"/>
          <w:color w:val="auto"/>
          <w:highlight w:val="none"/>
        </w:rPr>
        <w:t>概况</w:t>
      </w:r>
      <w:bookmarkEnd w:id="12"/>
      <w:bookmarkEnd w:id="13"/>
    </w:p>
    <w:p>
      <w:pPr>
        <w:widowControl/>
        <w:jc w:val="left"/>
        <w:rPr>
          <w:rFonts w:ascii="黑体" w:eastAsia="黑体"/>
          <w:color w:val="auto"/>
          <w:sz w:val="32"/>
          <w:szCs w:val="32"/>
          <w:highlight w:val="none"/>
        </w:rPr>
      </w:pPr>
    </w:p>
    <w:p>
      <w:pPr>
        <w:pStyle w:val="4"/>
        <w:numPr>
          <w:ilvl w:val="0"/>
          <w:numId w:val="0"/>
        </w:numPr>
        <w:ind w:firstLine="640" w:firstLineChars="200"/>
        <w:rPr>
          <w:rStyle w:val="25"/>
          <w:rFonts w:hint="eastAsia" w:ascii="黑体" w:hAnsi="黑体" w:eastAsia="黑体"/>
          <w:b w:val="0"/>
          <w:bCs w:val="0"/>
          <w:color w:val="auto"/>
          <w:highlight w:val="yellow"/>
          <w:lang w:eastAsia="zh-CN"/>
        </w:rPr>
      </w:pPr>
      <w:bookmarkStart w:id="14" w:name="_Toc15396600"/>
      <w:bookmarkStart w:id="15" w:name="_Toc15377197"/>
      <w:r>
        <w:rPr>
          <w:rStyle w:val="25"/>
          <w:rFonts w:hint="eastAsia" w:ascii="黑体" w:hAnsi="黑体" w:eastAsia="黑体"/>
          <w:b w:val="0"/>
          <w:bCs w:val="0"/>
          <w:color w:val="auto"/>
          <w:highlight w:val="none"/>
          <w:lang w:eastAsia="zh-CN"/>
        </w:rPr>
        <w:t>一、主要职责</w:t>
      </w:r>
    </w:p>
    <w:p>
      <w:pPr>
        <w:keepNext w:val="0"/>
        <w:keepLines w:val="0"/>
        <w:pageBreakBefore w:val="0"/>
        <w:kinsoku/>
        <w:wordWrap/>
        <w:overflowPunct/>
        <w:topLinePunct w:val="0"/>
        <w:autoSpaceDE/>
        <w:autoSpaceDN/>
        <w:bidi w:val="0"/>
        <w:adjustRightInd/>
        <w:snapToGrid w:val="0"/>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（1）贯彻党的妇女儿童方针、政策，坚持正确的政治方向，团结、教育全市广大妇女以及各类妇女组织同党中央在思想、政治上、行动上保持高度一致。</w:t>
      </w:r>
    </w:p>
    <w:p>
      <w:pPr>
        <w:keepNext w:val="0"/>
        <w:keepLines w:val="0"/>
        <w:pageBreakBefore w:val="0"/>
        <w:kinsoku/>
        <w:wordWrap/>
        <w:overflowPunct/>
        <w:topLinePunct w:val="0"/>
        <w:autoSpaceDE/>
        <w:autoSpaceDN/>
        <w:bidi w:val="0"/>
        <w:adjustRightInd/>
        <w:snapToGrid w:val="0"/>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（2）紧密围绕党和政府的中心任务开展工作，团结、动员、组织广大妇女积极投身五个文明建设，促进经济发展和社会进步，为维护改革发展稳定的大局服务。</w:t>
      </w:r>
    </w:p>
    <w:p>
      <w:pPr>
        <w:keepNext w:val="0"/>
        <w:keepLines w:val="0"/>
        <w:pageBreakBefore w:val="0"/>
        <w:kinsoku/>
        <w:wordWrap/>
        <w:overflowPunct/>
        <w:topLinePunct w:val="0"/>
        <w:autoSpaceDE/>
        <w:autoSpaceDN/>
        <w:bidi w:val="0"/>
        <w:adjustRightInd/>
        <w:snapToGrid w:val="0"/>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3）宣传马克思主义妇女观和男女平等思想，教育、引导广大妇女树立正确的世界观、人生观、价值观，弘扬“自尊、自信、自立、自强”的精神，表彰各类妇女先进典型，积极推动和开展对妇女的科技文化及生产劳动技能的培训，全面提高妇女素质。</w:t>
      </w:r>
    </w:p>
    <w:p>
      <w:pPr>
        <w:keepNext w:val="0"/>
        <w:keepLines w:val="0"/>
        <w:pageBreakBefore w:val="0"/>
        <w:kinsoku/>
        <w:wordWrap/>
        <w:overflowPunct/>
        <w:topLinePunct w:val="0"/>
        <w:autoSpaceDE/>
        <w:autoSpaceDN/>
        <w:bidi w:val="0"/>
        <w:adjustRightInd/>
        <w:snapToGrid w:val="0"/>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4）代表妇女参与国家和社会事务的民主管理和民主监督；宣传、贯彻执行有关妇女儿童的法律、法规；组织调查研究涉及妇女切身利益的热点、难点问题，及时向党和政府反映社情民情，提出对策建议；参与有关妇女儿童政策和行政措施的制定，维护妇女儿童合法权益。</w:t>
      </w:r>
    </w:p>
    <w:p>
      <w:pPr>
        <w:keepNext w:val="0"/>
        <w:keepLines w:val="0"/>
        <w:pageBreakBefore w:val="0"/>
        <w:kinsoku/>
        <w:wordWrap/>
        <w:overflowPunct/>
        <w:topLinePunct w:val="0"/>
        <w:autoSpaceDE/>
        <w:autoSpaceDN/>
        <w:bidi w:val="0"/>
        <w:adjustRightInd/>
        <w:snapToGrid w:val="0"/>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（5）组织指导各级妇联开展为妇女儿童服务工作，加强与社会各界的联系，协调推动全社会为妇女儿童办实事、办好事。</w:t>
      </w:r>
    </w:p>
    <w:p>
      <w:pPr>
        <w:keepNext w:val="0"/>
        <w:keepLines w:val="0"/>
        <w:pageBreakBefore w:val="0"/>
        <w:kinsoku/>
        <w:wordWrap/>
        <w:overflowPunct/>
        <w:topLinePunct w:val="0"/>
        <w:autoSpaceDE/>
        <w:autoSpaceDN/>
        <w:bidi w:val="0"/>
        <w:adjustRightInd/>
        <w:snapToGrid w:val="0"/>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6）指导妇联依据《章程》和妇女代表大会的决议，开展妇女儿童工作；联系团体会员并给予工作指导。加强同香港、澳门特别行政区和台湾地区以及海外侨胞妇女的联谊，促进祖国统一大业的完成；组织开展同世界各国妇女和妇女组织的友好交往，增进了解和友谊，加强合作。</w:t>
      </w:r>
    </w:p>
    <w:p>
      <w:pPr>
        <w:keepNext w:val="0"/>
        <w:keepLines w:val="0"/>
        <w:pageBreakBefore w:val="0"/>
        <w:kinsoku/>
        <w:wordWrap/>
        <w:overflowPunct/>
        <w:topLinePunct w:val="0"/>
        <w:autoSpaceDE/>
        <w:autoSpaceDN/>
        <w:bidi w:val="0"/>
        <w:adjustRightInd/>
        <w:snapToGrid w:val="0"/>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（7）承担市妇女儿童工作委员会办公室的工作。</w:t>
      </w:r>
    </w:p>
    <w:p>
      <w:pPr>
        <w:keepNext w:val="0"/>
        <w:keepLines w:val="0"/>
        <w:pageBreakBefore w:val="0"/>
        <w:kinsoku/>
        <w:wordWrap/>
        <w:overflowPunct/>
        <w:topLinePunct w:val="0"/>
        <w:autoSpaceDE/>
        <w:autoSpaceDN/>
        <w:bidi w:val="0"/>
        <w:adjustRightInd/>
        <w:snapToGrid w:val="0"/>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（8）承办市委、市政府交办的有关事项。</w:t>
      </w:r>
    </w:p>
    <w:p>
      <w:pPr>
        <w:pStyle w:val="4"/>
        <w:numPr>
          <w:ilvl w:val="0"/>
          <w:numId w:val="0"/>
        </w:numPr>
        <w:ind w:firstLine="640" w:firstLineChars="200"/>
        <w:rPr>
          <w:rFonts w:hint="eastAsia" w:ascii="黑体" w:hAnsi="黑体" w:eastAsia="黑体"/>
          <w:b w:val="0"/>
          <w:color w:val="auto"/>
          <w:highlight w:val="none"/>
          <w:lang w:val="en-US" w:eastAsia="zh-CN"/>
        </w:rPr>
      </w:pPr>
      <w:r>
        <w:rPr>
          <w:rFonts w:hint="eastAsia" w:ascii="黑体" w:hAnsi="黑体" w:eastAsia="黑体"/>
          <w:b w:val="0"/>
          <w:color w:val="auto"/>
          <w:highlight w:val="none"/>
          <w:lang w:val="en-US" w:eastAsia="zh-CN"/>
        </w:rPr>
        <w:t>二、机构设置</w:t>
      </w:r>
    </w:p>
    <w:p>
      <w:pPr>
        <w:pStyle w:val="4"/>
        <w:numPr>
          <w:ilvl w:val="0"/>
          <w:numId w:val="0"/>
        </w:numPr>
        <w:ind w:firstLine="640" w:firstLineChars="200"/>
        <w:rPr>
          <w:rFonts w:hint="eastAsia" w:ascii="仿宋_GB2312" w:hAnsi="仿宋_GB2312" w:eastAsia="仿宋_GB2312" w:cs="仿宋_GB2312"/>
          <w:b w:val="0"/>
          <w:bCs w:val="0"/>
          <w:kern w:val="2"/>
          <w:sz w:val="32"/>
          <w:szCs w:val="32"/>
          <w:lang w:eastAsia="zh-CN"/>
        </w:rPr>
      </w:pPr>
      <w:r>
        <w:rPr>
          <w:rFonts w:hint="eastAsia" w:ascii="仿宋_GB2312" w:hAnsi="仿宋_GB2312" w:eastAsia="仿宋_GB2312" w:cs="仿宋_GB2312"/>
          <w:b w:val="0"/>
          <w:bCs w:val="0"/>
          <w:kern w:val="2"/>
          <w:sz w:val="32"/>
          <w:szCs w:val="32"/>
        </w:rPr>
        <w:t>市</w:t>
      </w:r>
      <w:r>
        <w:rPr>
          <w:rFonts w:hint="eastAsia" w:ascii="仿宋_GB2312" w:hAnsi="仿宋_GB2312" w:eastAsia="仿宋_GB2312" w:cs="仿宋_GB2312"/>
          <w:b w:val="0"/>
          <w:bCs w:val="0"/>
          <w:kern w:val="2"/>
          <w:sz w:val="32"/>
          <w:szCs w:val="32"/>
          <w:lang w:eastAsia="zh-CN"/>
        </w:rPr>
        <w:t>妇联内</w:t>
      </w:r>
      <w:r>
        <w:rPr>
          <w:rFonts w:hint="eastAsia" w:ascii="仿宋_GB2312" w:hAnsi="仿宋_GB2312" w:eastAsia="仿宋_GB2312" w:cs="仿宋_GB2312"/>
          <w:b w:val="0"/>
          <w:bCs w:val="0"/>
          <w:kern w:val="2"/>
          <w:sz w:val="32"/>
          <w:szCs w:val="32"/>
        </w:rPr>
        <w:t>设办公室、</w:t>
      </w:r>
      <w:r>
        <w:rPr>
          <w:rFonts w:hint="eastAsia" w:ascii="仿宋_GB2312" w:hAnsi="仿宋_GB2312" w:eastAsia="仿宋_GB2312" w:cs="仿宋_GB2312"/>
          <w:b w:val="0"/>
          <w:bCs w:val="0"/>
          <w:kern w:val="2"/>
          <w:sz w:val="32"/>
          <w:szCs w:val="32"/>
          <w:lang w:eastAsia="zh-CN"/>
        </w:rPr>
        <w:t>组宣</w:t>
      </w:r>
      <w:r>
        <w:rPr>
          <w:rFonts w:hint="eastAsia" w:ascii="仿宋_GB2312" w:hAnsi="仿宋_GB2312" w:eastAsia="仿宋_GB2312" w:cs="仿宋_GB2312"/>
          <w:b w:val="0"/>
          <w:bCs w:val="0"/>
          <w:kern w:val="2"/>
          <w:sz w:val="32"/>
          <w:szCs w:val="32"/>
        </w:rPr>
        <w:t>部、</w:t>
      </w:r>
      <w:r>
        <w:rPr>
          <w:rFonts w:hint="eastAsia" w:ascii="仿宋_GB2312" w:hAnsi="仿宋_GB2312" w:eastAsia="仿宋_GB2312" w:cs="仿宋_GB2312"/>
          <w:b w:val="0"/>
          <w:bCs w:val="0"/>
          <w:sz w:val="32"/>
          <w:szCs w:val="32"/>
        </w:rPr>
        <w:t>权益儿工部3个部室和市人民政府妇女儿童工作委员会办公室</w:t>
      </w:r>
      <w:r>
        <w:rPr>
          <w:rFonts w:hint="eastAsia" w:ascii="仿宋_GB2312" w:hAnsi="仿宋_GB2312" w:eastAsia="仿宋_GB2312" w:cs="仿宋_GB2312"/>
          <w:b w:val="0"/>
          <w:bCs w:val="0"/>
          <w:kern w:val="2"/>
          <w:sz w:val="32"/>
          <w:szCs w:val="32"/>
        </w:rPr>
        <w:t>，核定行政编制</w:t>
      </w:r>
      <w:r>
        <w:rPr>
          <w:rFonts w:hint="eastAsia" w:ascii="仿宋_GB2312" w:hAnsi="仿宋_GB2312" w:eastAsia="仿宋_GB2312" w:cs="仿宋_GB2312"/>
          <w:b w:val="0"/>
          <w:bCs w:val="0"/>
          <w:kern w:val="2"/>
          <w:sz w:val="32"/>
          <w:szCs w:val="32"/>
          <w:lang w:val="en" w:eastAsia="zh-CN"/>
        </w:rPr>
        <w:t>8</w:t>
      </w:r>
      <w:r>
        <w:rPr>
          <w:rFonts w:hint="eastAsia" w:ascii="仿宋_GB2312" w:hAnsi="仿宋_GB2312" w:eastAsia="仿宋_GB2312" w:cs="仿宋_GB2312"/>
          <w:b w:val="0"/>
          <w:bCs w:val="0"/>
          <w:kern w:val="2"/>
          <w:sz w:val="32"/>
          <w:szCs w:val="32"/>
        </w:rPr>
        <w:t>名、</w:t>
      </w:r>
      <w:r>
        <w:rPr>
          <w:rFonts w:hint="eastAsia" w:ascii="仿宋_GB2312" w:hAnsi="仿宋_GB2312" w:eastAsia="仿宋_GB2312" w:cs="仿宋_GB2312"/>
          <w:b w:val="0"/>
          <w:bCs w:val="0"/>
          <w:kern w:val="2"/>
          <w:sz w:val="32"/>
          <w:szCs w:val="32"/>
          <w:lang w:eastAsia="zh-CN"/>
        </w:rPr>
        <w:t>参公事业编制</w:t>
      </w:r>
      <w:r>
        <w:rPr>
          <w:rFonts w:hint="eastAsia" w:ascii="仿宋_GB2312" w:hAnsi="仿宋_GB2312" w:eastAsia="仿宋_GB2312" w:cs="仿宋_GB2312"/>
          <w:b w:val="0"/>
          <w:bCs w:val="0"/>
          <w:kern w:val="2"/>
          <w:sz w:val="32"/>
          <w:szCs w:val="32"/>
          <w:lang w:val="en" w:eastAsia="zh-CN"/>
        </w:rPr>
        <w:t>1</w:t>
      </w:r>
      <w:r>
        <w:rPr>
          <w:rFonts w:hint="eastAsia" w:ascii="仿宋_GB2312" w:hAnsi="仿宋_GB2312" w:eastAsia="仿宋_GB2312" w:cs="仿宋_GB2312"/>
          <w:b w:val="0"/>
          <w:bCs w:val="0"/>
          <w:kern w:val="2"/>
          <w:sz w:val="32"/>
          <w:szCs w:val="32"/>
          <w:lang w:eastAsia="zh-CN"/>
        </w:rPr>
        <w:t>名，使用周转编制</w:t>
      </w:r>
      <w:r>
        <w:rPr>
          <w:rFonts w:hint="eastAsia" w:ascii="仿宋_GB2312" w:hAnsi="仿宋_GB2312" w:eastAsia="仿宋_GB2312" w:cs="仿宋_GB2312"/>
          <w:b w:val="0"/>
          <w:bCs w:val="0"/>
          <w:kern w:val="2"/>
          <w:sz w:val="32"/>
          <w:szCs w:val="32"/>
          <w:lang w:val="en" w:eastAsia="zh-CN"/>
        </w:rPr>
        <w:t>1</w:t>
      </w:r>
      <w:r>
        <w:rPr>
          <w:rFonts w:hint="eastAsia" w:ascii="仿宋_GB2312" w:hAnsi="仿宋_GB2312" w:eastAsia="仿宋_GB2312" w:cs="仿宋_GB2312"/>
          <w:b w:val="0"/>
          <w:bCs w:val="0"/>
          <w:kern w:val="2"/>
          <w:sz w:val="32"/>
          <w:szCs w:val="32"/>
          <w:lang w:eastAsia="zh-CN"/>
        </w:rPr>
        <w:t>名，</w:t>
      </w:r>
      <w:r>
        <w:rPr>
          <w:rFonts w:hint="eastAsia" w:ascii="仿宋_GB2312" w:hAnsi="仿宋_GB2312" w:eastAsia="仿宋_GB2312" w:cs="仿宋_GB2312"/>
          <w:b w:val="0"/>
          <w:bCs w:val="0"/>
          <w:kern w:val="2"/>
          <w:sz w:val="32"/>
          <w:szCs w:val="32"/>
        </w:rPr>
        <w:t>现有主席1名、</w:t>
      </w:r>
      <w:r>
        <w:rPr>
          <w:rFonts w:hint="eastAsia" w:ascii="仿宋_GB2312" w:hAnsi="仿宋_GB2312" w:eastAsia="仿宋_GB2312" w:cs="仿宋_GB2312"/>
          <w:b w:val="0"/>
          <w:bCs w:val="0"/>
          <w:kern w:val="2"/>
          <w:sz w:val="32"/>
          <w:szCs w:val="32"/>
          <w:lang w:eastAsia="zh-CN"/>
        </w:rPr>
        <w:t>正</w:t>
      </w:r>
      <w:r>
        <w:rPr>
          <w:rFonts w:hint="eastAsia" w:ascii="仿宋_GB2312" w:hAnsi="仿宋_GB2312" w:eastAsia="仿宋_GB2312" w:cs="仿宋_GB2312"/>
          <w:b w:val="0"/>
          <w:bCs w:val="0"/>
          <w:kern w:val="2"/>
          <w:sz w:val="32"/>
          <w:szCs w:val="32"/>
        </w:rPr>
        <w:t>县职干部</w:t>
      </w:r>
      <w:r>
        <w:rPr>
          <w:rFonts w:hint="eastAsia" w:ascii="仿宋_GB2312" w:hAnsi="仿宋_GB2312" w:eastAsia="仿宋_GB2312" w:cs="仿宋_GB2312"/>
          <w:b w:val="0"/>
          <w:bCs w:val="0"/>
          <w:kern w:val="2"/>
          <w:sz w:val="32"/>
          <w:szCs w:val="32"/>
          <w:lang w:val="en" w:eastAsia="zh-CN"/>
        </w:rPr>
        <w:t>1</w:t>
      </w:r>
      <w:r>
        <w:rPr>
          <w:rFonts w:hint="eastAsia" w:ascii="仿宋_GB2312" w:hAnsi="仿宋_GB2312" w:eastAsia="仿宋_GB2312" w:cs="仿宋_GB2312"/>
          <w:b w:val="0"/>
          <w:bCs w:val="0"/>
          <w:kern w:val="2"/>
          <w:sz w:val="32"/>
          <w:szCs w:val="32"/>
        </w:rPr>
        <w:t>名、副主席2名、</w:t>
      </w:r>
      <w:r>
        <w:rPr>
          <w:rFonts w:hint="eastAsia" w:ascii="仿宋_GB2312" w:hAnsi="仿宋_GB2312" w:eastAsia="仿宋_GB2312" w:cs="仿宋_GB2312"/>
          <w:b w:val="0"/>
          <w:bCs w:val="0"/>
          <w:sz w:val="32"/>
          <w:szCs w:val="32"/>
        </w:rPr>
        <w:t>四级调研员</w:t>
      </w:r>
      <w:r>
        <w:rPr>
          <w:rFonts w:hint="eastAsia" w:ascii="仿宋_GB2312" w:hAnsi="仿宋_GB2312" w:eastAsia="仿宋_GB2312" w:cs="仿宋_GB2312"/>
          <w:b w:val="0"/>
          <w:bCs w:val="0"/>
          <w:sz w:val="32"/>
          <w:szCs w:val="32"/>
          <w:lang w:val="en"/>
        </w:rPr>
        <w:t>1</w:t>
      </w:r>
      <w:r>
        <w:rPr>
          <w:rFonts w:hint="eastAsia" w:ascii="仿宋_GB2312" w:hAnsi="仿宋_GB2312" w:eastAsia="仿宋_GB2312" w:cs="仿宋_GB2312"/>
          <w:b w:val="0"/>
          <w:bCs w:val="0"/>
          <w:sz w:val="32"/>
          <w:szCs w:val="32"/>
          <w:lang w:val="en" w:eastAsia="zh-CN"/>
        </w:rPr>
        <w:t>名</w:t>
      </w:r>
      <w:r>
        <w:rPr>
          <w:rFonts w:hint="eastAsia" w:ascii="仿宋_GB2312" w:hAnsi="仿宋_GB2312" w:eastAsia="仿宋_GB2312" w:cs="仿宋_GB2312"/>
          <w:b w:val="0"/>
          <w:bCs w:val="0"/>
          <w:kern w:val="2"/>
          <w:sz w:val="32"/>
          <w:szCs w:val="32"/>
        </w:rPr>
        <w:t>、</w:t>
      </w:r>
      <w:r>
        <w:rPr>
          <w:rFonts w:hint="eastAsia" w:ascii="仿宋_GB2312" w:hAnsi="仿宋_GB2312" w:eastAsia="仿宋_GB2312" w:cs="仿宋_GB2312"/>
          <w:b w:val="0"/>
          <w:bCs w:val="0"/>
          <w:kern w:val="2"/>
          <w:sz w:val="32"/>
          <w:szCs w:val="32"/>
          <w:lang w:eastAsia="zh-CN"/>
        </w:rPr>
        <w:t>科级及以下干部</w:t>
      </w:r>
      <w:r>
        <w:rPr>
          <w:rFonts w:hint="eastAsia" w:ascii="仿宋_GB2312" w:hAnsi="仿宋_GB2312" w:eastAsia="仿宋_GB2312" w:cs="仿宋_GB2312"/>
          <w:b w:val="0"/>
          <w:bCs w:val="0"/>
          <w:kern w:val="2"/>
          <w:sz w:val="32"/>
          <w:szCs w:val="32"/>
          <w:lang w:val="en" w:eastAsia="zh-CN"/>
        </w:rPr>
        <w:t>5</w:t>
      </w:r>
      <w:r>
        <w:rPr>
          <w:rFonts w:hint="eastAsia" w:ascii="仿宋_GB2312" w:hAnsi="仿宋_GB2312" w:eastAsia="仿宋_GB2312" w:cs="仿宋_GB2312"/>
          <w:b w:val="0"/>
          <w:bCs w:val="0"/>
          <w:kern w:val="2"/>
          <w:sz w:val="32"/>
          <w:szCs w:val="32"/>
        </w:rPr>
        <w:t>名</w:t>
      </w:r>
      <w:r>
        <w:rPr>
          <w:rFonts w:hint="eastAsia" w:ascii="仿宋_GB2312" w:hAnsi="仿宋_GB2312" w:eastAsia="仿宋_GB2312" w:cs="仿宋_GB2312"/>
          <w:b w:val="0"/>
          <w:bCs w:val="0"/>
          <w:kern w:val="2"/>
          <w:sz w:val="32"/>
          <w:szCs w:val="32"/>
          <w:lang w:eastAsia="zh-CN"/>
        </w:rPr>
        <w:t>。</w:t>
      </w:r>
      <w:r>
        <w:rPr>
          <w:rFonts w:hint="eastAsia" w:ascii="仿宋_GB2312" w:hAnsi="仿宋_GB2312" w:eastAsia="仿宋_GB2312" w:cs="仿宋_GB2312"/>
          <w:b w:val="0"/>
          <w:bCs w:val="0"/>
          <w:kern w:val="2"/>
          <w:sz w:val="32"/>
          <w:szCs w:val="32"/>
        </w:rPr>
        <w:t>下设1个事业单位</w:t>
      </w:r>
      <w:r>
        <w:rPr>
          <w:rFonts w:hint="eastAsia" w:ascii="仿宋_GB2312" w:hAnsi="仿宋_GB2312" w:eastAsia="仿宋_GB2312" w:cs="仿宋_GB2312"/>
          <w:b w:val="0"/>
          <w:bCs w:val="0"/>
          <w:sz w:val="32"/>
          <w:szCs w:val="32"/>
        </w:rPr>
        <w:t>市妇女儿童活动中心</w:t>
      </w:r>
      <w:r>
        <w:rPr>
          <w:rFonts w:hint="eastAsia" w:ascii="仿宋_GB2312" w:hAnsi="仿宋_GB2312" w:eastAsia="仿宋_GB2312" w:cs="仿宋_GB2312"/>
          <w:b w:val="0"/>
          <w:bCs w:val="0"/>
          <w:kern w:val="2"/>
          <w:sz w:val="32"/>
          <w:szCs w:val="32"/>
        </w:rPr>
        <w:t>，核定事业编制</w:t>
      </w:r>
      <w:r>
        <w:rPr>
          <w:rFonts w:hint="eastAsia" w:ascii="仿宋_GB2312" w:hAnsi="仿宋_GB2312" w:eastAsia="仿宋_GB2312" w:cs="仿宋_GB2312"/>
          <w:b w:val="0"/>
          <w:bCs w:val="0"/>
          <w:kern w:val="2"/>
          <w:sz w:val="32"/>
          <w:szCs w:val="32"/>
          <w:lang w:val="en" w:eastAsia="zh-CN"/>
        </w:rPr>
        <w:t>3</w:t>
      </w:r>
      <w:r>
        <w:rPr>
          <w:rFonts w:hint="eastAsia" w:ascii="仿宋_GB2312" w:hAnsi="仿宋_GB2312" w:eastAsia="仿宋_GB2312" w:cs="仿宋_GB2312"/>
          <w:b w:val="0"/>
          <w:bCs w:val="0"/>
          <w:kern w:val="2"/>
          <w:sz w:val="32"/>
          <w:szCs w:val="32"/>
        </w:rPr>
        <w:t>名，现有</w:t>
      </w:r>
      <w:r>
        <w:rPr>
          <w:rFonts w:hint="eastAsia" w:ascii="仿宋_GB2312" w:hAnsi="仿宋_GB2312" w:eastAsia="仿宋_GB2312" w:cs="仿宋_GB2312"/>
          <w:b w:val="0"/>
          <w:bCs w:val="0"/>
          <w:kern w:val="2"/>
          <w:sz w:val="32"/>
          <w:szCs w:val="32"/>
          <w:lang w:eastAsia="zh-CN"/>
        </w:rPr>
        <w:t>主任</w:t>
      </w:r>
      <w:r>
        <w:rPr>
          <w:rFonts w:hint="eastAsia" w:ascii="仿宋_GB2312" w:hAnsi="仿宋_GB2312" w:eastAsia="仿宋_GB2312" w:cs="仿宋_GB2312"/>
          <w:b w:val="0"/>
          <w:bCs w:val="0"/>
          <w:kern w:val="2"/>
          <w:sz w:val="32"/>
          <w:szCs w:val="32"/>
        </w:rPr>
        <w:t>1名、</w:t>
      </w:r>
      <w:r>
        <w:rPr>
          <w:rFonts w:hint="eastAsia" w:ascii="仿宋_GB2312" w:hAnsi="仿宋_GB2312" w:eastAsia="仿宋_GB2312" w:cs="仿宋_GB2312"/>
          <w:b w:val="0"/>
          <w:bCs w:val="0"/>
          <w:kern w:val="2"/>
          <w:sz w:val="32"/>
          <w:szCs w:val="32"/>
          <w:lang w:eastAsia="zh-CN"/>
        </w:rPr>
        <w:t>管理</w:t>
      </w:r>
      <w:r>
        <w:rPr>
          <w:rFonts w:hint="eastAsia" w:ascii="仿宋_GB2312" w:hAnsi="仿宋_GB2312" w:eastAsia="仿宋_GB2312" w:cs="仿宋_GB2312"/>
          <w:b w:val="0"/>
          <w:bCs w:val="0"/>
          <w:kern w:val="2"/>
          <w:sz w:val="32"/>
          <w:szCs w:val="32"/>
        </w:rPr>
        <w:t>十级人员1名、管理九级人员</w:t>
      </w:r>
      <w:r>
        <w:rPr>
          <w:rFonts w:hint="eastAsia" w:ascii="仿宋_GB2312" w:hAnsi="仿宋_GB2312" w:eastAsia="仿宋_GB2312" w:cs="仿宋_GB2312"/>
          <w:b w:val="0"/>
          <w:bCs w:val="0"/>
          <w:kern w:val="2"/>
          <w:sz w:val="32"/>
          <w:szCs w:val="32"/>
          <w:lang w:val="en" w:eastAsia="zh-CN"/>
        </w:rPr>
        <w:t>1</w:t>
      </w:r>
      <w:r>
        <w:rPr>
          <w:rFonts w:hint="eastAsia" w:ascii="仿宋_GB2312" w:hAnsi="仿宋_GB2312" w:eastAsia="仿宋_GB2312" w:cs="仿宋_GB2312"/>
          <w:b w:val="0"/>
          <w:bCs w:val="0"/>
          <w:kern w:val="2"/>
          <w:sz w:val="32"/>
          <w:szCs w:val="32"/>
        </w:rPr>
        <w:t>名</w:t>
      </w:r>
      <w:r>
        <w:rPr>
          <w:rFonts w:hint="eastAsia" w:ascii="仿宋_GB2312" w:hAnsi="仿宋_GB2312" w:eastAsia="仿宋_GB2312" w:cs="仿宋_GB2312"/>
          <w:b w:val="0"/>
          <w:bCs w:val="0"/>
          <w:kern w:val="2"/>
          <w:sz w:val="32"/>
          <w:szCs w:val="32"/>
          <w:lang w:eastAsia="zh-CN"/>
        </w:rPr>
        <w:t>。</w:t>
      </w:r>
      <w:bookmarkEnd w:id="14"/>
      <w:bookmarkEnd w:id="15"/>
      <w:bookmarkStart w:id="16" w:name="_Toc15377204"/>
      <w:bookmarkStart w:id="17" w:name="_Toc15396602"/>
    </w:p>
    <w:p>
      <w:pPr>
        <w:pStyle w:val="4"/>
        <w:numPr>
          <w:ilvl w:val="0"/>
          <w:numId w:val="0"/>
        </w:numPr>
        <w:ind w:firstLine="880" w:firstLineChars="200"/>
        <w:rPr>
          <w:color w:val="auto"/>
          <w:highlight w:val="none"/>
        </w:rPr>
      </w:pPr>
      <w:r>
        <w:rPr>
          <w:rFonts w:hint="eastAsia" w:ascii="方正小标宋_GBK" w:hAnsi="方正小标宋_GBK" w:eastAsia="方正小标宋_GBK" w:cs="方正小标宋_GBK"/>
          <w:b w:val="0"/>
          <w:bCs/>
          <w:color w:val="auto"/>
          <w:sz w:val="44"/>
          <w:szCs w:val="44"/>
          <w:highlight w:val="none"/>
        </w:rPr>
        <w:t xml:space="preserve">第二部分 </w:t>
      </w:r>
      <w:r>
        <w:rPr>
          <w:rFonts w:hint="eastAsia" w:ascii="方正小标宋_GBK" w:hAnsi="方正小标宋_GBK" w:eastAsia="方正小标宋_GBK" w:cs="方正小标宋_GBK"/>
          <w:b w:val="0"/>
          <w:bCs/>
          <w:color w:val="auto"/>
          <w:sz w:val="44"/>
          <w:szCs w:val="44"/>
          <w:highlight w:val="none"/>
          <w:lang w:val="en-US" w:eastAsia="zh-CN"/>
        </w:rPr>
        <w:t>2022年度</w:t>
      </w:r>
      <w:r>
        <w:rPr>
          <w:rStyle w:val="24"/>
          <w:rFonts w:hint="eastAsia" w:ascii="方正小标宋_GBK" w:hAnsi="方正小标宋_GBK" w:eastAsia="方正小标宋_GBK" w:cs="方正小标宋_GBK"/>
          <w:b w:val="0"/>
          <w:bCs/>
          <w:color w:val="auto"/>
          <w:sz w:val="44"/>
          <w:szCs w:val="44"/>
          <w:highlight w:val="none"/>
          <w:lang w:eastAsia="zh-CN"/>
        </w:rPr>
        <w:t>单位</w:t>
      </w:r>
      <w:r>
        <w:rPr>
          <w:rStyle w:val="24"/>
          <w:rFonts w:hint="eastAsia" w:ascii="方正小标宋_GBK" w:hAnsi="方正小标宋_GBK" w:eastAsia="方正小标宋_GBK" w:cs="方正小标宋_GBK"/>
          <w:b w:val="0"/>
          <w:bCs/>
          <w:color w:val="auto"/>
          <w:sz w:val="44"/>
          <w:szCs w:val="44"/>
          <w:highlight w:val="none"/>
        </w:rPr>
        <w:t>决算情况说明</w:t>
      </w:r>
      <w:bookmarkEnd w:id="16"/>
      <w:bookmarkEnd w:id="17"/>
    </w:p>
    <w:p>
      <w:pPr>
        <w:pStyle w:val="23"/>
        <w:numPr>
          <w:ilvl w:val="0"/>
          <w:numId w:val="1"/>
        </w:numPr>
        <w:spacing w:line="600" w:lineRule="exact"/>
        <w:ind w:firstLineChars="0"/>
        <w:outlineLvl w:val="1"/>
        <w:rPr>
          <w:rStyle w:val="25"/>
          <w:rFonts w:ascii="黑体" w:hAnsi="黑体" w:eastAsia="黑体"/>
          <w:b w:val="0"/>
          <w:color w:val="auto"/>
          <w:highlight w:val="none"/>
        </w:rPr>
      </w:pPr>
      <w:bookmarkStart w:id="18" w:name="_Toc15377205"/>
      <w:bookmarkStart w:id="19" w:name="_Toc15396603"/>
      <w:r>
        <w:rPr>
          <w:rFonts w:hint="eastAsia" w:ascii="黑体" w:hAnsi="黑体" w:eastAsia="黑体"/>
          <w:color w:val="auto"/>
          <w:sz w:val="32"/>
          <w:szCs w:val="32"/>
          <w:highlight w:val="none"/>
        </w:rPr>
        <w:t>收</w:t>
      </w:r>
      <w:r>
        <w:rPr>
          <w:rStyle w:val="25"/>
          <w:rFonts w:hint="eastAsia" w:ascii="黑体" w:hAnsi="黑体" w:eastAsia="黑体"/>
          <w:b w:val="0"/>
          <w:color w:val="auto"/>
          <w:highlight w:val="none"/>
        </w:rPr>
        <w:t>入支出决算总体情况说明</w:t>
      </w:r>
      <w:bookmarkEnd w:id="18"/>
      <w:bookmarkEnd w:id="19"/>
    </w:p>
    <w:p>
      <w:pPr>
        <w:spacing w:line="600" w:lineRule="exact"/>
        <w:ind w:firstLine="640" w:firstLineChars="200"/>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年度收、支总计616.55万元。与20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年相比，收、支总计各增加39.42万元，增长6.83</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w:t>
      </w:r>
      <w:r>
        <w:rPr>
          <w:rFonts w:hint="eastAsia" w:ascii="仿宋" w:hAnsi="仿宋" w:eastAsia="仿宋"/>
          <w:color w:val="auto"/>
          <w:sz w:val="32"/>
          <w:szCs w:val="32"/>
          <w:highlight w:val="none"/>
          <w:lang w:val="en-US" w:eastAsia="zh-CN"/>
        </w:rPr>
        <w:t>本年增加会议费和培训费</w:t>
      </w:r>
      <w:r>
        <w:rPr>
          <w:rFonts w:hint="eastAsia" w:ascii="仿宋" w:hAnsi="仿宋" w:eastAsia="仿宋"/>
          <w:color w:val="auto"/>
          <w:sz w:val="32"/>
          <w:szCs w:val="32"/>
          <w:highlight w:val="none"/>
        </w:rPr>
        <w:t>等</w:t>
      </w:r>
      <w:r>
        <w:rPr>
          <w:rFonts w:hint="eastAsia" w:ascii="仿宋" w:hAnsi="仿宋" w:eastAsia="仿宋"/>
          <w:color w:val="auto"/>
          <w:sz w:val="32"/>
          <w:szCs w:val="32"/>
          <w:highlight w:val="none"/>
          <w:lang w:eastAsia="zh-CN"/>
        </w:rPr>
        <w:t>。</w:t>
      </w:r>
    </w:p>
    <w:p>
      <w:pPr>
        <w:spacing w:line="600" w:lineRule="exact"/>
        <w:ind w:firstLine="640" w:firstLineChars="200"/>
        <w:rPr>
          <w:rFonts w:hint="eastAsia" w:ascii="仿宋" w:hAnsi="仿宋" w:eastAsia="仿宋"/>
          <w:color w:val="auto"/>
          <w:sz w:val="32"/>
          <w:szCs w:val="32"/>
          <w:highlight w:val="none"/>
        </w:rPr>
      </w:pPr>
    </w:p>
    <w:p>
      <w:pPr>
        <w:spacing w:line="6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（图</w:t>
      </w:r>
      <w:r>
        <w:rPr>
          <w:rFonts w:ascii="仿宋" w:hAnsi="仿宋" w:eastAsia="仿宋"/>
          <w:color w:val="auto"/>
          <w:sz w:val="32"/>
          <w:szCs w:val="32"/>
          <w:highlight w:val="none"/>
        </w:rPr>
        <w:t>1</w:t>
      </w:r>
      <w:r>
        <w:rPr>
          <w:rFonts w:hint="eastAsia" w:ascii="仿宋" w:hAnsi="仿宋" w:eastAsia="仿宋"/>
          <w:color w:val="auto"/>
          <w:sz w:val="32"/>
          <w:szCs w:val="32"/>
          <w:highlight w:val="none"/>
        </w:rPr>
        <w:t>：收、支决算总计变动情况图）（柱状图）</w:t>
      </w:r>
    </w:p>
    <w:p>
      <w:pPr>
        <w:spacing w:line="600" w:lineRule="exact"/>
        <w:ind w:firstLine="640" w:firstLineChars="200"/>
        <w:jc w:val="left"/>
        <w:rPr>
          <w:rFonts w:ascii="仿宋_GB2312" w:eastAsia="仿宋_GB2312"/>
          <w:color w:val="auto"/>
          <w:sz w:val="32"/>
          <w:szCs w:val="32"/>
          <w:highlight w:val="none"/>
        </w:rPr>
      </w:pPr>
      <w:r>
        <w:rPr>
          <w:rFonts w:ascii="仿宋_GB2312" w:eastAsia="仿宋_GB2312"/>
          <w:color w:val="000000"/>
          <w:sz w:val="32"/>
          <w:szCs w:val="32"/>
        </w:rPr>
        <w:pict>
          <v:shape id="对象 9" o:spid="_x0000_s1027" o:spt="75" type="#_x0000_t75" style="position:absolute;left:0pt;margin-left:-24.25pt;margin-top:14.75pt;height:185.85pt;width:459.75pt;z-index:251659264;mso-width-relative:page;mso-height-relative:page;" o:ole="t" filled="f" o:preferrelative="t" stroked="f" coordsize="21600,21600">
            <v:path/>
            <v:fill on="f" focussize="0,0"/>
            <v:stroke on="f"/>
            <v:imagedata r:id="rId7" o:title=""/>
            <o:lock v:ext="edit" aspectratio="t"/>
          </v:shape>
          <o:OLEObject Type="Embed" ProgID="Excel.Sheet.12" ShapeID="对象 9" DrawAspect="Content" ObjectID="_1468075725" r:id="rId6">
            <o:LockedField>false</o:LockedField>
          </o:OLEObject>
        </w:pict>
      </w:r>
    </w:p>
    <w:p>
      <w:pPr>
        <w:pStyle w:val="6"/>
        <w:rPr>
          <w:rFonts w:ascii="仿宋_GB2312" w:eastAsia="仿宋_GB2312"/>
          <w:color w:val="auto"/>
          <w:sz w:val="32"/>
          <w:szCs w:val="32"/>
          <w:highlight w:val="none"/>
        </w:rPr>
      </w:pPr>
    </w:p>
    <w:p>
      <w:pPr>
        <w:pStyle w:val="6"/>
        <w:rPr>
          <w:rFonts w:ascii="仿宋_GB2312" w:eastAsia="仿宋_GB2312"/>
          <w:color w:val="auto"/>
          <w:sz w:val="32"/>
          <w:szCs w:val="32"/>
          <w:highlight w:val="none"/>
        </w:rPr>
      </w:pPr>
    </w:p>
    <w:p>
      <w:pPr>
        <w:pStyle w:val="6"/>
        <w:rPr>
          <w:rFonts w:ascii="仿宋_GB2312" w:eastAsia="仿宋_GB2312"/>
          <w:color w:val="auto"/>
          <w:sz w:val="32"/>
          <w:szCs w:val="32"/>
          <w:highlight w:val="none"/>
        </w:rPr>
      </w:pPr>
    </w:p>
    <w:p>
      <w:pPr>
        <w:pStyle w:val="6"/>
        <w:rPr>
          <w:rFonts w:ascii="仿宋_GB2312" w:eastAsia="仿宋_GB2312"/>
          <w:color w:val="auto"/>
          <w:sz w:val="32"/>
          <w:szCs w:val="32"/>
          <w:highlight w:val="none"/>
        </w:rPr>
      </w:pPr>
    </w:p>
    <w:p>
      <w:pPr>
        <w:pStyle w:val="6"/>
        <w:rPr>
          <w:rFonts w:ascii="仿宋_GB2312" w:eastAsia="仿宋_GB2312"/>
          <w:color w:val="auto"/>
          <w:sz w:val="32"/>
          <w:szCs w:val="32"/>
          <w:highlight w:val="none"/>
        </w:rPr>
      </w:pPr>
    </w:p>
    <w:p>
      <w:pPr>
        <w:pStyle w:val="23"/>
        <w:numPr>
          <w:ilvl w:val="0"/>
          <w:numId w:val="1"/>
        </w:numPr>
        <w:spacing w:line="600" w:lineRule="exact"/>
        <w:ind w:firstLineChars="0"/>
        <w:outlineLvl w:val="1"/>
        <w:rPr>
          <w:rStyle w:val="25"/>
          <w:rFonts w:ascii="黑体" w:hAnsi="黑体" w:eastAsia="黑体"/>
          <w:b w:val="0"/>
          <w:color w:val="auto"/>
          <w:highlight w:val="none"/>
        </w:rPr>
      </w:pPr>
      <w:bookmarkStart w:id="20" w:name="_Toc15377206"/>
      <w:bookmarkStart w:id="21" w:name="_Toc15396604"/>
      <w:r>
        <w:rPr>
          <w:rFonts w:hint="eastAsia" w:ascii="黑体" w:hAnsi="黑体" w:eastAsia="黑体"/>
          <w:color w:val="auto"/>
          <w:sz w:val="32"/>
          <w:szCs w:val="32"/>
          <w:highlight w:val="none"/>
        </w:rPr>
        <w:t>收</w:t>
      </w:r>
      <w:r>
        <w:rPr>
          <w:rStyle w:val="25"/>
          <w:rFonts w:hint="eastAsia" w:ascii="黑体" w:hAnsi="黑体" w:eastAsia="黑体"/>
          <w:b w:val="0"/>
          <w:color w:val="auto"/>
          <w:highlight w:val="none"/>
        </w:rPr>
        <w:t>入决算情况说明</w:t>
      </w:r>
      <w:bookmarkEnd w:id="20"/>
      <w:bookmarkEnd w:id="21"/>
    </w:p>
    <w:p>
      <w:pPr>
        <w:spacing w:line="600" w:lineRule="exact"/>
        <w:ind w:firstLine="640" w:firstLineChars="200"/>
        <w:outlineLvl w:val="1"/>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年本年收入合计616.55万元，其中：一般公共预算财政拨款收入599.38万元，占</w:t>
      </w:r>
      <w:r>
        <w:rPr>
          <w:rFonts w:hint="eastAsia" w:ascii="仿宋" w:hAnsi="仿宋" w:eastAsia="仿宋"/>
          <w:color w:val="auto"/>
          <w:sz w:val="32"/>
          <w:szCs w:val="32"/>
          <w:highlight w:val="none"/>
          <w:lang w:val="en-US" w:eastAsia="zh-CN"/>
        </w:rPr>
        <w:t>97.22</w:t>
      </w:r>
      <w:r>
        <w:rPr>
          <w:rFonts w:ascii="仿宋" w:hAnsi="仿宋" w:eastAsia="仿宋"/>
          <w:color w:val="auto"/>
          <w:sz w:val="32"/>
          <w:szCs w:val="32"/>
          <w:highlight w:val="none"/>
        </w:rPr>
        <w:t>%</w:t>
      </w:r>
      <w:r>
        <w:rPr>
          <w:rFonts w:hint="eastAsia" w:ascii="仿宋" w:hAnsi="仿宋" w:eastAsia="仿宋"/>
          <w:color w:val="auto"/>
          <w:sz w:val="32"/>
          <w:szCs w:val="32"/>
          <w:highlight w:val="none"/>
        </w:rPr>
        <w:t>；政府性基金预算财政拨款收入</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eastAsia="zh-CN"/>
        </w:rPr>
        <w:t>国有资本经营预算财政拨款收入</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；上级补助收入</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；事业收入</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；经营收入</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；附属单位上缴收入</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；其他收入17.17万元，占</w:t>
      </w:r>
      <w:r>
        <w:rPr>
          <w:rFonts w:hint="eastAsia" w:ascii="仿宋" w:hAnsi="仿宋" w:eastAsia="仿宋"/>
          <w:color w:val="auto"/>
          <w:sz w:val="32"/>
          <w:szCs w:val="32"/>
          <w:highlight w:val="none"/>
          <w:lang w:val="en-US" w:eastAsia="zh-CN"/>
        </w:rPr>
        <w:t>2.78</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p>
    <w:p>
      <w:pPr>
        <w:spacing w:line="600" w:lineRule="exact"/>
        <w:ind w:firstLine="643" w:firstLineChars="200"/>
        <w:outlineLvl w:val="1"/>
        <w:rPr>
          <w:rFonts w:ascii="仿宋" w:hAnsi="仿宋" w:eastAsia="仿宋"/>
          <w:b/>
          <w:color w:val="auto"/>
          <w:sz w:val="32"/>
          <w:szCs w:val="32"/>
          <w:highlight w:val="none"/>
        </w:rPr>
      </w:pPr>
      <w:r>
        <w:rPr>
          <w:rFonts w:hint="eastAsia" w:ascii="仿宋" w:hAnsi="仿宋" w:eastAsia="仿宋"/>
          <w:b/>
          <w:color w:val="auto"/>
          <w:sz w:val="32"/>
          <w:szCs w:val="32"/>
          <w:highlight w:val="none"/>
        </w:rPr>
        <w:t>（注：数据来源于财决</w:t>
      </w:r>
      <w:r>
        <w:rPr>
          <w:rFonts w:ascii="仿宋" w:hAnsi="仿宋" w:eastAsia="仿宋"/>
          <w:b/>
          <w:color w:val="auto"/>
          <w:sz w:val="32"/>
          <w:szCs w:val="32"/>
          <w:highlight w:val="none"/>
        </w:rPr>
        <w:t>01表</w:t>
      </w:r>
      <w:r>
        <w:rPr>
          <w:rFonts w:hint="eastAsia" w:ascii="仿宋" w:hAnsi="仿宋" w:eastAsia="仿宋"/>
          <w:b/>
          <w:color w:val="auto"/>
          <w:sz w:val="32"/>
          <w:szCs w:val="32"/>
          <w:highlight w:val="none"/>
          <w:lang w:eastAsia="zh-CN"/>
        </w:rPr>
        <w:t>，仅罗列本单位涉及的收入。</w:t>
      </w:r>
      <w:r>
        <w:rPr>
          <w:rFonts w:ascii="仿宋" w:hAnsi="仿宋" w:eastAsia="仿宋"/>
          <w:b/>
          <w:color w:val="auto"/>
          <w:sz w:val="32"/>
          <w:szCs w:val="32"/>
          <w:highlight w:val="none"/>
        </w:rPr>
        <w:t>）</w:t>
      </w:r>
    </w:p>
    <w:p>
      <w:pPr>
        <w:spacing w:line="600" w:lineRule="exact"/>
        <w:ind w:firstLine="640" w:firstLineChars="200"/>
        <w:outlineLvl w:val="1"/>
        <w:rPr>
          <w:rFonts w:ascii="仿宋" w:hAnsi="仿宋" w:eastAsia="仿宋"/>
          <w:color w:val="auto"/>
          <w:sz w:val="32"/>
          <w:szCs w:val="32"/>
          <w:highlight w:val="none"/>
        </w:rPr>
      </w:pPr>
      <w:r>
        <w:rPr>
          <w:rFonts w:ascii="仿宋_GB2312" w:hAnsi="仿宋" w:eastAsia="仿宋_GB2312"/>
          <w:sz w:val="32"/>
          <w:szCs w:val="32"/>
        </w:rPr>
        <w:pict>
          <v:shape id="Object 3" o:spid="_x0000_s1028" o:spt="75" type="#_x0000_t75" style="position:absolute;left:0pt;margin-left:-22.4pt;margin-top:14.35pt;height:179.8pt;width:495.6pt;z-index:251660288;mso-width-relative:page;mso-height-relative:page;" o:ole="t" filled="f" o:preferrelative="t" stroked="f" coordsize="21600,21600">
            <v:path/>
            <v:fill on="f" focussize="0,0"/>
            <v:stroke on="f"/>
            <v:imagedata r:id="rId9" o:title=""/>
            <o:lock v:ext="edit" aspectratio="t"/>
          </v:shape>
          <o:OLEObject Type="Embed" ProgID="Excel.Sheet.12" ShapeID="Object 3" DrawAspect="Content" ObjectID="_1468075726" r:id="rId8">
            <o:LockedField>false</o:LockedField>
          </o:OLEObject>
        </w:pict>
      </w:r>
    </w:p>
    <w:p>
      <w:pPr>
        <w:pStyle w:val="6"/>
        <w:rPr>
          <w:rFonts w:ascii="仿宋" w:hAnsi="仿宋" w:eastAsia="仿宋"/>
          <w:color w:val="auto"/>
          <w:sz w:val="32"/>
          <w:szCs w:val="32"/>
          <w:highlight w:val="none"/>
        </w:rPr>
      </w:pPr>
    </w:p>
    <w:p>
      <w:pPr>
        <w:pStyle w:val="6"/>
        <w:rPr>
          <w:rFonts w:ascii="仿宋" w:hAnsi="仿宋" w:eastAsia="仿宋"/>
          <w:color w:val="auto"/>
          <w:sz w:val="32"/>
          <w:szCs w:val="32"/>
          <w:highlight w:val="none"/>
        </w:rPr>
      </w:pPr>
    </w:p>
    <w:p>
      <w:pPr>
        <w:pStyle w:val="6"/>
        <w:rPr>
          <w:rFonts w:ascii="仿宋" w:hAnsi="仿宋" w:eastAsia="仿宋"/>
          <w:color w:val="auto"/>
          <w:sz w:val="32"/>
          <w:szCs w:val="32"/>
          <w:highlight w:val="none"/>
        </w:rPr>
      </w:pPr>
    </w:p>
    <w:p>
      <w:pPr>
        <w:pStyle w:val="6"/>
        <w:rPr>
          <w:rFonts w:ascii="仿宋" w:hAnsi="仿宋" w:eastAsia="仿宋"/>
          <w:color w:val="auto"/>
          <w:sz w:val="32"/>
          <w:szCs w:val="32"/>
          <w:highlight w:val="none"/>
        </w:rPr>
      </w:pPr>
    </w:p>
    <w:p>
      <w:pPr>
        <w:pStyle w:val="6"/>
        <w:rPr>
          <w:rFonts w:ascii="仿宋" w:hAnsi="仿宋" w:eastAsia="仿宋"/>
          <w:color w:val="auto"/>
          <w:sz w:val="32"/>
          <w:szCs w:val="32"/>
          <w:highlight w:val="none"/>
        </w:rPr>
      </w:pPr>
    </w:p>
    <w:p>
      <w:pPr>
        <w:spacing w:line="6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（图2：收入决算结构图）（饼状图）</w:t>
      </w:r>
    </w:p>
    <w:p>
      <w:pPr>
        <w:spacing w:line="600" w:lineRule="exact"/>
        <w:ind w:firstLine="640" w:firstLineChars="200"/>
        <w:rPr>
          <w:rFonts w:ascii="仿宋_GB2312" w:eastAsia="仿宋_GB2312"/>
          <w:color w:val="auto"/>
          <w:sz w:val="32"/>
          <w:szCs w:val="32"/>
          <w:highlight w:val="none"/>
        </w:rPr>
      </w:pPr>
    </w:p>
    <w:p>
      <w:pPr>
        <w:pStyle w:val="23"/>
        <w:numPr>
          <w:ilvl w:val="0"/>
          <w:numId w:val="1"/>
        </w:numPr>
        <w:spacing w:line="600" w:lineRule="exact"/>
        <w:ind w:firstLineChars="0"/>
        <w:outlineLvl w:val="1"/>
        <w:rPr>
          <w:rStyle w:val="25"/>
          <w:rFonts w:ascii="黑体" w:hAnsi="黑体" w:eastAsia="黑体"/>
          <w:b w:val="0"/>
          <w:color w:val="auto"/>
          <w:highlight w:val="none"/>
        </w:rPr>
      </w:pPr>
      <w:bookmarkStart w:id="22" w:name="_Toc15377207"/>
      <w:bookmarkStart w:id="23" w:name="_Toc15396605"/>
      <w:r>
        <w:rPr>
          <w:rFonts w:hint="eastAsia" w:ascii="黑体" w:hAnsi="黑体" w:eastAsia="黑体"/>
          <w:color w:val="auto"/>
          <w:sz w:val="32"/>
          <w:szCs w:val="32"/>
          <w:highlight w:val="none"/>
        </w:rPr>
        <w:t>支</w:t>
      </w:r>
      <w:r>
        <w:rPr>
          <w:rStyle w:val="25"/>
          <w:rFonts w:hint="eastAsia" w:ascii="黑体" w:hAnsi="黑体" w:eastAsia="黑体"/>
          <w:b w:val="0"/>
          <w:color w:val="auto"/>
          <w:highlight w:val="none"/>
        </w:rPr>
        <w:t>出决算情况说明</w:t>
      </w:r>
      <w:bookmarkEnd w:id="22"/>
      <w:bookmarkEnd w:id="23"/>
    </w:p>
    <w:p>
      <w:pPr>
        <w:spacing w:line="600" w:lineRule="exact"/>
        <w:ind w:firstLine="640" w:firstLineChars="200"/>
        <w:outlineLvl w:val="1"/>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年本年支出合计616.55万元，其中：基本支出289.34万元，占</w:t>
      </w:r>
      <w:r>
        <w:rPr>
          <w:rFonts w:hint="eastAsia" w:ascii="仿宋" w:hAnsi="仿宋" w:eastAsia="仿宋"/>
          <w:color w:val="auto"/>
          <w:sz w:val="32"/>
          <w:szCs w:val="32"/>
          <w:highlight w:val="none"/>
          <w:lang w:val="en-US" w:eastAsia="zh-CN"/>
        </w:rPr>
        <w:t>46.93</w:t>
      </w:r>
      <w:r>
        <w:rPr>
          <w:rFonts w:ascii="仿宋" w:hAnsi="仿宋" w:eastAsia="仿宋"/>
          <w:color w:val="auto"/>
          <w:sz w:val="32"/>
          <w:szCs w:val="32"/>
          <w:highlight w:val="none"/>
        </w:rPr>
        <w:t>%</w:t>
      </w:r>
      <w:r>
        <w:rPr>
          <w:rFonts w:hint="eastAsia" w:ascii="仿宋" w:hAnsi="仿宋" w:eastAsia="仿宋"/>
          <w:color w:val="auto"/>
          <w:sz w:val="32"/>
          <w:szCs w:val="32"/>
          <w:highlight w:val="none"/>
        </w:rPr>
        <w:t>；项目支出327.21万元，占</w:t>
      </w:r>
      <w:r>
        <w:rPr>
          <w:rFonts w:hint="eastAsia" w:ascii="仿宋" w:hAnsi="仿宋" w:eastAsia="仿宋"/>
          <w:color w:val="auto"/>
          <w:sz w:val="32"/>
          <w:szCs w:val="32"/>
          <w:highlight w:val="none"/>
          <w:lang w:val="en-US" w:eastAsia="zh-CN"/>
        </w:rPr>
        <w:t>53.07</w:t>
      </w:r>
      <w:r>
        <w:rPr>
          <w:rFonts w:ascii="仿宋" w:hAnsi="仿宋" w:eastAsia="仿宋"/>
          <w:color w:val="auto"/>
          <w:sz w:val="32"/>
          <w:szCs w:val="32"/>
          <w:highlight w:val="none"/>
        </w:rPr>
        <w:t>%</w:t>
      </w:r>
      <w:r>
        <w:rPr>
          <w:rFonts w:hint="eastAsia" w:ascii="仿宋" w:hAnsi="仿宋" w:eastAsia="仿宋"/>
          <w:color w:val="auto"/>
          <w:sz w:val="32"/>
          <w:szCs w:val="32"/>
          <w:highlight w:val="none"/>
        </w:rPr>
        <w:t>；上缴上级支出</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；经营支出</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；对附属单位补助支出</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p>
    <w:p>
      <w:pPr>
        <w:spacing w:line="600" w:lineRule="exact"/>
        <w:ind w:firstLine="643" w:firstLineChars="200"/>
        <w:outlineLvl w:val="1"/>
        <w:rPr>
          <w:rFonts w:ascii="仿宋" w:hAnsi="仿宋" w:eastAsia="仿宋"/>
          <w:b/>
          <w:color w:val="auto"/>
          <w:sz w:val="32"/>
          <w:szCs w:val="32"/>
          <w:highlight w:val="none"/>
        </w:rPr>
      </w:pPr>
      <w:r>
        <w:rPr>
          <w:rFonts w:hint="eastAsia" w:ascii="仿宋" w:hAnsi="仿宋" w:eastAsia="仿宋"/>
          <w:b/>
          <w:color w:val="auto"/>
          <w:sz w:val="32"/>
          <w:szCs w:val="32"/>
          <w:highlight w:val="none"/>
        </w:rPr>
        <w:t>（注：数据来源于财决</w:t>
      </w:r>
      <w:r>
        <w:rPr>
          <w:rFonts w:ascii="仿宋" w:hAnsi="仿宋" w:eastAsia="仿宋"/>
          <w:b/>
          <w:color w:val="auto"/>
          <w:sz w:val="32"/>
          <w:szCs w:val="32"/>
          <w:highlight w:val="none"/>
        </w:rPr>
        <w:t>04</w:t>
      </w:r>
      <w:r>
        <w:rPr>
          <w:rFonts w:hint="eastAsia" w:ascii="仿宋" w:hAnsi="仿宋" w:eastAsia="仿宋"/>
          <w:b/>
          <w:color w:val="auto"/>
          <w:sz w:val="32"/>
          <w:szCs w:val="32"/>
          <w:highlight w:val="none"/>
        </w:rPr>
        <w:t>表</w:t>
      </w:r>
      <w:r>
        <w:rPr>
          <w:rFonts w:hint="eastAsia" w:ascii="仿宋" w:hAnsi="仿宋" w:eastAsia="仿宋"/>
          <w:b/>
          <w:color w:val="auto"/>
          <w:sz w:val="32"/>
          <w:szCs w:val="32"/>
          <w:highlight w:val="none"/>
          <w:lang w:eastAsia="zh-CN"/>
        </w:rPr>
        <w:t>，仅罗列本单位涉及的支出。</w:t>
      </w:r>
      <w:r>
        <w:rPr>
          <w:rFonts w:hint="eastAsia" w:ascii="仿宋" w:hAnsi="仿宋" w:eastAsia="仿宋"/>
          <w:b/>
          <w:color w:val="auto"/>
          <w:sz w:val="32"/>
          <w:szCs w:val="32"/>
          <w:highlight w:val="none"/>
        </w:rPr>
        <w:t>）</w:t>
      </w:r>
    </w:p>
    <w:p>
      <w:pPr>
        <w:spacing w:line="600" w:lineRule="exact"/>
        <w:ind w:firstLine="640"/>
        <w:rPr>
          <w:rFonts w:ascii="仿宋" w:hAnsi="仿宋" w:eastAsia="仿宋"/>
          <w:color w:val="auto"/>
          <w:sz w:val="32"/>
          <w:szCs w:val="32"/>
          <w:highlight w:val="none"/>
          <w:shd w:val="pct10" w:color="auto" w:fill="FFFFFF"/>
        </w:rPr>
      </w:pPr>
      <w:r>
        <w:rPr>
          <w:rFonts w:ascii="仿宋_GB2312" w:eastAsia="仿宋_GB2312"/>
          <w:color w:val="FF0000"/>
          <w:sz w:val="32"/>
          <w:szCs w:val="32"/>
        </w:rPr>
        <w:pict>
          <v:shape id="Object 4" o:spid="_x0000_s1029" o:spt="75" type="#_x0000_t75" style="position:absolute;left:0pt;margin-left:-14.5pt;margin-top:7.25pt;height:186.1pt;width:477.75pt;z-index:251661312;mso-width-relative:page;mso-height-relative:page;" o:ole="t" filled="f" o:preferrelative="t" stroked="f" coordsize="21600,21600">
            <v:path/>
            <v:fill on="f" focussize="0,0"/>
            <v:stroke on="f"/>
            <v:imagedata r:id="rId11" o:title=""/>
            <o:lock v:ext="edit" aspectratio="t"/>
          </v:shape>
          <o:OLEObject Type="Embed" ProgID="Excel.Sheet.12" ShapeID="Object 4" DrawAspect="Content" ObjectID="_1468075727" r:id="rId10">
            <o:LockedField>false</o:LockedField>
          </o:OLEObject>
        </w:pict>
      </w:r>
    </w:p>
    <w:p>
      <w:pPr>
        <w:pStyle w:val="6"/>
        <w:rPr>
          <w:rFonts w:ascii="仿宋" w:hAnsi="仿宋" w:eastAsia="仿宋"/>
          <w:color w:val="auto"/>
          <w:sz w:val="32"/>
          <w:szCs w:val="32"/>
          <w:highlight w:val="none"/>
          <w:shd w:val="pct10" w:color="auto" w:fill="FFFFFF"/>
        </w:rPr>
      </w:pPr>
    </w:p>
    <w:p>
      <w:pPr>
        <w:pStyle w:val="6"/>
        <w:rPr>
          <w:rFonts w:ascii="仿宋" w:hAnsi="仿宋" w:eastAsia="仿宋"/>
          <w:color w:val="auto"/>
          <w:sz w:val="32"/>
          <w:szCs w:val="32"/>
          <w:highlight w:val="none"/>
          <w:shd w:val="pct10" w:color="auto" w:fill="FFFFFF"/>
        </w:rPr>
      </w:pPr>
    </w:p>
    <w:p>
      <w:pPr>
        <w:pStyle w:val="6"/>
        <w:rPr>
          <w:rFonts w:ascii="仿宋" w:hAnsi="仿宋" w:eastAsia="仿宋"/>
          <w:color w:val="auto"/>
          <w:sz w:val="32"/>
          <w:szCs w:val="32"/>
          <w:highlight w:val="none"/>
          <w:shd w:val="pct10" w:color="auto" w:fill="FFFFFF"/>
        </w:rPr>
      </w:pPr>
    </w:p>
    <w:p>
      <w:pPr>
        <w:pStyle w:val="6"/>
        <w:rPr>
          <w:rFonts w:ascii="仿宋" w:hAnsi="仿宋" w:eastAsia="仿宋"/>
          <w:color w:val="auto"/>
          <w:sz w:val="32"/>
          <w:szCs w:val="32"/>
          <w:highlight w:val="none"/>
          <w:shd w:val="pct10" w:color="auto" w:fill="FFFFFF"/>
        </w:rPr>
      </w:pPr>
    </w:p>
    <w:p>
      <w:pPr>
        <w:spacing w:line="6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（图3：支出决算结构图）（饼状图）</w:t>
      </w:r>
    </w:p>
    <w:p>
      <w:pPr>
        <w:spacing w:line="600" w:lineRule="exact"/>
        <w:ind w:firstLine="640" w:firstLineChars="200"/>
        <w:rPr>
          <w:rFonts w:ascii="仿宋_GB2312" w:eastAsia="仿宋_GB2312"/>
          <w:color w:val="auto"/>
          <w:sz w:val="32"/>
          <w:szCs w:val="32"/>
          <w:highlight w:val="none"/>
        </w:rPr>
      </w:pPr>
    </w:p>
    <w:p>
      <w:pPr>
        <w:spacing w:line="600" w:lineRule="exact"/>
        <w:ind w:firstLine="640" w:firstLineChars="200"/>
        <w:outlineLvl w:val="1"/>
        <w:rPr>
          <w:rStyle w:val="25"/>
          <w:rFonts w:ascii="黑体" w:hAnsi="黑体" w:eastAsia="黑体"/>
          <w:b w:val="0"/>
          <w:color w:val="auto"/>
          <w:highlight w:val="none"/>
        </w:rPr>
      </w:pPr>
      <w:bookmarkStart w:id="24" w:name="_Toc15396606"/>
      <w:bookmarkStart w:id="25" w:name="_Toc15377208"/>
      <w:r>
        <w:rPr>
          <w:rFonts w:hint="eastAsia" w:ascii="黑体" w:hAnsi="黑体" w:eastAsia="黑体"/>
          <w:color w:val="auto"/>
          <w:sz w:val="32"/>
          <w:szCs w:val="32"/>
          <w:highlight w:val="none"/>
        </w:rPr>
        <w:t>四、财</w:t>
      </w:r>
      <w:r>
        <w:rPr>
          <w:rStyle w:val="25"/>
          <w:rFonts w:hint="eastAsia" w:ascii="黑体" w:hAnsi="黑体" w:eastAsia="黑体"/>
          <w:b w:val="0"/>
          <w:color w:val="auto"/>
          <w:highlight w:val="none"/>
        </w:rPr>
        <w:t>政拨款收入支出决算总体情况说明</w:t>
      </w:r>
      <w:bookmarkEnd w:id="24"/>
      <w:bookmarkEnd w:id="25"/>
    </w:p>
    <w:p>
      <w:pPr>
        <w:spacing w:line="600" w:lineRule="exact"/>
        <w:ind w:firstLine="640" w:firstLineChars="200"/>
        <w:rPr>
          <w:rFonts w:hint="eastAsia" w:ascii="仿宋" w:hAnsi="仿宋" w:eastAsia="仿宋"/>
          <w:color w:val="auto"/>
          <w:sz w:val="32"/>
          <w:szCs w:val="32"/>
          <w:highlight w:val="none"/>
          <w:lang w:eastAsia="zh-CN"/>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年财政拨款收、支总计599.38万元。与</w:t>
      </w: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年相比，财政拨款收、支总计各增加</w:t>
      </w:r>
      <w:r>
        <w:rPr>
          <w:rFonts w:hint="eastAsia" w:ascii="仿宋" w:hAnsi="仿宋" w:eastAsia="仿宋"/>
          <w:color w:val="auto"/>
          <w:sz w:val="32"/>
          <w:szCs w:val="32"/>
          <w:highlight w:val="none"/>
          <w:lang w:val="en-US" w:eastAsia="zh-CN"/>
        </w:rPr>
        <w:t>22.25</w:t>
      </w:r>
      <w:r>
        <w:rPr>
          <w:rFonts w:hint="eastAsia" w:ascii="仿宋" w:hAnsi="仿宋" w:eastAsia="仿宋"/>
          <w:color w:val="auto"/>
          <w:sz w:val="32"/>
          <w:szCs w:val="32"/>
          <w:highlight w:val="none"/>
        </w:rPr>
        <w:t>万元，增长</w:t>
      </w:r>
      <w:r>
        <w:rPr>
          <w:rFonts w:hint="eastAsia" w:ascii="仿宋" w:hAnsi="仿宋" w:eastAsia="仿宋"/>
          <w:color w:val="auto"/>
          <w:sz w:val="32"/>
          <w:szCs w:val="32"/>
          <w:highlight w:val="none"/>
          <w:lang w:val="en-US" w:eastAsia="zh-CN"/>
        </w:rPr>
        <w:t>3.86</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。主要变动原因是</w:t>
      </w:r>
      <w:r>
        <w:rPr>
          <w:rFonts w:hint="eastAsia" w:ascii="仿宋" w:hAnsi="仿宋" w:eastAsia="仿宋"/>
          <w:color w:val="auto"/>
          <w:sz w:val="32"/>
          <w:szCs w:val="32"/>
          <w:highlight w:val="none"/>
          <w:lang w:val="en-US" w:eastAsia="zh-CN"/>
        </w:rPr>
        <w:t>本年增加会议费和培训费</w:t>
      </w:r>
      <w:r>
        <w:rPr>
          <w:rFonts w:hint="eastAsia" w:ascii="仿宋" w:hAnsi="仿宋" w:eastAsia="仿宋"/>
          <w:color w:val="auto"/>
          <w:sz w:val="32"/>
          <w:szCs w:val="32"/>
          <w:highlight w:val="none"/>
        </w:rPr>
        <w:t>等</w:t>
      </w:r>
      <w:r>
        <w:rPr>
          <w:rFonts w:hint="eastAsia" w:ascii="仿宋" w:hAnsi="仿宋" w:eastAsia="仿宋"/>
          <w:color w:val="auto"/>
          <w:sz w:val="32"/>
          <w:szCs w:val="32"/>
          <w:highlight w:val="none"/>
          <w:lang w:eastAsia="zh-CN"/>
        </w:rPr>
        <w:t>。</w:t>
      </w:r>
    </w:p>
    <w:p>
      <w:pPr>
        <w:spacing w:line="600" w:lineRule="exact"/>
        <w:ind w:firstLine="640"/>
        <w:rPr>
          <w:rFonts w:hint="eastAsia" w:ascii="仿宋" w:hAnsi="仿宋" w:eastAsia="仿宋"/>
          <w:b/>
          <w:color w:val="auto"/>
          <w:sz w:val="32"/>
          <w:szCs w:val="32"/>
          <w:highlight w:val="none"/>
        </w:rPr>
      </w:pPr>
    </w:p>
    <w:p>
      <w:pPr>
        <w:spacing w:line="600" w:lineRule="exact"/>
        <w:ind w:firstLine="640"/>
        <w:rPr>
          <w:rFonts w:ascii="仿宋" w:hAnsi="仿宋" w:eastAsia="仿宋"/>
          <w:b/>
          <w:color w:val="auto"/>
          <w:sz w:val="32"/>
          <w:szCs w:val="32"/>
          <w:highlight w:val="none"/>
        </w:rPr>
      </w:pPr>
      <w:r>
        <w:rPr>
          <w:rFonts w:ascii="仿宋_GB2312" w:eastAsia="仿宋_GB2312"/>
          <w:color w:val="000000"/>
          <w:sz w:val="32"/>
          <w:szCs w:val="32"/>
        </w:rPr>
        <w:pict>
          <v:shape id="Object 6" o:spid="_x0000_s1031" o:spt="75" type="#_x0000_t75" style="position:absolute;left:0pt;margin-left:18.3pt;margin-top:23.4pt;height:161.3pt;width:416pt;z-index:251663360;mso-width-relative:page;mso-height-relative:page;" o:ole="t" filled="f" o:preferrelative="t" stroked="f" coordsize="21600,21600">
            <v:path/>
            <v:fill on="f" focussize="0,0"/>
            <v:stroke on="f"/>
            <v:imagedata r:id="rId13" o:title=""/>
            <o:lock v:ext="edit" aspectratio="t"/>
            <v:shadow on="t" obscured="f" color="#000000" opacity="65536f" offset="2pt,2pt" offset2="0pt,0pt" origin="0f,0f" matrix="65536f,0f,0f,65536f,0,0"/>
          </v:shape>
          <o:OLEObject Type="Embed" ProgID="Excel.Sheet.12" ShapeID="Object 6" DrawAspect="Content" ObjectID="_1468075728" r:id="rId12">
            <o:LockedField>false</o:LockedField>
          </o:OLEObject>
        </w:pict>
      </w:r>
      <w:r>
        <w:rPr>
          <w:rFonts w:hint="eastAsia" w:ascii="仿宋" w:hAnsi="仿宋" w:eastAsia="仿宋"/>
          <w:b/>
          <w:color w:val="auto"/>
          <w:sz w:val="32"/>
          <w:szCs w:val="32"/>
          <w:highlight w:val="none"/>
        </w:rPr>
        <w:t>（注：数据来源于财决</w:t>
      </w:r>
      <w:r>
        <w:rPr>
          <w:rFonts w:ascii="仿宋" w:hAnsi="仿宋" w:eastAsia="仿宋"/>
          <w:b/>
          <w:color w:val="auto"/>
          <w:sz w:val="32"/>
          <w:szCs w:val="32"/>
          <w:highlight w:val="none"/>
        </w:rPr>
        <w:t>01-1</w:t>
      </w:r>
      <w:r>
        <w:rPr>
          <w:rFonts w:hint="eastAsia" w:ascii="仿宋" w:hAnsi="仿宋" w:eastAsia="仿宋"/>
          <w:b/>
          <w:color w:val="auto"/>
          <w:sz w:val="32"/>
          <w:szCs w:val="32"/>
          <w:highlight w:val="none"/>
        </w:rPr>
        <w:t>表</w:t>
      </w:r>
      <w:r>
        <w:rPr>
          <w:rFonts w:ascii="仿宋" w:hAnsi="仿宋" w:eastAsia="仿宋"/>
          <w:b/>
          <w:color w:val="auto"/>
          <w:sz w:val="32"/>
          <w:szCs w:val="32"/>
          <w:highlight w:val="none"/>
        </w:rPr>
        <w:t>）</w:t>
      </w:r>
    </w:p>
    <w:p>
      <w:pPr>
        <w:spacing w:line="600" w:lineRule="exact"/>
        <w:rPr>
          <w:rFonts w:ascii="仿宋" w:hAnsi="仿宋" w:eastAsia="仿宋"/>
          <w:color w:val="auto"/>
          <w:sz w:val="32"/>
          <w:szCs w:val="32"/>
          <w:highlight w:val="none"/>
        </w:rPr>
      </w:pPr>
    </w:p>
    <w:p>
      <w:pPr>
        <w:pStyle w:val="6"/>
        <w:rPr>
          <w:rFonts w:ascii="仿宋" w:hAnsi="仿宋" w:eastAsia="仿宋"/>
          <w:color w:val="auto"/>
          <w:sz w:val="32"/>
          <w:szCs w:val="32"/>
          <w:highlight w:val="none"/>
        </w:rPr>
      </w:pPr>
    </w:p>
    <w:p>
      <w:pPr>
        <w:pStyle w:val="6"/>
        <w:rPr>
          <w:rFonts w:ascii="仿宋" w:hAnsi="仿宋" w:eastAsia="仿宋"/>
          <w:color w:val="auto"/>
          <w:sz w:val="32"/>
          <w:szCs w:val="32"/>
          <w:highlight w:val="none"/>
        </w:rPr>
      </w:pPr>
    </w:p>
    <w:p>
      <w:pPr>
        <w:pStyle w:val="6"/>
        <w:rPr>
          <w:rFonts w:ascii="仿宋" w:hAnsi="仿宋" w:eastAsia="仿宋"/>
          <w:color w:val="auto"/>
          <w:sz w:val="32"/>
          <w:szCs w:val="32"/>
          <w:highlight w:val="none"/>
        </w:rPr>
      </w:pPr>
    </w:p>
    <w:p>
      <w:pPr>
        <w:pStyle w:val="6"/>
        <w:rPr>
          <w:rFonts w:ascii="仿宋" w:hAnsi="仿宋" w:eastAsia="仿宋"/>
          <w:color w:val="auto"/>
          <w:sz w:val="32"/>
          <w:szCs w:val="32"/>
          <w:highlight w:val="none"/>
        </w:rPr>
      </w:pPr>
    </w:p>
    <w:p>
      <w:pPr>
        <w:spacing w:line="6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（图4：财政拨款收、支决算总计变动情况）（柱状图）</w:t>
      </w:r>
    </w:p>
    <w:p>
      <w:pPr>
        <w:spacing w:line="600" w:lineRule="exact"/>
        <w:ind w:firstLine="640"/>
        <w:rPr>
          <w:rFonts w:ascii="仿宋" w:hAnsi="仿宋" w:eastAsia="仿宋"/>
          <w:b/>
          <w:color w:val="auto"/>
          <w:sz w:val="32"/>
          <w:szCs w:val="32"/>
          <w:highlight w:val="none"/>
        </w:rPr>
      </w:pPr>
    </w:p>
    <w:p>
      <w:pPr>
        <w:spacing w:line="600" w:lineRule="exact"/>
        <w:ind w:firstLine="640" w:firstLineChars="200"/>
        <w:outlineLvl w:val="1"/>
        <w:rPr>
          <w:rStyle w:val="25"/>
          <w:rFonts w:ascii="黑体" w:hAnsi="黑体" w:eastAsia="黑体"/>
          <w:b w:val="0"/>
          <w:color w:val="auto"/>
          <w:highlight w:val="none"/>
        </w:rPr>
      </w:pPr>
      <w:bookmarkStart w:id="26" w:name="_Toc15396607"/>
      <w:bookmarkStart w:id="27" w:name="_Toc15377209"/>
      <w:r>
        <w:rPr>
          <w:rFonts w:hint="eastAsia" w:ascii="黑体" w:hAnsi="黑体" w:eastAsia="黑体"/>
          <w:color w:val="auto"/>
          <w:sz w:val="32"/>
          <w:szCs w:val="32"/>
          <w:highlight w:val="none"/>
        </w:rPr>
        <w:t>五、</w:t>
      </w:r>
      <w:r>
        <w:rPr>
          <w:rFonts w:hint="eastAsia" w:ascii="黑体" w:hAnsi="黑体" w:eastAsia="黑体"/>
          <w:b/>
          <w:color w:val="auto"/>
          <w:sz w:val="32"/>
          <w:szCs w:val="32"/>
          <w:highlight w:val="none"/>
        </w:rPr>
        <w:t>一</w:t>
      </w:r>
      <w:r>
        <w:rPr>
          <w:rStyle w:val="25"/>
          <w:rFonts w:hint="eastAsia" w:ascii="黑体" w:hAnsi="黑体" w:eastAsia="黑体"/>
          <w:b w:val="0"/>
          <w:color w:val="auto"/>
          <w:highlight w:val="none"/>
        </w:rPr>
        <w:t>般公共预算财政拨款支出决算情况说明</w:t>
      </w:r>
      <w:bookmarkEnd w:id="26"/>
      <w:bookmarkEnd w:id="27"/>
    </w:p>
    <w:p>
      <w:pPr>
        <w:spacing w:line="600" w:lineRule="exact"/>
        <w:ind w:firstLine="643" w:firstLineChars="200"/>
        <w:outlineLvl w:val="2"/>
        <w:rPr>
          <w:rFonts w:ascii="仿宋" w:hAnsi="仿宋" w:eastAsia="仿宋"/>
          <w:b/>
          <w:color w:val="auto"/>
          <w:sz w:val="32"/>
          <w:szCs w:val="32"/>
          <w:highlight w:val="none"/>
        </w:rPr>
      </w:pPr>
      <w:bookmarkStart w:id="28" w:name="_Toc15377210"/>
      <w:r>
        <w:rPr>
          <w:rFonts w:hint="eastAsia" w:ascii="仿宋" w:hAnsi="仿宋" w:eastAsia="仿宋"/>
          <w:b/>
          <w:color w:val="auto"/>
          <w:sz w:val="32"/>
          <w:szCs w:val="32"/>
          <w:highlight w:val="none"/>
        </w:rPr>
        <w:t>（一）一般公共预算财政拨款支出决算总体情况</w:t>
      </w:r>
      <w:bookmarkEnd w:id="28"/>
    </w:p>
    <w:p>
      <w:pPr>
        <w:spacing w:line="600" w:lineRule="exact"/>
        <w:ind w:firstLine="640" w:firstLineChars="200"/>
        <w:rPr>
          <w:rFonts w:hint="eastAsia" w:ascii="仿宋" w:hAnsi="仿宋" w:eastAsia="仿宋"/>
          <w:color w:val="auto"/>
          <w:sz w:val="32"/>
          <w:szCs w:val="32"/>
          <w:highlight w:val="none"/>
          <w:lang w:eastAsia="zh-CN"/>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年一般公共预算财政拨款支出599.38万元，占本年支出合计的</w:t>
      </w:r>
      <w:r>
        <w:rPr>
          <w:rFonts w:hint="eastAsia" w:ascii="仿宋" w:hAnsi="仿宋" w:eastAsia="仿宋"/>
          <w:color w:val="auto"/>
          <w:sz w:val="32"/>
          <w:szCs w:val="32"/>
          <w:highlight w:val="none"/>
          <w:lang w:val="en-US" w:eastAsia="zh-CN"/>
        </w:rPr>
        <w:t>97.22</w:t>
      </w:r>
      <w:r>
        <w:rPr>
          <w:rFonts w:ascii="仿宋" w:hAnsi="仿宋" w:eastAsia="仿宋"/>
          <w:color w:val="auto"/>
          <w:sz w:val="32"/>
          <w:szCs w:val="32"/>
          <w:highlight w:val="none"/>
        </w:rPr>
        <w:t>%</w:t>
      </w:r>
      <w:r>
        <w:rPr>
          <w:rFonts w:hint="eastAsia" w:ascii="仿宋" w:hAnsi="仿宋" w:eastAsia="仿宋"/>
          <w:color w:val="auto"/>
          <w:sz w:val="32"/>
          <w:szCs w:val="32"/>
          <w:highlight w:val="none"/>
        </w:rPr>
        <w:t>。与</w:t>
      </w: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年相比，一般公共预算财政拨款</w:t>
      </w:r>
      <w:r>
        <w:rPr>
          <w:rFonts w:hint="eastAsia" w:ascii="仿宋" w:hAnsi="仿宋" w:eastAsia="仿宋"/>
          <w:color w:val="auto"/>
          <w:sz w:val="32"/>
          <w:szCs w:val="32"/>
          <w:highlight w:val="none"/>
          <w:lang w:eastAsia="zh-CN"/>
        </w:rPr>
        <w:t>支出</w:t>
      </w:r>
      <w:r>
        <w:rPr>
          <w:rFonts w:hint="eastAsia" w:ascii="仿宋" w:hAnsi="仿宋" w:eastAsia="仿宋"/>
          <w:color w:val="auto"/>
          <w:sz w:val="32"/>
          <w:szCs w:val="32"/>
          <w:highlight w:val="none"/>
        </w:rPr>
        <w:t>增加</w:t>
      </w:r>
      <w:r>
        <w:rPr>
          <w:rFonts w:hint="eastAsia" w:ascii="仿宋" w:hAnsi="仿宋" w:eastAsia="仿宋"/>
          <w:color w:val="auto"/>
          <w:sz w:val="32"/>
          <w:szCs w:val="32"/>
          <w:highlight w:val="none"/>
          <w:lang w:val="en-US" w:eastAsia="zh-CN"/>
        </w:rPr>
        <w:t>22.25</w:t>
      </w:r>
      <w:r>
        <w:rPr>
          <w:rFonts w:hint="eastAsia" w:ascii="仿宋" w:hAnsi="仿宋" w:eastAsia="仿宋"/>
          <w:color w:val="auto"/>
          <w:sz w:val="32"/>
          <w:szCs w:val="32"/>
          <w:highlight w:val="none"/>
        </w:rPr>
        <w:t>万元，增长</w:t>
      </w:r>
      <w:r>
        <w:rPr>
          <w:rFonts w:hint="eastAsia" w:ascii="仿宋" w:hAnsi="仿宋" w:eastAsia="仿宋"/>
          <w:color w:val="auto"/>
          <w:sz w:val="32"/>
          <w:szCs w:val="32"/>
          <w:highlight w:val="none"/>
          <w:lang w:val="en-US" w:eastAsia="zh-CN"/>
        </w:rPr>
        <w:t>3.86</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。主要变动原因是</w:t>
      </w:r>
      <w:r>
        <w:rPr>
          <w:rFonts w:hint="eastAsia" w:ascii="仿宋" w:hAnsi="仿宋" w:eastAsia="仿宋"/>
          <w:color w:val="auto"/>
          <w:sz w:val="32"/>
          <w:szCs w:val="32"/>
          <w:highlight w:val="none"/>
          <w:lang w:val="en-US" w:eastAsia="zh-CN"/>
        </w:rPr>
        <w:t>本年增加会议费和培训费</w:t>
      </w:r>
      <w:r>
        <w:rPr>
          <w:rFonts w:hint="eastAsia" w:ascii="仿宋" w:hAnsi="仿宋" w:eastAsia="仿宋"/>
          <w:color w:val="auto"/>
          <w:sz w:val="32"/>
          <w:szCs w:val="32"/>
          <w:highlight w:val="none"/>
        </w:rPr>
        <w:t>等</w:t>
      </w:r>
      <w:r>
        <w:rPr>
          <w:rFonts w:hint="eastAsia" w:ascii="仿宋" w:hAnsi="仿宋" w:eastAsia="仿宋"/>
          <w:color w:val="auto"/>
          <w:sz w:val="32"/>
          <w:szCs w:val="32"/>
          <w:highlight w:val="none"/>
          <w:lang w:eastAsia="zh-CN"/>
        </w:rPr>
        <w:t>。</w:t>
      </w:r>
    </w:p>
    <w:p>
      <w:pPr>
        <w:spacing w:line="600" w:lineRule="exact"/>
        <w:ind w:firstLine="640" w:firstLineChars="200"/>
        <w:rPr>
          <w:rFonts w:ascii="仿宋" w:hAnsi="仿宋" w:eastAsia="仿宋"/>
          <w:color w:val="auto"/>
          <w:sz w:val="32"/>
          <w:szCs w:val="32"/>
          <w:highlight w:val="none"/>
        </w:rPr>
      </w:pPr>
      <w:r>
        <w:rPr>
          <w:rFonts w:ascii="仿宋_GB2312" w:eastAsia="仿宋_GB2312"/>
          <w:color w:val="000000"/>
          <w:sz w:val="32"/>
          <w:szCs w:val="32"/>
        </w:rPr>
        <w:pict>
          <v:shape id="Object 5" o:spid="_x0000_s1030" o:spt="75" type="#_x0000_t75" style="position:absolute;left:0pt;margin-left:1pt;margin-top:3.55pt;height:177.7pt;width:435.85pt;z-index:251662336;mso-width-relative:page;mso-height-relative:page;" o:ole="t" filled="f" o:preferrelative="t" stroked="f" coordsize="21600,21600">
            <v:path/>
            <v:fill on="f" focussize="0,0"/>
            <v:stroke on="f"/>
            <v:imagedata r:id="rId15" o:title=""/>
            <o:lock v:ext="edit" aspectratio="t"/>
          </v:shape>
          <o:OLEObject Type="Embed" ProgID="Excel.Sheet.12" ShapeID="Object 5" DrawAspect="Content" ObjectID="_1468075729" r:id="rId14">
            <o:LockedField>false</o:LockedField>
          </o:OLEObject>
        </w:pict>
      </w:r>
    </w:p>
    <w:p>
      <w:pPr>
        <w:spacing w:line="600" w:lineRule="exact"/>
        <w:ind w:firstLine="640" w:firstLineChars="200"/>
        <w:rPr>
          <w:rFonts w:hint="eastAsia" w:ascii="仿宋" w:hAnsi="仿宋" w:eastAsia="仿宋"/>
          <w:color w:val="auto"/>
          <w:sz w:val="32"/>
          <w:szCs w:val="32"/>
          <w:highlight w:val="none"/>
        </w:rPr>
      </w:pPr>
    </w:p>
    <w:p>
      <w:pPr>
        <w:spacing w:line="6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（图5：一般公共预算财政拨款支出决算变动情况）（柱状图）</w:t>
      </w:r>
    </w:p>
    <w:p>
      <w:pPr>
        <w:spacing w:line="600" w:lineRule="exact"/>
        <w:ind w:firstLine="640" w:firstLineChars="200"/>
        <w:rPr>
          <w:rFonts w:ascii="仿宋" w:hAnsi="仿宋" w:eastAsia="仿宋"/>
          <w:color w:val="auto"/>
          <w:sz w:val="32"/>
          <w:szCs w:val="32"/>
          <w:highlight w:val="none"/>
        </w:rPr>
      </w:pPr>
    </w:p>
    <w:p>
      <w:pPr>
        <w:spacing w:line="600" w:lineRule="exact"/>
        <w:ind w:firstLine="643" w:firstLineChars="200"/>
        <w:outlineLvl w:val="2"/>
        <w:rPr>
          <w:rFonts w:ascii="仿宋" w:hAnsi="仿宋" w:eastAsia="仿宋"/>
          <w:b/>
          <w:color w:val="auto"/>
          <w:sz w:val="32"/>
          <w:szCs w:val="32"/>
          <w:highlight w:val="none"/>
        </w:rPr>
      </w:pPr>
      <w:bookmarkStart w:id="29" w:name="_Toc15377211"/>
      <w:r>
        <w:rPr>
          <w:rFonts w:hint="eastAsia" w:ascii="仿宋" w:hAnsi="仿宋" w:eastAsia="仿宋"/>
          <w:b/>
          <w:color w:val="auto"/>
          <w:sz w:val="32"/>
          <w:szCs w:val="32"/>
          <w:highlight w:val="none"/>
        </w:rPr>
        <w:t>（二）一般公共预算财政拨款支出决算结构情况</w:t>
      </w:r>
      <w:bookmarkEnd w:id="29"/>
    </w:p>
    <w:p>
      <w:pPr>
        <w:spacing w:line="600" w:lineRule="exact"/>
        <w:ind w:firstLine="640"/>
        <w:rPr>
          <w:rFonts w:hint="eastAsia" w:ascii="仿宋" w:hAnsi="仿宋" w:eastAsia="仿宋"/>
          <w:b/>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年一般公共预算财政拨款支出599.38万元，主要用于以下方面</w:t>
      </w:r>
      <w:r>
        <w:rPr>
          <w:rFonts w:ascii="仿宋" w:hAnsi="仿宋" w:eastAsia="仿宋"/>
          <w:color w:val="auto"/>
          <w:sz w:val="32"/>
          <w:szCs w:val="32"/>
          <w:highlight w:val="none"/>
        </w:rPr>
        <w:t>:</w:t>
      </w:r>
      <w:r>
        <w:rPr>
          <w:rFonts w:hint="eastAsia" w:ascii="仿宋" w:hAnsi="仿宋" w:eastAsia="仿宋"/>
          <w:b/>
          <w:color w:val="auto"/>
          <w:sz w:val="32"/>
          <w:szCs w:val="32"/>
          <w:highlight w:val="none"/>
        </w:rPr>
        <w:t>一般公共服务</w:t>
      </w:r>
      <w:r>
        <w:rPr>
          <w:rFonts w:hint="eastAsia" w:ascii="仿宋" w:hAnsi="仿宋" w:eastAsia="仿宋"/>
          <w:b/>
          <w:bCs/>
          <w:color w:val="auto"/>
          <w:sz w:val="32"/>
          <w:szCs w:val="32"/>
          <w:highlight w:val="none"/>
        </w:rPr>
        <w:t>支出</w:t>
      </w:r>
      <w:r>
        <w:rPr>
          <w:rFonts w:hint="eastAsia" w:ascii="仿宋" w:hAnsi="仿宋" w:eastAsia="仿宋"/>
          <w:color w:val="auto"/>
          <w:sz w:val="32"/>
          <w:szCs w:val="32"/>
          <w:highlight w:val="none"/>
        </w:rPr>
        <w:t>546.44万元，占</w:t>
      </w:r>
      <w:r>
        <w:rPr>
          <w:rFonts w:hint="eastAsia" w:ascii="仿宋" w:hAnsi="仿宋" w:eastAsia="仿宋"/>
          <w:color w:val="auto"/>
          <w:sz w:val="32"/>
          <w:szCs w:val="32"/>
          <w:highlight w:val="none"/>
          <w:lang w:val="en-US" w:eastAsia="zh-CN"/>
        </w:rPr>
        <w:t>91.17</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color w:val="auto"/>
          <w:sz w:val="32"/>
          <w:szCs w:val="32"/>
          <w:highlight w:val="none"/>
        </w:rPr>
        <w:t>教育支出</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color w:val="auto"/>
          <w:sz w:val="32"/>
          <w:szCs w:val="32"/>
          <w:highlight w:val="none"/>
        </w:rPr>
        <w:t>科学技术</w:t>
      </w:r>
      <w:r>
        <w:rPr>
          <w:rFonts w:hint="eastAsia" w:ascii="仿宋" w:hAnsi="仿宋" w:eastAsia="仿宋"/>
          <w:b/>
          <w:bCs/>
          <w:color w:val="auto"/>
          <w:sz w:val="32"/>
          <w:szCs w:val="32"/>
          <w:highlight w:val="none"/>
        </w:rPr>
        <w:t>支出</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bCs/>
          <w:color w:val="auto"/>
          <w:sz w:val="32"/>
          <w:szCs w:val="32"/>
          <w:highlight w:val="none"/>
        </w:rPr>
        <w:t>文化旅游体育与传媒支出</w:t>
      </w:r>
      <w:r>
        <w:rPr>
          <w:rFonts w:hint="eastAsia" w:ascii="仿宋" w:hAnsi="仿宋" w:eastAsia="仿宋"/>
          <w:b/>
          <w:bCs/>
          <w:color w:val="auto"/>
          <w:sz w:val="32"/>
          <w:szCs w:val="32"/>
          <w:highlight w:val="none"/>
          <w:lang w:val="en-US" w:eastAsia="zh-CN"/>
        </w:rPr>
        <w:t>0</w:t>
      </w:r>
      <w:r>
        <w:rPr>
          <w:rFonts w:hint="eastAsia" w:ascii="仿宋" w:hAnsi="仿宋" w:eastAsia="仿宋"/>
          <w:b/>
          <w:bCs/>
          <w:color w:val="auto"/>
          <w:sz w:val="32"/>
          <w:szCs w:val="32"/>
          <w:highlight w:val="none"/>
        </w:rPr>
        <w:t>万元，占</w:t>
      </w:r>
      <w:r>
        <w:rPr>
          <w:rFonts w:hint="eastAsia" w:ascii="仿宋" w:hAnsi="仿宋" w:eastAsia="仿宋"/>
          <w:b/>
          <w:bCs/>
          <w:color w:val="auto"/>
          <w:sz w:val="32"/>
          <w:szCs w:val="32"/>
          <w:highlight w:val="none"/>
          <w:lang w:val="en-US" w:eastAsia="zh-CN"/>
        </w:rPr>
        <w:t>0</w:t>
      </w:r>
      <w:r>
        <w:rPr>
          <w:rFonts w:ascii="仿宋" w:hAnsi="仿宋" w:eastAsia="仿宋"/>
          <w:b/>
          <w:bCs/>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color w:val="auto"/>
          <w:sz w:val="32"/>
          <w:szCs w:val="32"/>
          <w:highlight w:val="none"/>
        </w:rPr>
        <w:t>社会保障和就业</w:t>
      </w:r>
      <w:r>
        <w:rPr>
          <w:rFonts w:hint="eastAsia" w:ascii="仿宋" w:hAnsi="仿宋" w:eastAsia="仿宋"/>
          <w:b/>
          <w:bCs/>
          <w:color w:val="auto"/>
          <w:sz w:val="32"/>
          <w:szCs w:val="32"/>
          <w:highlight w:val="none"/>
        </w:rPr>
        <w:t>支出</w:t>
      </w:r>
      <w:r>
        <w:rPr>
          <w:rFonts w:hint="eastAsia" w:ascii="仿宋" w:hAnsi="仿宋" w:eastAsia="仿宋"/>
          <w:color w:val="auto"/>
          <w:sz w:val="32"/>
          <w:szCs w:val="32"/>
          <w:highlight w:val="none"/>
        </w:rPr>
        <w:t>28.94万元，占</w:t>
      </w:r>
      <w:r>
        <w:rPr>
          <w:rFonts w:hint="eastAsia" w:ascii="仿宋" w:hAnsi="仿宋" w:eastAsia="仿宋"/>
          <w:color w:val="auto"/>
          <w:sz w:val="32"/>
          <w:szCs w:val="32"/>
          <w:highlight w:val="none"/>
          <w:lang w:val="en-US" w:eastAsia="zh-CN"/>
        </w:rPr>
        <w:t>4.83</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bCs/>
          <w:color w:val="auto"/>
          <w:sz w:val="32"/>
          <w:szCs w:val="32"/>
          <w:highlight w:val="none"/>
        </w:rPr>
        <w:t>卫生健康支出</w:t>
      </w:r>
      <w:r>
        <w:rPr>
          <w:rFonts w:hint="eastAsia" w:ascii="仿宋" w:hAnsi="仿宋" w:eastAsia="仿宋"/>
          <w:color w:val="auto"/>
          <w:sz w:val="32"/>
          <w:szCs w:val="32"/>
          <w:highlight w:val="none"/>
        </w:rPr>
        <w:t>9.13万元，占</w:t>
      </w:r>
      <w:r>
        <w:rPr>
          <w:rFonts w:hint="eastAsia" w:ascii="仿宋" w:hAnsi="仿宋" w:eastAsia="仿宋"/>
          <w:color w:val="auto"/>
          <w:sz w:val="32"/>
          <w:szCs w:val="32"/>
          <w:highlight w:val="none"/>
          <w:lang w:val="en-US" w:eastAsia="zh-CN"/>
        </w:rPr>
        <w:t>1.52</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bCs/>
          <w:color w:val="auto"/>
          <w:sz w:val="32"/>
          <w:szCs w:val="32"/>
          <w:highlight w:val="none"/>
        </w:rPr>
        <w:t>住房保障支出</w:t>
      </w:r>
      <w:r>
        <w:rPr>
          <w:rFonts w:hint="eastAsia" w:ascii="仿宋" w:hAnsi="仿宋" w:eastAsia="仿宋"/>
          <w:color w:val="auto"/>
          <w:sz w:val="32"/>
          <w:szCs w:val="32"/>
          <w:highlight w:val="none"/>
        </w:rPr>
        <w:t>14.87万元，占</w:t>
      </w:r>
      <w:r>
        <w:rPr>
          <w:rFonts w:hint="eastAsia" w:ascii="仿宋" w:hAnsi="仿宋" w:eastAsia="仿宋"/>
          <w:color w:val="auto"/>
          <w:sz w:val="32"/>
          <w:szCs w:val="32"/>
          <w:highlight w:val="none"/>
          <w:lang w:val="en-US" w:eastAsia="zh-CN"/>
        </w:rPr>
        <w:t>2.48</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p>
    <w:p>
      <w:pPr>
        <w:spacing w:line="600" w:lineRule="exact"/>
        <w:ind w:firstLine="640"/>
        <w:rPr>
          <w:rFonts w:hint="eastAsia" w:ascii="仿宋" w:hAnsi="仿宋" w:eastAsia="仿宋"/>
          <w:b/>
          <w:color w:val="auto"/>
          <w:sz w:val="32"/>
          <w:szCs w:val="32"/>
          <w:highlight w:val="none"/>
        </w:rPr>
      </w:pPr>
      <w:r>
        <w:rPr>
          <w:rFonts w:hint="eastAsia" w:ascii="仿宋" w:hAnsi="仿宋" w:eastAsia="仿宋"/>
          <w:b/>
          <w:color w:val="auto"/>
          <w:sz w:val="32"/>
          <w:szCs w:val="32"/>
          <w:highlight w:val="none"/>
        </w:rPr>
        <w:t>（</w:t>
      </w:r>
      <w:r>
        <w:rPr>
          <w:rFonts w:hint="eastAsia" w:ascii="仿宋" w:hAnsi="仿宋" w:eastAsia="仿宋"/>
          <w:b/>
          <w:color w:val="auto"/>
          <w:sz w:val="32"/>
          <w:szCs w:val="32"/>
          <w:highlight w:val="none"/>
          <w:lang w:eastAsia="zh-CN"/>
        </w:rPr>
        <w:t>注：数据来源于财决</w:t>
      </w:r>
      <w:r>
        <w:rPr>
          <w:rFonts w:hint="eastAsia" w:ascii="仿宋" w:hAnsi="仿宋" w:eastAsia="仿宋"/>
          <w:b/>
          <w:color w:val="auto"/>
          <w:sz w:val="32"/>
          <w:szCs w:val="32"/>
          <w:highlight w:val="none"/>
          <w:lang w:val="en-US" w:eastAsia="zh-CN"/>
        </w:rPr>
        <w:t>01-1表，仅</w:t>
      </w:r>
      <w:r>
        <w:rPr>
          <w:rFonts w:hint="eastAsia" w:ascii="仿宋" w:hAnsi="仿宋" w:eastAsia="仿宋"/>
          <w:b/>
          <w:color w:val="auto"/>
          <w:sz w:val="32"/>
          <w:szCs w:val="32"/>
          <w:highlight w:val="none"/>
        </w:rPr>
        <w:t>罗列</w:t>
      </w:r>
      <w:r>
        <w:rPr>
          <w:rFonts w:hint="eastAsia" w:ascii="仿宋" w:hAnsi="仿宋" w:eastAsia="仿宋"/>
          <w:b/>
          <w:color w:val="auto"/>
          <w:sz w:val="32"/>
          <w:szCs w:val="32"/>
          <w:highlight w:val="none"/>
          <w:lang w:eastAsia="zh-CN"/>
        </w:rPr>
        <w:t>本单位涉及的</w:t>
      </w:r>
      <w:r>
        <w:rPr>
          <w:rFonts w:hint="eastAsia" w:ascii="仿宋" w:hAnsi="仿宋" w:eastAsia="仿宋"/>
          <w:b/>
          <w:color w:val="auto"/>
          <w:sz w:val="32"/>
          <w:szCs w:val="32"/>
          <w:highlight w:val="none"/>
        </w:rPr>
        <w:t>全部功能分类科目，至类级。）</w:t>
      </w:r>
    </w:p>
    <w:p>
      <w:pPr>
        <w:spacing w:line="600" w:lineRule="exact"/>
        <w:ind w:firstLine="640"/>
        <w:rPr>
          <w:rFonts w:ascii="仿宋" w:hAnsi="仿宋" w:eastAsia="仿宋"/>
          <w:color w:val="auto"/>
          <w:sz w:val="32"/>
          <w:szCs w:val="32"/>
          <w:highlight w:val="none"/>
        </w:rPr>
      </w:pPr>
      <w:r>
        <w:rPr>
          <w:rFonts w:ascii="仿宋" w:hAnsi="仿宋" w:eastAsia="仿宋"/>
          <w:color w:val="000000"/>
          <w:sz w:val="32"/>
          <w:szCs w:val="32"/>
        </w:rPr>
        <w:pict>
          <v:shape id="Object 8" o:spid="_x0000_s1032" o:spt="75" type="#_x0000_t75" style="position:absolute;left:0pt;margin-left:33.7pt;margin-top:2.55pt;height:202.2pt;width:340.25pt;z-index:251664384;mso-width-relative:page;mso-height-relative:page;" o:ole="t" filled="f" o:preferrelative="t" stroked="f" coordsize="21600,21600">
            <v:path/>
            <v:fill on="f" focussize="0,0"/>
            <v:stroke on="f"/>
            <v:imagedata r:id="rId17" o:title=""/>
            <o:lock v:ext="edit" aspectratio="t"/>
          </v:shape>
          <o:OLEObject Type="Embed" ProgID="Excel.Sheet.12" ShapeID="Object 8" DrawAspect="Content" ObjectID="_1468075730" r:id="rId16">
            <o:LockedField>false</o:LockedField>
          </o:OLEObject>
        </w:pict>
      </w:r>
    </w:p>
    <w:p>
      <w:pPr>
        <w:spacing w:line="600" w:lineRule="exact"/>
        <w:ind w:firstLine="640" w:firstLineChars="200"/>
        <w:rPr>
          <w:rFonts w:hint="eastAsia" w:ascii="仿宋" w:hAnsi="仿宋" w:eastAsia="仿宋"/>
          <w:color w:val="auto"/>
          <w:sz w:val="32"/>
          <w:szCs w:val="32"/>
          <w:highlight w:val="none"/>
        </w:rPr>
      </w:pPr>
    </w:p>
    <w:p>
      <w:pPr>
        <w:spacing w:line="600" w:lineRule="exact"/>
        <w:ind w:firstLine="640" w:firstLineChars="200"/>
        <w:rPr>
          <w:rFonts w:hint="eastAsia" w:ascii="仿宋" w:hAnsi="仿宋" w:eastAsia="仿宋"/>
          <w:color w:val="auto"/>
          <w:sz w:val="32"/>
          <w:szCs w:val="32"/>
          <w:highlight w:val="none"/>
        </w:rPr>
      </w:pPr>
    </w:p>
    <w:p>
      <w:pPr>
        <w:spacing w:line="600" w:lineRule="exact"/>
        <w:ind w:firstLine="640" w:firstLineChars="200"/>
        <w:rPr>
          <w:rFonts w:hint="eastAsia" w:ascii="仿宋" w:hAnsi="仿宋" w:eastAsia="仿宋"/>
          <w:color w:val="auto"/>
          <w:sz w:val="32"/>
          <w:szCs w:val="32"/>
          <w:highlight w:val="none"/>
        </w:rPr>
      </w:pPr>
    </w:p>
    <w:p>
      <w:pPr>
        <w:spacing w:line="600" w:lineRule="exact"/>
        <w:ind w:firstLine="640" w:firstLineChars="200"/>
        <w:rPr>
          <w:rFonts w:hint="eastAsia" w:ascii="仿宋" w:hAnsi="仿宋" w:eastAsia="仿宋"/>
          <w:color w:val="auto"/>
          <w:sz w:val="32"/>
          <w:szCs w:val="32"/>
          <w:highlight w:val="none"/>
        </w:rPr>
      </w:pPr>
    </w:p>
    <w:p>
      <w:pPr>
        <w:spacing w:line="600" w:lineRule="exact"/>
        <w:ind w:firstLine="640" w:firstLineChars="200"/>
        <w:rPr>
          <w:rFonts w:hint="eastAsia" w:ascii="仿宋" w:hAnsi="仿宋" w:eastAsia="仿宋"/>
          <w:color w:val="auto"/>
          <w:sz w:val="32"/>
          <w:szCs w:val="32"/>
          <w:highlight w:val="none"/>
        </w:rPr>
      </w:pPr>
    </w:p>
    <w:p>
      <w:pPr>
        <w:spacing w:line="600" w:lineRule="exact"/>
        <w:ind w:firstLine="640" w:firstLineChars="200"/>
        <w:rPr>
          <w:rFonts w:hint="eastAsia" w:ascii="仿宋" w:hAnsi="仿宋" w:eastAsia="仿宋"/>
          <w:color w:val="auto"/>
          <w:sz w:val="32"/>
          <w:szCs w:val="32"/>
          <w:highlight w:val="none"/>
        </w:rPr>
      </w:pPr>
    </w:p>
    <w:p>
      <w:pPr>
        <w:spacing w:line="6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（图6：一般公共预算财政拨款支出决算结构）（饼状图）</w:t>
      </w:r>
    </w:p>
    <w:p>
      <w:pPr>
        <w:spacing w:line="600" w:lineRule="exact"/>
        <w:ind w:firstLine="640" w:firstLineChars="200"/>
        <w:rPr>
          <w:rFonts w:ascii="仿宋" w:hAnsi="仿宋" w:eastAsia="仿宋"/>
          <w:color w:val="auto"/>
          <w:sz w:val="32"/>
          <w:szCs w:val="32"/>
          <w:highlight w:val="none"/>
        </w:rPr>
      </w:pPr>
    </w:p>
    <w:p>
      <w:pPr>
        <w:spacing w:line="600" w:lineRule="exact"/>
        <w:ind w:firstLine="643" w:firstLineChars="200"/>
        <w:outlineLvl w:val="2"/>
        <w:rPr>
          <w:rFonts w:ascii="仿宋" w:hAnsi="仿宋" w:eastAsia="仿宋"/>
          <w:b/>
          <w:color w:val="auto"/>
          <w:sz w:val="32"/>
          <w:szCs w:val="32"/>
          <w:highlight w:val="none"/>
        </w:rPr>
      </w:pPr>
      <w:bookmarkStart w:id="30" w:name="_Toc15377212"/>
      <w:r>
        <w:rPr>
          <w:rFonts w:hint="eastAsia" w:ascii="仿宋" w:hAnsi="仿宋" w:eastAsia="仿宋"/>
          <w:b/>
          <w:color w:val="auto"/>
          <w:sz w:val="32"/>
          <w:szCs w:val="32"/>
          <w:highlight w:val="none"/>
        </w:rPr>
        <w:t>（三）一般公共预算财政拨款支出决算具体情况</w:t>
      </w:r>
      <w:bookmarkEnd w:id="30"/>
    </w:p>
    <w:p>
      <w:pPr>
        <w:spacing w:line="600" w:lineRule="exact"/>
        <w:ind w:firstLine="643" w:firstLineChars="200"/>
        <w:outlineLvl w:val="2"/>
        <w:rPr>
          <w:rFonts w:ascii="仿宋" w:hAnsi="仿宋" w:eastAsia="仿宋"/>
          <w:color w:val="auto"/>
          <w:sz w:val="32"/>
          <w:szCs w:val="32"/>
          <w:highlight w:val="none"/>
        </w:rPr>
      </w:pPr>
      <w:bookmarkStart w:id="31" w:name="_Toc15377444"/>
      <w:bookmarkStart w:id="32" w:name="_Toc15378460"/>
      <w:bookmarkStart w:id="33" w:name="_Toc15377213"/>
      <w:r>
        <w:rPr>
          <w:rFonts w:hint="eastAsia" w:ascii="仿宋" w:hAnsi="仿宋" w:eastAsia="仿宋"/>
          <w:b/>
          <w:color w:val="auto"/>
          <w:sz w:val="32"/>
          <w:szCs w:val="32"/>
          <w:highlight w:val="none"/>
        </w:rPr>
        <w:t>20</w:t>
      </w:r>
      <w:r>
        <w:rPr>
          <w:rFonts w:hint="eastAsia" w:ascii="仿宋" w:hAnsi="仿宋" w:eastAsia="仿宋"/>
          <w:b/>
          <w:color w:val="auto"/>
          <w:sz w:val="32"/>
          <w:szCs w:val="32"/>
          <w:highlight w:val="none"/>
          <w:lang w:val="en-US" w:eastAsia="zh-CN"/>
        </w:rPr>
        <w:t>22</w:t>
      </w:r>
      <w:r>
        <w:rPr>
          <w:rFonts w:hint="eastAsia" w:ascii="仿宋" w:hAnsi="仿宋" w:eastAsia="仿宋"/>
          <w:b/>
          <w:color w:val="auto"/>
          <w:sz w:val="32"/>
          <w:szCs w:val="32"/>
          <w:highlight w:val="none"/>
        </w:rPr>
        <w:t>年</w:t>
      </w:r>
      <w:r>
        <w:rPr>
          <w:rFonts w:hint="eastAsia" w:ascii="仿宋" w:hAnsi="仿宋" w:eastAsia="仿宋"/>
          <w:b/>
          <w:color w:val="auto"/>
          <w:sz w:val="32"/>
          <w:szCs w:val="32"/>
          <w:highlight w:val="none"/>
          <w:lang w:eastAsia="zh-CN"/>
        </w:rPr>
        <w:t>一</w:t>
      </w:r>
      <w:r>
        <w:rPr>
          <w:rFonts w:hint="eastAsia" w:ascii="仿宋" w:hAnsi="仿宋" w:eastAsia="仿宋"/>
          <w:b/>
          <w:color w:val="auto"/>
          <w:sz w:val="32"/>
          <w:szCs w:val="32"/>
          <w:highlight w:val="none"/>
        </w:rPr>
        <w:t>般公共预算支出决算数为599.38</w:t>
      </w:r>
      <w:r>
        <w:rPr>
          <w:rFonts w:hint="eastAsia" w:ascii="仿宋" w:hAnsi="仿宋" w:eastAsia="仿宋"/>
          <w:b/>
          <w:color w:val="auto"/>
          <w:sz w:val="32"/>
          <w:szCs w:val="32"/>
          <w:highlight w:val="none"/>
          <w:lang w:val="en-US" w:eastAsia="zh-CN"/>
        </w:rPr>
        <w:t>万元</w:t>
      </w:r>
      <w:r>
        <w:rPr>
          <w:rFonts w:hint="eastAsia" w:ascii="仿宋" w:hAnsi="仿宋" w:eastAsia="仿宋"/>
          <w:color w:val="auto"/>
          <w:sz w:val="32"/>
          <w:szCs w:val="32"/>
          <w:highlight w:val="none"/>
        </w:rPr>
        <w:t>，</w:t>
      </w:r>
      <w:r>
        <w:rPr>
          <w:rStyle w:val="14"/>
          <w:rFonts w:hint="eastAsia" w:ascii="仿宋" w:hAnsi="仿宋" w:eastAsia="仿宋"/>
          <w:bCs/>
          <w:color w:val="auto"/>
          <w:sz w:val="32"/>
          <w:szCs w:val="32"/>
          <w:highlight w:val="none"/>
        </w:rPr>
        <w:t>完成预算</w:t>
      </w:r>
      <w:r>
        <w:rPr>
          <w:rStyle w:val="14"/>
          <w:rFonts w:hint="eastAsia" w:ascii="仿宋" w:hAnsi="仿宋" w:eastAsia="仿宋"/>
          <w:bCs/>
          <w:color w:val="auto"/>
          <w:sz w:val="32"/>
          <w:szCs w:val="32"/>
          <w:highlight w:val="none"/>
          <w:lang w:val="en-US" w:eastAsia="zh-CN"/>
        </w:rPr>
        <w:t>100</w:t>
      </w:r>
      <w:r>
        <w:rPr>
          <w:rStyle w:val="14"/>
          <w:rFonts w:ascii="仿宋" w:hAnsi="仿宋" w:eastAsia="仿宋"/>
          <w:bCs/>
          <w:color w:val="auto"/>
          <w:sz w:val="32"/>
          <w:szCs w:val="32"/>
          <w:highlight w:val="none"/>
        </w:rPr>
        <w:t>%</w:t>
      </w:r>
      <w:r>
        <w:rPr>
          <w:rStyle w:val="14"/>
          <w:rFonts w:hint="eastAsia" w:ascii="仿宋" w:hAnsi="仿宋" w:eastAsia="仿宋"/>
          <w:bCs/>
          <w:color w:val="auto"/>
          <w:sz w:val="32"/>
          <w:szCs w:val="32"/>
          <w:highlight w:val="none"/>
        </w:rPr>
        <w:t>。其中：</w:t>
      </w:r>
      <w:bookmarkEnd w:id="31"/>
      <w:bookmarkEnd w:id="32"/>
      <w:bookmarkEnd w:id="33"/>
    </w:p>
    <w:p>
      <w:pPr>
        <w:pageBreakBefore w:val="0"/>
        <w:kinsoku/>
        <w:wordWrap/>
        <w:overflowPunct/>
        <w:bidi w:val="0"/>
        <w:spacing w:line="560" w:lineRule="exact"/>
        <w:ind w:firstLine="643" w:firstLineChars="200"/>
        <w:rPr>
          <w:rFonts w:ascii="仿宋" w:hAnsi="仿宋" w:eastAsia="仿宋"/>
          <w:b/>
          <w:color w:val="000000"/>
          <w:sz w:val="32"/>
          <w:szCs w:val="32"/>
        </w:rPr>
      </w:pPr>
      <w:r>
        <w:rPr>
          <w:rStyle w:val="14"/>
          <w:rFonts w:ascii="仿宋" w:hAnsi="仿宋" w:eastAsia="仿宋"/>
          <w:bCs/>
          <w:color w:val="000000"/>
          <w:sz w:val="32"/>
          <w:szCs w:val="32"/>
        </w:rPr>
        <w:t>1.</w:t>
      </w:r>
      <w:r>
        <w:rPr>
          <w:rStyle w:val="14"/>
          <w:rFonts w:hint="eastAsia" w:ascii="仿宋" w:hAnsi="仿宋" w:eastAsia="仿宋"/>
          <w:bCs/>
          <w:color w:val="000000"/>
          <w:sz w:val="32"/>
          <w:szCs w:val="32"/>
        </w:rPr>
        <w:t>一般公共服务（类）群众团体事务（款）行政运行（项）</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支出决算为203.61万元，完成预算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，决算数等于预算数。</w:t>
      </w:r>
    </w:p>
    <w:p>
      <w:pPr>
        <w:pageBreakBefore w:val="0"/>
        <w:kinsoku/>
        <w:wordWrap/>
        <w:overflowPunct/>
        <w:bidi w:val="0"/>
        <w:spacing w:line="560" w:lineRule="exact"/>
        <w:ind w:firstLine="643" w:firstLineChars="200"/>
        <w:rPr>
          <w:rFonts w:ascii="仿宋" w:hAnsi="仿宋" w:eastAsia="仿宋"/>
          <w:b/>
          <w:color w:val="000000"/>
          <w:sz w:val="32"/>
          <w:szCs w:val="32"/>
        </w:rPr>
      </w:pPr>
      <w:r>
        <w:rPr>
          <w:rStyle w:val="14"/>
          <w:rFonts w:ascii="仿宋" w:hAnsi="仿宋" w:eastAsia="仿宋"/>
          <w:bCs/>
          <w:color w:val="000000"/>
          <w:sz w:val="32"/>
          <w:szCs w:val="32"/>
        </w:rPr>
        <w:t>2.</w:t>
      </w:r>
      <w:r>
        <w:rPr>
          <w:rStyle w:val="14"/>
          <w:rFonts w:hint="eastAsia" w:ascii="仿宋" w:hAnsi="仿宋" w:eastAsia="仿宋"/>
          <w:bCs/>
          <w:color w:val="000000"/>
          <w:sz w:val="32"/>
          <w:szCs w:val="32"/>
        </w:rPr>
        <w:t>一般公共服务（类）群众团体事务（款） 一般行政管理事务（项）</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支出决算为275.04万元，完成预算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，决算数等于预算数。</w:t>
      </w:r>
    </w:p>
    <w:p>
      <w:pPr>
        <w:pageBreakBefore w:val="0"/>
        <w:kinsoku/>
        <w:wordWrap/>
        <w:overflowPunct/>
        <w:bidi w:val="0"/>
        <w:spacing w:line="560" w:lineRule="exact"/>
        <w:ind w:firstLine="643" w:firstLineChars="200"/>
        <w:rPr>
          <w:rFonts w:ascii="仿宋" w:hAnsi="仿宋" w:eastAsia="仿宋"/>
          <w:b/>
          <w:color w:val="000000"/>
          <w:sz w:val="32"/>
          <w:szCs w:val="32"/>
        </w:rPr>
      </w:pPr>
      <w:r>
        <w:rPr>
          <w:rStyle w:val="14"/>
          <w:rFonts w:ascii="仿宋" w:hAnsi="仿宋" w:eastAsia="仿宋"/>
          <w:bCs/>
          <w:color w:val="000000"/>
          <w:sz w:val="32"/>
          <w:szCs w:val="32"/>
        </w:rPr>
        <w:t>3.</w:t>
      </w:r>
      <w:r>
        <w:rPr>
          <w:rStyle w:val="14"/>
          <w:rFonts w:hint="eastAsia" w:ascii="仿宋" w:hAnsi="仿宋" w:eastAsia="仿宋"/>
          <w:bCs/>
          <w:color w:val="000000"/>
          <w:sz w:val="32"/>
          <w:szCs w:val="32"/>
        </w:rPr>
        <w:t>一般公共服务（类）群众团体事务（款）</w:t>
      </w:r>
      <w:r>
        <w:rPr>
          <w:rStyle w:val="14"/>
          <w:rFonts w:hint="eastAsia" w:ascii="仿宋" w:hAnsi="仿宋" w:eastAsia="仿宋"/>
          <w:bCs/>
          <w:color w:val="000000"/>
          <w:sz w:val="32"/>
          <w:szCs w:val="32"/>
          <w:lang w:val="en-US" w:eastAsia="zh-CN"/>
        </w:rPr>
        <w:t xml:space="preserve"> </w:t>
      </w:r>
      <w:r>
        <w:rPr>
          <w:rStyle w:val="14"/>
          <w:rFonts w:hint="eastAsia" w:ascii="仿宋" w:hAnsi="仿宋" w:eastAsia="仿宋"/>
          <w:bCs/>
          <w:color w:val="000000"/>
          <w:sz w:val="32"/>
          <w:szCs w:val="32"/>
        </w:rPr>
        <w:t>事业运行（项）</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支出决算为42.79万元，完成预算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，决算数等于预算数。</w:t>
      </w:r>
    </w:p>
    <w:p>
      <w:pPr>
        <w:pageBreakBefore w:val="0"/>
        <w:kinsoku/>
        <w:wordWrap/>
        <w:overflowPunct/>
        <w:bidi w:val="0"/>
        <w:spacing w:line="560" w:lineRule="exact"/>
        <w:ind w:firstLine="643" w:firstLineChars="200"/>
        <w:rPr>
          <w:rFonts w:ascii="仿宋" w:hAnsi="仿宋" w:eastAsia="仿宋"/>
          <w:b/>
          <w:color w:val="000000"/>
          <w:sz w:val="32"/>
          <w:szCs w:val="32"/>
        </w:rPr>
      </w:pPr>
      <w:r>
        <w:rPr>
          <w:rStyle w:val="14"/>
          <w:rFonts w:ascii="仿宋" w:hAnsi="仿宋" w:eastAsia="仿宋"/>
          <w:bCs/>
          <w:color w:val="000000"/>
          <w:sz w:val="32"/>
          <w:szCs w:val="32"/>
        </w:rPr>
        <w:t>4.</w:t>
      </w:r>
      <w:r>
        <w:rPr>
          <w:rStyle w:val="14"/>
          <w:rFonts w:hint="eastAsia" w:ascii="仿宋" w:hAnsi="仿宋" w:eastAsia="仿宋"/>
          <w:bCs/>
          <w:color w:val="000000"/>
          <w:sz w:val="32"/>
          <w:szCs w:val="32"/>
        </w:rPr>
        <w:t>一般公共服务（类）群众团体事务（款）其他群众团体事务支出（项）</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支出决算为25.00万元，完成预算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，决算数等于预算数。</w:t>
      </w:r>
    </w:p>
    <w:p>
      <w:pPr>
        <w:pageBreakBefore w:val="0"/>
        <w:kinsoku/>
        <w:wordWrap/>
        <w:overflowPunct/>
        <w:bidi w:val="0"/>
        <w:spacing w:line="560" w:lineRule="exact"/>
        <w:ind w:firstLine="643" w:firstLineChars="200"/>
        <w:rPr>
          <w:rFonts w:ascii="仿宋" w:hAnsi="仿宋" w:eastAsia="仿宋"/>
          <w:b/>
          <w:color w:val="000000"/>
          <w:sz w:val="32"/>
          <w:szCs w:val="32"/>
        </w:rPr>
      </w:pPr>
      <w:r>
        <w:rPr>
          <w:rStyle w:val="14"/>
          <w:rFonts w:ascii="仿宋" w:hAnsi="仿宋" w:eastAsia="仿宋"/>
          <w:bCs/>
          <w:color w:val="000000"/>
          <w:sz w:val="32"/>
          <w:szCs w:val="32"/>
        </w:rPr>
        <w:t>5.</w:t>
      </w:r>
      <w:r>
        <w:rPr>
          <w:rStyle w:val="14"/>
          <w:rFonts w:hint="eastAsia" w:ascii="仿宋" w:hAnsi="仿宋" w:eastAsia="仿宋"/>
          <w:bCs/>
          <w:color w:val="000000"/>
          <w:sz w:val="32"/>
          <w:szCs w:val="32"/>
        </w:rPr>
        <w:t>社会保障和就业（类）行政事业单位养老支出（款） 行政单位离退休（项）</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支出决算为2.69万元，完成预算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，决算数等于预算数。</w:t>
      </w:r>
    </w:p>
    <w:p>
      <w:pPr>
        <w:pageBreakBefore w:val="0"/>
        <w:kinsoku/>
        <w:wordWrap/>
        <w:overflowPunct/>
        <w:bidi w:val="0"/>
        <w:spacing w:line="560" w:lineRule="exact"/>
        <w:ind w:firstLine="643" w:firstLineChars="200"/>
        <w:rPr>
          <w:rFonts w:ascii="仿宋" w:hAnsi="仿宋" w:eastAsia="仿宋"/>
          <w:b/>
          <w:color w:val="000000"/>
          <w:sz w:val="32"/>
          <w:szCs w:val="32"/>
        </w:rPr>
      </w:pPr>
      <w:r>
        <w:rPr>
          <w:rStyle w:val="14"/>
          <w:rFonts w:hint="eastAsia" w:ascii="仿宋" w:hAnsi="仿宋" w:eastAsia="仿宋"/>
          <w:bCs/>
          <w:color w:val="000000"/>
          <w:sz w:val="32"/>
          <w:szCs w:val="32"/>
          <w:lang w:val="en-US" w:eastAsia="zh-CN"/>
        </w:rPr>
        <w:t>6</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 xml:space="preserve">社会保障和就业（类）行政事业单位养老支出（款） </w:t>
      </w:r>
      <w:r>
        <w:rPr>
          <w:rStyle w:val="14"/>
          <w:rFonts w:hint="eastAsia" w:ascii="仿宋" w:hAnsi="仿宋" w:eastAsia="仿宋"/>
          <w:bCs/>
          <w:color w:val="000000"/>
          <w:sz w:val="32"/>
          <w:szCs w:val="32"/>
          <w:lang w:val="en-US" w:eastAsia="zh-CN"/>
        </w:rPr>
        <w:t>事业</w:t>
      </w:r>
      <w:r>
        <w:rPr>
          <w:rStyle w:val="14"/>
          <w:rFonts w:hint="eastAsia" w:ascii="仿宋" w:hAnsi="仿宋" w:eastAsia="仿宋"/>
          <w:bCs/>
          <w:color w:val="000000"/>
          <w:sz w:val="32"/>
          <w:szCs w:val="32"/>
        </w:rPr>
        <w:t>单位离退休（项）</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支出决算为0.14万元，完成预算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，决算数等于预算数。</w:t>
      </w:r>
    </w:p>
    <w:p>
      <w:pPr>
        <w:pageBreakBefore w:val="0"/>
        <w:kinsoku/>
        <w:wordWrap/>
        <w:overflowPunct/>
        <w:bidi w:val="0"/>
        <w:spacing w:line="560" w:lineRule="exact"/>
        <w:ind w:firstLine="643" w:firstLineChars="200"/>
        <w:rPr>
          <w:rFonts w:ascii="仿宋" w:hAnsi="仿宋" w:eastAsia="仿宋"/>
          <w:b/>
          <w:color w:val="000000"/>
          <w:sz w:val="32"/>
          <w:szCs w:val="32"/>
        </w:rPr>
      </w:pPr>
      <w:r>
        <w:rPr>
          <w:rStyle w:val="14"/>
          <w:rFonts w:hint="eastAsia" w:ascii="仿宋" w:hAnsi="仿宋" w:eastAsia="仿宋"/>
          <w:bCs/>
          <w:color w:val="000000"/>
          <w:sz w:val="32"/>
          <w:szCs w:val="32"/>
          <w:lang w:val="en-US" w:eastAsia="zh-CN"/>
        </w:rPr>
        <w:t>7.</w:t>
      </w:r>
      <w:r>
        <w:rPr>
          <w:rStyle w:val="14"/>
          <w:rFonts w:hint="eastAsia" w:ascii="仿宋" w:hAnsi="仿宋" w:eastAsia="仿宋"/>
          <w:bCs/>
          <w:color w:val="000000"/>
          <w:sz w:val="32"/>
          <w:szCs w:val="32"/>
        </w:rPr>
        <w:t>社会保障和就业（类）行政事业单位养老支出（款）  机关事业单位基本养老保险缴费支出（项）</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支出决算为15.63万元，完成预算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，决算数等于预算数。</w:t>
      </w:r>
    </w:p>
    <w:p>
      <w:pPr>
        <w:pageBreakBefore w:val="0"/>
        <w:kinsoku/>
        <w:wordWrap/>
        <w:overflowPunct/>
        <w:bidi w:val="0"/>
        <w:spacing w:line="560" w:lineRule="exact"/>
        <w:ind w:firstLine="643" w:firstLineChars="200"/>
        <w:rPr>
          <w:rStyle w:val="14"/>
          <w:rFonts w:hint="eastAsia" w:ascii="仿宋" w:hAnsi="仿宋" w:eastAsia="仿宋"/>
          <w:bCs/>
          <w:color w:val="000000"/>
          <w:sz w:val="32"/>
          <w:szCs w:val="32"/>
          <w:lang w:val="en-US" w:eastAsia="zh-CN"/>
        </w:rPr>
      </w:pPr>
      <w:r>
        <w:rPr>
          <w:rStyle w:val="14"/>
          <w:rFonts w:hint="eastAsia" w:ascii="仿宋" w:hAnsi="仿宋" w:eastAsia="仿宋"/>
          <w:bCs/>
          <w:color w:val="000000"/>
          <w:sz w:val="32"/>
          <w:szCs w:val="32"/>
          <w:lang w:val="en-US" w:eastAsia="zh-CN"/>
        </w:rPr>
        <w:t>8.</w:t>
      </w:r>
      <w:r>
        <w:rPr>
          <w:rStyle w:val="14"/>
          <w:rFonts w:hint="eastAsia" w:ascii="仿宋" w:hAnsi="仿宋" w:eastAsia="仿宋"/>
          <w:bCs/>
          <w:color w:val="000000"/>
          <w:sz w:val="32"/>
          <w:szCs w:val="32"/>
        </w:rPr>
        <w:t>社会保障和就业（类）就业补助（款）  其他就业补助支出（项）</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支出决算为10.00万元，完成预算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，决算数等于预算数。</w:t>
      </w:r>
    </w:p>
    <w:p>
      <w:pPr>
        <w:pageBreakBefore w:val="0"/>
        <w:kinsoku/>
        <w:wordWrap/>
        <w:overflowPunct/>
        <w:bidi w:val="0"/>
        <w:spacing w:line="560" w:lineRule="exact"/>
        <w:ind w:firstLine="643" w:firstLineChars="200"/>
        <w:rPr>
          <w:rFonts w:ascii="仿宋" w:hAnsi="仿宋" w:eastAsia="仿宋"/>
          <w:b/>
          <w:color w:val="000000"/>
          <w:sz w:val="32"/>
          <w:szCs w:val="32"/>
        </w:rPr>
      </w:pPr>
      <w:r>
        <w:rPr>
          <w:rStyle w:val="14"/>
          <w:rFonts w:hint="eastAsia" w:ascii="仿宋" w:hAnsi="仿宋" w:eastAsia="仿宋"/>
          <w:bCs/>
          <w:color w:val="000000"/>
          <w:sz w:val="32"/>
          <w:szCs w:val="32"/>
          <w:lang w:val="en-US" w:eastAsia="zh-CN"/>
        </w:rPr>
        <w:t>9.</w:t>
      </w:r>
      <w:r>
        <w:rPr>
          <w:rStyle w:val="14"/>
          <w:rFonts w:hint="eastAsia" w:ascii="仿宋" w:hAnsi="仿宋" w:eastAsia="仿宋"/>
          <w:bCs/>
          <w:color w:val="000000"/>
          <w:sz w:val="32"/>
          <w:szCs w:val="32"/>
        </w:rPr>
        <w:t>社会保障和就业支出（类）抚恤（款）死亡抚恤（项）</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支出决算为0.48万元，完成预算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，决算数等于预算数。</w:t>
      </w:r>
    </w:p>
    <w:p>
      <w:pPr>
        <w:pageBreakBefore w:val="0"/>
        <w:kinsoku/>
        <w:wordWrap/>
        <w:overflowPunct/>
        <w:bidi w:val="0"/>
        <w:spacing w:line="560" w:lineRule="exact"/>
        <w:ind w:firstLine="643" w:firstLineChars="200"/>
        <w:rPr>
          <w:rStyle w:val="14"/>
          <w:rFonts w:hint="eastAsia" w:ascii="仿宋" w:hAnsi="仿宋" w:eastAsia="仿宋"/>
          <w:b w:val="0"/>
          <w:bCs/>
          <w:color w:val="000000"/>
          <w:sz w:val="32"/>
          <w:szCs w:val="32"/>
        </w:rPr>
      </w:pPr>
      <w:r>
        <w:rPr>
          <w:rStyle w:val="14"/>
          <w:rFonts w:hint="eastAsia" w:ascii="仿宋" w:hAnsi="仿宋" w:eastAsia="仿宋"/>
          <w:bCs/>
          <w:color w:val="000000"/>
          <w:sz w:val="32"/>
          <w:szCs w:val="32"/>
          <w:lang w:val="en-US" w:eastAsia="zh-CN"/>
        </w:rPr>
        <w:t>10</w:t>
      </w:r>
      <w:r>
        <w:rPr>
          <w:rStyle w:val="14"/>
          <w:rFonts w:ascii="仿宋" w:hAnsi="仿宋" w:eastAsia="仿宋"/>
          <w:bCs/>
          <w:color w:val="000000"/>
          <w:sz w:val="32"/>
          <w:szCs w:val="32"/>
        </w:rPr>
        <w:t>.</w:t>
      </w:r>
      <w:r>
        <w:rPr>
          <w:rFonts w:hint="eastAsia" w:ascii="仿宋" w:hAnsi="仿宋" w:eastAsia="仿宋"/>
          <w:b/>
          <w:bCs/>
          <w:color w:val="000000"/>
          <w:sz w:val="32"/>
          <w:szCs w:val="32"/>
        </w:rPr>
        <w:t>卫生健康</w:t>
      </w:r>
      <w:r>
        <w:rPr>
          <w:rStyle w:val="14"/>
          <w:rFonts w:hint="eastAsia" w:ascii="仿宋" w:hAnsi="仿宋" w:eastAsia="仿宋"/>
          <w:bCs/>
          <w:color w:val="000000"/>
          <w:sz w:val="32"/>
          <w:szCs w:val="32"/>
        </w:rPr>
        <w:t>（类）行政事业单位医疗（款）行政单位医疗（项）</w:t>
      </w:r>
      <w:r>
        <w:rPr>
          <w:rStyle w:val="14"/>
          <w:rFonts w:ascii="仿宋" w:hAnsi="仿宋" w:eastAsia="仿宋"/>
          <w:bCs/>
          <w:color w:val="000000"/>
          <w:sz w:val="32"/>
          <w:szCs w:val="32"/>
        </w:rPr>
        <w:t>:</w:t>
      </w:r>
      <w:r>
        <w:rPr>
          <w:rStyle w:val="14"/>
          <w:rFonts w:hint="eastAsia" w:ascii="仿宋" w:hAnsi="仿宋" w:eastAsia="仿宋"/>
          <w:b w:val="0"/>
          <w:bCs/>
          <w:color w:val="000000"/>
          <w:sz w:val="32"/>
          <w:szCs w:val="32"/>
        </w:rPr>
        <w:t>支出决算为7.72万元，完成预算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，决算数等于预算数。</w:t>
      </w:r>
    </w:p>
    <w:p>
      <w:pPr>
        <w:pageBreakBefore w:val="0"/>
        <w:kinsoku/>
        <w:wordWrap/>
        <w:overflowPunct/>
        <w:bidi w:val="0"/>
        <w:spacing w:line="560" w:lineRule="exact"/>
        <w:ind w:firstLine="640" w:firstLineChars="200"/>
        <w:rPr>
          <w:rStyle w:val="14"/>
          <w:rFonts w:hint="eastAsia" w:ascii="仿宋" w:hAnsi="仿宋" w:eastAsia="仿宋"/>
          <w:b w:val="0"/>
          <w:bCs/>
          <w:color w:val="000000"/>
          <w:sz w:val="32"/>
          <w:szCs w:val="32"/>
        </w:rPr>
      </w:pPr>
      <w:r>
        <w:rPr>
          <w:rStyle w:val="14"/>
          <w:rFonts w:hint="eastAsia" w:ascii="仿宋" w:hAnsi="仿宋" w:eastAsia="仿宋"/>
          <w:b w:val="0"/>
          <w:bCs/>
          <w:color w:val="000000"/>
          <w:sz w:val="32"/>
          <w:szCs w:val="32"/>
          <w:lang w:val="en-US" w:eastAsia="zh-CN"/>
        </w:rPr>
        <w:t>11.</w:t>
      </w:r>
      <w:r>
        <w:rPr>
          <w:rFonts w:hint="eastAsia" w:ascii="仿宋" w:hAnsi="仿宋" w:eastAsia="仿宋"/>
          <w:b/>
          <w:bCs/>
          <w:color w:val="000000"/>
          <w:sz w:val="32"/>
          <w:szCs w:val="32"/>
        </w:rPr>
        <w:t>卫生健康</w:t>
      </w:r>
      <w:r>
        <w:rPr>
          <w:rStyle w:val="14"/>
          <w:rFonts w:hint="eastAsia" w:ascii="仿宋" w:hAnsi="仿宋" w:eastAsia="仿宋"/>
          <w:bCs/>
          <w:color w:val="000000"/>
          <w:sz w:val="32"/>
          <w:szCs w:val="32"/>
        </w:rPr>
        <w:t>（类）行政事业单位医疗（款）事业单位医疗（项）</w:t>
      </w:r>
      <w:r>
        <w:rPr>
          <w:rStyle w:val="14"/>
          <w:rFonts w:ascii="仿宋" w:hAnsi="仿宋" w:eastAsia="仿宋"/>
          <w:bCs/>
          <w:color w:val="000000"/>
          <w:sz w:val="32"/>
          <w:szCs w:val="32"/>
        </w:rPr>
        <w:t>:</w:t>
      </w:r>
      <w:r>
        <w:rPr>
          <w:rStyle w:val="14"/>
          <w:rFonts w:hint="eastAsia" w:ascii="仿宋" w:hAnsi="仿宋" w:eastAsia="仿宋"/>
          <w:b w:val="0"/>
          <w:bCs/>
          <w:color w:val="000000"/>
          <w:sz w:val="32"/>
          <w:szCs w:val="32"/>
        </w:rPr>
        <w:t>支出决算为1.41万元，完成预算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，决算数等于预算数。</w:t>
      </w:r>
    </w:p>
    <w:p>
      <w:pPr>
        <w:pageBreakBefore w:val="0"/>
        <w:kinsoku/>
        <w:wordWrap/>
        <w:overflowPunct/>
        <w:bidi w:val="0"/>
        <w:spacing w:line="560" w:lineRule="exact"/>
        <w:ind w:firstLine="640" w:firstLineChars="200"/>
        <w:rPr>
          <w:rStyle w:val="14"/>
          <w:rFonts w:hint="eastAsia" w:ascii="仿宋" w:hAnsi="仿宋" w:eastAsia="仿宋"/>
          <w:b w:val="0"/>
          <w:bCs/>
          <w:color w:val="000000"/>
          <w:sz w:val="32"/>
          <w:szCs w:val="32"/>
        </w:rPr>
      </w:pPr>
      <w:r>
        <w:rPr>
          <w:rStyle w:val="14"/>
          <w:rFonts w:hint="eastAsia" w:ascii="仿宋" w:hAnsi="仿宋" w:eastAsia="仿宋"/>
          <w:b w:val="0"/>
          <w:bCs/>
          <w:color w:val="000000"/>
          <w:sz w:val="32"/>
          <w:szCs w:val="32"/>
          <w:lang w:val="en-US" w:eastAsia="zh-CN"/>
        </w:rPr>
        <w:t>10.</w:t>
      </w:r>
      <w:r>
        <w:rPr>
          <w:rFonts w:hint="eastAsia" w:ascii="仿宋" w:hAnsi="仿宋" w:eastAsia="仿宋"/>
          <w:b/>
          <w:bCs/>
          <w:color w:val="000000"/>
          <w:sz w:val="32"/>
          <w:szCs w:val="32"/>
        </w:rPr>
        <w:t>住房保障支出</w:t>
      </w:r>
      <w:r>
        <w:rPr>
          <w:rStyle w:val="14"/>
          <w:rFonts w:hint="eastAsia" w:ascii="仿宋" w:hAnsi="仿宋" w:eastAsia="仿宋"/>
          <w:bCs/>
          <w:color w:val="000000"/>
          <w:sz w:val="32"/>
          <w:szCs w:val="32"/>
        </w:rPr>
        <w:t>（类）住房改革支出（款）住房公积金（项）</w:t>
      </w:r>
      <w:r>
        <w:rPr>
          <w:rStyle w:val="14"/>
          <w:rFonts w:ascii="仿宋" w:hAnsi="仿宋" w:eastAsia="仿宋"/>
          <w:bCs/>
          <w:color w:val="000000"/>
          <w:sz w:val="32"/>
          <w:szCs w:val="32"/>
        </w:rPr>
        <w:t>:</w:t>
      </w:r>
      <w:r>
        <w:rPr>
          <w:rStyle w:val="14"/>
          <w:rFonts w:hint="eastAsia" w:ascii="仿宋" w:hAnsi="仿宋" w:eastAsia="仿宋"/>
          <w:b w:val="0"/>
          <w:bCs/>
          <w:color w:val="000000"/>
          <w:sz w:val="32"/>
          <w:szCs w:val="32"/>
        </w:rPr>
        <w:t>支出决算为14.87万元，完成预算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，决算数等于预算数。</w:t>
      </w:r>
    </w:p>
    <w:p>
      <w:pPr>
        <w:spacing w:line="600" w:lineRule="exact"/>
        <w:ind w:firstLine="643" w:firstLineChars="200"/>
        <w:rPr>
          <w:rFonts w:ascii="仿宋" w:hAnsi="仿宋" w:eastAsia="仿宋"/>
          <w:b/>
          <w:color w:val="auto"/>
          <w:sz w:val="32"/>
          <w:szCs w:val="32"/>
          <w:highlight w:val="none"/>
        </w:rPr>
      </w:pPr>
      <w:r>
        <w:rPr>
          <w:rFonts w:hint="eastAsia" w:ascii="仿宋" w:hAnsi="仿宋" w:eastAsia="仿宋"/>
          <w:b/>
          <w:color w:val="auto"/>
          <w:sz w:val="32"/>
          <w:szCs w:val="32"/>
          <w:highlight w:val="none"/>
        </w:rPr>
        <w:t>（注：数据来源于财决</w:t>
      </w:r>
      <w:r>
        <w:rPr>
          <w:rFonts w:ascii="仿宋" w:hAnsi="仿宋" w:eastAsia="仿宋"/>
          <w:b/>
          <w:color w:val="auto"/>
          <w:sz w:val="32"/>
          <w:szCs w:val="32"/>
          <w:highlight w:val="none"/>
        </w:rPr>
        <w:t>0</w:t>
      </w:r>
      <w:r>
        <w:rPr>
          <w:rFonts w:hint="eastAsia" w:ascii="仿宋" w:hAnsi="仿宋" w:eastAsia="仿宋"/>
          <w:b/>
          <w:color w:val="auto"/>
          <w:sz w:val="32"/>
          <w:szCs w:val="32"/>
          <w:highlight w:val="none"/>
        </w:rPr>
        <w:t>1-1表</w:t>
      </w:r>
      <w:r>
        <w:rPr>
          <w:rFonts w:hint="eastAsia" w:ascii="仿宋" w:hAnsi="仿宋" w:eastAsia="仿宋"/>
          <w:b/>
          <w:color w:val="auto"/>
          <w:sz w:val="32"/>
          <w:szCs w:val="32"/>
          <w:highlight w:val="none"/>
          <w:lang w:eastAsia="zh-CN"/>
        </w:rPr>
        <w:t>和财决</w:t>
      </w:r>
      <w:r>
        <w:rPr>
          <w:rFonts w:hint="eastAsia" w:ascii="仿宋" w:hAnsi="仿宋" w:eastAsia="仿宋"/>
          <w:b/>
          <w:color w:val="auto"/>
          <w:sz w:val="32"/>
          <w:szCs w:val="32"/>
          <w:highlight w:val="none"/>
          <w:lang w:val="en-US" w:eastAsia="zh-CN"/>
        </w:rPr>
        <w:t>08表</w:t>
      </w:r>
      <w:r>
        <w:rPr>
          <w:rFonts w:hint="eastAsia" w:ascii="仿宋" w:hAnsi="仿宋" w:eastAsia="仿宋"/>
          <w:b/>
          <w:color w:val="auto"/>
          <w:sz w:val="32"/>
          <w:szCs w:val="32"/>
          <w:highlight w:val="none"/>
        </w:rPr>
        <w:t>，</w:t>
      </w:r>
      <w:r>
        <w:rPr>
          <w:rFonts w:hint="eastAsia" w:ascii="仿宋" w:hAnsi="仿宋" w:eastAsia="仿宋"/>
          <w:b/>
          <w:color w:val="auto"/>
          <w:sz w:val="32"/>
          <w:szCs w:val="32"/>
          <w:highlight w:val="none"/>
          <w:lang w:eastAsia="zh-CN"/>
        </w:rPr>
        <w:t>仅</w:t>
      </w:r>
      <w:r>
        <w:rPr>
          <w:rFonts w:hint="eastAsia" w:ascii="仿宋" w:hAnsi="仿宋" w:eastAsia="仿宋"/>
          <w:b/>
          <w:color w:val="auto"/>
          <w:sz w:val="32"/>
          <w:szCs w:val="32"/>
          <w:highlight w:val="none"/>
        </w:rPr>
        <w:t>罗列</w:t>
      </w:r>
      <w:r>
        <w:rPr>
          <w:rFonts w:hint="eastAsia" w:ascii="仿宋" w:hAnsi="仿宋" w:eastAsia="仿宋"/>
          <w:b/>
          <w:color w:val="auto"/>
          <w:sz w:val="32"/>
          <w:szCs w:val="32"/>
          <w:highlight w:val="none"/>
          <w:lang w:eastAsia="zh-CN"/>
        </w:rPr>
        <w:t>本单位涉及的</w:t>
      </w:r>
      <w:r>
        <w:rPr>
          <w:rFonts w:hint="eastAsia" w:ascii="仿宋" w:hAnsi="仿宋" w:eastAsia="仿宋"/>
          <w:b/>
          <w:color w:val="auto"/>
          <w:sz w:val="32"/>
          <w:szCs w:val="32"/>
          <w:highlight w:val="none"/>
        </w:rPr>
        <w:t>全部功能分类科目</w:t>
      </w:r>
      <w:r>
        <w:rPr>
          <w:rFonts w:hint="eastAsia" w:ascii="仿宋" w:hAnsi="仿宋" w:eastAsia="仿宋"/>
          <w:b/>
          <w:color w:val="auto"/>
          <w:sz w:val="32"/>
          <w:szCs w:val="32"/>
          <w:highlight w:val="none"/>
          <w:lang w:eastAsia="zh-CN"/>
        </w:rPr>
        <w:t>，</w:t>
      </w:r>
      <w:r>
        <w:rPr>
          <w:rFonts w:hint="eastAsia" w:ascii="仿宋" w:hAnsi="仿宋" w:eastAsia="仿宋"/>
          <w:b/>
          <w:color w:val="auto"/>
          <w:sz w:val="32"/>
          <w:szCs w:val="32"/>
          <w:highlight w:val="none"/>
        </w:rPr>
        <w:t>至项级。上述“预算”口径为</w:t>
      </w:r>
      <w:r>
        <w:rPr>
          <w:rFonts w:hint="eastAsia" w:ascii="仿宋" w:hAnsi="仿宋" w:eastAsia="仿宋"/>
          <w:b/>
          <w:color w:val="auto"/>
          <w:sz w:val="32"/>
          <w:szCs w:val="32"/>
          <w:highlight w:val="none"/>
          <w:lang w:eastAsia="zh-CN"/>
        </w:rPr>
        <w:t>全年预算</w:t>
      </w:r>
      <w:r>
        <w:rPr>
          <w:rFonts w:hint="eastAsia" w:ascii="仿宋" w:hAnsi="仿宋" w:eastAsia="仿宋"/>
          <w:b/>
          <w:color w:val="auto"/>
          <w:sz w:val="32"/>
          <w:szCs w:val="32"/>
          <w:highlight w:val="none"/>
        </w:rPr>
        <w:t>数。增减变动原因为决算数</w:t>
      </w:r>
      <w:r>
        <w:rPr>
          <w:rFonts w:ascii="仿宋" w:hAnsi="仿宋" w:eastAsia="仿宋"/>
          <w:b/>
          <w:color w:val="auto"/>
          <w:sz w:val="32"/>
          <w:szCs w:val="32"/>
          <w:highlight w:val="none"/>
        </w:rPr>
        <w:t>&lt;</w:t>
      </w:r>
      <w:r>
        <w:rPr>
          <w:rFonts w:hint="eastAsia" w:ascii="仿宋" w:hAnsi="仿宋" w:eastAsia="仿宋"/>
          <w:b/>
          <w:color w:val="auto"/>
          <w:sz w:val="32"/>
          <w:szCs w:val="32"/>
          <w:highlight w:val="none"/>
        </w:rPr>
        <w:t>项级</w:t>
      </w:r>
      <w:r>
        <w:rPr>
          <w:rFonts w:ascii="仿宋" w:hAnsi="仿宋" w:eastAsia="仿宋"/>
          <w:b/>
          <w:color w:val="auto"/>
          <w:sz w:val="32"/>
          <w:szCs w:val="32"/>
          <w:highlight w:val="none"/>
        </w:rPr>
        <w:t>&gt;</w:t>
      </w:r>
      <w:r>
        <w:rPr>
          <w:rFonts w:hint="eastAsia" w:ascii="仿宋" w:hAnsi="仿宋" w:eastAsia="仿宋"/>
          <w:b/>
          <w:color w:val="auto"/>
          <w:sz w:val="32"/>
          <w:szCs w:val="32"/>
          <w:highlight w:val="none"/>
        </w:rPr>
        <w:t>和</w:t>
      </w:r>
      <w:r>
        <w:rPr>
          <w:rFonts w:hint="eastAsia" w:ascii="仿宋" w:hAnsi="仿宋" w:eastAsia="仿宋"/>
          <w:b/>
          <w:color w:val="auto"/>
          <w:sz w:val="32"/>
          <w:szCs w:val="32"/>
          <w:highlight w:val="none"/>
          <w:lang w:eastAsia="zh-CN"/>
        </w:rPr>
        <w:t>全年预算</w:t>
      </w:r>
      <w:r>
        <w:rPr>
          <w:rFonts w:hint="eastAsia" w:ascii="仿宋" w:hAnsi="仿宋" w:eastAsia="仿宋"/>
          <w:b/>
          <w:color w:val="auto"/>
          <w:sz w:val="32"/>
          <w:szCs w:val="32"/>
          <w:highlight w:val="none"/>
        </w:rPr>
        <w:t>数</w:t>
      </w:r>
      <w:r>
        <w:rPr>
          <w:rFonts w:ascii="仿宋" w:hAnsi="仿宋" w:eastAsia="仿宋"/>
          <w:b/>
          <w:color w:val="auto"/>
          <w:sz w:val="32"/>
          <w:szCs w:val="32"/>
          <w:highlight w:val="none"/>
        </w:rPr>
        <w:t>&lt;</w:t>
      </w:r>
      <w:r>
        <w:rPr>
          <w:rFonts w:hint="eastAsia" w:ascii="仿宋" w:hAnsi="仿宋" w:eastAsia="仿宋"/>
          <w:b/>
          <w:color w:val="auto"/>
          <w:sz w:val="32"/>
          <w:szCs w:val="32"/>
          <w:highlight w:val="none"/>
        </w:rPr>
        <w:t>项级</w:t>
      </w:r>
      <w:r>
        <w:rPr>
          <w:rFonts w:ascii="仿宋" w:hAnsi="仿宋" w:eastAsia="仿宋"/>
          <w:b/>
          <w:color w:val="auto"/>
          <w:sz w:val="32"/>
          <w:szCs w:val="32"/>
          <w:highlight w:val="none"/>
        </w:rPr>
        <w:t>&gt;</w:t>
      </w:r>
      <w:r>
        <w:rPr>
          <w:rFonts w:hint="eastAsia" w:ascii="仿宋" w:hAnsi="仿宋" w:eastAsia="仿宋"/>
          <w:b/>
          <w:color w:val="auto"/>
          <w:sz w:val="32"/>
          <w:szCs w:val="32"/>
          <w:highlight w:val="none"/>
        </w:rPr>
        <w:t>比较，与预算数持平可以不写原因。）</w:t>
      </w:r>
    </w:p>
    <w:p>
      <w:pPr>
        <w:spacing w:line="600" w:lineRule="exact"/>
        <w:ind w:firstLine="640"/>
        <w:rPr>
          <w:rFonts w:ascii="仿宋" w:hAnsi="仿宋" w:eastAsia="仿宋"/>
          <w:b/>
          <w:color w:val="auto"/>
          <w:sz w:val="32"/>
          <w:szCs w:val="32"/>
          <w:highlight w:val="none"/>
        </w:rPr>
      </w:pPr>
    </w:p>
    <w:p>
      <w:pPr>
        <w:tabs>
          <w:tab w:val="right" w:pos="8306"/>
        </w:tabs>
        <w:spacing w:line="600" w:lineRule="exact"/>
        <w:ind w:firstLine="640"/>
        <w:outlineLvl w:val="1"/>
        <w:rPr>
          <w:rStyle w:val="25"/>
          <w:color w:val="auto"/>
          <w:highlight w:val="none"/>
        </w:rPr>
      </w:pPr>
      <w:bookmarkStart w:id="34" w:name="_Toc15396608"/>
      <w:bookmarkStart w:id="35" w:name="_Toc15377214"/>
      <w:r>
        <w:rPr>
          <w:rFonts w:hint="eastAsia" w:ascii="黑体" w:eastAsia="黑体"/>
          <w:color w:val="auto"/>
          <w:sz w:val="32"/>
          <w:szCs w:val="32"/>
          <w:highlight w:val="none"/>
        </w:rPr>
        <w:t>六</w:t>
      </w:r>
      <w:r>
        <w:rPr>
          <w:rFonts w:hint="eastAsia" w:ascii="黑体" w:eastAsia="黑体"/>
          <w:b/>
          <w:color w:val="auto"/>
          <w:sz w:val="32"/>
          <w:szCs w:val="32"/>
          <w:highlight w:val="none"/>
        </w:rPr>
        <w:t>、</w:t>
      </w:r>
      <w:r>
        <w:rPr>
          <w:rFonts w:hint="eastAsia" w:ascii="黑体" w:hAnsi="黑体" w:eastAsia="黑体"/>
          <w:b/>
          <w:color w:val="auto"/>
          <w:sz w:val="32"/>
          <w:szCs w:val="32"/>
          <w:highlight w:val="none"/>
        </w:rPr>
        <w:t>一</w:t>
      </w:r>
      <w:r>
        <w:rPr>
          <w:rStyle w:val="25"/>
          <w:rFonts w:hint="eastAsia" w:ascii="黑体" w:hAnsi="黑体" w:eastAsia="黑体"/>
          <w:b w:val="0"/>
          <w:color w:val="auto"/>
          <w:highlight w:val="none"/>
        </w:rPr>
        <w:t>般公共预算财政拨款基本支出决算情况说明</w:t>
      </w:r>
      <w:bookmarkEnd w:id="34"/>
      <w:bookmarkEnd w:id="35"/>
      <w:r>
        <w:rPr>
          <w:rStyle w:val="25"/>
          <w:rFonts w:ascii="黑体" w:hAnsi="黑体" w:eastAsia="黑体"/>
          <w:b w:val="0"/>
          <w:color w:val="auto"/>
          <w:highlight w:val="none"/>
        </w:rPr>
        <w:tab/>
      </w:r>
    </w:p>
    <w:p>
      <w:pPr>
        <w:spacing w:line="600" w:lineRule="exact"/>
        <w:ind w:firstLine="645"/>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年一般公共预算财政拨款基本支出289.34万元，其中：</w:t>
      </w:r>
    </w:p>
    <w:p>
      <w:pPr>
        <w:spacing w:line="600" w:lineRule="exact"/>
        <w:ind w:firstLine="645"/>
        <w:rPr>
          <w:rFonts w:ascii="仿宋" w:hAnsi="仿宋" w:eastAsia="仿宋"/>
          <w:color w:val="auto"/>
          <w:sz w:val="32"/>
          <w:szCs w:val="32"/>
          <w:highlight w:val="none"/>
        </w:rPr>
      </w:pPr>
      <w:r>
        <w:rPr>
          <w:rFonts w:hint="eastAsia" w:ascii="仿宋" w:hAnsi="仿宋" w:eastAsia="仿宋"/>
          <w:color w:val="auto"/>
          <w:sz w:val="32"/>
          <w:szCs w:val="32"/>
          <w:highlight w:val="none"/>
        </w:rPr>
        <w:t>人员经费242.13万元，主要包括：基本工资、津贴补贴、奖金、绩效工资、机关事业单位基本养老保险缴费、其他社会保障缴费、其他工资福利支出、抚恤金、生活补助、医疗费补助、奖励金、住房公积金、其他对个人和家庭的补助支出等。</w:t>
      </w:r>
      <w:r>
        <w:rPr>
          <w:rFonts w:ascii="仿宋" w:hAnsi="仿宋" w:eastAsia="仿宋"/>
          <w:color w:val="auto"/>
          <w:sz w:val="32"/>
          <w:szCs w:val="32"/>
          <w:highlight w:val="none"/>
        </w:rPr>
        <w:br w:type="textWrapping"/>
      </w:r>
      <w:r>
        <w:rPr>
          <w:rFonts w:hint="eastAsia" w:ascii="仿宋" w:hAnsi="仿宋" w:eastAsia="仿宋"/>
          <w:color w:val="auto"/>
          <w:sz w:val="32"/>
          <w:szCs w:val="32"/>
          <w:highlight w:val="none"/>
        </w:rPr>
        <w:t>　　公用经费47.21万元，主要包括：办公费、印刷费、邮电费、物业管理费、差旅费、维修（护）费、会议费、培训费、公务接待费、劳务费、委托业务费、工会经费、福利费、公务用车运行维护费、其他交通费</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rPr>
        <w:t>其他商品和服务支出。</w:t>
      </w:r>
    </w:p>
    <w:p>
      <w:pPr>
        <w:spacing w:line="600" w:lineRule="exact"/>
        <w:ind w:firstLine="645"/>
        <w:rPr>
          <w:rFonts w:ascii="仿宋" w:hAnsi="仿宋" w:eastAsia="仿宋"/>
          <w:b/>
          <w:color w:val="auto"/>
          <w:sz w:val="32"/>
          <w:szCs w:val="32"/>
          <w:highlight w:val="none"/>
        </w:rPr>
      </w:pPr>
      <w:r>
        <w:rPr>
          <w:rFonts w:hint="eastAsia" w:ascii="仿宋" w:hAnsi="仿宋" w:eastAsia="仿宋"/>
          <w:b/>
          <w:color w:val="auto"/>
          <w:sz w:val="32"/>
          <w:szCs w:val="32"/>
          <w:highlight w:val="none"/>
        </w:rPr>
        <w:t>（注：数据来源于财决</w:t>
      </w:r>
      <w:r>
        <w:rPr>
          <w:rFonts w:ascii="仿宋" w:hAnsi="仿宋" w:eastAsia="仿宋"/>
          <w:b/>
          <w:color w:val="auto"/>
          <w:sz w:val="32"/>
          <w:szCs w:val="32"/>
          <w:highlight w:val="none"/>
        </w:rPr>
        <w:t>0</w:t>
      </w:r>
      <w:r>
        <w:rPr>
          <w:rFonts w:hint="eastAsia" w:ascii="仿宋" w:hAnsi="仿宋" w:eastAsia="仿宋"/>
          <w:b/>
          <w:color w:val="auto"/>
          <w:sz w:val="32"/>
          <w:szCs w:val="32"/>
          <w:highlight w:val="none"/>
        </w:rPr>
        <w:t>7表</w:t>
      </w:r>
      <w:r>
        <w:rPr>
          <w:rFonts w:hint="eastAsia" w:ascii="仿宋" w:hAnsi="仿宋" w:eastAsia="仿宋"/>
          <w:b/>
          <w:color w:val="auto"/>
          <w:sz w:val="32"/>
          <w:szCs w:val="32"/>
          <w:highlight w:val="none"/>
          <w:lang w:eastAsia="zh-CN"/>
        </w:rPr>
        <w:t>和财决</w:t>
      </w:r>
      <w:r>
        <w:rPr>
          <w:rFonts w:hint="eastAsia" w:ascii="仿宋" w:hAnsi="仿宋" w:eastAsia="仿宋"/>
          <w:b/>
          <w:color w:val="auto"/>
          <w:sz w:val="32"/>
          <w:szCs w:val="32"/>
          <w:highlight w:val="none"/>
          <w:lang w:val="en-US" w:eastAsia="zh-CN"/>
        </w:rPr>
        <w:t>08-1表</w:t>
      </w:r>
      <w:r>
        <w:rPr>
          <w:rFonts w:hint="eastAsia" w:ascii="仿宋" w:hAnsi="仿宋" w:eastAsia="仿宋"/>
          <w:b/>
          <w:color w:val="auto"/>
          <w:sz w:val="32"/>
          <w:szCs w:val="32"/>
          <w:highlight w:val="none"/>
        </w:rPr>
        <w:t>，</w:t>
      </w:r>
      <w:r>
        <w:rPr>
          <w:rFonts w:hint="eastAsia" w:ascii="仿宋" w:hAnsi="仿宋" w:eastAsia="仿宋"/>
          <w:b/>
          <w:color w:val="auto"/>
          <w:sz w:val="32"/>
          <w:szCs w:val="32"/>
          <w:highlight w:val="none"/>
          <w:lang w:eastAsia="zh-CN"/>
        </w:rPr>
        <w:t>仅罗列</w:t>
      </w:r>
      <w:r>
        <w:rPr>
          <w:rFonts w:hint="eastAsia" w:ascii="仿宋" w:hAnsi="仿宋" w:eastAsia="仿宋"/>
          <w:b/>
          <w:color w:val="auto"/>
          <w:sz w:val="32"/>
          <w:szCs w:val="32"/>
          <w:highlight w:val="none"/>
        </w:rPr>
        <w:t>本</w:t>
      </w:r>
      <w:r>
        <w:rPr>
          <w:rFonts w:hint="eastAsia" w:ascii="仿宋" w:hAnsi="仿宋" w:eastAsia="仿宋"/>
          <w:b/>
          <w:color w:val="auto"/>
          <w:sz w:val="32"/>
          <w:szCs w:val="32"/>
          <w:highlight w:val="none"/>
          <w:lang w:eastAsia="zh-CN"/>
        </w:rPr>
        <w:t>单位</w:t>
      </w:r>
      <w:r>
        <w:rPr>
          <w:rFonts w:hint="eastAsia" w:ascii="仿宋" w:hAnsi="仿宋" w:eastAsia="仿宋"/>
          <w:b/>
          <w:color w:val="auto"/>
          <w:sz w:val="32"/>
          <w:szCs w:val="32"/>
          <w:highlight w:val="none"/>
        </w:rPr>
        <w:t>实际支出</w:t>
      </w:r>
      <w:r>
        <w:rPr>
          <w:rFonts w:hint="eastAsia" w:ascii="仿宋" w:hAnsi="仿宋" w:eastAsia="仿宋"/>
          <w:b/>
          <w:color w:val="auto"/>
          <w:sz w:val="32"/>
          <w:szCs w:val="32"/>
          <w:highlight w:val="none"/>
          <w:lang w:eastAsia="zh-CN"/>
        </w:rPr>
        <w:t>涉及的</w:t>
      </w:r>
      <w:r>
        <w:rPr>
          <w:rFonts w:hint="eastAsia" w:ascii="仿宋" w:hAnsi="仿宋" w:eastAsia="仿宋"/>
          <w:b/>
          <w:color w:val="auto"/>
          <w:sz w:val="32"/>
          <w:szCs w:val="32"/>
          <w:highlight w:val="none"/>
        </w:rPr>
        <w:t>经济分类科目。）</w:t>
      </w:r>
    </w:p>
    <w:p>
      <w:pPr>
        <w:spacing w:line="600" w:lineRule="exact"/>
        <w:ind w:firstLine="640"/>
        <w:rPr>
          <w:rFonts w:ascii="仿宋" w:hAnsi="仿宋" w:eastAsia="仿宋"/>
          <w:b/>
          <w:color w:val="auto"/>
          <w:sz w:val="32"/>
          <w:szCs w:val="32"/>
          <w:highlight w:val="none"/>
        </w:rPr>
      </w:pPr>
    </w:p>
    <w:p>
      <w:pPr>
        <w:spacing w:line="600" w:lineRule="exact"/>
        <w:ind w:firstLine="640"/>
        <w:outlineLvl w:val="1"/>
        <w:rPr>
          <w:rStyle w:val="25"/>
          <w:rFonts w:ascii="黑体" w:hAnsi="黑体" w:eastAsia="黑体"/>
          <w:b w:val="0"/>
          <w:color w:val="auto"/>
          <w:highlight w:val="none"/>
        </w:rPr>
      </w:pPr>
      <w:bookmarkStart w:id="36" w:name="_Toc15396609"/>
      <w:bookmarkStart w:id="37" w:name="_Toc15377215"/>
      <w:r>
        <w:rPr>
          <w:rFonts w:hint="eastAsia" w:ascii="黑体" w:eastAsia="黑体"/>
          <w:color w:val="auto"/>
          <w:sz w:val="32"/>
          <w:szCs w:val="32"/>
          <w:highlight w:val="none"/>
        </w:rPr>
        <w:t>七、</w:t>
      </w:r>
      <w:r>
        <w:rPr>
          <w:rStyle w:val="25"/>
          <w:rFonts w:hint="eastAsia" w:ascii="黑体" w:hAnsi="黑体" w:eastAsia="黑体"/>
          <w:b w:val="0"/>
          <w:color w:val="auto"/>
          <w:highlight w:val="none"/>
        </w:rPr>
        <w:t>财政拨款</w:t>
      </w:r>
      <w:r>
        <w:rPr>
          <w:rStyle w:val="25"/>
          <w:rFonts w:hint="eastAsia" w:ascii="黑体" w:hAnsi="黑体" w:eastAsia="黑体"/>
          <w:color w:val="auto"/>
          <w:highlight w:val="none"/>
        </w:rPr>
        <w:t>“</w:t>
      </w:r>
      <w:r>
        <w:rPr>
          <w:rStyle w:val="25"/>
          <w:rFonts w:hint="eastAsia" w:ascii="黑体" w:hAnsi="黑体" w:eastAsia="黑体"/>
          <w:b w:val="0"/>
          <w:color w:val="auto"/>
          <w:highlight w:val="none"/>
        </w:rPr>
        <w:t>三公”经费支出决算情况说明</w:t>
      </w:r>
      <w:bookmarkEnd w:id="36"/>
      <w:bookmarkEnd w:id="37"/>
    </w:p>
    <w:p>
      <w:pPr>
        <w:spacing w:line="600" w:lineRule="exact"/>
        <w:ind w:firstLine="640"/>
        <w:outlineLvl w:val="2"/>
        <w:rPr>
          <w:rFonts w:ascii="仿宋" w:hAnsi="仿宋" w:eastAsia="仿宋"/>
          <w:b/>
          <w:color w:val="auto"/>
          <w:sz w:val="32"/>
          <w:szCs w:val="32"/>
          <w:highlight w:val="none"/>
        </w:rPr>
      </w:pPr>
      <w:bookmarkStart w:id="38" w:name="_Toc15377216"/>
      <w:r>
        <w:rPr>
          <w:rFonts w:hint="eastAsia" w:ascii="仿宋" w:hAnsi="仿宋" w:eastAsia="仿宋"/>
          <w:b/>
          <w:color w:val="auto"/>
          <w:sz w:val="32"/>
          <w:szCs w:val="32"/>
          <w:highlight w:val="none"/>
        </w:rPr>
        <w:t>（一）“三公”经费财政拨款支出决算总体情况说明</w:t>
      </w:r>
      <w:bookmarkEnd w:id="38"/>
    </w:p>
    <w:p>
      <w:pPr>
        <w:spacing w:line="600" w:lineRule="exact"/>
        <w:ind w:firstLine="640"/>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年“三公”经费财政拨款支出决算为4.70万元，完成预算</w:t>
      </w:r>
      <w:r>
        <w:rPr>
          <w:rFonts w:hint="eastAsia" w:ascii="仿宋" w:hAnsi="仿宋" w:eastAsia="仿宋"/>
          <w:color w:val="auto"/>
          <w:sz w:val="32"/>
          <w:szCs w:val="32"/>
          <w:highlight w:val="none"/>
          <w:lang w:val="en-US" w:eastAsia="zh-CN"/>
        </w:rPr>
        <w:t>100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eastAsia="zh-CN"/>
        </w:rPr>
        <w:t>较上年增加</w:t>
      </w:r>
      <w:r>
        <w:rPr>
          <w:rFonts w:hint="eastAsia" w:ascii="仿宋" w:hAnsi="仿宋" w:eastAsia="仿宋"/>
          <w:color w:val="auto"/>
          <w:sz w:val="32"/>
          <w:szCs w:val="32"/>
          <w:highlight w:val="none"/>
          <w:lang w:val="en-US" w:eastAsia="zh-CN"/>
        </w:rPr>
        <w:t>0.53万元，增长12.65%。</w:t>
      </w:r>
      <w:r>
        <w:rPr>
          <w:rFonts w:hint="eastAsia" w:ascii="仿宋" w:hAnsi="仿宋" w:eastAsia="仿宋"/>
          <w:color w:val="auto"/>
          <w:sz w:val="32"/>
          <w:szCs w:val="32"/>
          <w:highlight w:val="none"/>
        </w:rPr>
        <w:t>决算数与预算数持平。</w:t>
      </w:r>
    </w:p>
    <w:p>
      <w:pPr>
        <w:spacing w:line="600" w:lineRule="exact"/>
        <w:ind w:firstLine="640"/>
        <w:rPr>
          <w:rFonts w:ascii="仿宋" w:hAnsi="仿宋" w:eastAsia="仿宋"/>
          <w:b/>
          <w:color w:val="auto"/>
          <w:sz w:val="32"/>
          <w:szCs w:val="32"/>
          <w:highlight w:val="none"/>
        </w:rPr>
      </w:pPr>
      <w:r>
        <w:rPr>
          <w:rFonts w:hint="eastAsia" w:ascii="仿宋" w:hAnsi="仿宋" w:eastAsia="仿宋"/>
          <w:b/>
          <w:color w:val="auto"/>
          <w:sz w:val="32"/>
          <w:szCs w:val="32"/>
          <w:highlight w:val="none"/>
        </w:rPr>
        <w:t>（注：上述“预算”口径为</w:t>
      </w:r>
      <w:r>
        <w:rPr>
          <w:rFonts w:hint="eastAsia" w:ascii="仿宋" w:hAnsi="仿宋" w:eastAsia="仿宋"/>
          <w:b/>
          <w:color w:val="auto"/>
          <w:sz w:val="32"/>
          <w:szCs w:val="32"/>
          <w:highlight w:val="none"/>
          <w:lang w:eastAsia="zh-CN"/>
        </w:rPr>
        <w:t>全年预算</w:t>
      </w:r>
      <w:r>
        <w:rPr>
          <w:rFonts w:hint="eastAsia" w:ascii="仿宋" w:hAnsi="仿宋" w:eastAsia="仿宋"/>
          <w:b/>
          <w:color w:val="auto"/>
          <w:sz w:val="32"/>
          <w:szCs w:val="32"/>
          <w:highlight w:val="none"/>
        </w:rPr>
        <w:t>数，包括</w:t>
      </w:r>
      <w:r>
        <w:rPr>
          <w:rFonts w:hint="eastAsia" w:ascii="仿宋" w:hAnsi="仿宋" w:eastAsia="仿宋"/>
          <w:b/>
          <w:color w:val="auto"/>
          <w:sz w:val="32"/>
          <w:szCs w:val="32"/>
          <w:highlight w:val="none"/>
          <w:lang w:eastAsia="zh-CN"/>
        </w:rPr>
        <w:t>一般公共预算和</w:t>
      </w:r>
      <w:r>
        <w:rPr>
          <w:rFonts w:hint="eastAsia" w:ascii="仿宋" w:hAnsi="仿宋" w:eastAsia="仿宋"/>
          <w:b/>
          <w:color w:val="auto"/>
          <w:sz w:val="32"/>
          <w:szCs w:val="32"/>
          <w:highlight w:val="none"/>
        </w:rPr>
        <w:t>政府性基金</w:t>
      </w:r>
      <w:r>
        <w:rPr>
          <w:rFonts w:hint="eastAsia" w:ascii="仿宋" w:hAnsi="仿宋" w:eastAsia="仿宋"/>
          <w:b/>
          <w:color w:val="auto"/>
          <w:sz w:val="32"/>
          <w:szCs w:val="32"/>
          <w:highlight w:val="none"/>
          <w:lang w:eastAsia="zh-CN"/>
        </w:rPr>
        <w:t>预算财政拨款</w:t>
      </w:r>
      <w:r>
        <w:rPr>
          <w:rFonts w:hint="eastAsia" w:ascii="仿宋" w:hAnsi="仿宋" w:eastAsia="仿宋"/>
          <w:b/>
          <w:color w:val="auto"/>
          <w:sz w:val="32"/>
          <w:szCs w:val="32"/>
          <w:highlight w:val="none"/>
        </w:rPr>
        <w:t>支出决算情况。）</w:t>
      </w:r>
    </w:p>
    <w:p>
      <w:pPr>
        <w:spacing w:line="600" w:lineRule="exact"/>
        <w:ind w:firstLine="640"/>
        <w:outlineLvl w:val="2"/>
        <w:rPr>
          <w:rFonts w:ascii="仿宋" w:hAnsi="仿宋" w:eastAsia="仿宋"/>
          <w:b/>
          <w:color w:val="auto"/>
          <w:sz w:val="32"/>
          <w:szCs w:val="32"/>
          <w:highlight w:val="none"/>
        </w:rPr>
      </w:pPr>
      <w:bookmarkStart w:id="39" w:name="_Toc15377217"/>
      <w:r>
        <w:rPr>
          <w:rFonts w:hint="eastAsia" w:ascii="仿宋" w:hAnsi="仿宋" w:eastAsia="仿宋"/>
          <w:b/>
          <w:color w:val="auto"/>
          <w:sz w:val="32"/>
          <w:szCs w:val="32"/>
          <w:highlight w:val="none"/>
        </w:rPr>
        <w:t>（二）“三公”经费财政拨款支出决算具</w:t>
      </w:r>
      <w:bookmarkStart w:id="67" w:name="_GoBack"/>
      <w:bookmarkEnd w:id="67"/>
      <w:r>
        <w:rPr>
          <w:rFonts w:hint="eastAsia" w:ascii="仿宋" w:hAnsi="仿宋" w:eastAsia="仿宋"/>
          <w:b/>
          <w:color w:val="auto"/>
          <w:sz w:val="32"/>
          <w:szCs w:val="32"/>
          <w:highlight w:val="none"/>
        </w:rPr>
        <w:t>体情况说明</w:t>
      </w:r>
      <w:bookmarkEnd w:id="39"/>
    </w:p>
    <w:p>
      <w:pPr>
        <w:spacing w:line="600" w:lineRule="exact"/>
        <w:ind w:firstLine="640"/>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年“三公”经费财政拨款支出决算中，因公出国（境）费支出决算</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；公务用车购置及运行维护费支出决算</w:t>
      </w:r>
      <w:r>
        <w:rPr>
          <w:rFonts w:hint="eastAsia" w:ascii="仿宋" w:hAnsi="仿宋" w:eastAsia="仿宋"/>
          <w:color w:val="auto"/>
          <w:sz w:val="32"/>
          <w:szCs w:val="32"/>
          <w:highlight w:val="none"/>
          <w:lang w:val="en-US" w:eastAsia="zh-CN"/>
        </w:rPr>
        <w:t>4.32</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91.91</w:t>
      </w:r>
      <w:r>
        <w:rPr>
          <w:rFonts w:ascii="仿宋" w:hAnsi="仿宋" w:eastAsia="仿宋"/>
          <w:color w:val="auto"/>
          <w:sz w:val="32"/>
          <w:szCs w:val="32"/>
          <w:highlight w:val="none"/>
        </w:rPr>
        <w:t>%</w:t>
      </w:r>
      <w:r>
        <w:rPr>
          <w:rFonts w:hint="eastAsia" w:ascii="仿宋" w:hAnsi="仿宋" w:eastAsia="仿宋"/>
          <w:color w:val="auto"/>
          <w:sz w:val="32"/>
          <w:szCs w:val="32"/>
          <w:highlight w:val="none"/>
        </w:rPr>
        <w:t>；公务接待费支出决算0.39万元，占</w:t>
      </w:r>
      <w:r>
        <w:rPr>
          <w:rFonts w:hint="eastAsia" w:ascii="仿宋" w:hAnsi="仿宋" w:eastAsia="仿宋"/>
          <w:color w:val="auto"/>
          <w:sz w:val="32"/>
          <w:szCs w:val="32"/>
          <w:highlight w:val="none"/>
          <w:lang w:val="en-US" w:eastAsia="zh-CN"/>
        </w:rPr>
        <w:t>8.09</w:t>
      </w:r>
      <w:r>
        <w:rPr>
          <w:rFonts w:ascii="仿宋" w:hAnsi="仿宋" w:eastAsia="仿宋"/>
          <w:color w:val="auto"/>
          <w:sz w:val="32"/>
          <w:szCs w:val="32"/>
          <w:highlight w:val="none"/>
        </w:rPr>
        <w:t>%</w:t>
      </w:r>
      <w:r>
        <w:rPr>
          <w:rFonts w:hint="eastAsia" w:ascii="仿宋" w:hAnsi="仿宋" w:eastAsia="仿宋"/>
          <w:color w:val="auto"/>
          <w:sz w:val="32"/>
          <w:szCs w:val="32"/>
          <w:highlight w:val="none"/>
        </w:rPr>
        <w:t>。具体情况如下：</w:t>
      </w:r>
    </w:p>
    <w:p>
      <w:pPr>
        <w:spacing w:line="600" w:lineRule="exact"/>
        <w:ind w:firstLine="640"/>
        <w:rPr>
          <w:rFonts w:ascii="仿宋" w:hAnsi="仿宋" w:eastAsia="仿宋"/>
          <w:color w:val="auto"/>
          <w:sz w:val="32"/>
          <w:szCs w:val="32"/>
          <w:highlight w:val="none"/>
        </w:rPr>
      </w:pPr>
      <w:r>
        <w:rPr>
          <w:rFonts w:hint="eastAsia" w:ascii="仿宋" w:hAnsi="仿宋" w:eastAsia="仿宋"/>
          <w:color w:val="auto"/>
          <w:sz w:val="32"/>
          <w:szCs w:val="32"/>
          <w:highlight w:val="none"/>
        </w:rPr>
        <w:t>（图7：“三公”经费财政拨款支出结构）（饼状图）</w:t>
      </w:r>
    </w:p>
    <w:p>
      <w:pPr>
        <w:spacing w:line="600" w:lineRule="exact"/>
        <w:ind w:firstLine="640"/>
        <w:rPr>
          <w:rFonts w:ascii="仿宋_GB2312" w:eastAsia="仿宋_GB2312"/>
          <w:b/>
          <w:color w:val="auto"/>
          <w:sz w:val="32"/>
          <w:szCs w:val="32"/>
          <w:highlight w:val="none"/>
        </w:rPr>
      </w:pPr>
      <w:r>
        <w:rPr>
          <w:rFonts w:hint="eastAsia" w:ascii="Times New Roman" w:hAnsi="Times New Roman" w:eastAsia="仿宋_GB2312" w:cs="Times New Roman"/>
          <w:b w:val="0"/>
          <w:bCs/>
          <w:sz w:val="32"/>
          <w:szCs w:val="32"/>
          <w:lang w:val="en-US" w:eastAsia="zh-CN"/>
        </w:rPr>
        <w:pict>
          <v:shape id="Object 12" o:spid="_x0000_s1033" o:spt="75" alt="" type="#_x0000_t75" style="position:absolute;left:0pt;margin-left:8.85pt;margin-top:8.2pt;height:155.75pt;width:416.75pt;z-index:251665408;mso-width-relative:page;mso-height-relative:page;" o:ole="t" filled="f" o:preferrelative="t" stroked="f" coordsize="21600,21600">
            <v:path/>
            <v:fill on="f" focussize="0,0"/>
            <v:stroke on="f"/>
            <v:imagedata r:id="rId19" o:title=""/>
            <o:lock v:ext="edit" aspectratio="t"/>
          </v:shape>
          <o:OLEObject Type="Embed" ProgID="Excel.Sheet.12" ShapeID="Object 12" DrawAspect="Content" ObjectID="_1468075731" r:id="rId18">
            <o:LockedField>false</o:LockedField>
          </o:OLEObject>
        </w:pict>
      </w:r>
    </w:p>
    <w:p>
      <w:pPr>
        <w:spacing w:line="600" w:lineRule="exact"/>
        <w:ind w:firstLine="640"/>
        <w:rPr>
          <w:rFonts w:ascii="仿宋_GB2312" w:eastAsia="仿宋_GB2312"/>
          <w:b/>
          <w:color w:val="auto"/>
          <w:sz w:val="32"/>
          <w:szCs w:val="32"/>
          <w:highlight w:val="none"/>
        </w:rPr>
      </w:pPr>
    </w:p>
    <w:p>
      <w:pPr>
        <w:spacing w:line="600" w:lineRule="exact"/>
        <w:ind w:firstLine="640"/>
        <w:rPr>
          <w:rFonts w:ascii="仿宋_GB2312" w:eastAsia="仿宋_GB2312"/>
          <w:b/>
          <w:color w:val="auto"/>
          <w:sz w:val="32"/>
          <w:szCs w:val="32"/>
          <w:highlight w:val="none"/>
        </w:rPr>
      </w:pPr>
    </w:p>
    <w:p>
      <w:pPr>
        <w:spacing w:line="600" w:lineRule="exact"/>
        <w:ind w:firstLine="640"/>
        <w:rPr>
          <w:rFonts w:ascii="仿宋_GB2312" w:eastAsia="仿宋_GB2312"/>
          <w:b/>
          <w:color w:val="auto"/>
          <w:sz w:val="32"/>
          <w:szCs w:val="32"/>
          <w:highlight w:val="none"/>
        </w:rPr>
      </w:pPr>
    </w:p>
    <w:p>
      <w:pPr>
        <w:spacing w:line="600" w:lineRule="exact"/>
        <w:ind w:firstLine="640"/>
        <w:rPr>
          <w:rFonts w:ascii="仿宋_GB2312" w:eastAsia="仿宋_GB2312"/>
          <w:b/>
          <w:color w:val="auto"/>
          <w:sz w:val="32"/>
          <w:szCs w:val="32"/>
          <w:highlight w:val="none"/>
        </w:rPr>
      </w:pPr>
      <w:r>
        <w:rPr>
          <w:rFonts w:ascii="仿宋_GB2312" w:eastAsia="仿宋_GB2312"/>
          <w:b/>
          <w:color w:val="auto"/>
          <w:sz w:val="32"/>
          <w:szCs w:val="32"/>
          <w:highlight w:val="none"/>
        </w:rPr>
        <w:t>1.</w:t>
      </w:r>
      <w:r>
        <w:rPr>
          <w:rFonts w:hint="eastAsia" w:ascii="仿宋_GB2312" w:eastAsia="仿宋_GB2312"/>
          <w:b/>
          <w:color w:val="auto"/>
          <w:sz w:val="32"/>
          <w:szCs w:val="32"/>
          <w:highlight w:val="none"/>
        </w:rPr>
        <w:t>因公出国（境）经费支出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r>
        <w:rPr>
          <w:rStyle w:val="14"/>
          <w:rFonts w:hint="eastAsia" w:ascii="仿宋" w:hAnsi="仿宋" w:eastAsia="仿宋"/>
          <w:b w:val="0"/>
          <w:bCs/>
          <w:color w:val="auto"/>
          <w:sz w:val="32"/>
          <w:szCs w:val="32"/>
          <w:highlight w:val="none"/>
        </w:rPr>
        <w:t>完成预算</w:t>
      </w:r>
      <w:r>
        <w:rPr>
          <w:rStyle w:val="14"/>
          <w:rFonts w:hint="eastAsia" w:ascii="仿宋" w:hAnsi="仿宋" w:eastAsia="仿宋"/>
          <w:b w:val="0"/>
          <w:bCs/>
          <w:color w:val="auto"/>
          <w:sz w:val="32"/>
          <w:szCs w:val="32"/>
          <w:highlight w:val="none"/>
          <w:lang w:val="en-US" w:eastAsia="zh-CN"/>
        </w:rPr>
        <w:t>0</w:t>
      </w:r>
      <w:r>
        <w:rPr>
          <w:rStyle w:val="14"/>
          <w:rFonts w:ascii="仿宋" w:hAnsi="仿宋" w:eastAsia="仿宋"/>
          <w:b w:val="0"/>
          <w:bCs/>
          <w:color w:val="auto"/>
          <w:sz w:val="32"/>
          <w:szCs w:val="32"/>
          <w:highlight w:val="none"/>
        </w:rPr>
        <w:t>%</w:t>
      </w:r>
      <w:r>
        <w:rPr>
          <w:rStyle w:val="14"/>
          <w:rFonts w:hint="eastAsia" w:ascii="仿宋" w:hAnsi="仿宋" w:eastAsia="仿宋"/>
          <w:b w:val="0"/>
          <w:bCs/>
          <w:color w:val="auto"/>
          <w:sz w:val="32"/>
          <w:szCs w:val="32"/>
          <w:highlight w:val="none"/>
        </w:rPr>
        <w:t>。</w:t>
      </w:r>
      <w:r>
        <w:rPr>
          <w:rFonts w:hint="eastAsia" w:ascii="仿宋_GB2312" w:eastAsia="仿宋_GB2312"/>
          <w:color w:val="auto"/>
          <w:sz w:val="32"/>
          <w:szCs w:val="32"/>
          <w:highlight w:val="none"/>
        </w:rPr>
        <w:t>全年安排因公出国（境）团组</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次，出国（境）</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人。因公出国（境）支出决算比</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年增加</w:t>
      </w:r>
      <w:r>
        <w:rPr>
          <w:rFonts w:ascii="仿宋_GB2312" w:eastAsia="仿宋_GB2312"/>
          <w:color w:val="auto"/>
          <w:sz w:val="32"/>
          <w:szCs w:val="32"/>
          <w:highlight w:val="none"/>
        </w:rPr>
        <w:t>/</w:t>
      </w:r>
      <w:r>
        <w:rPr>
          <w:rFonts w:hint="eastAsia" w:ascii="仿宋_GB2312" w:eastAsia="仿宋_GB2312"/>
          <w:color w:val="auto"/>
          <w:sz w:val="32"/>
          <w:szCs w:val="32"/>
          <w:highlight w:val="none"/>
        </w:rPr>
        <w:t>减少</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万元，增长</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下降</w:t>
      </w:r>
      <w:r>
        <w:rPr>
          <w:rFonts w:hint="eastAsia" w:ascii="仿宋_GB2312" w:eastAsia="仿宋_GB2312"/>
          <w:color w:val="auto"/>
          <w:sz w:val="32"/>
          <w:szCs w:val="32"/>
          <w:highlight w:val="none"/>
          <w:lang w:val="en-US" w:eastAsia="zh-CN"/>
        </w:rPr>
        <w:t>0</w:t>
      </w:r>
      <w:r>
        <w:rPr>
          <w:rFonts w:ascii="仿宋_GB2312" w:eastAsia="仿宋_GB2312"/>
          <w:color w:val="auto"/>
          <w:sz w:val="32"/>
          <w:szCs w:val="32"/>
          <w:highlight w:val="none"/>
        </w:rPr>
        <w:t>%</w:t>
      </w:r>
      <w:r>
        <w:rPr>
          <w:rFonts w:hint="eastAsia" w:ascii="仿宋_GB2312" w:eastAsia="仿宋_GB2312"/>
          <w:color w:val="auto"/>
          <w:sz w:val="32"/>
          <w:szCs w:val="32"/>
          <w:highlight w:val="none"/>
        </w:rPr>
        <w:t>。</w:t>
      </w:r>
    </w:p>
    <w:p>
      <w:pPr>
        <w:spacing w:line="600" w:lineRule="exact"/>
        <w:ind w:firstLine="640"/>
        <w:rPr>
          <w:rFonts w:ascii="仿宋_GB2312" w:eastAsia="仿宋_GB2312"/>
          <w:b/>
          <w:color w:val="auto"/>
          <w:sz w:val="32"/>
          <w:szCs w:val="32"/>
          <w:highlight w:val="none"/>
        </w:rPr>
      </w:pPr>
      <w:r>
        <w:rPr>
          <w:rFonts w:ascii="仿宋_GB2312" w:eastAsia="仿宋_GB2312"/>
          <w:b/>
          <w:color w:val="auto"/>
          <w:sz w:val="32"/>
          <w:szCs w:val="32"/>
          <w:highlight w:val="none"/>
        </w:rPr>
        <w:t>2.</w:t>
      </w:r>
      <w:r>
        <w:rPr>
          <w:rFonts w:hint="eastAsia" w:ascii="仿宋_GB2312" w:eastAsia="仿宋_GB2312"/>
          <w:b/>
          <w:color w:val="auto"/>
          <w:sz w:val="32"/>
          <w:szCs w:val="32"/>
          <w:highlight w:val="none"/>
        </w:rPr>
        <w:t>公务用车购置及运行维护费支出</w:t>
      </w:r>
      <w:r>
        <w:rPr>
          <w:rFonts w:hint="eastAsia" w:ascii="仿宋_GB2312" w:eastAsia="仿宋_GB2312"/>
          <w:color w:val="auto"/>
          <w:sz w:val="32"/>
          <w:szCs w:val="32"/>
          <w:highlight w:val="none"/>
        </w:rPr>
        <w:t>4.32万元,</w:t>
      </w:r>
      <w:r>
        <w:rPr>
          <w:rStyle w:val="14"/>
          <w:rFonts w:hint="eastAsia" w:ascii="仿宋" w:hAnsi="仿宋" w:eastAsia="仿宋"/>
          <w:b w:val="0"/>
          <w:bCs/>
          <w:color w:val="auto"/>
          <w:sz w:val="32"/>
          <w:szCs w:val="32"/>
          <w:highlight w:val="none"/>
        </w:rPr>
        <w:t>完成预算</w:t>
      </w:r>
      <w:r>
        <w:rPr>
          <w:rStyle w:val="14"/>
          <w:rFonts w:hint="eastAsia" w:ascii="仿宋" w:hAnsi="仿宋" w:eastAsia="仿宋"/>
          <w:b w:val="0"/>
          <w:bCs/>
          <w:color w:val="auto"/>
          <w:sz w:val="32"/>
          <w:szCs w:val="32"/>
          <w:highlight w:val="none"/>
          <w:lang w:val="en-US" w:eastAsia="zh-CN"/>
        </w:rPr>
        <w:t>100</w:t>
      </w:r>
      <w:r>
        <w:rPr>
          <w:rStyle w:val="14"/>
          <w:rFonts w:ascii="仿宋" w:hAnsi="仿宋" w:eastAsia="仿宋"/>
          <w:b w:val="0"/>
          <w:bCs/>
          <w:color w:val="auto"/>
          <w:sz w:val="32"/>
          <w:szCs w:val="32"/>
          <w:highlight w:val="none"/>
        </w:rPr>
        <w:t>%</w:t>
      </w:r>
      <w:r>
        <w:rPr>
          <w:rStyle w:val="14"/>
          <w:rFonts w:hint="eastAsia" w:ascii="仿宋" w:hAnsi="仿宋" w:eastAsia="仿宋"/>
          <w:b w:val="0"/>
          <w:bCs/>
          <w:color w:val="auto"/>
          <w:sz w:val="32"/>
          <w:szCs w:val="32"/>
          <w:highlight w:val="none"/>
        </w:rPr>
        <w:t>。</w:t>
      </w:r>
      <w:r>
        <w:rPr>
          <w:rFonts w:hint="eastAsia" w:ascii="仿宋_GB2312" w:eastAsia="仿宋_GB2312"/>
          <w:color w:val="auto"/>
          <w:sz w:val="32"/>
          <w:szCs w:val="32"/>
          <w:highlight w:val="none"/>
        </w:rPr>
        <w:t>公务用车购置及运行维护费支出决算比</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年增加0.52万元，增长13.74</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。主要原因是</w:t>
      </w:r>
      <w:r>
        <w:rPr>
          <w:rFonts w:hint="eastAsia" w:ascii="仿宋_GB2312" w:eastAsia="仿宋_GB2312"/>
          <w:color w:val="auto"/>
          <w:sz w:val="32"/>
          <w:szCs w:val="32"/>
          <w:highlight w:val="none"/>
          <w:lang w:val="en-US" w:eastAsia="zh-CN"/>
        </w:rPr>
        <w:t>公车维修次数及加油费增加</w:t>
      </w:r>
      <w:r>
        <w:rPr>
          <w:rFonts w:hint="eastAsia" w:ascii="仿宋_GB2312" w:eastAsia="仿宋_GB2312"/>
          <w:color w:val="auto"/>
          <w:sz w:val="32"/>
          <w:szCs w:val="32"/>
          <w:highlight w:val="none"/>
        </w:rPr>
        <w:t>。</w:t>
      </w:r>
    </w:p>
    <w:p>
      <w:pPr>
        <w:spacing w:line="600" w:lineRule="exact"/>
        <w:ind w:firstLine="640" w:firstLineChars="200"/>
        <w:rPr>
          <w:rFonts w:ascii="仿宋_GB2312" w:eastAsia="仿宋_GB2312"/>
          <w:b/>
          <w:color w:val="auto"/>
          <w:sz w:val="32"/>
          <w:szCs w:val="32"/>
          <w:highlight w:val="none"/>
        </w:rPr>
      </w:pPr>
      <w:r>
        <w:rPr>
          <w:rFonts w:hint="eastAsia" w:ascii="仿宋_GB2312" w:eastAsia="仿宋_GB2312"/>
          <w:color w:val="auto"/>
          <w:sz w:val="32"/>
          <w:szCs w:val="32"/>
          <w:highlight w:val="none"/>
        </w:rPr>
        <w:t>其中：</w:t>
      </w:r>
      <w:r>
        <w:rPr>
          <w:rFonts w:hint="eastAsia" w:ascii="仿宋_GB2312" w:eastAsia="仿宋_GB2312"/>
          <w:b/>
          <w:color w:val="auto"/>
          <w:sz w:val="32"/>
          <w:szCs w:val="32"/>
          <w:highlight w:val="none"/>
        </w:rPr>
        <w:t>公务用车购置支出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万元。全年按规定更新购置公务用车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辆，其中：轿车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辆、金额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万元，越野车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辆、金额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万元，载客汽车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辆、金额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万元。截至</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w:t>
      </w:r>
      <w:r>
        <w:rPr>
          <w:rFonts w:ascii="仿宋_GB2312" w:eastAsia="仿宋_GB2312"/>
          <w:color w:val="auto"/>
          <w:sz w:val="32"/>
          <w:szCs w:val="32"/>
          <w:highlight w:val="none"/>
        </w:rPr>
        <w:t>12</w:t>
      </w:r>
      <w:r>
        <w:rPr>
          <w:rFonts w:hint="eastAsia" w:ascii="仿宋_GB2312" w:eastAsia="仿宋_GB2312"/>
          <w:color w:val="auto"/>
          <w:sz w:val="32"/>
          <w:szCs w:val="32"/>
          <w:highlight w:val="none"/>
        </w:rPr>
        <w:t>月底，单位共有公务用车</w:t>
      </w:r>
      <w:r>
        <w:rPr>
          <w:rFonts w:hint="eastAsia" w:ascii="仿宋_GB2312" w:eastAsia="仿宋_GB2312"/>
          <w:color w:val="auto"/>
          <w:sz w:val="32"/>
          <w:szCs w:val="32"/>
          <w:highlight w:val="none"/>
          <w:lang w:val="en-US" w:eastAsia="zh-CN"/>
        </w:rPr>
        <w:t>1</w:t>
      </w:r>
      <w:r>
        <w:rPr>
          <w:rFonts w:hint="eastAsia" w:ascii="仿宋_GB2312" w:eastAsia="仿宋_GB2312"/>
          <w:color w:val="auto"/>
          <w:sz w:val="32"/>
          <w:szCs w:val="32"/>
          <w:highlight w:val="none"/>
        </w:rPr>
        <w:t>辆，其中：轿车</w:t>
      </w:r>
      <w:r>
        <w:rPr>
          <w:rFonts w:hint="eastAsia" w:ascii="仿宋_GB2312" w:eastAsia="仿宋_GB2312"/>
          <w:color w:val="auto"/>
          <w:sz w:val="32"/>
          <w:szCs w:val="32"/>
          <w:highlight w:val="none"/>
          <w:lang w:val="en-US" w:eastAsia="zh-CN"/>
        </w:rPr>
        <w:t>1</w:t>
      </w:r>
      <w:r>
        <w:rPr>
          <w:rFonts w:hint="eastAsia" w:ascii="仿宋_GB2312" w:eastAsia="仿宋_GB2312"/>
          <w:color w:val="auto"/>
          <w:sz w:val="32"/>
          <w:szCs w:val="32"/>
          <w:highlight w:val="none"/>
        </w:rPr>
        <w:t>辆、越野车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辆、载客汽车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w:t>
      </w:r>
    </w:p>
    <w:p>
      <w:pPr>
        <w:spacing w:line="600" w:lineRule="exact"/>
        <w:ind w:firstLine="640"/>
        <w:rPr>
          <w:rFonts w:ascii="仿宋_GB2312" w:eastAsia="仿宋_GB2312"/>
          <w:color w:val="auto"/>
          <w:sz w:val="32"/>
          <w:szCs w:val="32"/>
          <w:highlight w:val="none"/>
        </w:rPr>
      </w:pPr>
      <w:r>
        <w:rPr>
          <w:rFonts w:hint="eastAsia" w:ascii="仿宋_GB2312" w:eastAsia="仿宋_GB2312"/>
          <w:b/>
          <w:color w:val="auto"/>
          <w:sz w:val="32"/>
          <w:szCs w:val="32"/>
          <w:highlight w:val="none"/>
        </w:rPr>
        <w:t>公务用车运行维护费支出</w:t>
      </w:r>
      <w:r>
        <w:rPr>
          <w:rFonts w:hint="eastAsia" w:ascii="仿宋_GB2312" w:eastAsia="仿宋_GB2312"/>
          <w:color w:val="auto"/>
          <w:sz w:val="32"/>
          <w:szCs w:val="32"/>
          <w:highlight w:val="none"/>
        </w:rPr>
        <w:t>4.32万元。主要用于</w:t>
      </w:r>
      <w:r>
        <w:rPr>
          <w:rFonts w:hint="eastAsia" w:ascii="仿宋_GB2312" w:eastAsia="仿宋_GB2312"/>
          <w:color w:val="auto"/>
          <w:sz w:val="32"/>
          <w:szCs w:val="32"/>
          <w:highlight w:val="none"/>
          <w:lang w:eastAsia="zh-CN"/>
        </w:rPr>
        <w:t>妇女思想引领、家风家教家庭建设、基层组织建设、乡村振兴巾帼行动、两纲工作</w:t>
      </w:r>
      <w:r>
        <w:rPr>
          <w:rFonts w:hint="eastAsia" w:ascii="仿宋_GB2312" w:eastAsia="仿宋_GB2312"/>
          <w:color w:val="auto"/>
          <w:sz w:val="32"/>
          <w:szCs w:val="32"/>
          <w:highlight w:val="none"/>
        </w:rPr>
        <w:t>等所需的公务用车燃料费、维修费、过路过桥费、保险费等支出。</w:t>
      </w:r>
    </w:p>
    <w:p>
      <w:pPr>
        <w:spacing w:line="600" w:lineRule="exact"/>
        <w:ind w:firstLine="640"/>
        <w:rPr>
          <w:rFonts w:ascii="仿宋_GB2312" w:eastAsia="仿宋_GB2312"/>
          <w:color w:val="auto"/>
          <w:sz w:val="32"/>
          <w:szCs w:val="32"/>
          <w:highlight w:val="none"/>
        </w:rPr>
      </w:pPr>
      <w:r>
        <w:rPr>
          <w:rFonts w:ascii="仿宋_GB2312" w:eastAsia="仿宋_GB2312"/>
          <w:b/>
          <w:color w:val="auto"/>
          <w:sz w:val="32"/>
          <w:szCs w:val="32"/>
          <w:highlight w:val="none"/>
        </w:rPr>
        <w:t>3.</w:t>
      </w:r>
      <w:r>
        <w:rPr>
          <w:rFonts w:hint="eastAsia" w:ascii="仿宋_GB2312" w:eastAsia="仿宋_GB2312"/>
          <w:b/>
          <w:color w:val="auto"/>
          <w:sz w:val="32"/>
          <w:szCs w:val="32"/>
          <w:highlight w:val="none"/>
        </w:rPr>
        <w:t>公务接待费支出</w:t>
      </w:r>
      <w:r>
        <w:rPr>
          <w:rFonts w:hint="eastAsia" w:ascii="仿宋_GB2312" w:eastAsia="仿宋_GB2312"/>
          <w:color w:val="auto"/>
          <w:sz w:val="32"/>
          <w:szCs w:val="32"/>
          <w:highlight w:val="none"/>
        </w:rPr>
        <w:t>0.39万元，</w:t>
      </w:r>
      <w:r>
        <w:rPr>
          <w:rStyle w:val="14"/>
          <w:rFonts w:hint="eastAsia" w:ascii="仿宋" w:hAnsi="仿宋" w:eastAsia="仿宋"/>
          <w:b w:val="0"/>
          <w:bCs/>
          <w:color w:val="auto"/>
          <w:sz w:val="32"/>
          <w:szCs w:val="32"/>
          <w:highlight w:val="none"/>
        </w:rPr>
        <w:t>完成预算</w:t>
      </w:r>
      <w:r>
        <w:rPr>
          <w:rStyle w:val="14"/>
          <w:rFonts w:hint="eastAsia" w:ascii="仿宋" w:hAnsi="仿宋" w:eastAsia="仿宋"/>
          <w:b w:val="0"/>
          <w:bCs/>
          <w:color w:val="auto"/>
          <w:sz w:val="32"/>
          <w:szCs w:val="32"/>
          <w:highlight w:val="none"/>
          <w:lang w:val="en-US" w:eastAsia="zh-CN"/>
        </w:rPr>
        <w:t>100</w:t>
      </w:r>
      <w:r>
        <w:rPr>
          <w:rStyle w:val="14"/>
          <w:rFonts w:ascii="仿宋" w:hAnsi="仿宋" w:eastAsia="仿宋"/>
          <w:b w:val="0"/>
          <w:bCs/>
          <w:color w:val="auto"/>
          <w:sz w:val="32"/>
          <w:szCs w:val="32"/>
          <w:highlight w:val="none"/>
        </w:rPr>
        <w:t>%</w:t>
      </w:r>
      <w:r>
        <w:rPr>
          <w:rStyle w:val="14"/>
          <w:rFonts w:hint="eastAsia" w:ascii="仿宋" w:hAnsi="仿宋" w:eastAsia="仿宋"/>
          <w:b w:val="0"/>
          <w:bCs/>
          <w:color w:val="auto"/>
          <w:sz w:val="32"/>
          <w:szCs w:val="32"/>
          <w:highlight w:val="none"/>
        </w:rPr>
        <w:t>。</w:t>
      </w:r>
      <w:r>
        <w:rPr>
          <w:rFonts w:hint="eastAsia" w:ascii="仿宋_GB2312" w:eastAsia="仿宋_GB2312"/>
          <w:color w:val="auto"/>
          <w:sz w:val="32"/>
          <w:szCs w:val="32"/>
          <w:highlight w:val="none"/>
        </w:rPr>
        <w:t>公务接待费支出决算比</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年增加0.01万元，增长1.76</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。主要原因是</w:t>
      </w:r>
      <w:r>
        <w:rPr>
          <w:rFonts w:hint="eastAsia" w:ascii="仿宋_GB2312" w:eastAsia="仿宋_GB2312"/>
          <w:color w:val="auto"/>
          <w:sz w:val="32"/>
          <w:szCs w:val="32"/>
          <w:highlight w:val="none"/>
          <w:lang w:val="en-US" w:eastAsia="zh-CN"/>
        </w:rPr>
        <w:t>接待省妇联、各市州妇联来遂指导调研等工作</w:t>
      </w:r>
      <w:r>
        <w:rPr>
          <w:rFonts w:hint="eastAsia" w:ascii="仿宋_GB2312" w:eastAsia="仿宋_GB2312"/>
          <w:color w:val="auto"/>
          <w:sz w:val="32"/>
          <w:szCs w:val="32"/>
          <w:highlight w:val="none"/>
        </w:rPr>
        <w:t>。</w:t>
      </w:r>
    </w:p>
    <w:p>
      <w:pPr>
        <w:spacing w:line="600" w:lineRule="exact"/>
        <w:ind w:firstLine="640"/>
        <w:rPr>
          <w:rFonts w:hint="eastAsia" w:ascii="仿宋_GB2312" w:hAnsi="仿宋_GB2312" w:eastAsia="仿宋_GB2312" w:cs="仿宋_GB2312"/>
          <w:color w:val="auto"/>
          <w:sz w:val="32"/>
          <w:szCs w:val="32"/>
          <w:highlight w:val="none"/>
        </w:rPr>
      </w:pPr>
      <w:r>
        <w:rPr>
          <w:rFonts w:hint="eastAsia" w:ascii="仿宋" w:hAnsi="仿宋" w:eastAsia="仿宋"/>
          <w:b/>
          <w:color w:val="auto"/>
          <w:sz w:val="32"/>
          <w:szCs w:val="32"/>
          <w:highlight w:val="none"/>
        </w:rPr>
        <w:t>国内公务接待支出</w:t>
      </w:r>
      <w:r>
        <w:rPr>
          <w:rFonts w:hint="eastAsia" w:ascii="仿宋_GB2312" w:eastAsia="仿宋_GB2312"/>
          <w:color w:val="auto"/>
          <w:sz w:val="32"/>
          <w:szCs w:val="32"/>
          <w:highlight w:val="none"/>
        </w:rPr>
        <w:t>0.39万元，主要用于</w:t>
      </w:r>
      <w:r>
        <w:rPr>
          <w:rFonts w:hint="eastAsia" w:ascii="仿宋_GB2312" w:eastAsia="仿宋_GB2312"/>
          <w:color w:val="auto"/>
          <w:sz w:val="32"/>
          <w:szCs w:val="32"/>
          <w:highlight w:val="none"/>
          <w:lang w:val="en-US" w:eastAsia="zh-CN"/>
        </w:rPr>
        <w:t>接待省妇联、各市州妇联来遂指导调研等过程中产生的</w:t>
      </w:r>
      <w:r>
        <w:rPr>
          <w:rFonts w:hint="eastAsia" w:ascii="仿宋_GB2312" w:eastAsia="仿宋_GB2312"/>
          <w:color w:val="auto"/>
          <w:sz w:val="32"/>
          <w:szCs w:val="32"/>
          <w:highlight w:val="none"/>
        </w:rPr>
        <w:t>交通费、住宿费、用餐费等。国内公务接待</w:t>
      </w:r>
      <w:r>
        <w:rPr>
          <w:rFonts w:hint="eastAsia" w:ascii="仿宋_GB2312" w:eastAsia="仿宋_GB2312"/>
          <w:color w:val="auto"/>
          <w:sz w:val="32"/>
          <w:szCs w:val="32"/>
          <w:highlight w:val="none"/>
          <w:lang w:val="en-US" w:eastAsia="zh-CN"/>
        </w:rPr>
        <w:t>4</w:t>
      </w:r>
      <w:r>
        <w:rPr>
          <w:rFonts w:hint="eastAsia" w:ascii="仿宋_GB2312" w:eastAsia="仿宋_GB2312"/>
          <w:color w:val="auto"/>
          <w:sz w:val="32"/>
          <w:szCs w:val="32"/>
          <w:highlight w:val="none"/>
        </w:rPr>
        <w:t>批次，</w:t>
      </w:r>
      <w:r>
        <w:rPr>
          <w:rFonts w:hint="eastAsia" w:ascii="仿宋_GB2312" w:eastAsia="仿宋_GB2312"/>
          <w:color w:val="auto"/>
          <w:sz w:val="32"/>
          <w:szCs w:val="32"/>
          <w:highlight w:val="none"/>
          <w:lang w:val="en-US" w:eastAsia="zh-CN"/>
        </w:rPr>
        <w:t>38</w:t>
      </w:r>
      <w:r>
        <w:rPr>
          <w:rFonts w:hint="eastAsia" w:ascii="仿宋_GB2312" w:eastAsia="仿宋_GB2312"/>
          <w:color w:val="auto"/>
          <w:sz w:val="32"/>
          <w:szCs w:val="32"/>
          <w:highlight w:val="none"/>
        </w:rPr>
        <w:t>人次（不包括陪同人员），共计支出0.39万元，具体内容包括：</w:t>
      </w:r>
      <w:r>
        <w:rPr>
          <w:rFonts w:hint="eastAsia" w:ascii="仿宋_GB2312" w:hAnsi="仿宋_GB2312" w:eastAsia="仿宋_GB2312" w:cs="仿宋_GB2312"/>
          <w:color w:val="auto"/>
          <w:sz w:val="32"/>
          <w:szCs w:val="32"/>
          <w:highlight w:val="none"/>
          <w:lang w:val="en-US" w:eastAsia="zh-CN"/>
        </w:rPr>
        <w:t>接待省妇联、</w:t>
      </w:r>
      <w:r>
        <w:rPr>
          <w:rFonts w:hint="eastAsia" w:ascii="仿宋_GB2312" w:eastAsia="仿宋_GB2312"/>
          <w:color w:val="auto"/>
          <w:sz w:val="32"/>
          <w:szCs w:val="32"/>
          <w:highlight w:val="none"/>
          <w:lang w:val="en-US" w:eastAsia="zh-CN"/>
        </w:rPr>
        <w:t>各市州妇联来遂指导调研</w:t>
      </w:r>
      <w:r>
        <w:rPr>
          <w:rFonts w:hint="eastAsia" w:ascii="仿宋_GB2312" w:hAnsi="仿宋_GB2312" w:eastAsia="仿宋_GB2312" w:cs="仿宋_GB2312"/>
          <w:color w:val="auto"/>
          <w:sz w:val="32"/>
          <w:szCs w:val="32"/>
          <w:highlight w:val="none"/>
          <w:lang w:val="en-US" w:eastAsia="zh-CN"/>
        </w:rPr>
        <w:t>等</w:t>
      </w:r>
      <w:r>
        <w:rPr>
          <w:rFonts w:hint="eastAsia" w:ascii="仿宋_GB2312" w:hAnsi="仿宋_GB2312" w:eastAsia="仿宋_GB2312" w:cs="仿宋_GB2312"/>
          <w:color w:val="auto"/>
          <w:sz w:val="32"/>
          <w:szCs w:val="32"/>
          <w:highlight w:val="none"/>
        </w:rPr>
        <w:t>。</w:t>
      </w:r>
    </w:p>
    <w:p>
      <w:pPr>
        <w:spacing w:line="600" w:lineRule="exact"/>
        <w:ind w:firstLine="643" w:firstLineChars="200"/>
        <w:rPr>
          <w:rFonts w:ascii="仿宋_GB2312" w:eastAsia="仿宋_GB2312"/>
          <w:color w:val="auto"/>
          <w:sz w:val="32"/>
          <w:szCs w:val="32"/>
          <w:highlight w:val="none"/>
        </w:rPr>
      </w:pPr>
      <w:r>
        <w:rPr>
          <w:rFonts w:hint="eastAsia" w:ascii="仿宋" w:hAnsi="仿宋" w:eastAsia="仿宋"/>
          <w:b/>
          <w:color w:val="auto"/>
          <w:sz w:val="32"/>
          <w:szCs w:val="32"/>
          <w:highlight w:val="none"/>
        </w:rPr>
        <w:t>外事接待支出</w:t>
      </w:r>
      <w:r>
        <w:rPr>
          <w:rFonts w:hint="eastAsia" w:ascii="仿宋" w:hAnsi="仿宋" w:eastAsia="仿宋"/>
          <w:b/>
          <w:color w:val="auto"/>
          <w:sz w:val="32"/>
          <w:szCs w:val="32"/>
          <w:highlight w:val="none"/>
          <w:lang w:val="en-US" w:eastAsia="zh-CN"/>
        </w:rPr>
        <w:t>0</w:t>
      </w:r>
      <w:r>
        <w:rPr>
          <w:rFonts w:hint="eastAsia" w:ascii="仿宋_GB2312" w:eastAsia="仿宋_GB2312"/>
          <w:color w:val="auto"/>
          <w:sz w:val="32"/>
          <w:szCs w:val="32"/>
          <w:highlight w:val="none"/>
        </w:rPr>
        <w:t>万元</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外事接待</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批次，</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人</w:t>
      </w:r>
      <w:r>
        <w:rPr>
          <w:rFonts w:hint="eastAsia" w:ascii="仿宋_GB2312" w:eastAsia="仿宋_GB2312"/>
          <w:color w:val="auto"/>
          <w:sz w:val="32"/>
          <w:szCs w:val="32"/>
          <w:highlight w:val="none"/>
          <w:lang w:eastAsia="zh-CN"/>
        </w:rPr>
        <w:t>次（不包括陪同人员）</w:t>
      </w:r>
      <w:r>
        <w:rPr>
          <w:rFonts w:hint="eastAsia" w:ascii="仿宋_GB2312" w:eastAsia="仿宋_GB2312"/>
          <w:color w:val="auto"/>
          <w:sz w:val="32"/>
          <w:szCs w:val="32"/>
          <w:highlight w:val="none"/>
        </w:rPr>
        <w:t>，共计支出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pPr>
        <w:spacing w:line="600" w:lineRule="exact"/>
        <w:ind w:firstLine="640"/>
        <w:outlineLvl w:val="1"/>
        <w:rPr>
          <w:rFonts w:ascii="黑体" w:eastAsia="黑体"/>
          <w:color w:val="auto"/>
          <w:sz w:val="32"/>
          <w:szCs w:val="32"/>
          <w:highlight w:val="none"/>
        </w:rPr>
      </w:pPr>
      <w:bookmarkStart w:id="40" w:name="_Toc15396610"/>
      <w:bookmarkStart w:id="41" w:name="_Toc15377218"/>
    </w:p>
    <w:p>
      <w:pPr>
        <w:spacing w:line="600" w:lineRule="exact"/>
        <w:ind w:firstLine="640"/>
        <w:outlineLvl w:val="1"/>
        <w:rPr>
          <w:rStyle w:val="25"/>
          <w:rFonts w:ascii="黑体" w:hAnsi="黑体" w:eastAsia="黑体"/>
          <w:color w:val="auto"/>
          <w:highlight w:val="none"/>
        </w:rPr>
      </w:pPr>
      <w:r>
        <w:rPr>
          <w:rFonts w:hint="eastAsia" w:ascii="黑体" w:eastAsia="黑体"/>
          <w:color w:val="auto"/>
          <w:sz w:val="32"/>
          <w:szCs w:val="32"/>
          <w:highlight w:val="none"/>
        </w:rPr>
        <w:t>八、</w:t>
      </w:r>
      <w:r>
        <w:rPr>
          <w:rStyle w:val="25"/>
          <w:rFonts w:hint="eastAsia" w:ascii="黑体" w:hAnsi="黑体" w:eastAsia="黑体"/>
          <w:b w:val="0"/>
          <w:color w:val="auto"/>
          <w:highlight w:val="none"/>
        </w:rPr>
        <w:t>政府性基金预算支出决算情况说明</w:t>
      </w:r>
      <w:bookmarkEnd w:id="40"/>
      <w:bookmarkEnd w:id="41"/>
    </w:p>
    <w:p>
      <w:pPr>
        <w:spacing w:line="600" w:lineRule="exact"/>
        <w:ind w:firstLine="640"/>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年政府性基金预算</w:t>
      </w:r>
      <w:r>
        <w:rPr>
          <w:rFonts w:hint="eastAsia" w:ascii="仿宋_GB2312" w:eastAsia="仿宋_GB2312"/>
          <w:color w:val="auto"/>
          <w:sz w:val="32"/>
          <w:szCs w:val="32"/>
          <w:highlight w:val="none"/>
          <w:lang w:eastAsia="zh-CN"/>
        </w:rPr>
        <w:t>财政</w:t>
      </w:r>
      <w:r>
        <w:rPr>
          <w:rFonts w:hint="eastAsia" w:ascii="仿宋_GB2312" w:eastAsia="仿宋_GB2312"/>
          <w:color w:val="auto"/>
          <w:sz w:val="32"/>
          <w:szCs w:val="32"/>
          <w:highlight w:val="none"/>
        </w:rPr>
        <w:t>拨款支出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pPr>
        <w:spacing w:line="600" w:lineRule="exact"/>
        <w:ind w:firstLine="640"/>
        <w:rPr>
          <w:rFonts w:ascii="仿宋_GB2312" w:eastAsia="仿宋_GB2312"/>
          <w:color w:val="auto"/>
          <w:sz w:val="32"/>
          <w:szCs w:val="32"/>
          <w:highlight w:val="none"/>
        </w:rPr>
      </w:pPr>
    </w:p>
    <w:p>
      <w:pPr>
        <w:numPr>
          <w:ilvl w:val="0"/>
          <w:numId w:val="2"/>
        </w:numPr>
        <w:spacing w:line="600" w:lineRule="exact"/>
        <w:ind w:firstLine="640"/>
        <w:outlineLvl w:val="1"/>
        <w:rPr>
          <w:rStyle w:val="25"/>
          <w:rFonts w:ascii="黑体" w:hAnsi="黑体" w:eastAsia="黑体"/>
          <w:b w:val="0"/>
          <w:color w:val="auto"/>
          <w:highlight w:val="none"/>
        </w:rPr>
      </w:pPr>
      <w:bookmarkStart w:id="42" w:name="_Toc15377219"/>
      <w:bookmarkStart w:id="43" w:name="_Toc15396611"/>
      <w:r>
        <w:rPr>
          <w:rStyle w:val="25"/>
          <w:rFonts w:hint="eastAsia" w:ascii="黑体" w:hAnsi="黑体" w:eastAsia="黑体"/>
          <w:b w:val="0"/>
          <w:color w:val="auto"/>
          <w:highlight w:val="none"/>
        </w:rPr>
        <w:t>国有资本经营预算支出决算情况说明</w:t>
      </w:r>
      <w:bookmarkEnd w:id="42"/>
      <w:bookmarkEnd w:id="43"/>
    </w:p>
    <w:p>
      <w:pPr>
        <w:spacing w:line="600" w:lineRule="exact"/>
        <w:ind w:firstLine="640"/>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年国有资本经营预算</w:t>
      </w:r>
      <w:r>
        <w:rPr>
          <w:rFonts w:hint="eastAsia" w:ascii="仿宋_GB2312" w:eastAsia="仿宋_GB2312"/>
          <w:color w:val="auto"/>
          <w:sz w:val="32"/>
          <w:szCs w:val="32"/>
          <w:highlight w:val="none"/>
          <w:lang w:eastAsia="zh-CN"/>
        </w:rPr>
        <w:t>财政</w:t>
      </w:r>
      <w:r>
        <w:rPr>
          <w:rFonts w:hint="eastAsia" w:ascii="仿宋_GB2312" w:eastAsia="仿宋_GB2312"/>
          <w:color w:val="auto"/>
          <w:sz w:val="32"/>
          <w:szCs w:val="32"/>
          <w:highlight w:val="none"/>
        </w:rPr>
        <w:t>拨款支出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pPr>
        <w:spacing w:line="580" w:lineRule="exact"/>
        <w:jc w:val="center"/>
        <w:rPr>
          <w:rFonts w:ascii="方正小标宋简体" w:hAnsi="方正小标宋简体" w:eastAsia="方正小标宋简体" w:cs="方正小标宋简体"/>
          <w:color w:val="auto"/>
          <w:sz w:val="44"/>
          <w:szCs w:val="44"/>
          <w:highlight w:val="none"/>
        </w:rPr>
      </w:pPr>
    </w:p>
    <w:p>
      <w:pPr>
        <w:numPr>
          <w:ilvl w:val="0"/>
          <w:numId w:val="2"/>
        </w:numPr>
        <w:spacing w:line="600" w:lineRule="exact"/>
        <w:ind w:firstLine="640"/>
        <w:outlineLvl w:val="1"/>
        <w:rPr>
          <w:rStyle w:val="25"/>
          <w:rFonts w:hint="eastAsia" w:ascii="黑体" w:hAnsi="黑体" w:eastAsia="黑体"/>
          <w:b w:val="0"/>
          <w:color w:val="auto"/>
          <w:highlight w:val="none"/>
        </w:rPr>
      </w:pPr>
      <w:bookmarkStart w:id="44" w:name="_Toc15377221"/>
      <w:bookmarkStart w:id="45" w:name="_Toc15396612"/>
      <w:r>
        <w:rPr>
          <w:rStyle w:val="25"/>
          <w:rFonts w:hint="eastAsia" w:ascii="黑体" w:hAnsi="黑体" w:eastAsia="黑体"/>
          <w:b w:val="0"/>
          <w:color w:val="auto"/>
          <w:highlight w:val="none"/>
        </w:rPr>
        <w:t>其他重要事项的情况说明</w:t>
      </w:r>
      <w:bookmarkEnd w:id="44"/>
      <w:bookmarkEnd w:id="45"/>
    </w:p>
    <w:p>
      <w:pPr>
        <w:spacing w:line="600" w:lineRule="exact"/>
        <w:ind w:firstLine="643" w:firstLineChars="200"/>
        <w:outlineLvl w:val="2"/>
        <w:rPr>
          <w:rFonts w:ascii="仿宋" w:hAnsi="仿宋" w:eastAsia="仿宋"/>
          <w:color w:val="auto"/>
          <w:sz w:val="32"/>
          <w:szCs w:val="32"/>
          <w:highlight w:val="none"/>
        </w:rPr>
      </w:pPr>
      <w:bookmarkStart w:id="46" w:name="_Toc15377222"/>
      <w:r>
        <w:rPr>
          <w:rFonts w:hint="eastAsia" w:ascii="仿宋" w:hAnsi="仿宋" w:eastAsia="仿宋"/>
          <w:b/>
          <w:color w:val="auto"/>
          <w:sz w:val="32"/>
          <w:szCs w:val="32"/>
          <w:highlight w:val="none"/>
        </w:rPr>
        <w:t>（一）机关运行经费支出情况</w:t>
      </w:r>
      <w:bookmarkEnd w:id="46"/>
    </w:p>
    <w:p>
      <w:pPr>
        <w:spacing w:line="60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年，遂宁市妇女联合会机关运行经费支出47.21万元，比</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年增加4.53万元，增长10.61</w:t>
      </w:r>
      <w:r>
        <w:rPr>
          <w:rFonts w:ascii="仿宋_GB2312" w:eastAsia="仿宋_GB2312"/>
          <w:color w:val="auto"/>
          <w:sz w:val="32"/>
          <w:szCs w:val="32"/>
          <w:highlight w:val="none"/>
        </w:rPr>
        <w:t>%</w:t>
      </w:r>
      <w:r>
        <w:rPr>
          <w:rFonts w:hint="eastAsia" w:ascii="仿宋_GB2312" w:eastAsia="仿宋_GB2312"/>
          <w:color w:val="auto"/>
          <w:sz w:val="32"/>
          <w:szCs w:val="32"/>
          <w:highlight w:val="none"/>
          <w:lang w:eastAsia="zh-CN"/>
        </w:rPr>
        <w:t>。</w:t>
      </w:r>
    </w:p>
    <w:p>
      <w:pPr>
        <w:spacing w:line="600" w:lineRule="exact"/>
        <w:ind w:firstLine="643" w:firstLineChars="200"/>
        <w:rPr>
          <w:rFonts w:ascii="仿宋" w:hAnsi="仿宋" w:eastAsia="仿宋"/>
          <w:b/>
          <w:color w:val="auto"/>
          <w:sz w:val="32"/>
          <w:szCs w:val="32"/>
          <w:highlight w:val="none"/>
        </w:rPr>
      </w:pPr>
      <w:r>
        <w:rPr>
          <w:rFonts w:hint="eastAsia" w:ascii="仿宋" w:hAnsi="仿宋" w:eastAsia="仿宋"/>
          <w:b/>
          <w:color w:val="auto"/>
          <w:sz w:val="32"/>
          <w:szCs w:val="32"/>
          <w:highlight w:val="none"/>
        </w:rPr>
        <w:t>（注：数据来源于财决附</w:t>
      </w:r>
      <w:r>
        <w:rPr>
          <w:rFonts w:ascii="仿宋" w:hAnsi="仿宋" w:eastAsia="仿宋"/>
          <w:b/>
          <w:color w:val="auto"/>
          <w:sz w:val="32"/>
          <w:szCs w:val="32"/>
          <w:highlight w:val="none"/>
        </w:rPr>
        <w:t>03</w:t>
      </w:r>
      <w:r>
        <w:rPr>
          <w:rFonts w:hint="eastAsia" w:ascii="仿宋" w:hAnsi="仿宋" w:eastAsia="仿宋"/>
          <w:b/>
          <w:color w:val="auto"/>
          <w:sz w:val="32"/>
          <w:szCs w:val="32"/>
          <w:highlight w:val="none"/>
        </w:rPr>
        <w:t>表）</w:t>
      </w:r>
    </w:p>
    <w:p>
      <w:pPr>
        <w:autoSpaceDE w:val="0"/>
        <w:autoSpaceDN w:val="0"/>
        <w:adjustRightInd w:val="0"/>
        <w:spacing w:line="600" w:lineRule="exact"/>
        <w:ind w:firstLine="643" w:firstLineChars="200"/>
        <w:jc w:val="left"/>
        <w:outlineLvl w:val="2"/>
        <w:rPr>
          <w:rFonts w:ascii="仿宋" w:hAnsi="仿宋" w:eastAsia="仿宋"/>
          <w:b/>
          <w:color w:val="auto"/>
          <w:sz w:val="32"/>
          <w:szCs w:val="32"/>
          <w:highlight w:val="none"/>
        </w:rPr>
      </w:pPr>
      <w:bookmarkStart w:id="47" w:name="_Toc15377223"/>
      <w:r>
        <w:rPr>
          <w:rFonts w:hint="eastAsia" w:ascii="仿宋" w:hAnsi="仿宋" w:eastAsia="仿宋"/>
          <w:b/>
          <w:color w:val="auto"/>
          <w:sz w:val="32"/>
          <w:szCs w:val="32"/>
          <w:highlight w:val="none"/>
        </w:rPr>
        <w:t>（二）政府采购支出情况</w:t>
      </w:r>
      <w:bookmarkEnd w:id="47"/>
    </w:p>
    <w:p>
      <w:pPr>
        <w:spacing w:line="60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年，政府采购支出总额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万元，其中：政府采购货物支出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万元、政府采购工程支出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万元、政府采购服务支出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万元。授予中小企业合同金额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万元，占政府采购支出总额的</w:t>
      </w:r>
      <w:r>
        <w:rPr>
          <w:rFonts w:hint="eastAsia" w:ascii="仿宋_GB2312" w:eastAsia="仿宋_GB2312"/>
          <w:color w:val="auto"/>
          <w:sz w:val="32"/>
          <w:szCs w:val="32"/>
          <w:highlight w:val="none"/>
          <w:lang w:val="en-US" w:eastAsia="zh-CN"/>
        </w:rPr>
        <w:t>0</w:t>
      </w:r>
      <w:r>
        <w:rPr>
          <w:rFonts w:ascii="仿宋_GB2312" w:eastAsia="仿宋_GB2312"/>
          <w:color w:val="auto"/>
          <w:sz w:val="32"/>
          <w:szCs w:val="32"/>
          <w:highlight w:val="none"/>
        </w:rPr>
        <w:t>%</w:t>
      </w:r>
      <w:r>
        <w:rPr>
          <w:rFonts w:hint="eastAsia" w:ascii="仿宋_GB2312" w:eastAsia="仿宋_GB2312"/>
          <w:color w:val="auto"/>
          <w:sz w:val="32"/>
          <w:szCs w:val="32"/>
          <w:highlight w:val="none"/>
        </w:rPr>
        <w:t>，其中：授予小微企业合同金额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万元，占政府采购支出总额的</w:t>
      </w:r>
      <w:r>
        <w:rPr>
          <w:rFonts w:hint="eastAsia" w:ascii="仿宋_GB2312" w:eastAsia="仿宋_GB2312"/>
          <w:color w:val="auto"/>
          <w:sz w:val="32"/>
          <w:szCs w:val="32"/>
          <w:highlight w:val="none"/>
          <w:lang w:val="en-US" w:eastAsia="zh-CN"/>
        </w:rPr>
        <w:t>0</w:t>
      </w:r>
      <w:r>
        <w:rPr>
          <w:rFonts w:ascii="仿宋_GB2312" w:eastAsia="仿宋_GB2312"/>
          <w:color w:val="auto"/>
          <w:sz w:val="32"/>
          <w:szCs w:val="32"/>
          <w:highlight w:val="none"/>
        </w:rPr>
        <w:t>%</w:t>
      </w:r>
      <w:r>
        <w:rPr>
          <w:rFonts w:hint="eastAsia" w:ascii="仿宋_GB2312" w:eastAsia="仿宋_GB2312"/>
          <w:color w:val="auto"/>
          <w:sz w:val="32"/>
          <w:szCs w:val="32"/>
          <w:highlight w:val="none"/>
        </w:rPr>
        <w:t>。</w:t>
      </w:r>
    </w:p>
    <w:p>
      <w:pPr>
        <w:spacing w:line="600" w:lineRule="exact"/>
        <w:ind w:firstLine="643" w:firstLineChars="200"/>
        <w:rPr>
          <w:rFonts w:ascii="仿宋" w:hAnsi="仿宋" w:eastAsia="仿宋"/>
          <w:b/>
          <w:color w:val="auto"/>
          <w:sz w:val="32"/>
          <w:szCs w:val="32"/>
          <w:highlight w:val="none"/>
        </w:rPr>
      </w:pPr>
      <w:r>
        <w:rPr>
          <w:rFonts w:hint="eastAsia" w:ascii="仿宋" w:hAnsi="仿宋" w:eastAsia="仿宋"/>
          <w:b/>
          <w:color w:val="auto"/>
          <w:sz w:val="32"/>
          <w:szCs w:val="32"/>
          <w:highlight w:val="none"/>
        </w:rPr>
        <w:t>（注：数据来源于财决附</w:t>
      </w:r>
      <w:r>
        <w:rPr>
          <w:rFonts w:ascii="仿宋" w:hAnsi="仿宋" w:eastAsia="仿宋"/>
          <w:b/>
          <w:color w:val="auto"/>
          <w:sz w:val="32"/>
          <w:szCs w:val="32"/>
          <w:highlight w:val="none"/>
        </w:rPr>
        <w:t>03</w:t>
      </w:r>
      <w:r>
        <w:rPr>
          <w:rFonts w:hint="eastAsia" w:ascii="仿宋" w:hAnsi="仿宋" w:eastAsia="仿宋"/>
          <w:b/>
          <w:color w:val="auto"/>
          <w:sz w:val="32"/>
          <w:szCs w:val="32"/>
          <w:highlight w:val="none"/>
        </w:rPr>
        <w:t>表）</w:t>
      </w:r>
    </w:p>
    <w:p>
      <w:pPr>
        <w:autoSpaceDE w:val="0"/>
        <w:autoSpaceDN w:val="0"/>
        <w:adjustRightInd w:val="0"/>
        <w:spacing w:line="600" w:lineRule="exact"/>
        <w:ind w:firstLine="643" w:firstLineChars="200"/>
        <w:jc w:val="left"/>
        <w:outlineLvl w:val="2"/>
        <w:rPr>
          <w:rFonts w:ascii="仿宋" w:hAnsi="仿宋" w:eastAsia="仿宋"/>
          <w:b/>
          <w:color w:val="auto"/>
          <w:sz w:val="32"/>
          <w:szCs w:val="32"/>
          <w:highlight w:val="none"/>
        </w:rPr>
      </w:pPr>
      <w:bookmarkStart w:id="48" w:name="_Toc15377224"/>
      <w:r>
        <w:rPr>
          <w:rFonts w:hint="eastAsia" w:ascii="仿宋" w:hAnsi="仿宋" w:eastAsia="仿宋"/>
          <w:b/>
          <w:color w:val="auto"/>
          <w:sz w:val="32"/>
          <w:szCs w:val="32"/>
          <w:highlight w:val="none"/>
        </w:rPr>
        <w:t>（三）国有资产占有使用情况</w:t>
      </w:r>
      <w:bookmarkEnd w:id="48"/>
    </w:p>
    <w:p>
      <w:pPr>
        <w:autoSpaceDE w:val="0"/>
        <w:autoSpaceDN w:val="0"/>
        <w:adjustRightInd w:val="0"/>
        <w:spacing w:line="600" w:lineRule="exact"/>
        <w:ind w:firstLine="640" w:firstLineChars="200"/>
        <w:jc w:val="left"/>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截至</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w:t>
      </w:r>
      <w:r>
        <w:rPr>
          <w:rFonts w:ascii="仿宋_GB2312" w:eastAsia="仿宋_GB2312"/>
          <w:color w:val="auto"/>
          <w:sz w:val="32"/>
          <w:szCs w:val="32"/>
          <w:highlight w:val="none"/>
        </w:rPr>
        <w:t>12</w:t>
      </w:r>
      <w:r>
        <w:rPr>
          <w:rFonts w:hint="eastAsia" w:ascii="仿宋_GB2312" w:eastAsia="仿宋_GB2312"/>
          <w:color w:val="auto"/>
          <w:sz w:val="32"/>
          <w:szCs w:val="32"/>
          <w:highlight w:val="none"/>
        </w:rPr>
        <w:t>月</w:t>
      </w:r>
      <w:r>
        <w:rPr>
          <w:rFonts w:ascii="仿宋_GB2312" w:eastAsia="仿宋_GB2312"/>
          <w:color w:val="auto"/>
          <w:sz w:val="32"/>
          <w:szCs w:val="32"/>
          <w:highlight w:val="none"/>
        </w:rPr>
        <w:t>31</w:t>
      </w:r>
      <w:r>
        <w:rPr>
          <w:rFonts w:hint="eastAsia" w:ascii="仿宋_GB2312" w:eastAsia="仿宋_GB2312"/>
          <w:color w:val="auto"/>
          <w:sz w:val="32"/>
          <w:szCs w:val="32"/>
          <w:highlight w:val="none"/>
        </w:rPr>
        <w:t>日，遂宁市妇女联合会共有车辆</w:t>
      </w:r>
      <w:r>
        <w:rPr>
          <w:rFonts w:hint="eastAsia" w:ascii="仿宋_GB2312" w:eastAsia="仿宋_GB2312"/>
          <w:color w:val="auto"/>
          <w:sz w:val="32"/>
          <w:szCs w:val="32"/>
          <w:highlight w:val="none"/>
          <w:lang w:val="en-US" w:eastAsia="zh-CN"/>
        </w:rPr>
        <w:t>1</w:t>
      </w:r>
      <w:r>
        <w:rPr>
          <w:rFonts w:hint="eastAsia" w:ascii="仿宋_GB2312" w:eastAsia="仿宋_GB2312"/>
          <w:color w:val="auto"/>
          <w:sz w:val="32"/>
          <w:szCs w:val="32"/>
          <w:highlight w:val="none"/>
        </w:rPr>
        <w:t>辆，其中：主要领导干部用车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辆、机要通信用车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辆、应急保障用车</w:t>
      </w:r>
      <w:r>
        <w:rPr>
          <w:rFonts w:hint="eastAsia" w:ascii="仿宋_GB2312" w:eastAsia="仿宋_GB2312"/>
          <w:color w:val="auto"/>
          <w:sz w:val="32"/>
          <w:szCs w:val="32"/>
          <w:highlight w:val="none"/>
          <w:lang w:val="en-US" w:eastAsia="zh-CN"/>
        </w:rPr>
        <w:t>1</w:t>
      </w:r>
      <w:r>
        <w:rPr>
          <w:rFonts w:hint="eastAsia" w:ascii="仿宋_GB2312" w:eastAsia="仿宋_GB2312"/>
          <w:color w:val="auto"/>
          <w:sz w:val="32"/>
          <w:szCs w:val="32"/>
          <w:highlight w:val="none"/>
        </w:rPr>
        <w:t>辆、其他用车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单价</w:t>
      </w:r>
      <w:r>
        <w:rPr>
          <w:rFonts w:ascii="仿宋_GB2312" w:eastAsia="仿宋_GB2312"/>
          <w:color w:val="auto"/>
          <w:sz w:val="32"/>
          <w:szCs w:val="32"/>
          <w:highlight w:val="none"/>
        </w:rPr>
        <w:t>100</w:t>
      </w:r>
      <w:r>
        <w:rPr>
          <w:rFonts w:hint="eastAsia" w:ascii="仿宋_GB2312" w:eastAsia="仿宋_GB2312"/>
          <w:color w:val="auto"/>
          <w:sz w:val="32"/>
          <w:szCs w:val="32"/>
          <w:highlight w:val="none"/>
        </w:rPr>
        <w:t>万元以上专用设备</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台（套）。</w:t>
      </w:r>
    </w:p>
    <w:p>
      <w:pPr>
        <w:autoSpaceDE w:val="0"/>
        <w:autoSpaceDN w:val="0"/>
        <w:adjustRightInd w:val="0"/>
        <w:spacing w:line="600" w:lineRule="exact"/>
        <w:ind w:firstLine="643" w:firstLineChars="200"/>
        <w:jc w:val="left"/>
        <w:rPr>
          <w:rFonts w:ascii="仿宋" w:hAnsi="仿宋" w:eastAsia="仿宋"/>
          <w:b/>
          <w:color w:val="auto"/>
          <w:sz w:val="32"/>
          <w:szCs w:val="32"/>
          <w:highlight w:val="none"/>
        </w:rPr>
      </w:pPr>
      <w:r>
        <w:rPr>
          <w:rFonts w:hint="eastAsia" w:ascii="仿宋" w:hAnsi="仿宋" w:eastAsia="仿宋"/>
          <w:b/>
          <w:color w:val="auto"/>
          <w:sz w:val="32"/>
          <w:szCs w:val="32"/>
          <w:highlight w:val="none"/>
        </w:rPr>
        <w:t>（注：数据来源</w:t>
      </w:r>
      <w:r>
        <w:rPr>
          <w:rFonts w:hint="eastAsia" w:ascii="仿宋" w:hAnsi="仿宋" w:eastAsia="仿宋"/>
          <w:b/>
          <w:color w:val="auto"/>
          <w:sz w:val="32"/>
          <w:szCs w:val="32"/>
          <w:highlight w:val="none"/>
          <w:lang w:eastAsia="zh-CN"/>
        </w:rPr>
        <w:t>于</w:t>
      </w:r>
      <w:r>
        <w:rPr>
          <w:rFonts w:hint="eastAsia" w:ascii="仿宋" w:hAnsi="仿宋" w:eastAsia="仿宋"/>
          <w:b/>
          <w:color w:val="auto"/>
          <w:sz w:val="32"/>
          <w:szCs w:val="32"/>
          <w:highlight w:val="none"/>
        </w:rPr>
        <w:t>财决附</w:t>
      </w:r>
      <w:r>
        <w:rPr>
          <w:rFonts w:ascii="仿宋" w:hAnsi="仿宋" w:eastAsia="仿宋"/>
          <w:b/>
          <w:color w:val="auto"/>
          <w:sz w:val="32"/>
          <w:szCs w:val="32"/>
          <w:highlight w:val="none"/>
        </w:rPr>
        <w:t>03</w:t>
      </w:r>
      <w:r>
        <w:rPr>
          <w:rFonts w:hint="eastAsia" w:ascii="仿宋" w:hAnsi="仿宋" w:eastAsia="仿宋"/>
          <w:b/>
          <w:color w:val="auto"/>
          <w:sz w:val="32"/>
          <w:szCs w:val="32"/>
          <w:highlight w:val="none"/>
        </w:rPr>
        <w:t>表，按</w:t>
      </w:r>
      <w:r>
        <w:rPr>
          <w:rFonts w:hint="eastAsia" w:ascii="仿宋" w:hAnsi="仿宋" w:eastAsia="仿宋"/>
          <w:b/>
          <w:color w:val="auto"/>
          <w:sz w:val="32"/>
          <w:szCs w:val="32"/>
          <w:highlight w:val="none"/>
          <w:lang w:eastAsia="zh-CN"/>
        </w:rPr>
        <w:t>单位</w:t>
      </w:r>
      <w:r>
        <w:rPr>
          <w:rFonts w:hint="eastAsia" w:ascii="仿宋" w:hAnsi="仿宋" w:eastAsia="仿宋"/>
          <w:b/>
          <w:color w:val="auto"/>
          <w:sz w:val="32"/>
          <w:szCs w:val="32"/>
          <w:highlight w:val="none"/>
        </w:rPr>
        <w:t>决算报表填报数据罗列车辆情况。）</w:t>
      </w:r>
    </w:p>
    <w:p>
      <w:pPr>
        <w:autoSpaceDE w:val="0"/>
        <w:autoSpaceDN w:val="0"/>
        <w:adjustRightInd w:val="0"/>
        <w:spacing w:line="600" w:lineRule="exact"/>
        <w:ind w:firstLine="643" w:firstLineChars="200"/>
        <w:jc w:val="left"/>
        <w:outlineLvl w:val="2"/>
        <w:rPr>
          <w:rFonts w:hint="eastAsia" w:ascii="仿宋" w:hAnsi="仿宋" w:eastAsia="仿宋"/>
          <w:b/>
          <w:color w:val="auto"/>
          <w:sz w:val="32"/>
          <w:szCs w:val="32"/>
          <w:highlight w:val="none"/>
          <w:lang w:eastAsia="zh-CN"/>
        </w:rPr>
      </w:pPr>
      <w:r>
        <w:rPr>
          <w:rFonts w:hint="eastAsia" w:ascii="仿宋" w:hAnsi="仿宋" w:eastAsia="仿宋"/>
          <w:b/>
          <w:color w:val="auto"/>
          <w:sz w:val="32"/>
          <w:szCs w:val="32"/>
          <w:highlight w:val="none"/>
        </w:rPr>
        <w:t>（四）预算绩效管理情况</w:t>
      </w:r>
    </w:p>
    <w:p>
      <w:pPr>
        <w:widowControl/>
        <w:ind w:firstLine="640" w:firstLineChars="200"/>
        <w:jc w:val="left"/>
        <w:rPr>
          <w:rFonts w:ascii="仿宋_GB2312" w:eastAsia="仿宋_GB2312"/>
          <w:b/>
          <w:color w:val="auto"/>
          <w:sz w:val="32"/>
          <w:szCs w:val="32"/>
          <w:highlight w:val="none"/>
        </w:rPr>
      </w:pPr>
      <w:r>
        <w:rPr>
          <w:rFonts w:hint="eastAsia" w:ascii="仿宋_GB2312" w:eastAsia="仿宋_GB2312"/>
          <w:b w:val="0"/>
          <w:bCs/>
          <w:color w:val="auto"/>
          <w:sz w:val="32"/>
          <w:szCs w:val="32"/>
          <w:highlight w:val="none"/>
        </w:rPr>
        <w:t>根据预算绩效管理要求，本单位在2022年度预算编制阶段，组织7个项目编制了绩效目标，预算执行过程中，选取7个项目开展绩效监控，组织对7个项目开展绩效自评，绩效自评表详见第四部分附件。</w:t>
      </w:r>
      <w:r>
        <w:rPr>
          <w:rFonts w:ascii="仿宋_GB2312" w:eastAsia="仿宋_GB2312"/>
          <w:b/>
          <w:color w:val="auto"/>
          <w:sz w:val="32"/>
          <w:szCs w:val="32"/>
          <w:highlight w:val="none"/>
        </w:rPr>
        <w:br w:type="page"/>
      </w:r>
    </w:p>
    <w:p>
      <w:pPr>
        <w:numPr>
          <w:ilvl w:val="0"/>
          <w:numId w:val="3"/>
        </w:numPr>
        <w:spacing w:line="600" w:lineRule="exact"/>
        <w:ind w:firstLine="660" w:firstLineChars="150"/>
        <w:jc w:val="center"/>
        <w:outlineLvl w:val="0"/>
        <w:rPr>
          <w:rStyle w:val="24"/>
          <w:rFonts w:ascii="黑体" w:hAnsi="黑体" w:eastAsia="黑体"/>
          <w:b w:val="0"/>
          <w:color w:val="auto"/>
          <w:highlight w:val="none"/>
        </w:rPr>
      </w:pPr>
      <w:bookmarkStart w:id="49" w:name="_Toc15377225"/>
      <w:bookmarkStart w:id="50" w:name="_Toc15396613"/>
      <w:r>
        <w:rPr>
          <w:rFonts w:hint="eastAsia" w:ascii="黑体" w:hAnsi="黑体" w:eastAsia="黑体"/>
          <w:color w:val="auto"/>
          <w:sz w:val="44"/>
          <w:szCs w:val="44"/>
          <w:highlight w:val="none"/>
        </w:rPr>
        <w:t>名</w:t>
      </w:r>
      <w:r>
        <w:rPr>
          <w:rStyle w:val="24"/>
          <w:rFonts w:hint="eastAsia" w:ascii="黑体" w:hAnsi="黑体" w:eastAsia="黑体"/>
          <w:b w:val="0"/>
          <w:color w:val="auto"/>
          <w:highlight w:val="none"/>
        </w:rPr>
        <w:t>词解释</w:t>
      </w:r>
      <w:bookmarkEnd w:id="49"/>
      <w:bookmarkEnd w:id="50"/>
    </w:p>
    <w:p>
      <w:pPr>
        <w:spacing w:line="600" w:lineRule="exact"/>
        <w:jc w:val="left"/>
        <w:rPr>
          <w:rFonts w:ascii="宋体"/>
          <w:b/>
          <w:color w:val="auto"/>
          <w:sz w:val="44"/>
          <w:szCs w:val="44"/>
          <w:highlight w:val="none"/>
        </w:rPr>
      </w:pPr>
    </w:p>
    <w:p>
      <w:pPr>
        <w:pStyle w:val="22"/>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1.</w:t>
      </w:r>
      <w:r>
        <w:rPr>
          <w:rFonts w:hint="eastAsia" w:ascii="仿宋_GB2312" w:eastAsia="仿宋_GB2312"/>
          <w:color w:val="auto"/>
          <w:sz w:val="32"/>
          <w:szCs w:val="32"/>
          <w:highlight w:val="none"/>
        </w:rPr>
        <w:t>财政拨款收入：指单位从同级财政部门取得的财政预算资金。</w:t>
      </w:r>
    </w:p>
    <w:p>
      <w:pPr>
        <w:pStyle w:val="22"/>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2.</w:t>
      </w:r>
      <w:r>
        <w:rPr>
          <w:rFonts w:hint="eastAsia" w:ascii="仿宋_GB2312" w:eastAsia="仿宋_GB2312"/>
          <w:color w:val="auto"/>
          <w:sz w:val="32"/>
          <w:szCs w:val="32"/>
          <w:highlight w:val="none"/>
        </w:rPr>
        <w:t>事业收入：指事业单位开展专业业务活动及辅助活动取得的收入。</w:t>
      </w:r>
    </w:p>
    <w:p>
      <w:pPr>
        <w:pStyle w:val="22"/>
        <w:spacing w:line="560" w:lineRule="exact"/>
        <w:ind w:firstLine="640" w:firstLineChars="200"/>
        <w:rPr>
          <w:rFonts w:hint="eastAsia" w:ascii="仿宋_GB2312" w:eastAsia="仿宋_GB2312"/>
          <w:color w:val="auto"/>
          <w:sz w:val="32"/>
          <w:szCs w:val="32"/>
          <w:highlight w:val="none"/>
        </w:rPr>
      </w:pPr>
      <w:r>
        <w:rPr>
          <w:rFonts w:ascii="仿宋_GB2312" w:eastAsia="仿宋_GB2312"/>
          <w:color w:val="auto"/>
          <w:sz w:val="32"/>
          <w:szCs w:val="32"/>
          <w:highlight w:val="none"/>
        </w:rPr>
        <w:t>3.</w:t>
      </w:r>
      <w:r>
        <w:rPr>
          <w:rFonts w:hint="eastAsia" w:ascii="仿宋_GB2312" w:eastAsia="仿宋_GB2312"/>
          <w:color w:val="auto"/>
          <w:sz w:val="32"/>
          <w:szCs w:val="32"/>
          <w:highlight w:val="none"/>
        </w:rPr>
        <w:t>经营收入：指事业单位在专业业务活动及其辅助活动之外开展非独立核算经营活动取得的收入。</w:t>
      </w:r>
    </w:p>
    <w:p>
      <w:pPr>
        <w:pStyle w:val="22"/>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4.</w:t>
      </w:r>
      <w:r>
        <w:rPr>
          <w:rFonts w:hint="eastAsia" w:ascii="仿宋_GB2312" w:eastAsia="仿宋_GB2312"/>
          <w:color w:val="auto"/>
          <w:sz w:val="32"/>
          <w:szCs w:val="32"/>
          <w:highlight w:val="none"/>
        </w:rPr>
        <w:t>其他收入：指单位取得的除上述收入以外的各项收入。</w:t>
      </w:r>
    </w:p>
    <w:p>
      <w:pPr>
        <w:pStyle w:val="22"/>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5.</w:t>
      </w:r>
      <w:r>
        <w:rPr>
          <w:rFonts w:hint="eastAsia" w:ascii="仿宋_GB2312" w:eastAsia="仿宋_GB2312"/>
          <w:color w:val="auto"/>
          <w:sz w:val="32"/>
          <w:szCs w:val="32"/>
          <w:highlight w:val="none"/>
          <w:lang w:eastAsia="zh-CN"/>
        </w:rPr>
        <w:t>使用非财政拨款结余</w:t>
      </w:r>
      <w:r>
        <w:rPr>
          <w:rFonts w:hint="eastAsia" w:ascii="仿宋_GB2312" w:eastAsia="仿宋_GB2312"/>
          <w:color w:val="auto"/>
          <w:sz w:val="32"/>
          <w:szCs w:val="32"/>
          <w:highlight w:val="none"/>
        </w:rPr>
        <w:t>：指事业单位</w:t>
      </w:r>
      <w:r>
        <w:rPr>
          <w:rFonts w:hint="eastAsia" w:ascii="仿宋_GB2312" w:eastAsia="仿宋_GB2312"/>
          <w:color w:val="auto"/>
          <w:sz w:val="32"/>
          <w:szCs w:val="32"/>
          <w:highlight w:val="none"/>
          <w:lang w:eastAsia="zh-CN"/>
        </w:rPr>
        <w:t>使用以前年度积累的非财政拨款结余弥补当年收支差额的金额。</w:t>
      </w:r>
      <w:r>
        <w:rPr>
          <w:rFonts w:ascii="仿宋_GB2312" w:eastAsia="仿宋_GB2312"/>
          <w:color w:val="auto"/>
          <w:sz w:val="32"/>
          <w:szCs w:val="32"/>
          <w:highlight w:val="none"/>
        </w:rPr>
        <w:t xml:space="preserve"> </w:t>
      </w:r>
    </w:p>
    <w:p>
      <w:pPr>
        <w:pStyle w:val="22"/>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6.</w:t>
      </w:r>
      <w:r>
        <w:rPr>
          <w:rFonts w:hint="eastAsia" w:ascii="仿宋_GB2312" w:eastAsia="仿宋_GB2312"/>
          <w:color w:val="auto"/>
          <w:sz w:val="32"/>
          <w:szCs w:val="32"/>
          <w:highlight w:val="none"/>
        </w:rPr>
        <w:t>年初结转和结余：指以前年度尚未完成、结转到本年按有关规定继续使用的资金。</w:t>
      </w:r>
      <w:r>
        <w:rPr>
          <w:rFonts w:ascii="仿宋_GB2312" w:eastAsia="仿宋_GB2312"/>
          <w:color w:val="auto"/>
          <w:sz w:val="32"/>
          <w:szCs w:val="32"/>
          <w:highlight w:val="none"/>
        </w:rPr>
        <w:t xml:space="preserve"> </w:t>
      </w:r>
    </w:p>
    <w:p>
      <w:pPr>
        <w:pStyle w:val="22"/>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7.</w:t>
      </w:r>
      <w:r>
        <w:rPr>
          <w:rFonts w:hint="eastAsia" w:ascii="仿宋_GB2312" w:eastAsia="仿宋_GB2312"/>
          <w:color w:val="auto"/>
          <w:sz w:val="32"/>
          <w:szCs w:val="32"/>
          <w:highlight w:val="none"/>
        </w:rPr>
        <w:t>结余分配：指事业单位按照会计制度规定</w:t>
      </w:r>
      <w:r>
        <w:rPr>
          <w:rFonts w:hint="eastAsia" w:ascii="仿宋_GB2312" w:eastAsia="仿宋_GB2312"/>
          <w:color w:val="auto"/>
          <w:sz w:val="32"/>
          <w:szCs w:val="32"/>
          <w:highlight w:val="none"/>
          <w:lang w:eastAsia="zh-CN"/>
        </w:rPr>
        <w:t>缴纳的所得税、提取的专用结余以及转入非财政拨款结余的金额</w:t>
      </w:r>
      <w:r>
        <w:rPr>
          <w:rFonts w:hint="eastAsia" w:ascii="仿宋_GB2312" w:eastAsia="仿宋_GB2312"/>
          <w:color w:val="auto"/>
          <w:sz w:val="32"/>
          <w:szCs w:val="32"/>
          <w:highlight w:val="none"/>
        </w:rPr>
        <w:t>等。</w:t>
      </w:r>
    </w:p>
    <w:p>
      <w:pPr>
        <w:pStyle w:val="22"/>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8</w:t>
      </w:r>
      <w:r>
        <w:rPr>
          <w:rFonts w:hint="eastAsia" w:ascii="仿宋_GB2312" w:eastAsia="仿宋_GB2312"/>
          <w:color w:val="auto"/>
          <w:sz w:val="32"/>
          <w:szCs w:val="32"/>
          <w:highlight w:val="none"/>
          <w:lang w:val="en-US" w:eastAsia="zh-CN"/>
        </w:rPr>
        <w:t>.</w:t>
      </w:r>
      <w:r>
        <w:rPr>
          <w:rFonts w:hint="eastAsia" w:ascii="仿宋_GB2312" w:eastAsia="仿宋_GB2312"/>
          <w:color w:val="auto"/>
          <w:sz w:val="32"/>
          <w:szCs w:val="32"/>
          <w:highlight w:val="none"/>
        </w:rPr>
        <w:t>年末结转和结余：指单位按有关规定结转到下年或以后年度继续使用的资金。</w:t>
      </w:r>
    </w:p>
    <w:p>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9</w:t>
      </w:r>
      <w:r>
        <w:rPr>
          <w:rFonts w:ascii="仿宋_GB2312" w:eastAsia="仿宋_GB2312"/>
          <w:color w:val="auto"/>
          <w:sz w:val="32"/>
          <w:szCs w:val="32"/>
          <w:highlight w:val="none"/>
        </w:rPr>
        <w:t>.</w:t>
      </w:r>
      <w:r>
        <w:rPr>
          <w:rFonts w:hint="eastAsia" w:ascii="仿宋_GB2312" w:eastAsia="仿宋_GB2312"/>
          <w:color w:val="auto"/>
          <w:sz w:val="32"/>
          <w:szCs w:val="32"/>
          <w:highlight w:val="none"/>
        </w:rPr>
        <w:t>住房保障（</w:t>
      </w:r>
      <w:r>
        <w:rPr>
          <w:rFonts w:hint="eastAsia" w:ascii="仿宋_GB2312" w:eastAsia="仿宋_GB2312"/>
          <w:color w:val="auto"/>
          <w:sz w:val="32"/>
          <w:szCs w:val="32"/>
          <w:highlight w:val="none"/>
          <w:lang w:val="en-US" w:eastAsia="zh-CN"/>
        </w:rPr>
        <w:t>221</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val="en-US" w:eastAsia="zh-CN"/>
        </w:rPr>
        <w:t>住房改革支出</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val="en-US" w:eastAsia="zh-CN"/>
        </w:rPr>
        <w:t>02</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val="en-US" w:eastAsia="zh-CN"/>
        </w:rPr>
        <w:t>住房公积金</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val="en-US" w:eastAsia="zh-CN"/>
        </w:rPr>
        <w:t>01</w:t>
      </w:r>
      <w:r>
        <w:rPr>
          <w:rFonts w:hint="eastAsia" w:ascii="仿宋_GB2312" w:eastAsia="仿宋_GB2312"/>
          <w:color w:val="auto"/>
          <w:sz w:val="32"/>
          <w:szCs w:val="32"/>
          <w:highlight w:val="none"/>
        </w:rPr>
        <w:t>）：指</w:t>
      </w:r>
      <w:r>
        <w:rPr>
          <w:rFonts w:hint="eastAsia" w:ascii="仿宋_GB2312" w:eastAsia="仿宋_GB2312"/>
          <w:color w:val="auto"/>
          <w:sz w:val="32"/>
          <w:szCs w:val="32"/>
          <w:highlight w:val="none"/>
          <w:lang w:val="en-US" w:eastAsia="zh-CN"/>
        </w:rPr>
        <w:t>反映行政事业单位按人力资源和社会保障部、财政部规定的基本工资和津补贴以及规定比例为职工缴纳的住房公积金</w:t>
      </w:r>
      <w:r>
        <w:rPr>
          <w:rFonts w:hint="eastAsia" w:ascii="仿宋_GB2312" w:eastAsia="仿宋_GB2312"/>
          <w:color w:val="auto"/>
          <w:sz w:val="32"/>
          <w:szCs w:val="32"/>
          <w:highlight w:val="none"/>
        </w:rPr>
        <w:t>。</w:t>
      </w:r>
    </w:p>
    <w:p>
      <w:pPr>
        <w:spacing w:line="600" w:lineRule="exact"/>
        <w:ind w:firstLine="640"/>
        <w:rPr>
          <w:rFonts w:ascii="仿宋" w:hAnsi="仿宋" w:eastAsia="仿宋"/>
          <w:b/>
          <w:color w:val="auto"/>
          <w:sz w:val="32"/>
          <w:szCs w:val="32"/>
          <w:highlight w:val="none"/>
        </w:rPr>
      </w:pPr>
      <w:r>
        <w:rPr>
          <w:rFonts w:hint="eastAsia" w:ascii="仿宋" w:hAnsi="仿宋" w:eastAsia="仿宋"/>
          <w:b/>
          <w:color w:val="auto"/>
          <w:sz w:val="32"/>
          <w:szCs w:val="32"/>
          <w:highlight w:val="none"/>
        </w:rPr>
        <w:t>（解释本</w:t>
      </w:r>
      <w:r>
        <w:rPr>
          <w:rFonts w:hint="eastAsia" w:ascii="仿宋" w:hAnsi="仿宋" w:eastAsia="仿宋"/>
          <w:b/>
          <w:color w:val="auto"/>
          <w:sz w:val="32"/>
          <w:szCs w:val="32"/>
          <w:highlight w:val="none"/>
          <w:lang w:eastAsia="zh-CN"/>
        </w:rPr>
        <w:t>单位</w:t>
      </w:r>
      <w:r>
        <w:rPr>
          <w:rFonts w:hint="eastAsia" w:ascii="仿宋" w:hAnsi="仿宋" w:eastAsia="仿宋"/>
          <w:b/>
          <w:color w:val="auto"/>
          <w:sz w:val="32"/>
          <w:szCs w:val="32"/>
          <w:highlight w:val="none"/>
        </w:rPr>
        <w:t>决算报表中</w:t>
      </w:r>
      <w:r>
        <w:rPr>
          <w:rFonts w:hint="eastAsia" w:ascii="仿宋" w:hAnsi="仿宋" w:eastAsia="仿宋"/>
          <w:b/>
          <w:color w:val="auto"/>
          <w:sz w:val="32"/>
          <w:szCs w:val="32"/>
          <w:highlight w:val="none"/>
          <w:lang w:eastAsia="zh-CN"/>
        </w:rPr>
        <w:t>涉及的</w:t>
      </w:r>
      <w:r>
        <w:rPr>
          <w:rFonts w:hint="eastAsia" w:ascii="仿宋" w:hAnsi="仿宋" w:eastAsia="仿宋"/>
          <w:b/>
          <w:color w:val="auto"/>
          <w:sz w:val="32"/>
          <w:szCs w:val="32"/>
          <w:highlight w:val="none"/>
        </w:rPr>
        <w:t>全部功能分类科目至项级，</w:t>
      </w:r>
      <w:r>
        <w:rPr>
          <w:rFonts w:hint="eastAsia" w:ascii="仿宋" w:hAnsi="仿宋" w:eastAsia="仿宋"/>
          <w:b/>
          <w:color w:val="auto"/>
          <w:sz w:val="32"/>
          <w:szCs w:val="32"/>
          <w:highlight w:val="none"/>
          <w:lang w:eastAsia="zh-CN"/>
        </w:rPr>
        <w:t>不涉及的科目请自行删除。</w:t>
      </w:r>
      <w:r>
        <w:rPr>
          <w:rFonts w:hint="eastAsia" w:ascii="仿宋" w:hAnsi="仿宋" w:eastAsia="仿宋"/>
          <w:b/>
          <w:color w:val="auto"/>
          <w:sz w:val="32"/>
          <w:szCs w:val="32"/>
          <w:highlight w:val="none"/>
        </w:rPr>
        <w:t>请参照《</w:t>
      </w:r>
      <w:r>
        <w:rPr>
          <w:rFonts w:ascii="仿宋" w:hAnsi="仿宋" w:eastAsia="仿宋"/>
          <w:b/>
          <w:color w:val="auto"/>
          <w:sz w:val="32"/>
          <w:szCs w:val="32"/>
          <w:highlight w:val="none"/>
        </w:rPr>
        <w:t>20</w:t>
      </w:r>
      <w:r>
        <w:rPr>
          <w:rFonts w:hint="eastAsia" w:ascii="仿宋" w:hAnsi="仿宋" w:eastAsia="仿宋"/>
          <w:b/>
          <w:color w:val="auto"/>
          <w:sz w:val="32"/>
          <w:szCs w:val="32"/>
          <w:highlight w:val="none"/>
          <w:lang w:val="en-US" w:eastAsia="zh-CN"/>
        </w:rPr>
        <w:t>22</w:t>
      </w:r>
      <w:r>
        <w:rPr>
          <w:rFonts w:hint="eastAsia" w:ascii="仿宋" w:hAnsi="仿宋" w:eastAsia="仿宋"/>
          <w:b/>
          <w:color w:val="auto"/>
          <w:sz w:val="32"/>
          <w:szCs w:val="32"/>
          <w:highlight w:val="none"/>
        </w:rPr>
        <w:t>年政府收支分类科目》增减内容。）</w:t>
      </w:r>
    </w:p>
    <w:p>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10</w:t>
      </w:r>
      <w:r>
        <w:rPr>
          <w:rFonts w:ascii="仿宋_GB2312" w:eastAsia="仿宋_GB2312"/>
          <w:color w:val="auto"/>
          <w:sz w:val="32"/>
          <w:szCs w:val="32"/>
          <w:highlight w:val="none"/>
        </w:rPr>
        <w:t>.</w:t>
      </w:r>
      <w:r>
        <w:rPr>
          <w:rFonts w:hint="eastAsia" w:ascii="仿宋_GB2312" w:eastAsia="仿宋_GB2312"/>
          <w:color w:val="auto"/>
          <w:sz w:val="32"/>
          <w:szCs w:val="32"/>
          <w:highlight w:val="none"/>
        </w:rPr>
        <w:t>基本支出：指为保障机构正常运转、完成日常工作任务而发生的人员支出和公用支出。</w:t>
      </w:r>
    </w:p>
    <w:p>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11</w:t>
      </w:r>
      <w:r>
        <w:rPr>
          <w:rFonts w:ascii="仿宋_GB2312" w:eastAsia="仿宋_GB2312"/>
          <w:color w:val="auto"/>
          <w:sz w:val="32"/>
          <w:szCs w:val="32"/>
          <w:highlight w:val="none"/>
        </w:rPr>
        <w:t>.</w:t>
      </w:r>
      <w:r>
        <w:rPr>
          <w:rFonts w:hint="eastAsia" w:ascii="仿宋_GB2312" w:eastAsia="仿宋_GB2312"/>
          <w:color w:val="auto"/>
          <w:sz w:val="32"/>
          <w:szCs w:val="32"/>
          <w:highlight w:val="none"/>
        </w:rPr>
        <w:t>项目支出：指在基本支出之外为完成特定行政任务和事业发展目标所发生的支出。</w:t>
      </w:r>
      <w:r>
        <w:rPr>
          <w:rFonts w:ascii="仿宋_GB2312" w:eastAsia="仿宋_GB2312"/>
          <w:color w:val="auto"/>
          <w:sz w:val="32"/>
          <w:szCs w:val="32"/>
          <w:highlight w:val="none"/>
        </w:rPr>
        <w:t xml:space="preserve"> </w:t>
      </w:r>
    </w:p>
    <w:p>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12</w:t>
      </w:r>
      <w:r>
        <w:rPr>
          <w:rFonts w:ascii="仿宋_GB2312" w:eastAsia="仿宋_GB2312"/>
          <w:color w:val="auto"/>
          <w:sz w:val="32"/>
          <w:szCs w:val="32"/>
          <w:highlight w:val="none"/>
        </w:rPr>
        <w:t>.</w:t>
      </w:r>
      <w:r>
        <w:rPr>
          <w:rFonts w:hint="eastAsia" w:ascii="仿宋_GB2312" w:eastAsia="仿宋_GB2312"/>
          <w:color w:val="auto"/>
          <w:sz w:val="32"/>
          <w:szCs w:val="32"/>
          <w:highlight w:val="none"/>
        </w:rPr>
        <w:t>经营支出：指事业单位在专业业务活动及其辅助活动之外开展非独立核算经营活动发生的支出。</w:t>
      </w:r>
    </w:p>
    <w:p>
      <w:pPr>
        <w:pStyle w:val="22"/>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13</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“三公”经费：指</w:t>
      </w:r>
      <w:r>
        <w:rPr>
          <w:rFonts w:hint="eastAsia" w:ascii="仿宋_GB2312" w:eastAsia="仿宋_GB2312"/>
          <w:color w:val="auto"/>
          <w:sz w:val="32"/>
          <w:szCs w:val="32"/>
          <w:highlight w:val="none"/>
          <w:lang w:eastAsia="zh-CN"/>
        </w:rPr>
        <w:t>单位</w:t>
      </w:r>
      <w:r>
        <w:rPr>
          <w:rFonts w:hint="eastAsia" w:ascii="仿宋_GB2312" w:eastAsia="仿宋_GB2312"/>
          <w:color w:val="auto"/>
          <w:sz w:val="32"/>
          <w:szCs w:val="32"/>
          <w:highlight w:val="none"/>
        </w:rPr>
        <w:t>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2"/>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14</w:t>
      </w:r>
      <w:r>
        <w:rPr>
          <w:rFonts w:ascii="仿宋_GB2312" w:eastAsia="仿宋_GB2312"/>
          <w:color w:val="auto"/>
          <w:sz w:val="32"/>
          <w:szCs w:val="32"/>
          <w:highlight w:val="none"/>
        </w:rPr>
        <w:t>.</w:t>
      </w:r>
      <w:r>
        <w:rPr>
          <w:rFonts w:hint="eastAsia" w:ascii="仿宋_GB2312" w:eastAsia="仿宋_GB2312"/>
          <w:color w:val="auto"/>
          <w:sz w:val="32"/>
          <w:szCs w:val="32"/>
          <w:highlight w:val="none"/>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22"/>
        <w:spacing w:line="560" w:lineRule="exact"/>
        <w:ind w:firstLine="640" w:firstLineChars="200"/>
        <w:rPr>
          <w:rFonts w:ascii="仿宋_GB2312" w:eastAsia="仿宋_GB2312" w:cs="黑体"/>
          <w:color w:val="auto"/>
          <w:sz w:val="32"/>
          <w:szCs w:val="32"/>
          <w:highlight w:val="none"/>
        </w:rPr>
      </w:pPr>
    </w:p>
    <w:p>
      <w:pPr>
        <w:ind w:firstLine="643" w:firstLineChars="200"/>
        <w:rPr>
          <w:rFonts w:ascii="仿宋" w:hAnsi="仿宋" w:eastAsia="仿宋"/>
          <w:b/>
          <w:color w:val="auto"/>
          <w:sz w:val="32"/>
          <w:szCs w:val="32"/>
          <w:highlight w:val="none"/>
        </w:rPr>
      </w:pPr>
      <w:r>
        <w:rPr>
          <w:rFonts w:hint="eastAsia" w:ascii="仿宋" w:hAnsi="仿宋" w:eastAsia="仿宋"/>
          <w:b/>
          <w:color w:val="auto"/>
          <w:sz w:val="32"/>
          <w:szCs w:val="32"/>
          <w:highlight w:val="none"/>
        </w:rPr>
        <w:t>（名词解释部分请根据各</w:t>
      </w:r>
      <w:r>
        <w:rPr>
          <w:rFonts w:hint="eastAsia" w:ascii="仿宋" w:hAnsi="仿宋" w:eastAsia="仿宋"/>
          <w:b/>
          <w:color w:val="auto"/>
          <w:sz w:val="32"/>
          <w:szCs w:val="32"/>
          <w:highlight w:val="none"/>
          <w:lang w:eastAsia="zh-CN"/>
        </w:rPr>
        <w:t>单位</w:t>
      </w:r>
      <w:r>
        <w:rPr>
          <w:rFonts w:hint="eastAsia" w:ascii="仿宋" w:hAnsi="仿宋" w:eastAsia="仿宋"/>
          <w:b/>
          <w:color w:val="auto"/>
          <w:sz w:val="32"/>
          <w:szCs w:val="32"/>
          <w:highlight w:val="none"/>
        </w:rPr>
        <w:t>实际列支情况罗列，并根据本</w:t>
      </w:r>
      <w:r>
        <w:rPr>
          <w:rFonts w:hint="eastAsia" w:ascii="仿宋" w:hAnsi="仿宋" w:eastAsia="仿宋"/>
          <w:b/>
          <w:color w:val="auto"/>
          <w:sz w:val="32"/>
          <w:szCs w:val="32"/>
          <w:highlight w:val="none"/>
          <w:lang w:eastAsia="zh-CN"/>
        </w:rPr>
        <w:t>单位</w:t>
      </w:r>
      <w:r>
        <w:rPr>
          <w:rFonts w:hint="eastAsia" w:ascii="仿宋" w:hAnsi="仿宋" w:eastAsia="仿宋"/>
          <w:b/>
          <w:color w:val="auto"/>
          <w:sz w:val="32"/>
          <w:szCs w:val="32"/>
          <w:highlight w:val="none"/>
        </w:rPr>
        <w:t>职责职能增减名词解释内容。）</w:t>
      </w:r>
    </w:p>
    <w:p>
      <w:pPr>
        <w:spacing w:line="600" w:lineRule="exact"/>
        <w:jc w:val="center"/>
        <w:outlineLvl w:val="0"/>
        <w:rPr>
          <w:rStyle w:val="24"/>
          <w:rFonts w:ascii="黑体" w:hAnsi="黑体" w:eastAsia="黑体"/>
          <w:b w:val="0"/>
          <w:color w:val="auto"/>
          <w:highlight w:val="none"/>
        </w:rPr>
      </w:pPr>
      <w:bookmarkStart w:id="51" w:name="_Toc15377226"/>
      <w:r>
        <w:rPr>
          <w:rFonts w:ascii="宋体"/>
          <w:b/>
          <w:color w:val="auto"/>
          <w:sz w:val="44"/>
          <w:szCs w:val="44"/>
          <w:highlight w:val="none"/>
        </w:rPr>
        <w:br w:type="page"/>
      </w:r>
      <w:bookmarkStart w:id="52" w:name="_Toc15396614"/>
      <w:r>
        <w:rPr>
          <w:rFonts w:hint="eastAsia" w:ascii="黑体" w:hAnsi="黑体" w:eastAsia="黑体"/>
          <w:color w:val="auto"/>
          <w:sz w:val="44"/>
          <w:szCs w:val="44"/>
          <w:highlight w:val="none"/>
        </w:rPr>
        <w:t>第</w:t>
      </w:r>
      <w:r>
        <w:rPr>
          <w:rStyle w:val="24"/>
          <w:rFonts w:hint="eastAsia" w:ascii="黑体" w:hAnsi="黑体" w:eastAsia="黑体"/>
          <w:b w:val="0"/>
          <w:color w:val="auto"/>
          <w:highlight w:val="none"/>
        </w:rPr>
        <w:t>四部分 附件</w:t>
      </w:r>
      <w:bookmarkEnd w:id="52"/>
    </w:p>
    <w:p>
      <w:pPr>
        <w:keepNext w:val="0"/>
        <w:keepLines w:val="0"/>
        <w:pageBreakBefore w:val="0"/>
        <w:kinsoku/>
        <w:wordWrap/>
        <w:overflowPunct/>
        <w:topLinePunct w:val="0"/>
        <w:autoSpaceDE/>
        <w:autoSpaceDN/>
        <w:bidi w:val="0"/>
        <w:spacing w:line="572" w:lineRule="exact"/>
        <w:jc w:val="left"/>
        <w:textAlignment w:val="auto"/>
        <w:outlineLvl w:val="0"/>
        <w:rPr>
          <w:rFonts w:ascii="仿宋_GB2312" w:hAnsi="仿宋_GB2312" w:eastAsia="仿宋_GB2312" w:cs="仿宋_GB2312"/>
          <w:color w:val="auto"/>
          <w:sz w:val="32"/>
          <w:szCs w:val="32"/>
          <w:highlight w:val="none"/>
        </w:rPr>
      </w:pPr>
    </w:p>
    <w:p>
      <w:pPr>
        <w:spacing w:line="600" w:lineRule="exact"/>
        <w:jc w:val="center"/>
        <w:outlineLvl w:val="0"/>
        <w:rPr>
          <w:rFonts w:hint="eastAsia" w:ascii="宋体" w:hAnsi="宋体" w:eastAsia="宋体" w:cs="宋体"/>
          <w:color w:val="auto"/>
          <w:kern w:val="0"/>
          <w:sz w:val="32"/>
          <w:szCs w:val="32"/>
          <w:highlight w:val="none"/>
          <w:lang w:val="en-US" w:eastAsia="zh-CN" w:bidi="ar-SA"/>
        </w:rPr>
      </w:pPr>
      <w:bookmarkStart w:id="53" w:name="_Toc15396618"/>
      <w:r>
        <w:rPr>
          <w:rFonts w:hint="eastAsia" w:ascii="宋体" w:hAnsi="宋体" w:eastAsia="宋体" w:cs="宋体"/>
          <w:color w:val="auto"/>
          <w:kern w:val="0"/>
          <w:sz w:val="32"/>
          <w:szCs w:val="32"/>
          <w:highlight w:val="none"/>
          <w:lang w:val="en-US" w:eastAsia="zh-CN" w:bidi="ar-SA"/>
        </w:rPr>
        <w:t>部门预算项目支出绩效自评表（2022年度）</w:t>
      </w:r>
    </w:p>
    <w:p>
      <w:pPr>
        <w:spacing w:line="600" w:lineRule="exact"/>
        <w:jc w:val="left"/>
        <w:outlineLvl w:val="0"/>
        <w:rPr>
          <w:rFonts w:hint="eastAsia" w:ascii="仿宋_GB2312" w:hAnsi="Calibri" w:eastAsia="仿宋_GB2312" w:cs="仿宋"/>
          <w:color w:val="auto"/>
          <w:kern w:val="0"/>
          <w:sz w:val="32"/>
          <w:szCs w:val="32"/>
          <w:highlight w:val="none"/>
          <w:lang w:val="en-US" w:eastAsia="zh-CN" w:bidi="ar-SA"/>
        </w:rPr>
      </w:pPr>
    </w:p>
    <w:p>
      <w:pPr>
        <w:pStyle w:val="6"/>
        <w:rPr>
          <w:rFonts w:hint="eastAsia" w:ascii="仿宋_GB2312" w:hAnsi="Calibri" w:eastAsia="仿宋_GB2312" w:cs="仿宋"/>
          <w:color w:val="auto"/>
          <w:kern w:val="0"/>
          <w:sz w:val="32"/>
          <w:szCs w:val="32"/>
          <w:highlight w:val="none"/>
          <w:lang w:val="en-US" w:eastAsia="zh-CN" w:bidi="ar-SA"/>
        </w:rPr>
      </w:pPr>
    </w:p>
    <w:p>
      <w:pPr>
        <w:pStyle w:val="6"/>
        <w:rPr>
          <w:rFonts w:hint="eastAsia" w:ascii="仿宋_GB2312" w:hAnsi="Calibri" w:eastAsia="仿宋_GB2312" w:cs="仿宋"/>
          <w:color w:val="auto"/>
          <w:kern w:val="0"/>
          <w:sz w:val="32"/>
          <w:szCs w:val="32"/>
          <w:highlight w:val="none"/>
          <w:lang w:val="en-US" w:eastAsia="zh-CN" w:bidi="ar-SA"/>
        </w:rPr>
      </w:pPr>
    </w:p>
    <w:p>
      <w:pPr>
        <w:pStyle w:val="6"/>
        <w:rPr>
          <w:rFonts w:hint="eastAsia" w:ascii="仿宋_GB2312" w:hAnsi="Calibri" w:eastAsia="仿宋_GB2312" w:cs="仿宋"/>
          <w:color w:val="auto"/>
          <w:kern w:val="0"/>
          <w:sz w:val="32"/>
          <w:szCs w:val="32"/>
          <w:highlight w:val="none"/>
          <w:lang w:val="en-US" w:eastAsia="zh-CN" w:bidi="ar-SA"/>
        </w:rPr>
      </w:pPr>
    </w:p>
    <w:p>
      <w:pPr>
        <w:pStyle w:val="6"/>
        <w:rPr>
          <w:rFonts w:hint="eastAsia" w:ascii="仿宋_GB2312" w:hAnsi="Calibri" w:eastAsia="仿宋_GB2312" w:cs="仿宋"/>
          <w:color w:val="auto"/>
          <w:kern w:val="0"/>
          <w:sz w:val="32"/>
          <w:szCs w:val="32"/>
          <w:highlight w:val="none"/>
          <w:lang w:val="en-US" w:eastAsia="zh-CN" w:bidi="ar-SA"/>
        </w:rPr>
      </w:pPr>
    </w:p>
    <w:p>
      <w:pPr>
        <w:pStyle w:val="6"/>
        <w:rPr>
          <w:rFonts w:hint="eastAsia" w:ascii="仿宋_GB2312" w:hAnsi="Calibri" w:eastAsia="仿宋_GB2312" w:cs="仿宋"/>
          <w:color w:val="auto"/>
          <w:kern w:val="0"/>
          <w:sz w:val="32"/>
          <w:szCs w:val="32"/>
          <w:highlight w:val="none"/>
          <w:lang w:val="en-US" w:eastAsia="zh-CN" w:bidi="ar-SA"/>
        </w:rPr>
      </w:pPr>
    </w:p>
    <w:p>
      <w:pPr>
        <w:pStyle w:val="6"/>
        <w:rPr>
          <w:rFonts w:hint="eastAsia" w:ascii="仿宋_GB2312" w:hAnsi="Calibri" w:eastAsia="仿宋_GB2312" w:cs="仿宋"/>
          <w:color w:val="auto"/>
          <w:kern w:val="0"/>
          <w:sz w:val="32"/>
          <w:szCs w:val="32"/>
          <w:highlight w:val="none"/>
          <w:lang w:val="en-US" w:eastAsia="zh-CN" w:bidi="ar-SA"/>
        </w:rPr>
      </w:pPr>
    </w:p>
    <w:p>
      <w:pPr>
        <w:pStyle w:val="6"/>
        <w:rPr>
          <w:rFonts w:hint="eastAsia" w:ascii="仿宋_GB2312" w:hAnsi="Calibri" w:eastAsia="仿宋_GB2312" w:cs="仿宋"/>
          <w:color w:val="auto"/>
          <w:kern w:val="0"/>
          <w:sz w:val="32"/>
          <w:szCs w:val="32"/>
          <w:highlight w:val="none"/>
          <w:lang w:val="en-US" w:eastAsia="zh-CN" w:bidi="ar-SA"/>
        </w:rPr>
      </w:pPr>
    </w:p>
    <w:p>
      <w:pPr>
        <w:pStyle w:val="6"/>
        <w:rPr>
          <w:rFonts w:hint="eastAsia" w:ascii="仿宋_GB2312" w:hAnsi="Calibri" w:eastAsia="仿宋_GB2312" w:cs="仿宋"/>
          <w:color w:val="auto"/>
          <w:kern w:val="0"/>
          <w:sz w:val="32"/>
          <w:szCs w:val="32"/>
          <w:highlight w:val="none"/>
          <w:lang w:val="en-US" w:eastAsia="zh-CN" w:bidi="ar-SA"/>
        </w:rPr>
      </w:pPr>
    </w:p>
    <w:p>
      <w:pPr>
        <w:pStyle w:val="6"/>
        <w:rPr>
          <w:rFonts w:hint="eastAsia" w:ascii="仿宋_GB2312" w:hAnsi="Calibri" w:eastAsia="仿宋_GB2312" w:cs="仿宋"/>
          <w:color w:val="auto"/>
          <w:kern w:val="0"/>
          <w:sz w:val="32"/>
          <w:szCs w:val="32"/>
          <w:highlight w:val="none"/>
          <w:lang w:val="en-US" w:eastAsia="zh-CN" w:bidi="ar-SA"/>
        </w:rPr>
      </w:pPr>
    </w:p>
    <w:p>
      <w:pPr>
        <w:pStyle w:val="6"/>
        <w:rPr>
          <w:rFonts w:hint="eastAsia" w:ascii="仿宋_GB2312" w:hAnsi="Calibri" w:eastAsia="仿宋_GB2312" w:cs="仿宋"/>
          <w:color w:val="auto"/>
          <w:kern w:val="0"/>
          <w:sz w:val="32"/>
          <w:szCs w:val="32"/>
          <w:highlight w:val="none"/>
          <w:lang w:val="en-US" w:eastAsia="zh-CN" w:bidi="ar-SA"/>
        </w:rPr>
      </w:pPr>
    </w:p>
    <w:p>
      <w:pPr>
        <w:pStyle w:val="6"/>
        <w:rPr>
          <w:rFonts w:hint="eastAsia" w:ascii="仿宋_GB2312" w:hAnsi="Calibri" w:eastAsia="仿宋_GB2312" w:cs="仿宋"/>
          <w:color w:val="auto"/>
          <w:kern w:val="0"/>
          <w:sz w:val="32"/>
          <w:szCs w:val="32"/>
          <w:highlight w:val="none"/>
          <w:lang w:val="en-US" w:eastAsia="zh-CN" w:bidi="ar-SA"/>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仿宋" w:hAnsi="仿宋" w:eastAsia="仿宋"/>
          <w:b w:val="0"/>
          <w:color w:val="auto"/>
          <w:highlight w:val="none"/>
        </w:rPr>
      </w:pPr>
      <w:r>
        <w:rPr>
          <w:rFonts w:hint="eastAsia" w:ascii="黑体" w:hAnsi="黑体" w:eastAsia="黑体"/>
          <w:color w:val="auto"/>
          <w:sz w:val="44"/>
          <w:szCs w:val="44"/>
          <w:highlight w:val="none"/>
        </w:rPr>
        <w:t>第</w:t>
      </w:r>
      <w:r>
        <w:rPr>
          <w:rStyle w:val="24"/>
          <w:rFonts w:hint="eastAsia" w:ascii="黑体" w:hAnsi="黑体" w:eastAsia="黑体"/>
          <w:b w:val="0"/>
          <w:color w:val="auto"/>
          <w:highlight w:val="none"/>
        </w:rPr>
        <w:t>五部分 附表</w:t>
      </w:r>
      <w:bookmarkEnd w:id="51"/>
      <w:bookmarkEnd w:id="53"/>
      <w:bookmarkStart w:id="54" w:name="_Toc15396619"/>
    </w:p>
    <w:p>
      <w:pPr>
        <w:pStyle w:val="4"/>
        <w:rPr>
          <w:rFonts w:ascii="仿宋" w:hAnsi="仿宋" w:eastAsia="仿宋"/>
          <w:color w:val="auto"/>
          <w:highlight w:val="none"/>
        </w:rPr>
      </w:pPr>
      <w:r>
        <w:rPr>
          <w:rFonts w:hint="eastAsia" w:ascii="仿宋" w:hAnsi="仿宋" w:eastAsia="仿宋"/>
          <w:b w:val="0"/>
          <w:color w:val="auto"/>
          <w:highlight w:val="none"/>
        </w:rPr>
        <w:t>一、收</w:t>
      </w:r>
      <w:r>
        <w:rPr>
          <w:rStyle w:val="25"/>
          <w:rFonts w:hint="eastAsia" w:ascii="仿宋" w:hAnsi="仿宋" w:eastAsia="仿宋"/>
          <w:b w:val="0"/>
          <w:bCs w:val="0"/>
          <w:color w:val="auto"/>
          <w:highlight w:val="none"/>
        </w:rPr>
        <w:t>入支出决算总表</w:t>
      </w:r>
      <w:bookmarkEnd w:id="54"/>
    </w:p>
    <w:p>
      <w:pPr>
        <w:pStyle w:val="4"/>
        <w:rPr>
          <w:rFonts w:ascii="仿宋" w:hAnsi="仿宋" w:eastAsia="仿宋"/>
          <w:color w:val="auto"/>
          <w:highlight w:val="none"/>
        </w:rPr>
      </w:pPr>
      <w:bookmarkStart w:id="55" w:name="_Toc15396620"/>
      <w:r>
        <w:rPr>
          <w:rFonts w:hint="eastAsia" w:ascii="仿宋" w:hAnsi="仿宋" w:eastAsia="仿宋"/>
          <w:b w:val="0"/>
          <w:color w:val="auto"/>
          <w:highlight w:val="none"/>
        </w:rPr>
        <w:t>二、收</w:t>
      </w:r>
      <w:r>
        <w:rPr>
          <w:rStyle w:val="25"/>
          <w:rFonts w:hint="eastAsia" w:ascii="仿宋" w:hAnsi="仿宋" w:eastAsia="仿宋"/>
          <w:b w:val="0"/>
          <w:bCs w:val="0"/>
          <w:color w:val="auto"/>
          <w:highlight w:val="none"/>
        </w:rPr>
        <w:t>入决算表</w:t>
      </w:r>
      <w:bookmarkEnd w:id="55"/>
    </w:p>
    <w:p>
      <w:pPr>
        <w:pStyle w:val="4"/>
        <w:rPr>
          <w:rFonts w:ascii="仿宋" w:hAnsi="仿宋" w:eastAsia="仿宋"/>
          <w:color w:val="auto"/>
          <w:highlight w:val="none"/>
        </w:rPr>
      </w:pPr>
      <w:bookmarkStart w:id="56" w:name="_Toc15396621"/>
      <w:r>
        <w:rPr>
          <w:rStyle w:val="25"/>
          <w:rFonts w:hint="eastAsia" w:ascii="仿宋" w:hAnsi="仿宋" w:eastAsia="仿宋"/>
          <w:b w:val="0"/>
          <w:bCs w:val="0"/>
          <w:color w:val="auto"/>
          <w:highlight w:val="none"/>
        </w:rPr>
        <w:t>三、</w:t>
      </w:r>
      <w:r>
        <w:rPr>
          <w:rFonts w:hint="eastAsia" w:ascii="仿宋" w:hAnsi="仿宋" w:eastAsia="仿宋"/>
          <w:b w:val="0"/>
          <w:color w:val="auto"/>
          <w:highlight w:val="none"/>
        </w:rPr>
        <w:t>支</w:t>
      </w:r>
      <w:r>
        <w:rPr>
          <w:rStyle w:val="25"/>
          <w:rFonts w:hint="eastAsia" w:ascii="仿宋" w:hAnsi="仿宋" w:eastAsia="仿宋"/>
          <w:b w:val="0"/>
          <w:bCs w:val="0"/>
          <w:color w:val="auto"/>
          <w:highlight w:val="none"/>
        </w:rPr>
        <w:t>出决算表</w:t>
      </w:r>
      <w:bookmarkEnd w:id="56"/>
    </w:p>
    <w:p>
      <w:pPr>
        <w:pStyle w:val="4"/>
        <w:rPr>
          <w:rFonts w:ascii="仿宋" w:hAnsi="仿宋" w:eastAsia="仿宋"/>
          <w:b w:val="0"/>
          <w:color w:val="auto"/>
          <w:highlight w:val="none"/>
        </w:rPr>
      </w:pPr>
      <w:bookmarkStart w:id="57" w:name="_Toc15396622"/>
      <w:r>
        <w:rPr>
          <w:rStyle w:val="25"/>
          <w:rFonts w:hint="eastAsia" w:ascii="仿宋" w:hAnsi="仿宋" w:eastAsia="仿宋"/>
          <w:b w:val="0"/>
          <w:bCs w:val="0"/>
          <w:color w:val="auto"/>
          <w:highlight w:val="none"/>
        </w:rPr>
        <w:t>四、</w:t>
      </w:r>
      <w:r>
        <w:rPr>
          <w:rFonts w:hint="eastAsia" w:ascii="仿宋" w:hAnsi="仿宋" w:eastAsia="仿宋"/>
          <w:b w:val="0"/>
          <w:color w:val="auto"/>
          <w:highlight w:val="none"/>
        </w:rPr>
        <w:t>财</w:t>
      </w:r>
      <w:r>
        <w:rPr>
          <w:rStyle w:val="25"/>
          <w:rFonts w:hint="eastAsia" w:ascii="仿宋" w:hAnsi="仿宋" w:eastAsia="仿宋"/>
          <w:b w:val="0"/>
          <w:bCs w:val="0"/>
          <w:color w:val="auto"/>
          <w:highlight w:val="none"/>
        </w:rPr>
        <w:t>政拨款收入支出决算总表</w:t>
      </w:r>
      <w:bookmarkEnd w:id="57"/>
    </w:p>
    <w:p>
      <w:pPr>
        <w:pStyle w:val="4"/>
        <w:rPr>
          <w:rStyle w:val="25"/>
          <w:rFonts w:ascii="仿宋" w:hAnsi="仿宋" w:eastAsia="仿宋"/>
          <w:b w:val="0"/>
          <w:bCs w:val="0"/>
          <w:color w:val="auto"/>
          <w:highlight w:val="none"/>
        </w:rPr>
      </w:pPr>
      <w:bookmarkStart w:id="58" w:name="_Toc15396623"/>
      <w:r>
        <w:rPr>
          <w:rStyle w:val="25"/>
          <w:rFonts w:hint="eastAsia" w:ascii="仿宋" w:hAnsi="仿宋" w:eastAsia="仿宋"/>
          <w:b w:val="0"/>
          <w:bCs w:val="0"/>
          <w:color w:val="auto"/>
          <w:highlight w:val="none"/>
        </w:rPr>
        <w:t>五、</w:t>
      </w:r>
      <w:r>
        <w:rPr>
          <w:rFonts w:hint="eastAsia" w:ascii="仿宋" w:hAnsi="仿宋" w:eastAsia="仿宋"/>
          <w:b w:val="0"/>
          <w:color w:val="auto"/>
          <w:highlight w:val="none"/>
        </w:rPr>
        <w:t>财</w:t>
      </w:r>
      <w:r>
        <w:rPr>
          <w:rStyle w:val="25"/>
          <w:rFonts w:hint="eastAsia" w:ascii="仿宋" w:hAnsi="仿宋" w:eastAsia="仿宋"/>
          <w:b w:val="0"/>
          <w:bCs w:val="0"/>
          <w:color w:val="auto"/>
          <w:highlight w:val="none"/>
        </w:rPr>
        <w:t>政拨款支出决算明细表</w:t>
      </w:r>
      <w:bookmarkEnd w:id="58"/>
      <w:bookmarkStart w:id="59" w:name="_Toc15396624"/>
    </w:p>
    <w:p>
      <w:pPr>
        <w:pStyle w:val="4"/>
        <w:rPr>
          <w:rFonts w:ascii="仿宋" w:hAnsi="仿宋" w:eastAsia="仿宋"/>
          <w:color w:val="auto"/>
          <w:highlight w:val="none"/>
        </w:rPr>
      </w:pPr>
      <w:r>
        <w:rPr>
          <w:rStyle w:val="25"/>
          <w:rFonts w:hint="eastAsia" w:ascii="仿宋" w:hAnsi="仿宋" w:eastAsia="仿宋"/>
          <w:b w:val="0"/>
          <w:bCs w:val="0"/>
          <w:color w:val="auto"/>
          <w:highlight w:val="none"/>
        </w:rPr>
        <w:t>六、</w:t>
      </w:r>
      <w:r>
        <w:rPr>
          <w:rFonts w:hint="eastAsia" w:ascii="仿宋" w:hAnsi="仿宋" w:eastAsia="仿宋"/>
          <w:b w:val="0"/>
          <w:color w:val="auto"/>
          <w:highlight w:val="none"/>
        </w:rPr>
        <w:t>一</w:t>
      </w:r>
      <w:r>
        <w:rPr>
          <w:rStyle w:val="25"/>
          <w:rFonts w:hint="eastAsia" w:ascii="仿宋" w:hAnsi="仿宋" w:eastAsia="仿宋"/>
          <w:b w:val="0"/>
          <w:bCs w:val="0"/>
          <w:color w:val="auto"/>
          <w:highlight w:val="none"/>
        </w:rPr>
        <w:t>般公共预算财政拨款支出决算表</w:t>
      </w:r>
      <w:bookmarkEnd w:id="59"/>
    </w:p>
    <w:p>
      <w:pPr>
        <w:pStyle w:val="4"/>
        <w:rPr>
          <w:rFonts w:ascii="仿宋" w:hAnsi="仿宋" w:eastAsia="仿宋"/>
          <w:color w:val="auto"/>
          <w:highlight w:val="none"/>
        </w:rPr>
      </w:pPr>
      <w:bookmarkStart w:id="60" w:name="_Toc15396625"/>
      <w:r>
        <w:rPr>
          <w:rStyle w:val="25"/>
          <w:rFonts w:hint="eastAsia" w:ascii="仿宋" w:hAnsi="仿宋" w:eastAsia="仿宋"/>
          <w:b w:val="0"/>
          <w:bCs w:val="0"/>
          <w:color w:val="auto"/>
          <w:highlight w:val="none"/>
        </w:rPr>
        <w:t>七、</w:t>
      </w:r>
      <w:r>
        <w:rPr>
          <w:rFonts w:hint="eastAsia" w:ascii="仿宋" w:hAnsi="仿宋" w:eastAsia="仿宋"/>
          <w:b w:val="0"/>
          <w:color w:val="auto"/>
          <w:highlight w:val="none"/>
        </w:rPr>
        <w:t>一</w:t>
      </w:r>
      <w:r>
        <w:rPr>
          <w:rStyle w:val="25"/>
          <w:rFonts w:hint="eastAsia" w:ascii="仿宋" w:hAnsi="仿宋" w:eastAsia="仿宋"/>
          <w:b w:val="0"/>
          <w:bCs w:val="0"/>
          <w:color w:val="auto"/>
          <w:highlight w:val="none"/>
        </w:rPr>
        <w:t>般公共预算财政拨款支出决算明细表</w:t>
      </w:r>
      <w:bookmarkEnd w:id="60"/>
    </w:p>
    <w:p>
      <w:pPr>
        <w:pStyle w:val="4"/>
        <w:rPr>
          <w:rFonts w:ascii="仿宋" w:hAnsi="仿宋" w:eastAsia="仿宋"/>
          <w:color w:val="auto"/>
          <w:highlight w:val="none"/>
        </w:rPr>
      </w:pPr>
      <w:bookmarkStart w:id="61" w:name="_Toc15396626"/>
      <w:r>
        <w:rPr>
          <w:rStyle w:val="25"/>
          <w:rFonts w:hint="eastAsia" w:ascii="仿宋" w:hAnsi="仿宋" w:eastAsia="仿宋"/>
          <w:b w:val="0"/>
          <w:bCs w:val="0"/>
          <w:color w:val="auto"/>
          <w:highlight w:val="none"/>
        </w:rPr>
        <w:t>八、</w:t>
      </w:r>
      <w:r>
        <w:rPr>
          <w:rFonts w:hint="eastAsia" w:ascii="仿宋" w:hAnsi="仿宋" w:eastAsia="仿宋"/>
          <w:b w:val="0"/>
          <w:color w:val="auto"/>
          <w:highlight w:val="none"/>
        </w:rPr>
        <w:t>一</w:t>
      </w:r>
      <w:r>
        <w:rPr>
          <w:rStyle w:val="25"/>
          <w:rFonts w:hint="eastAsia" w:ascii="仿宋" w:hAnsi="仿宋" w:eastAsia="仿宋"/>
          <w:b w:val="0"/>
          <w:bCs w:val="0"/>
          <w:color w:val="auto"/>
          <w:highlight w:val="none"/>
        </w:rPr>
        <w:t>般公共预算财政拨款基本支出决算表</w:t>
      </w:r>
      <w:bookmarkEnd w:id="61"/>
    </w:p>
    <w:p>
      <w:pPr>
        <w:pStyle w:val="4"/>
        <w:rPr>
          <w:rFonts w:ascii="仿宋" w:hAnsi="仿宋" w:eastAsia="仿宋"/>
          <w:color w:val="auto"/>
          <w:highlight w:val="none"/>
        </w:rPr>
      </w:pPr>
      <w:bookmarkStart w:id="62" w:name="_Toc15396627"/>
      <w:r>
        <w:rPr>
          <w:rStyle w:val="25"/>
          <w:rFonts w:hint="eastAsia" w:ascii="仿宋" w:hAnsi="仿宋" w:eastAsia="仿宋"/>
          <w:b w:val="0"/>
          <w:bCs w:val="0"/>
          <w:color w:val="auto"/>
          <w:highlight w:val="none"/>
        </w:rPr>
        <w:t>九、</w:t>
      </w:r>
      <w:r>
        <w:rPr>
          <w:rFonts w:hint="eastAsia" w:ascii="仿宋" w:hAnsi="仿宋" w:eastAsia="仿宋"/>
          <w:b w:val="0"/>
          <w:color w:val="auto"/>
          <w:highlight w:val="none"/>
        </w:rPr>
        <w:t>一</w:t>
      </w:r>
      <w:r>
        <w:rPr>
          <w:rStyle w:val="25"/>
          <w:rFonts w:hint="eastAsia" w:ascii="仿宋" w:hAnsi="仿宋" w:eastAsia="仿宋"/>
          <w:b w:val="0"/>
          <w:bCs w:val="0"/>
          <w:color w:val="auto"/>
          <w:highlight w:val="none"/>
        </w:rPr>
        <w:t>般公共预算财政拨款项目支出决算表</w:t>
      </w:r>
      <w:bookmarkEnd w:id="62"/>
    </w:p>
    <w:p>
      <w:pPr>
        <w:pStyle w:val="4"/>
        <w:rPr>
          <w:rFonts w:ascii="仿宋" w:hAnsi="仿宋" w:eastAsia="仿宋"/>
          <w:color w:val="auto"/>
          <w:highlight w:val="none"/>
        </w:rPr>
      </w:pPr>
      <w:bookmarkStart w:id="63" w:name="_Toc15396628"/>
      <w:r>
        <w:rPr>
          <w:rStyle w:val="25"/>
          <w:rFonts w:hint="eastAsia" w:ascii="仿宋" w:hAnsi="仿宋" w:eastAsia="仿宋"/>
          <w:b w:val="0"/>
          <w:bCs w:val="0"/>
          <w:color w:val="auto"/>
          <w:highlight w:val="none"/>
        </w:rPr>
        <w:t>十、</w:t>
      </w:r>
      <w:bookmarkEnd w:id="63"/>
      <w:r>
        <w:rPr>
          <w:rFonts w:hint="eastAsia" w:ascii="仿宋" w:hAnsi="仿宋" w:eastAsia="仿宋"/>
          <w:b w:val="0"/>
          <w:color w:val="auto"/>
          <w:highlight w:val="none"/>
        </w:rPr>
        <w:t>政</w:t>
      </w:r>
      <w:r>
        <w:rPr>
          <w:rStyle w:val="25"/>
          <w:rFonts w:hint="eastAsia" w:ascii="仿宋" w:hAnsi="仿宋" w:eastAsia="仿宋"/>
          <w:b w:val="0"/>
          <w:bCs w:val="0"/>
          <w:color w:val="auto"/>
          <w:highlight w:val="none"/>
        </w:rPr>
        <w:t>府性基金预算财政拨款收入支出决算表</w:t>
      </w:r>
    </w:p>
    <w:p>
      <w:pPr>
        <w:pStyle w:val="4"/>
        <w:rPr>
          <w:rFonts w:ascii="仿宋" w:hAnsi="仿宋" w:eastAsia="仿宋"/>
          <w:color w:val="auto"/>
          <w:highlight w:val="none"/>
        </w:rPr>
      </w:pPr>
      <w:bookmarkStart w:id="64" w:name="_Toc15396629"/>
      <w:r>
        <w:rPr>
          <w:rStyle w:val="25"/>
          <w:rFonts w:hint="eastAsia" w:ascii="仿宋" w:hAnsi="仿宋" w:eastAsia="仿宋"/>
          <w:b w:val="0"/>
          <w:bCs w:val="0"/>
          <w:color w:val="auto"/>
          <w:highlight w:val="none"/>
        </w:rPr>
        <w:t>十一、</w:t>
      </w:r>
      <w:bookmarkEnd w:id="64"/>
      <w:r>
        <w:rPr>
          <w:rFonts w:hint="eastAsia" w:ascii="仿宋" w:hAnsi="仿宋" w:eastAsia="仿宋"/>
          <w:b w:val="0"/>
          <w:color w:val="auto"/>
          <w:highlight w:val="none"/>
        </w:rPr>
        <w:t>国</w:t>
      </w:r>
      <w:r>
        <w:rPr>
          <w:rStyle w:val="25"/>
          <w:rFonts w:hint="eastAsia" w:ascii="仿宋" w:hAnsi="仿宋" w:eastAsia="仿宋"/>
          <w:b w:val="0"/>
          <w:bCs w:val="0"/>
          <w:color w:val="auto"/>
          <w:highlight w:val="none"/>
        </w:rPr>
        <w:t>有资本经营预算</w:t>
      </w:r>
      <w:r>
        <w:rPr>
          <w:rStyle w:val="25"/>
          <w:rFonts w:hint="eastAsia" w:ascii="仿宋" w:hAnsi="仿宋" w:eastAsia="仿宋"/>
          <w:b w:val="0"/>
          <w:bCs w:val="0"/>
          <w:color w:val="auto"/>
          <w:highlight w:val="none"/>
          <w:lang w:eastAsia="zh-CN"/>
        </w:rPr>
        <w:t>财政拨款收入</w:t>
      </w:r>
      <w:r>
        <w:rPr>
          <w:rStyle w:val="25"/>
          <w:rFonts w:hint="eastAsia" w:ascii="仿宋" w:hAnsi="仿宋" w:eastAsia="仿宋"/>
          <w:b w:val="0"/>
          <w:bCs w:val="0"/>
          <w:color w:val="auto"/>
          <w:highlight w:val="none"/>
        </w:rPr>
        <w:t>支出决算表</w:t>
      </w:r>
    </w:p>
    <w:p>
      <w:pPr>
        <w:pStyle w:val="4"/>
        <w:rPr>
          <w:rFonts w:ascii="仿宋" w:hAnsi="仿宋" w:eastAsia="仿宋"/>
          <w:color w:val="auto"/>
          <w:highlight w:val="none"/>
        </w:rPr>
      </w:pPr>
      <w:bookmarkStart w:id="65" w:name="_Toc15396630"/>
      <w:r>
        <w:rPr>
          <w:rStyle w:val="25"/>
          <w:rFonts w:hint="eastAsia" w:ascii="仿宋" w:hAnsi="仿宋" w:eastAsia="仿宋"/>
          <w:b w:val="0"/>
          <w:bCs w:val="0"/>
          <w:color w:val="auto"/>
          <w:highlight w:val="none"/>
        </w:rPr>
        <w:t>十二、</w:t>
      </w:r>
      <w:bookmarkEnd w:id="65"/>
      <w:r>
        <w:rPr>
          <w:rStyle w:val="25"/>
          <w:rFonts w:hint="eastAsia" w:ascii="仿宋" w:hAnsi="仿宋" w:eastAsia="仿宋"/>
          <w:b w:val="0"/>
          <w:bCs w:val="0"/>
          <w:color w:val="auto"/>
          <w:highlight w:val="none"/>
          <w:lang w:eastAsia="zh-CN"/>
        </w:rPr>
        <w:t>国有资本经营预算财政拨款支出决算表</w:t>
      </w:r>
    </w:p>
    <w:p>
      <w:pPr>
        <w:pStyle w:val="4"/>
        <w:rPr>
          <w:rFonts w:hint="eastAsia" w:eastAsia="仿宋"/>
          <w:color w:val="auto"/>
          <w:highlight w:val="none"/>
          <w:lang w:eastAsia="zh-CN"/>
        </w:rPr>
      </w:pPr>
      <w:bookmarkStart w:id="66" w:name="_Toc15396631"/>
      <w:r>
        <w:rPr>
          <w:rStyle w:val="25"/>
          <w:rFonts w:hint="eastAsia" w:ascii="仿宋" w:hAnsi="仿宋" w:eastAsia="仿宋"/>
          <w:b w:val="0"/>
          <w:bCs w:val="0"/>
          <w:color w:val="auto"/>
          <w:highlight w:val="none"/>
        </w:rPr>
        <w:t>十三、</w:t>
      </w:r>
      <w:bookmarkEnd w:id="66"/>
      <w:r>
        <w:rPr>
          <w:rStyle w:val="25"/>
          <w:rFonts w:hint="eastAsia" w:ascii="仿宋" w:hAnsi="仿宋" w:eastAsia="仿宋"/>
          <w:b w:val="0"/>
          <w:bCs w:val="0"/>
          <w:color w:val="auto"/>
          <w:highlight w:val="none"/>
          <w:lang w:eastAsia="zh-CN"/>
        </w:rPr>
        <w:t>财政拨款“三公”经费支出决算表</w:t>
      </w: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2000000000000000000"/>
    <w:charset w:val="86"/>
    <w:family w:val="script"/>
    <w:pitch w:val="default"/>
    <w:sig w:usb0="00000000" w:usb1="00000000" w:usb2="00000012" w:usb3="00000000" w:csb0="00040001" w:csb1="00000000"/>
  </w:font>
  <w:font w:name="方正小标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2"/>
          <w:jc w:val="center"/>
        </w:pPr>
        <w:r>
          <w:fldChar w:fldCharType="begin"/>
        </w:r>
        <w:r>
          <w:instrText xml:space="preserve">PAGE   \* MERGEFORMAT</w:instrText>
        </w:r>
        <w:r>
          <w:fldChar w:fldCharType="separate"/>
        </w:r>
        <w:r>
          <w:rPr>
            <w:lang w:val="zh-CN"/>
          </w:rPr>
          <w:t>8</w:t>
        </w:r>
        <w:r>
          <w:fldChar w:fldCharType="end"/>
        </w:r>
      </w:p>
    </w:sdtContent>
  </w:sdt>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Q2ZGM1MTFlMzZlNDhiNmY5YzU5NjQ3NjFhOWIwYTc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53A62B5"/>
    <w:rsid w:val="0A2032A3"/>
    <w:rsid w:val="0B8A37D8"/>
    <w:rsid w:val="10C055FF"/>
    <w:rsid w:val="118107EC"/>
    <w:rsid w:val="11DD6519"/>
    <w:rsid w:val="16BB723D"/>
    <w:rsid w:val="18015F3F"/>
    <w:rsid w:val="1BE8440E"/>
    <w:rsid w:val="1D155CEE"/>
    <w:rsid w:val="20F57F95"/>
    <w:rsid w:val="240371BF"/>
    <w:rsid w:val="25711CC6"/>
    <w:rsid w:val="25C741E6"/>
    <w:rsid w:val="27842671"/>
    <w:rsid w:val="29FD04D3"/>
    <w:rsid w:val="2ABE7A3E"/>
    <w:rsid w:val="2CA234A8"/>
    <w:rsid w:val="2EFA178C"/>
    <w:rsid w:val="30B46D73"/>
    <w:rsid w:val="319F7F4E"/>
    <w:rsid w:val="383D272C"/>
    <w:rsid w:val="39A63BF2"/>
    <w:rsid w:val="39AE70AB"/>
    <w:rsid w:val="3C0C0783"/>
    <w:rsid w:val="3D27FE28"/>
    <w:rsid w:val="3F9F3A96"/>
    <w:rsid w:val="48BF60AB"/>
    <w:rsid w:val="493C27E9"/>
    <w:rsid w:val="496F39ED"/>
    <w:rsid w:val="49FF41D3"/>
    <w:rsid w:val="4BE068DB"/>
    <w:rsid w:val="4BF6002B"/>
    <w:rsid w:val="4ECE2238"/>
    <w:rsid w:val="4F988005"/>
    <w:rsid w:val="4FEE0A9E"/>
    <w:rsid w:val="51DB4B86"/>
    <w:rsid w:val="51EFB4A0"/>
    <w:rsid w:val="543B7CFB"/>
    <w:rsid w:val="54872C02"/>
    <w:rsid w:val="55333C3E"/>
    <w:rsid w:val="57BF42DC"/>
    <w:rsid w:val="64CA39A1"/>
    <w:rsid w:val="69630ADE"/>
    <w:rsid w:val="6BFBE82C"/>
    <w:rsid w:val="6C4A05C8"/>
    <w:rsid w:val="6D3B1A89"/>
    <w:rsid w:val="6FB7E37C"/>
    <w:rsid w:val="6FBFA4C8"/>
    <w:rsid w:val="71BF4EC2"/>
    <w:rsid w:val="72734D90"/>
    <w:rsid w:val="7412278C"/>
    <w:rsid w:val="79E7B28D"/>
    <w:rsid w:val="7F9F20EE"/>
    <w:rsid w:val="7FB27225"/>
    <w:rsid w:val="9E3A10E2"/>
    <w:rsid w:val="BFDB7041"/>
    <w:rsid w:val="D7FE0D24"/>
    <w:rsid w:val="F2E1F9D4"/>
    <w:rsid w:val="F4D7655A"/>
    <w:rsid w:val="F7880819"/>
    <w:rsid w:val="FEF812A3"/>
    <w:rsid w:val="FFFB452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8"/>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9"/>
    <w:qFormat/>
    <w:uiPriority w:val="99"/>
    <w:pPr>
      <w:tabs>
        <w:tab w:val="center" w:pos="4153"/>
        <w:tab w:val="right" w:pos="8306"/>
      </w:tabs>
      <w:snapToGrid w:val="0"/>
      <w:jc w:val="left"/>
    </w:pPr>
    <w:rPr>
      <w:rFonts w:ascii="Calibri" w:hAnsi="Calibri"/>
      <w:kern w:val="0"/>
      <w:sz w:val="18"/>
      <w:szCs w:val="18"/>
    </w:rPr>
  </w:style>
  <w:style w:type="paragraph" w:styleId="6">
    <w:name w:val="Body Text"/>
    <w:basedOn w:val="1"/>
    <w:link w:val="21"/>
    <w:qFormat/>
    <w:uiPriority w:val="99"/>
    <w:pPr>
      <w:spacing w:beforeLines="30"/>
    </w:pPr>
    <w:rPr>
      <w:rFonts w:ascii="仿宋_GB2312" w:eastAsia="仿宋_GB2312"/>
      <w:kern w:val="0"/>
      <w:sz w:val="30"/>
    </w:rPr>
  </w:style>
  <w:style w:type="paragraph" w:styleId="7">
    <w:name w:val="toc 3"/>
    <w:basedOn w:val="1"/>
    <w:next w:val="1"/>
    <w:unhideWhenUsed/>
    <w:qFormat/>
    <w:uiPriority w:val="39"/>
    <w:pPr>
      <w:tabs>
        <w:tab w:val="right" w:leader="dot" w:pos="8296"/>
      </w:tabs>
      <w:ind w:left="840" w:leftChars="400"/>
    </w:pPr>
  </w:style>
  <w:style w:type="paragraph" w:styleId="8">
    <w:name w:val="Balloon Text"/>
    <w:basedOn w:val="1"/>
    <w:link w:val="27"/>
    <w:semiHidden/>
    <w:unhideWhenUsed/>
    <w:qFormat/>
    <w:uiPriority w:val="99"/>
    <w:rPr>
      <w:sz w:val="18"/>
      <w:szCs w:val="18"/>
    </w:rPr>
  </w:style>
  <w:style w:type="paragraph" w:styleId="9">
    <w:name w:val="header"/>
    <w:basedOn w:val="1"/>
    <w:link w:val="17"/>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character" w:styleId="14">
    <w:name w:val="Strong"/>
    <w:basedOn w:val="13"/>
    <w:qFormat/>
    <w:uiPriority w:val="99"/>
    <w:rPr>
      <w:b/>
    </w:rPr>
  </w:style>
  <w:style w:type="character" w:styleId="15">
    <w:name w:val="Hyperlink"/>
    <w:basedOn w:val="13"/>
    <w:unhideWhenUsed/>
    <w:qFormat/>
    <w:uiPriority w:val="99"/>
    <w:rPr>
      <w:color w:val="0000FF" w:themeColor="hyperlink"/>
      <w:u w:val="single"/>
      <w14:textFill>
        <w14:solidFill>
          <w14:schemeClr w14:val="hlink"/>
        </w14:solidFill>
      </w14:textFill>
    </w:rPr>
  </w:style>
  <w:style w:type="character" w:customStyle="1" w:styleId="16">
    <w:name w:val="Header Char"/>
    <w:basedOn w:val="13"/>
    <w:semiHidden/>
    <w:qFormat/>
    <w:uiPriority w:val="99"/>
    <w:rPr>
      <w:rFonts w:ascii="Times New Roman" w:hAnsi="Times New Roman"/>
      <w:sz w:val="18"/>
      <w:szCs w:val="18"/>
    </w:rPr>
  </w:style>
  <w:style w:type="character" w:customStyle="1" w:styleId="17">
    <w:name w:val="页眉 Char"/>
    <w:link w:val="9"/>
    <w:semiHidden/>
    <w:qFormat/>
    <w:locked/>
    <w:uiPriority w:val="99"/>
    <w:rPr>
      <w:sz w:val="18"/>
    </w:rPr>
  </w:style>
  <w:style w:type="character" w:customStyle="1" w:styleId="18">
    <w:name w:val="Footer Char"/>
    <w:basedOn w:val="13"/>
    <w:semiHidden/>
    <w:qFormat/>
    <w:uiPriority w:val="99"/>
    <w:rPr>
      <w:rFonts w:ascii="Times New Roman" w:hAnsi="Times New Roman"/>
      <w:sz w:val="18"/>
      <w:szCs w:val="18"/>
    </w:rPr>
  </w:style>
  <w:style w:type="character" w:customStyle="1" w:styleId="19">
    <w:name w:val="页脚 Char"/>
    <w:link w:val="2"/>
    <w:qFormat/>
    <w:locked/>
    <w:uiPriority w:val="99"/>
    <w:rPr>
      <w:sz w:val="18"/>
    </w:rPr>
  </w:style>
  <w:style w:type="character" w:customStyle="1" w:styleId="20">
    <w:name w:val="Body Text Char"/>
    <w:basedOn w:val="13"/>
    <w:semiHidden/>
    <w:qFormat/>
    <w:uiPriority w:val="99"/>
    <w:rPr>
      <w:rFonts w:ascii="Times New Roman" w:hAnsi="Times New Roman"/>
      <w:szCs w:val="24"/>
    </w:rPr>
  </w:style>
  <w:style w:type="character" w:customStyle="1" w:styleId="21">
    <w:name w:val="正文文本 Char"/>
    <w:link w:val="6"/>
    <w:qFormat/>
    <w:locked/>
    <w:uiPriority w:val="99"/>
    <w:rPr>
      <w:rFonts w:ascii="仿宋_GB2312" w:hAnsi="Times New Roman" w:eastAsia="仿宋_GB2312"/>
      <w:sz w:val="24"/>
    </w:rPr>
  </w:style>
  <w:style w:type="paragraph" w:customStyle="1" w:styleId="22">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3">
    <w:name w:val="List Paragraph"/>
    <w:basedOn w:val="1"/>
    <w:qFormat/>
    <w:uiPriority w:val="34"/>
    <w:pPr>
      <w:ind w:firstLine="420" w:firstLineChars="200"/>
    </w:pPr>
  </w:style>
  <w:style w:type="character" w:customStyle="1" w:styleId="24">
    <w:name w:val="标题 1 Char"/>
    <w:basedOn w:val="13"/>
    <w:link w:val="3"/>
    <w:qFormat/>
    <w:uiPriority w:val="9"/>
    <w:rPr>
      <w:rFonts w:ascii="Times New Roman" w:hAnsi="Times New Roman"/>
      <w:b/>
      <w:bCs/>
      <w:kern w:val="44"/>
      <w:sz w:val="44"/>
      <w:szCs w:val="44"/>
    </w:rPr>
  </w:style>
  <w:style w:type="character" w:customStyle="1" w:styleId="25">
    <w:name w:val="标题 2 Char"/>
    <w:basedOn w:val="13"/>
    <w:link w:val="4"/>
    <w:qFormat/>
    <w:uiPriority w:val="9"/>
    <w:rPr>
      <w:rFonts w:asciiTheme="majorHAnsi" w:hAnsiTheme="majorHAnsi" w:eastAsiaTheme="majorEastAsia" w:cstheme="majorBidi"/>
      <w:b/>
      <w:bCs/>
      <w:kern w:val="2"/>
      <w:sz w:val="32"/>
      <w:szCs w:val="32"/>
    </w:rPr>
  </w:style>
  <w:style w:type="paragraph" w:customStyle="1" w:styleId="26">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7">
    <w:name w:val="批注框文本 Char"/>
    <w:basedOn w:val="13"/>
    <w:link w:val="8"/>
    <w:semiHidden/>
    <w:qFormat/>
    <w:uiPriority w:val="99"/>
    <w:rPr>
      <w:rFonts w:ascii="Times New Roman" w:hAnsi="Times New Roman"/>
      <w:kern w:val="2"/>
      <w:sz w:val="18"/>
      <w:szCs w:val="18"/>
    </w:rPr>
  </w:style>
  <w:style w:type="character" w:customStyle="1" w:styleId="28">
    <w:name w:val="标题 3 Char"/>
    <w:basedOn w:val="13"/>
    <w:link w:val="5"/>
    <w:qFormat/>
    <w:uiPriority w:val="9"/>
    <w:rPr>
      <w:rFonts w:ascii="Times New Roman" w:hAnsi="Times New Roman"/>
      <w:b/>
      <w:bCs/>
      <w:kern w:val="2"/>
      <w:sz w:val="32"/>
      <w:szCs w:val="32"/>
    </w:rPr>
  </w:style>
  <w:style w:type="paragraph" w:customStyle="1" w:styleId="29">
    <w:name w:val="TOC Heading"/>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image" Target="media/image2.emf"/><Relationship Id="rId8" Type="http://schemas.openxmlformats.org/officeDocument/2006/relationships/oleObject" Target="embeddings/oleObject2.bin"/><Relationship Id="rId7" Type="http://schemas.openxmlformats.org/officeDocument/2006/relationships/image" Target="media/image1.e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7.emf"/><Relationship Id="rId18" Type="http://schemas.openxmlformats.org/officeDocument/2006/relationships/oleObject" Target="embeddings/oleObject7.bin"/><Relationship Id="rId17" Type="http://schemas.openxmlformats.org/officeDocument/2006/relationships/image" Target="media/image6.emf"/><Relationship Id="rId16" Type="http://schemas.openxmlformats.org/officeDocument/2006/relationships/oleObject" Target="embeddings/oleObject6.bin"/><Relationship Id="rId15" Type="http://schemas.openxmlformats.org/officeDocument/2006/relationships/image" Target="media/image5.emf"/><Relationship Id="rId14" Type="http://schemas.openxmlformats.org/officeDocument/2006/relationships/oleObject" Target="embeddings/oleObject5.bin"/><Relationship Id="rId13" Type="http://schemas.openxmlformats.org/officeDocument/2006/relationships/image" Target="media/image4.emf"/><Relationship Id="rId12" Type="http://schemas.openxmlformats.org/officeDocument/2006/relationships/oleObject" Target="embeddings/oleObject4.bin"/><Relationship Id="rId11" Type="http://schemas.openxmlformats.org/officeDocument/2006/relationships/image" Target="media/image3.emf"/><Relationship Id="rId10" Type="http://schemas.openxmlformats.org/officeDocument/2006/relationships/oleObject" Target="embeddings/oleObject3.bin"/><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Info spid="_x0000_s1028"/>
    <customShpInfo spid="_x0000_s1029"/>
    <customShpInfo spid="_x0000_s1031"/>
    <customShpInfo spid="_x0000_s1030"/>
    <customShpInfo spid="_x0000_s1032"/>
    <customShpInfo spid="_x0000_s103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24</Pages>
  <Words>1299</Words>
  <Characters>7410</Characters>
  <Lines>61</Lines>
  <Paragraphs>17</Paragraphs>
  <TotalTime>2</TotalTime>
  <ScaleCrop>false</ScaleCrop>
  <LinksUpToDate>false</LinksUpToDate>
  <CharactersWithSpaces>8692</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2020-08-06T17:49:00Z</dcterms:created>
  <dc:creator>曹颖</dc:creator>
  <cp:lastModifiedBy>00</cp:lastModifiedBy>
  <cp:lastPrinted>2023-08-01T18:35:00Z</cp:lastPrinted>
  <dcterms:modified xsi:type="dcterms:W3CDTF">2023-09-18T02:57:30Z</dcterms:modified>
  <dc:title>四川省***</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6FA02369A7C7405FB8FD34DF6EE2A420_12</vt:lpwstr>
  </property>
</Properties>
</file>