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简体" w:cs="Times New Roman"/>
          <w:sz w:val="44"/>
          <w:szCs w:val="44"/>
          <w:shd w:val="clear" w:color="auto" w:fill="FFFFFF"/>
        </w:rPr>
      </w:pPr>
    </w:p>
    <w:p>
      <w:pPr>
        <w:spacing w:line="710" w:lineRule="exact"/>
        <w:jc w:val="center"/>
        <w:rPr>
          <w:rFonts w:hint="default" w:ascii="Times New Roman" w:hAnsi="Times New Roman" w:eastAsia="方正小标宋简体" w:cs="Times New Roman"/>
          <w:sz w:val="44"/>
          <w:szCs w:val="44"/>
          <w:shd w:val="clear" w:color="auto" w:fill="FFFFFF"/>
        </w:rPr>
      </w:pPr>
    </w:p>
    <w:p>
      <w:pPr>
        <w:spacing w:line="71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遂宁市</w:t>
      </w:r>
      <w:r>
        <w:rPr>
          <w:rFonts w:hint="eastAsia" w:eastAsia="方正小标宋简体" w:cs="Times New Roman"/>
          <w:sz w:val="44"/>
          <w:szCs w:val="44"/>
          <w:shd w:val="clear" w:color="auto" w:fill="FFFFFF"/>
          <w:lang w:eastAsia="zh-CN"/>
        </w:rPr>
        <w:t>妇女</w:t>
      </w:r>
      <w:r>
        <w:rPr>
          <w:rFonts w:hint="default" w:ascii="Times New Roman" w:hAnsi="Times New Roman" w:eastAsia="方正小标宋简体" w:cs="Times New Roman"/>
          <w:sz w:val="44"/>
          <w:szCs w:val="44"/>
          <w:shd w:val="clear" w:color="auto" w:fill="FFFFFF"/>
        </w:rPr>
        <w:t>联合会</w:t>
      </w:r>
    </w:p>
    <w:p>
      <w:pPr>
        <w:spacing w:line="710" w:lineRule="exact"/>
        <w:jc w:val="center"/>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关于20</w:t>
      </w:r>
      <w:r>
        <w:rPr>
          <w:rFonts w:hint="default" w:ascii="Times New Roman" w:hAnsi="Times New Roman" w:eastAsia="方正小标宋简体" w:cs="Times New Roman"/>
          <w:sz w:val="44"/>
          <w:szCs w:val="44"/>
          <w:shd w:val="clear" w:color="auto" w:fill="FFFFFF"/>
          <w:lang w:val="en-US" w:eastAsia="zh-CN"/>
        </w:rPr>
        <w:t>22</w:t>
      </w:r>
      <w:r>
        <w:rPr>
          <w:rFonts w:hint="default" w:ascii="Times New Roman" w:hAnsi="Times New Roman" w:eastAsia="方正小标宋简体" w:cs="Times New Roman"/>
          <w:sz w:val="44"/>
          <w:szCs w:val="44"/>
          <w:shd w:val="clear" w:color="auto" w:fill="FFFFFF"/>
        </w:rPr>
        <w:t>年</w:t>
      </w:r>
      <w:r>
        <w:rPr>
          <w:rFonts w:hint="eastAsia" w:eastAsia="方正小标宋简体" w:cs="Times New Roman"/>
          <w:sz w:val="44"/>
          <w:szCs w:val="44"/>
          <w:shd w:val="clear" w:color="auto" w:fill="FFFFFF"/>
          <w:lang w:eastAsia="zh-CN"/>
        </w:rPr>
        <w:t>部门</w:t>
      </w:r>
      <w:r>
        <w:rPr>
          <w:rFonts w:hint="default" w:ascii="Times New Roman" w:hAnsi="Times New Roman" w:eastAsia="方正小标宋简体" w:cs="Times New Roman"/>
          <w:sz w:val="44"/>
          <w:szCs w:val="44"/>
          <w:shd w:val="clear" w:color="auto" w:fill="FFFFFF"/>
        </w:rPr>
        <w:t>整体支出绩效情况的报告</w:t>
      </w:r>
    </w:p>
    <w:p>
      <w:pPr>
        <w:adjustRightInd w:val="0"/>
        <w:snapToGrid w:val="0"/>
        <w:spacing w:line="580" w:lineRule="exact"/>
        <w:ind w:firstLine="720"/>
        <w:rPr>
          <w:rFonts w:hint="default" w:ascii="Times New Roman" w:hAnsi="Times New Roman" w:eastAsia="黑体" w:cs="Times New Roman"/>
          <w:kern w:val="0"/>
          <w:sz w:val="24"/>
          <w:shd w:val="clear" w:color="auto" w:fill="FFFFFF"/>
        </w:rPr>
      </w:pPr>
    </w:p>
    <w:p>
      <w:pPr>
        <w:adjustRightInd w:val="0"/>
        <w:snapToGrid w:val="0"/>
        <w:spacing w:line="580" w:lineRule="exact"/>
        <w:ind w:firstLine="720"/>
        <w:rPr>
          <w:rFonts w:hint="default" w:ascii="Times New Roman" w:hAnsi="Times New Roman" w:eastAsia="黑体" w:cs="Times New Roman"/>
          <w:kern w:val="0"/>
          <w:shd w:val="clear" w:color="auto" w:fill="FFFFFF"/>
          <w:lang w:val="zh-CN"/>
        </w:rPr>
      </w:pPr>
      <w:r>
        <w:rPr>
          <w:rFonts w:hint="default" w:ascii="Times New Roman" w:hAnsi="Times New Roman" w:eastAsia="黑体" w:cs="Times New Roman"/>
          <w:kern w:val="0"/>
          <w:shd w:val="clear" w:color="auto" w:fill="FFFFFF"/>
        </w:rPr>
        <w:t>一、市</w:t>
      </w:r>
      <w:r>
        <w:rPr>
          <w:rFonts w:hint="eastAsia" w:eastAsia="黑体" w:cs="Times New Roman"/>
          <w:kern w:val="0"/>
          <w:shd w:val="clear" w:color="auto" w:fill="FFFFFF"/>
          <w:lang w:eastAsia="zh-CN"/>
        </w:rPr>
        <w:t>妇联</w:t>
      </w:r>
      <w:r>
        <w:rPr>
          <w:rFonts w:hint="default" w:ascii="Times New Roman" w:hAnsi="Times New Roman" w:eastAsia="黑体" w:cs="Times New Roman"/>
          <w:kern w:val="0"/>
          <w:shd w:val="clear" w:color="auto" w:fill="FFFFFF"/>
          <w:lang w:val="zh-CN"/>
        </w:rPr>
        <w:t>概况</w:t>
      </w:r>
    </w:p>
    <w:p>
      <w:pPr>
        <w:snapToGrid w:val="0"/>
        <w:spacing w:line="580" w:lineRule="exact"/>
        <w:ind w:firstLine="640" w:firstLineChars="20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（一）机构组成。</w:t>
      </w:r>
      <w:bookmarkStart w:id="0" w:name="_GoBack"/>
      <w:bookmarkEnd w:id="0"/>
    </w:p>
    <w:p>
      <w:pPr>
        <w:snapToGrid w:val="0"/>
        <w:spacing w:line="580" w:lineRule="exact"/>
        <w:ind w:firstLine="640" w:firstLineChars="200"/>
        <w:rPr>
          <w:rFonts w:hint="eastAsia" w:ascii="Times New Roman" w:hAnsi="Times New Roman" w:eastAsia="仿宋_GB2312" w:cs="Times New Roman"/>
          <w:szCs w:val="32"/>
          <w:lang w:val="zh-CN" w:eastAsia="zh-CN"/>
        </w:rPr>
      </w:pPr>
      <w:r>
        <w:rPr>
          <w:rFonts w:hint="default" w:ascii="Times New Roman" w:hAnsi="Times New Roman" w:cs="Times New Roman"/>
          <w:szCs w:val="32"/>
          <w:lang w:val="zh-CN"/>
        </w:rPr>
        <w:t>市妇联系群团组织，参照国家公务员管理。内设办公室、组宣部、妇女权益儿童工作部等3个职能部室和市人民政府儿童工作委员会办公室</w:t>
      </w:r>
      <w:r>
        <w:rPr>
          <w:rFonts w:hint="eastAsia" w:ascii="Times New Roman" w:hAnsi="Times New Roman" w:cs="Times New Roman"/>
          <w:szCs w:val="32"/>
          <w:lang w:val="zh-CN"/>
        </w:rPr>
        <w:t>，</w:t>
      </w:r>
      <w:r>
        <w:rPr>
          <w:rFonts w:hint="eastAsia" w:ascii="仿宋_GB2312" w:hAnsi="仿宋" w:eastAsia="仿宋_GB2312" w:cs="Times New Roman"/>
          <w:sz w:val="32"/>
          <w:szCs w:val="32"/>
        </w:rPr>
        <w:t>下设正科级事业单位遂宁市妇女儿童活动中心</w:t>
      </w:r>
      <w:r>
        <w:rPr>
          <w:rFonts w:hint="eastAsia" w:ascii="仿宋_GB2312" w:hAnsi="仿宋" w:cs="Times New Roman"/>
          <w:sz w:val="32"/>
          <w:szCs w:val="32"/>
          <w:lang w:eastAsia="zh-CN"/>
        </w:rPr>
        <w:t>。</w:t>
      </w:r>
    </w:p>
    <w:p>
      <w:pPr>
        <w:keepNext w:val="0"/>
        <w:keepLines w:val="0"/>
        <w:pageBreakBefore w:val="0"/>
        <w:numPr>
          <w:ilvl w:val="0"/>
          <w:numId w:val="2"/>
        </w:numPr>
        <w:wordWrap/>
        <w:topLinePunct w:val="0"/>
        <w:autoSpaceDE/>
        <w:autoSpaceDN/>
        <w:bidi w:val="0"/>
        <w:snapToGrid w:val="0"/>
        <w:spacing w:line="640" w:lineRule="exact"/>
        <w:ind w:firstLine="640" w:firstLineChars="200"/>
        <w:textAlignment w:val="auto"/>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机构职能。</w:t>
      </w:r>
    </w:p>
    <w:p>
      <w:pPr>
        <w:keepNext w:val="0"/>
        <w:keepLines w:val="0"/>
        <w:pageBreakBefore w:val="0"/>
        <w:numPr>
          <w:ilvl w:val="0"/>
          <w:numId w:val="0"/>
        </w:numPr>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1.贯彻党的妇女儿童方针、政策，坚持正确的政治方向，团结、教育全市广大妇女以及各类妇女组织同党中央在思想、政治上、行动上保持高度一致。</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2.紧密围绕党和政府的中心任务开展工作，团结、动员、组织广大妇女积极投身五个文明建设，促进经济发展和社会进步，为维护改革发展稳定的大局服务。</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4.代表妇女参与国家和社会事务的民主管理和民主监督；宣传、贯彻执行有关</w:t>
      </w:r>
      <w:r>
        <w:rPr>
          <w:rFonts w:hint="eastAsia" w:ascii="仿宋_GB2312" w:hAnsi="Calibri" w:cs="Times New Roman"/>
          <w:sz w:val="32"/>
          <w:szCs w:val="32"/>
          <w:lang w:val="en-US" w:eastAsia="zh-CN"/>
        </w:rPr>
        <w:t>妇女</w:t>
      </w:r>
      <w:r>
        <w:rPr>
          <w:rFonts w:hint="eastAsia" w:ascii="仿宋_GB2312" w:hAnsi="Calibri" w:eastAsia="仿宋_GB2312" w:cs="Times New Roman"/>
          <w:sz w:val="32"/>
          <w:szCs w:val="32"/>
          <w:lang w:val="en-US" w:eastAsia="zh-CN"/>
        </w:rPr>
        <w:t>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5.组织指导各级妇联开展为妇女儿童服务工作，加强与社会各界的联系，协调推动全社会为妇女儿童办实事、办好事。</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wordWrap/>
        <w:topLinePunct w:val="0"/>
        <w:autoSpaceDE/>
        <w:autoSpaceDN/>
        <w:bidi w:val="0"/>
        <w:snapToGrid w:val="0"/>
        <w:spacing w:line="64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7.承担市妇女儿童工作委员会办公室的工作。</w:t>
      </w:r>
    </w:p>
    <w:p>
      <w:pPr>
        <w:keepNext w:val="0"/>
        <w:keepLines w:val="0"/>
        <w:pageBreakBefore w:val="0"/>
        <w:wordWrap/>
        <w:topLinePunct w:val="0"/>
        <w:autoSpaceDE/>
        <w:autoSpaceDN/>
        <w:bidi w:val="0"/>
        <w:snapToGrid w:val="0"/>
        <w:spacing w:line="640" w:lineRule="exact"/>
        <w:ind w:firstLine="640" w:firstLineChars="200"/>
        <w:textAlignment w:val="auto"/>
        <w:rPr>
          <w:rFonts w:hint="default" w:ascii="Times New Roman" w:hAnsi="Times New Roman" w:cs="Times New Roman"/>
          <w:szCs w:val="32"/>
        </w:rPr>
      </w:pPr>
      <w:r>
        <w:rPr>
          <w:rFonts w:hint="eastAsia" w:ascii="仿宋_GB2312" w:hAnsi="Calibri" w:eastAsia="仿宋_GB2312" w:cs="Times New Roman"/>
          <w:sz w:val="32"/>
          <w:szCs w:val="32"/>
          <w:lang w:val="en-US" w:eastAsia="zh-CN"/>
        </w:rPr>
        <w:t>8.承办市委、市政府交办的有关事项</w:t>
      </w:r>
    </w:p>
    <w:p>
      <w:pPr>
        <w:keepNext w:val="0"/>
        <w:keepLines w:val="0"/>
        <w:pageBreakBefore w:val="0"/>
        <w:wordWrap/>
        <w:topLinePunct w:val="0"/>
        <w:autoSpaceDE/>
        <w:autoSpaceDN/>
        <w:bidi w:val="0"/>
        <w:spacing w:line="640" w:lineRule="exact"/>
        <w:ind w:firstLine="640" w:firstLineChars="200"/>
        <w:textAlignment w:val="auto"/>
        <w:rPr>
          <w:rFonts w:hint="default" w:ascii="仿宋_GB2312" w:hAnsi="仿宋" w:eastAsia="仿宋_GB2312" w:cs="Times New Roman"/>
          <w:sz w:val="32"/>
          <w:szCs w:val="32"/>
          <w:lang w:val="en-US" w:eastAsia="zh-CN"/>
        </w:rPr>
      </w:pPr>
      <w:r>
        <w:rPr>
          <w:rFonts w:hint="default" w:ascii="Times New Roman" w:hAnsi="Times New Roman" w:eastAsia="楷体" w:cs="Times New Roman"/>
          <w:kern w:val="0"/>
          <w:shd w:val="clear" w:color="auto" w:fill="FFFFFF"/>
          <w:lang w:val="zh-CN"/>
        </w:rPr>
        <w:t>（三）人员概况。</w:t>
      </w:r>
      <w:r>
        <w:rPr>
          <w:rFonts w:hint="eastAsia" w:ascii="仿宋_GB2312" w:hAnsi="Calibri" w:eastAsia="仿宋_GB2312" w:cs="Times New Roman"/>
          <w:sz w:val="32"/>
          <w:szCs w:val="32"/>
        </w:rPr>
        <w:t>市妇联有公务员编制9人，至</w:t>
      </w:r>
      <w:r>
        <w:rPr>
          <w:rFonts w:hint="eastAsia" w:ascii="仿宋_GB2312" w:hAnsi="Calibri" w:cs="Times New Roman"/>
          <w:sz w:val="32"/>
          <w:szCs w:val="32"/>
          <w:lang w:val="en-US" w:eastAsia="zh-CN"/>
        </w:rPr>
        <w:t>2022</w:t>
      </w:r>
      <w:r>
        <w:rPr>
          <w:rFonts w:hint="eastAsia" w:ascii="仿宋_GB2312" w:hAnsi="Calibri" w:eastAsia="仿宋_GB2312" w:cs="Times New Roman"/>
          <w:sz w:val="32"/>
          <w:szCs w:val="32"/>
        </w:rPr>
        <w:t>年底有在职人员（公务员编制）</w:t>
      </w:r>
      <w:r>
        <w:rPr>
          <w:rFonts w:hint="eastAsia" w:ascii="仿宋_GB2312" w:hAnsi="Calibri" w:cs="Times New Roman"/>
          <w:sz w:val="32"/>
          <w:szCs w:val="32"/>
          <w:lang w:val="en-US" w:eastAsia="zh-CN"/>
        </w:rPr>
        <w:t>9</w:t>
      </w:r>
      <w:r>
        <w:rPr>
          <w:rFonts w:hint="eastAsia" w:ascii="仿宋_GB2312" w:hAnsi="Calibri" w:eastAsia="仿宋_GB2312" w:cs="Times New Roman"/>
          <w:sz w:val="32"/>
          <w:szCs w:val="32"/>
        </w:rPr>
        <w:t>人。</w:t>
      </w:r>
      <w:r>
        <w:rPr>
          <w:rFonts w:hint="eastAsia" w:ascii="仿宋_GB2312" w:hAnsi="仿宋" w:eastAsia="仿宋_GB2312" w:cs="Times New Roman"/>
          <w:sz w:val="32"/>
          <w:szCs w:val="32"/>
        </w:rPr>
        <w:t>其中：正县职领导干部1名、</w:t>
      </w:r>
      <w:r>
        <w:rPr>
          <w:rFonts w:hint="eastAsia" w:ascii="仿宋_GB2312" w:hAnsi="仿宋" w:cs="Times New Roman"/>
          <w:sz w:val="32"/>
          <w:szCs w:val="32"/>
          <w:lang w:eastAsia="zh-CN"/>
        </w:rPr>
        <w:t>正县级领导干部</w:t>
      </w:r>
      <w:r>
        <w:rPr>
          <w:rFonts w:hint="eastAsia" w:ascii="仿宋_GB2312" w:hAnsi="仿宋" w:cs="Times New Roman"/>
          <w:sz w:val="32"/>
          <w:szCs w:val="32"/>
          <w:lang w:val="en-US" w:eastAsia="zh-CN"/>
        </w:rPr>
        <w:t>1名、</w:t>
      </w:r>
      <w:r>
        <w:rPr>
          <w:rFonts w:hint="eastAsia" w:ascii="仿宋_GB2312" w:hAnsi="仿宋" w:eastAsia="仿宋_GB2312" w:cs="Times New Roman"/>
          <w:sz w:val="32"/>
          <w:szCs w:val="32"/>
        </w:rPr>
        <w:t>副县职领导干部2名，四级调研员1名，科级干部4名。下设正科级事业单位遂宁市妇女儿童活动中心，事业编制3个</w:t>
      </w:r>
      <w:r>
        <w:rPr>
          <w:rFonts w:hint="eastAsia" w:ascii="仿宋_GB2312" w:hAnsi="仿宋" w:cs="Times New Roman"/>
          <w:sz w:val="32"/>
          <w:szCs w:val="32"/>
          <w:lang w:eastAsia="zh-CN"/>
        </w:rPr>
        <w:t>。临聘人员</w:t>
      </w:r>
      <w:r>
        <w:rPr>
          <w:rFonts w:hint="eastAsia" w:ascii="仿宋_GB2312" w:hAnsi="仿宋" w:cs="Times New Roman"/>
          <w:sz w:val="32"/>
          <w:szCs w:val="32"/>
          <w:lang w:val="en-US" w:eastAsia="zh-CN"/>
        </w:rPr>
        <w:t>1名。</w:t>
      </w:r>
    </w:p>
    <w:p>
      <w:pPr>
        <w:keepNext w:val="0"/>
        <w:keepLines w:val="0"/>
        <w:pageBreakBefore w:val="0"/>
        <w:wordWrap/>
        <w:topLinePunct w:val="0"/>
        <w:autoSpaceDE/>
        <w:autoSpaceDN/>
        <w:bidi w:val="0"/>
        <w:spacing w:line="640" w:lineRule="exact"/>
        <w:ind w:firstLine="640" w:firstLineChars="200"/>
        <w:textAlignment w:val="auto"/>
        <w:rPr>
          <w:rFonts w:hint="default" w:ascii="Times New Roman" w:hAnsi="Times New Roman" w:eastAsia="黑体" w:cs="Times New Roman"/>
          <w:kern w:val="0"/>
          <w:shd w:val="clear" w:color="auto" w:fill="FFFFFF"/>
        </w:rPr>
      </w:pPr>
      <w:r>
        <w:rPr>
          <w:rFonts w:hint="default" w:ascii="Times New Roman" w:hAnsi="Times New Roman" w:eastAsia="黑体" w:cs="Times New Roman"/>
          <w:kern w:val="0"/>
          <w:shd w:val="clear" w:color="auto" w:fill="FFFFFF"/>
        </w:rPr>
        <w:t>二、部门财政资金收支情况</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（一）部门财政资金收入情况</w:t>
      </w:r>
    </w:p>
    <w:p>
      <w:pPr>
        <w:adjustRightInd w:val="0"/>
        <w:snapToGrid w:val="0"/>
        <w:spacing w:line="580" w:lineRule="exact"/>
        <w:ind w:left="320" w:leftChars="100" w:firstLine="400" w:firstLineChars="125"/>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市</w:t>
      </w:r>
      <w:r>
        <w:rPr>
          <w:rFonts w:hint="eastAsia" w:cs="Times New Roman"/>
          <w:kern w:val="0"/>
          <w:shd w:val="clear" w:color="auto" w:fill="FFFFFF"/>
          <w:lang w:val="zh-CN"/>
        </w:rPr>
        <w:t>妇联</w:t>
      </w:r>
      <w:r>
        <w:rPr>
          <w:rFonts w:hint="default" w:ascii="Times New Roman" w:hAnsi="Times New Roman" w:eastAsia="楷体_GB2312" w:cs="Times New Roman"/>
          <w:lang w:val="en-US" w:eastAsia="zh-CN"/>
        </w:rPr>
        <w:t>2022</w:t>
      </w:r>
      <w:r>
        <w:rPr>
          <w:rFonts w:hint="default" w:ascii="Times New Roman" w:hAnsi="Times New Roman" w:cs="Times New Roman"/>
          <w:kern w:val="0"/>
          <w:shd w:val="clear" w:color="auto" w:fill="FFFFFF"/>
          <w:lang w:val="zh-CN"/>
        </w:rPr>
        <w:t>年财政资金收入</w:t>
      </w:r>
      <w:r>
        <w:rPr>
          <w:rFonts w:hint="eastAsia" w:eastAsia="楷体_GB2312" w:cs="Times New Roman"/>
          <w:lang w:val="en-US" w:eastAsia="zh-CN"/>
        </w:rPr>
        <w:t xml:space="preserve"> </w:t>
      </w:r>
      <w:r>
        <w:rPr>
          <w:rFonts w:hint="eastAsia" w:ascii="仿宋" w:hAnsi="仿宋" w:eastAsia="仿宋"/>
          <w:color w:val="auto"/>
          <w:sz w:val="32"/>
          <w:szCs w:val="32"/>
          <w:highlight w:val="none"/>
        </w:rPr>
        <w:t>616.55</w:t>
      </w:r>
      <w:r>
        <w:rPr>
          <w:rFonts w:hint="eastAsia" w:eastAsia="楷体_GB2312" w:cs="Times New Roman"/>
          <w:lang w:val="en-US" w:eastAsia="zh-CN"/>
        </w:rPr>
        <w:t xml:space="preserve">  </w:t>
      </w:r>
      <w:r>
        <w:rPr>
          <w:rFonts w:hint="default" w:ascii="Times New Roman" w:hAnsi="Times New Roman" w:cs="Times New Roman"/>
        </w:rPr>
        <w:t>万元</w:t>
      </w:r>
      <w:r>
        <w:rPr>
          <w:rFonts w:hint="default" w:ascii="Times New Roman" w:hAnsi="Times New Roman" w:cs="Times New Roman"/>
          <w:kern w:val="0"/>
          <w:shd w:val="clear" w:color="auto" w:fill="FFFFFF"/>
          <w:lang w:val="zh-CN"/>
        </w:rPr>
        <w:t>，其中财政拨款收入</w:t>
      </w:r>
      <w:r>
        <w:rPr>
          <w:rFonts w:hint="eastAsia" w:eastAsia="楷体_GB2312" w:cs="Times New Roman"/>
          <w:lang w:val="en-US" w:eastAsia="zh-CN"/>
        </w:rPr>
        <w:t xml:space="preserve"> </w:t>
      </w:r>
      <w:r>
        <w:rPr>
          <w:rFonts w:hint="eastAsia" w:ascii="仿宋" w:hAnsi="仿宋" w:eastAsia="仿宋"/>
          <w:color w:val="auto"/>
          <w:sz w:val="32"/>
          <w:szCs w:val="32"/>
          <w:highlight w:val="none"/>
        </w:rPr>
        <w:t>599.38</w:t>
      </w:r>
      <w:r>
        <w:rPr>
          <w:rFonts w:hint="default" w:ascii="Times New Roman" w:hAnsi="Times New Roman" w:cs="Times New Roman"/>
        </w:rPr>
        <w:t>万元</w:t>
      </w:r>
      <w:r>
        <w:rPr>
          <w:rFonts w:hint="default" w:ascii="Times New Roman" w:hAnsi="Times New Roman" w:cs="Times New Roman"/>
          <w:kern w:val="0"/>
          <w:shd w:val="clear" w:color="auto" w:fill="FFFFFF"/>
          <w:lang w:val="zh-CN"/>
        </w:rPr>
        <w:t>。</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（二）部门财政资金支出情况</w:t>
      </w:r>
    </w:p>
    <w:p>
      <w:pPr>
        <w:adjustRightInd w:val="0"/>
        <w:snapToGrid w:val="0"/>
        <w:spacing w:line="580" w:lineRule="exact"/>
        <w:ind w:firstLine="720"/>
        <w:rPr>
          <w:rFonts w:hint="default" w:ascii="Times New Roman" w:hAnsi="Times New Roman" w:eastAsia="楷体_GB2312" w:cs="Times New Roman"/>
          <w:lang w:val="zh-CN" w:eastAsia="zh-CN"/>
        </w:rPr>
      </w:pPr>
      <w:r>
        <w:rPr>
          <w:rFonts w:hint="default" w:ascii="Times New Roman" w:hAnsi="Times New Roman" w:cs="Times New Roman"/>
          <w:kern w:val="0"/>
          <w:shd w:val="clear" w:color="auto" w:fill="FFFFFF"/>
          <w:lang w:val="zh-CN"/>
        </w:rPr>
        <w:t>市</w:t>
      </w:r>
      <w:r>
        <w:rPr>
          <w:rFonts w:hint="eastAsia" w:cs="Times New Roman"/>
          <w:kern w:val="0"/>
          <w:shd w:val="clear" w:color="auto" w:fill="FFFFFF"/>
          <w:lang w:val="zh-CN"/>
        </w:rPr>
        <w:t>妇</w:t>
      </w:r>
      <w:r>
        <w:rPr>
          <w:rFonts w:hint="default" w:ascii="Times New Roman" w:hAnsi="Times New Roman" w:cs="Times New Roman"/>
          <w:kern w:val="0"/>
          <w:shd w:val="clear" w:color="auto" w:fill="FFFFFF"/>
          <w:lang w:val="zh-CN"/>
        </w:rPr>
        <w:t>联20</w:t>
      </w:r>
      <w:r>
        <w:rPr>
          <w:rFonts w:hint="default" w:ascii="Times New Roman" w:hAnsi="Times New Roman" w:cs="Times New Roman"/>
          <w:kern w:val="0"/>
          <w:shd w:val="clear" w:color="auto" w:fill="FFFFFF"/>
          <w:lang w:val="en-US" w:eastAsia="zh-CN"/>
        </w:rPr>
        <w:t>22</w:t>
      </w:r>
      <w:r>
        <w:rPr>
          <w:rFonts w:hint="default" w:ascii="Times New Roman" w:hAnsi="Times New Roman" w:cs="Times New Roman"/>
          <w:kern w:val="0"/>
          <w:shd w:val="clear" w:color="auto" w:fill="FFFFFF"/>
          <w:lang w:val="zh-CN"/>
        </w:rPr>
        <w:t>年财政资金支出</w:t>
      </w:r>
      <w:r>
        <w:rPr>
          <w:rFonts w:hint="eastAsia" w:eastAsia="楷体_GB2312" w:cs="Times New Roman"/>
          <w:lang w:val="en-US" w:eastAsia="zh-CN"/>
        </w:rPr>
        <w:t xml:space="preserve"> </w:t>
      </w:r>
      <w:r>
        <w:rPr>
          <w:rFonts w:hint="eastAsia" w:ascii="仿宋" w:hAnsi="仿宋" w:eastAsia="仿宋"/>
          <w:color w:val="auto"/>
          <w:sz w:val="32"/>
          <w:szCs w:val="32"/>
          <w:highlight w:val="none"/>
        </w:rPr>
        <w:t>616.55</w:t>
      </w:r>
      <w:r>
        <w:rPr>
          <w:rFonts w:hint="eastAsia" w:eastAsia="楷体_GB2312" w:cs="Times New Roman"/>
          <w:lang w:val="en-US" w:eastAsia="zh-CN"/>
        </w:rPr>
        <w:t xml:space="preserve"> </w:t>
      </w:r>
      <w:r>
        <w:rPr>
          <w:rFonts w:hint="default" w:ascii="Times New Roman" w:hAnsi="Times New Roman" w:cs="Times New Roman"/>
          <w:kern w:val="0"/>
          <w:shd w:val="clear" w:color="auto" w:fill="FFFFFF"/>
          <w:lang w:val="zh-CN"/>
        </w:rPr>
        <w:t>万元，其中基本支出</w:t>
      </w:r>
      <w:r>
        <w:rPr>
          <w:rFonts w:hint="eastAsia" w:eastAsia="楷体_GB2312" w:cs="Times New Roman"/>
          <w:lang w:val="en-US" w:eastAsia="zh-CN"/>
        </w:rPr>
        <w:t xml:space="preserve">  </w:t>
      </w:r>
      <w:r>
        <w:rPr>
          <w:rFonts w:hint="eastAsia" w:ascii="仿宋" w:hAnsi="仿宋" w:eastAsia="仿宋"/>
          <w:color w:val="auto"/>
          <w:sz w:val="32"/>
          <w:szCs w:val="32"/>
          <w:highlight w:val="none"/>
        </w:rPr>
        <w:t>289.34</w:t>
      </w:r>
      <w:r>
        <w:rPr>
          <w:rFonts w:hint="default" w:ascii="Times New Roman" w:hAnsi="Times New Roman" w:cs="Times New Roman"/>
          <w:kern w:val="0"/>
          <w:shd w:val="clear" w:color="auto" w:fill="FFFFFF"/>
          <w:lang w:val="zh-CN"/>
        </w:rPr>
        <w:t>万元，</w:t>
      </w:r>
      <w:r>
        <w:rPr>
          <w:rFonts w:hint="default" w:ascii="Times New Roman" w:hAnsi="Times New Roman" w:cs="Times New Roman"/>
          <w:kern w:val="0"/>
          <w:shd w:val="clear" w:color="auto" w:fill="FFFFFF"/>
          <w:lang w:val="zh-CN" w:eastAsia="zh-CN"/>
        </w:rPr>
        <w:t>占</w:t>
      </w:r>
      <w:r>
        <w:rPr>
          <w:rFonts w:hint="eastAsia" w:ascii="仿宋" w:hAnsi="仿宋" w:eastAsia="仿宋"/>
          <w:color w:val="auto"/>
          <w:sz w:val="32"/>
          <w:szCs w:val="32"/>
          <w:highlight w:val="none"/>
          <w:lang w:val="en-US" w:eastAsia="zh-CN"/>
        </w:rPr>
        <w:t>46.93</w:t>
      </w:r>
      <w:r>
        <w:rPr>
          <w:rFonts w:ascii="仿宋" w:hAnsi="仿宋" w:eastAsia="仿宋"/>
          <w:color w:val="auto"/>
          <w:sz w:val="32"/>
          <w:szCs w:val="32"/>
          <w:highlight w:val="none"/>
        </w:rPr>
        <w:t>%</w:t>
      </w:r>
      <w:r>
        <w:rPr>
          <w:rFonts w:hint="default" w:ascii="Times New Roman" w:hAnsi="Times New Roman" w:cs="Times New Roman"/>
          <w:kern w:val="0"/>
          <w:shd w:val="clear" w:color="auto" w:fill="FFFFFF"/>
          <w:lang w:val="zh-CN"/>
        </w:rPr>
        <w:t>；项目支出</w:t>
      </w:r>
      <w:r>
        <w:rPr>
          <w:rFonts w:hint="eastAsia" w:ascii="仿宋" w:hAnsi="仿宋" w:eastAsia="仿宋"/>
          <w:color w:val="auto"/>
          <w:sz w:val="32"/>
          <w:szCs w:val="32"/>
          <w:highlight w:val="none"/>
        </w:rPr>
        <w:t>327.21</w:t>
      </w:r>
      <w:r>
        <w:rPr>
          <w:rFonts w:hint="eastAsia" w:eastAsia="楷体_GB2312" w:cs="Times New Roman"/>
          <w:lang w:val="en-US" w:eastAsia="zh-CN"/>
        </w:rPr>
        <w:t xml:space="preserve">  </w:t>
      </w:r>
      <w:r>
        <w:rPr>
          <w:rFonts w:hint="default" w:ascii="Times New Roman" w:hAnsi="Times New Roman" w:cs="Times New Roman"/>
          <w:kern w:val="0"/>
          <w:shd w:val="clear" w:color="auto" w:fill="FFFFFF"/>
          <w:lang w:val="zh-CN"/>
        </w:rPr>
        <w:t>万元，占</w:t>
      </w:r>
      <w:r>
        <w:rPr>
          <w:rFonts w:hint="eastAsia" w:ascii="仿宋" w:hAnsi="仿宋" w:eastAsia="仿宋"/>
          <w:color w:val="auto"/>
          <w:sz w:val="32"/>
          <w:szCs w:val="32"/>
          <w:highlight w:val="none"/>
          <w:lang w:val="en-US" w:eastAsia="zh-CN"/>
        </w:rPr>
        <w:t>53.07</w:t>
      </w:r>
      <w:r>
        <w:rPr>
          <w:rFonts w:ascii="仿宋" w:hAnsi="仿宋" w:eastAsia="仿宋"/>
          <w:color w:val="auto"/>
          <w:sz w:val="32"/>
          <w:szCs w:val="32"/>
          <w:highlight w:val="none"/>
        </w:rPr>
        <w:t>%</w:t>
      </w:r>
      <w:r>
        <w:rPr>
          <w:rFonts w:hint="default" w:ascii="Times New Roman" w:hAnsi="Times New Roman" w:eastAsia="楷体_GB2312" w:cs="Times New Roman"/>
          <w:lang w:val="zh-CN" w:eastAsia="zh-CN"/>
        </w:rPr>
        <w:t>。</w:t>
      </w:r>
    </w:p>
    <w:p>
      <w:pPr>
        <w:adjustRightInd w:val="0"/>
        <w:snapToGrid w:val="0"/>
        <w:spacing w:line="580" w:lineRule="exact"/>
        <w:ind w:firstLine="720"/>
        <w:rPr>
          <w:rFonts w:hint="default" w:ascii="Times New Roman" w:hAnsi="Times New Roman" w:eastAsia="黑体" w:cs="Times New Roman"/>
          <w:kern w:val="0"/>
          <w:shd w:val="clear" w:color="auto" w:fill="FFFFFF"/>
        </w:rPr>
      </w:pPr>
      <w:r>
        <w:rPr>
          <w:rFonts w:hint="default" w:ascii="Times New Roman" w:hAnsi="Times New Roman" w:eastAsia="黑体" w:cs="Times New Roman"/>
          <w:kern w:val="0"/>
          <w:shd w:val="clear" w:color="auto" w:fill="FFFFFF"/>
        </w:rPr>
        <w:t>三、</w:t>
      </w:r>
      <w:r>
        <w:rPr>
          <w:rFonts w:hint="default" w:ascii="Times New Roman" w:hAnsi="Times New Roman" w:eastAsia="黑体" w:cs="Times New Roman"/>
          <w:kern w:val="0"/>
          <w:shd w:val="clear" w:color="auto" w:fill="FFFFFF"/>
          <w:lang w:eastAsia="zh-CN"/>
        </w:rPr>
        <w:t>部门整体预算绩效</w:t>
      </w:r>
      <w:r>
        <w:rPr>
          <w:rFonts w:hint="default" w:ascii="Times New Roman" w:hAnsi="Times New Roman" w:eastAsia="黑体" w:cs="Times New Roman"/>
          <w:kern w:val="0"/>
          <w:shd w:val="clear" w:color="auto" w:fill="FFFFFF"/>
        </w:rPr>
        <w:t>管理情况</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（一）部门预算</w:t>
      </w:r>
      <w:r>
        <w:rPr>
          <w:rFonts w:hint="eastAsia" w:eastAsia="楷体" w:cs="Times New Roman"/>
          <w:kern w:val="0"/>
          <w:shd w:val="clear" w:color="auto" w:fill="FFFFFF"/>
          <w:lang w:val="zh-CN"/>
        </w:rPr>
        <w:t>项目绩效</w:t>
      </w:r>
      <w:r>
        <w:rPr>
          <w:rFonts w:hint="default" w:ascii="Times New Roman" w:hAnsi="Times New Roman" w:eastAsia="楷体" w:cs="Times New Roman"/>
          <w:kern w:val="0"/>
          <w:shd w:val="clear" w:color="auto" w:fill="FFFFFF"/>
          <w:lang w:val="zh-CN"/>
        </w:rPr>
        <w:t>管理</w:t>
      </w:r>
    </w:p>
    <w:p>
      <w:pPr>
        <w:adjustRightInd w:val="0"/>
        <w:snapToGrid w:val="0"/>
        <w:spacing w:line="580" w:lineRule="exact"/>
        <w:ind w:firstLine="720"/>
        <w:rPr>
          <w:rFonts w:hint="default" w:ascii="Times New Roman" w:hAnsi="Times New Roman" w:cs="Times New Roman"/>
        </w:rPr>
      </w:pPr>
      <w:r>
        <w:rPr>
          <w:rFonts w:hint="default" w:ascii="Times New Roman" w:hAnsi="Times New Roman" w:cs="Times New Roman"/>
          <w:b/>
          <w:bCs/>
          <w:lang w:eastAsia="zh-CN"/>
        </w:rPr>
        <w:t>绩效目标制定</w:t>
      </w:r>
      <w:r>
        <w:rPr>
          <w:rFonts w:hint="default" w:ascii="Times New Roman" w:hAnsi="Times New Roman" w:cs="Times New Roman"/>
          <w:b w:val="0"/>
          <w:bCs w:val="0"/>
          <w:lang w:eastAsia="zh-CN"/>
        </w:rPr>
        <w:t>：</w:t>
      </w:r>
      <w:r>
        <w:rPr>
          <w:rFonts w:hint="default" w:ascii="Times New Roman" w:hAnsi="Times New Roman" w:cs="Times New Roman"/>
        </w:rPr>
        <w:t>按照综合预算的原则，市</w:t>
      </w:r>
      <w:r>
        <w:rPr>
          <w:rFonts w:hint="eastAsia" w:cs="Times New Roman"/>
          <w:lang w:eastAsia="zh-CN"/>
        </w:rPr>
        <w:t>妇</w:t>
      </w:r>
      <w:r>
        <w:rPr>
          <w:rFonts w:hint="default" w:ascii="Times New Roman" w:hAnsi="Times New Roman" w:cs="Times New Roman"/>
        </w:rPr>
        <w:t>联所有收入和支出均纳入部门预算管理。绩效目标的填报时按照“费随事定”的原则，</w:t>
      </w:r>
      <w:r>
        <w:rPr>
          <w:rFonts w:hint="default" w:ascii="Times New Roman" w:hAnsi="Times New Roman" w:eastAsia="楷体_GB2312" w:cs="Times New Roman"/>
          <w:lang w:val="en-US" w:eastAsia="zh-CN"/>
        </w:rPr>
        <w:t>2022</w:t>
      </w:r>
      <w:r>
        <w:rPr>
          <w:rFonts w:hint="default" w:ascii="Times New Roman" w:hAnsi="Times New Roman" w:cs="Times New Roman"/>
        </w:rPr>
        <w:t>年市</w:t>
      </w:r>
      <w:r>
        <w:rPr>
          <w:rFonts w:hint="eastAsia" w:cs="Times New Roman"/>
          <w:lang w:eastAsia="zh-CN"/>
        </w:rPr>
        <w:t>妇</w:t>
      </w:r>
      <w:r>
        <w:rPr>
          <w:rFonts w:hint="default" w:ascii="Times New Roman" w:hAnsi="Times New Roman" w:cs="Times New Roman"/>
        </w:rPr>
        <w:t>联全部</w:t>
      </w:r>
      <w:r>
        <w:rPr>
          <w:rFonts w:hint="eastAsia" w:cs="Times New Roman"/>
          <w:lang w:eastAsia="zh-CN"/>
        </w:rPr>
        <w:t>特定目标类</w:t>
      </w:r>
      <w:r>
        <w:rPr>
          <w:rFonts w:hint="default" w:ascii="Times New Roman" w:hAnsi="Times New Roman" w:cs="Times New Roman"/>
        </w:rPr>
        <w:t>项目按要求编制了绩效目标，从项目完成、项目效益、满意度等方面设置了绩效指标，综合反映项目预期完成的数量、成本、时效、质量，预期达到的社会效益、经济效益、生态效益、可持续影响以及服务对象满意度等情况。</w:t>
      </w:r>
    </w:p>
    <w:p>
      <w:pPr>
        <w:adjustRightInd w:val="0"/>
        <w:snapToGrid w:val="0"/>
        <w:spacing w:line="580" w:lineRule="exact"/>
        <w:ind w:firstLine="720"/>
        <w:rPr>
          <w:rFonts w:hint="default" w:ascii="Times New Roman" w:hAnsi="Times New Roman" w:cs="Times New Roman"/>
          <w:b/>
          <w:bCs/>
          <w:lang w:eastAsia="zh-CN"/>
        </w:rPr>
      </w:pPr>
      <w:r>
        <w:rPr>
          <w:rFonts w:hint="default" w:ascii="Times New Roman" w:hAnsi="Times New Roman" w:cs="Times New Roman"/>
          <w:b/>
          <w:bCs/>
          <w:lang w:eastAsia="zh-CN"/>
        </w:rPr>
        <w:t>目标实现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lang w:val="en-US" w:eastAsia="zh-CN"/>
        </w:rPr>
      </w:pPr>
      <w:r>
        <w:rPr>
          <w:rFonts w:hint="eastAsia" w:ascii="Times New Roman" w:hAnsi="Times New Roman" w:cs="Times New Roman"/>
          <w:lang w:val="en-US" w:eastAsia="zh-CN"/>
        </w:rPr>
        <w:t>1.学思践悟，在筑牢思想根基中优化了发展思路。</w:t>
      </w:r>
      <w:r>
        <w:rPr>
          <w:rFonts w:hint="eastAsia" w:ascii="楷体_GB2312" w:hAnsi="楷体_GB2312" w:eastAsia="楷体_GB2312" w:cs="楷体_GB2312"/>
          <w:b/>
          <w:bCs/>
          <w:lang w:val="en-US" w:eastAsia="zh-CN"/>
        </w:rPr>
        <w:t>强化思想理论武装。</w:t>
      </w:r>
      <w:r>
        <w:rPr>
          <w:rFonts w:hint="eastAsia" w:ascii="仿宋_GB2312" w:hAnsi="仿宋_GB2312" w:eastAsia="仿宋_GB2312" w:cs="仿宋_GB2312"/>
          <w:lang w:val="en-US" w:eastAsia="zh-CN"/>
        </w:rPr>
        <w:t>严格落实会前学纪学法、“第一议题”理论中心组学习、支部“三会一课”等学习制度，</w:t>
      </w:r>
      <w:r>
        <w:rPr>
          <w:rFonts w:hint="eastAsia" w:ascii="仿宋_GB2312" w:hAnsi="仿宋_GB2312" w:cs="仿宋_GB2312"/>
          <w:lang w:val="en-US" w:eastAsia="zh-CN"/>
        </w:rPr>
        <w:t>组织召开党组</w:t>
      </w:r>
      <w:r>
        <w:rPr>
          <w:rFonts w:hint="eastAsia" w:ascii="仿宋_GB2312" w:hAnsi="仿宋_GB2312" w:eastAsia="仿宋_GB2312" w:cs="仿宋_GB2312"/>
          <w:lang w:val="en-US" w:eastAsia="zh-CN"/>
        </w:rPr>
        <w:t>中心组学习12次、支部学习活动12次</w:t>
      </w:r>
      <w:r>
        <w:rPr>
          <w:rFonts w:hint="eastAsia" w:ascii="仿宋_GB2312" w:hAnsi="仿宋_GB2312" w:cs="仿宋_GB2312"/>
          <w:lang w:val="en-US" w:eastAsia="zh-CN"/>
        </w:rPr>
        <w:t>，专题学习习近平新时代中国特色社会主义思想、党的二十大和习近平</w:t>
      </w:r>
      <w:r>
        <w:rPr>
          <w:rFonts w:hint="eastAsia" w:ascii="仿宋_GB2312" w:hAnsi="仿宋_GB2312" w:eastAsia="仿宋_GB2312" w:cs="仿宋_GB2312"/>
          <w:lang w:val="en-US" w:eastAsia="zh-CN"/>
        </w:rPr>
        <w:t>总书记来川视察重要指示精神、</w:t>
      </w:r>
      <w:r>
        <w:rPr>
          <w:rFonts w:hint="eastAsia" w:ascii="仿宋_GB2312" w:hAnsi="仿宋_GB2312" w:cs="仿宋_GB2312"/>
          <w:lang w:val="en-US" w:eastAsia="zh-CN"/>
        </w:rPr>
        <w:t>省第十二次党代会、省委十二届二次全会以及市第八次党代会、市委八届六次全会等会议精神，深刻领悟“两个确立”的决定性意义，不断增强“四个意识”、坚定“四个自信”、做到“两个维护”。</w:t>
      </w:r>
      <w:r>
        <w:rPr>
          <w:rFonts w:hint="eastAsia" w:ascii="楷体_GB2312" w:hAnsi="楷体_GB2312" w:eastAsia="楷体_GB2312" w:cs="楷体_GB2312"/>
          <w:b/>
          <w:bCs/>
          <w:lang w:val="en-US" w:eastAsia="zh-CN"/>
        </w:rPr>
        <w:t>深化党史学习教育。</w:t>
      </w:r>
      <w:r>
        <w:rPr>
          <w:rFonts w:hint="eastAsia" w:ascii="仿宋_GB2312" w:hAnsi="仿宋_GB2312" w:cs="仿宋_GB2312"/>
          <w:lang w:val="en-US" w:eastAsia="zh-CN"/>
        </w:rPr>
        <w:t>严格按照中省市关于推动党史学习教育常态化长效化的部署要求，坚持集中学习、个人自学和现场教学相结合方式，组织党员到伍先华故居、大石镇牛角沟村、象山书院红色文化党史教育基地等开展学习教育现场教学和体验活动，同步</w:t>
      </w:r>
      <w:r>
        <w:rPr>
          <w:rFonts w:hint="default" w:ascii="Times New Roman" w:hAnsi="Times New Roman" w:eastAsia="仿宋_GB2312" w:cs="Times New Roman"/>
          <w:sz w:val="32"/>
          <w:szCs w:val="32"/>
          <w:lang w:val="en-US" w:eastAsia="zh-CN"/>
        </w:rPr>
        <w:t>开展“同温入党誓词、同唱一首赞歌、同看红色电影、同看发展成果”等十同主题党日活动</w:t>
      </w:r>
      <w:r>
        <w:rPr>
          <w:rFonts w:hint="eastAsia" w:ascii="Times New Roman" w:hAnsi="Times New Roman" w:cs="Times New Roman"/>
          <w:sz w:val="32"/>
          <w:szCs w:val="32"/>
          <w:lang w:val="en-US" w:eastAsia="zh-CN"/>
        </w:rPr>
        <w:t>，全面巩固拓展党史学习教育成果，在党的百年奋斗重大成就和历史经验中，更加坚定自觉地牢记初心使命、开创发展新局。</w:t>
      </w:r>
      <w:r>
        <w:rPr>
          <w:rFonts w:hint="eastAsia" w:ascii="楷体_GB2312" w:hAnsi="楷体_GB2312" w:eastAsia="楷体_GB2312" w:cs="楷体_GB2312"/>
          <w:b/>
          <w:bCs/>
          <w:lang w:val="en-US" w:eastAsia="zh-CN"/>
        </w:rPr>
        <w:t>优化工作思路举措。</w:t>
      </w:r>
      <w:r>
        <w:rPr>
          <w:rFonts w:hint="eastAsia" w:ascii="仿宋_GB2312" w:hAnsi="仿宋_GB2312" w:eastAsia="仿宋_GB2312" w:cs="仿宋_GB2312"/>
          <w:lang w:val="en-US" w:eastAsia="zh-CN"/>
        </w:rPr>
        <w:t>开展“党建引领她力量 提振作风显担当”主题活动，确定家风阵地、维权阵地、妇女居家灵活就业基地建设等10个课题，通过开展工作大调研、组织专题大讨论</w:t>
      </w:r>
      <w:r>
        <w:rPr>
          <w:rFonts w:hint="eastAsia" w:ascii="仿宋_GB2312" w:hAnsi="仿宋_GB2312" w:cs="仿宋_GB2312"/>
          <w:lang w:val="en-US" w:eastAsia="zh-CN"/>
        </w:rPr>
        <w:t>，以全新的视角对新时代全市妇女儿童事业作出了再认识、再把握、再研究，并围绕群众关切的妇儿健康、就业创业、家庭监护等方面，推动出台遂宁“新两纲”，编制《遂宁市“十四五”时期妇联事业发展规划》《遂宁市关于指导推进家庭教育五年规划》，梳理全市妇联系统特色亮点项目12个，绘就妇女儿童事业发展蓝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2.务实重行，在助力社会发展中彰显了妇联担当。</w:t>
      </w:r>
      <w:r>
        <w:rPr>
          <w:rFonts w:hint="eastAsia" w:ascii="楷体_GB2312" w:hAnsi="楷体_GB2312" w:eastAsia="楷体_GB2312" w:cs="楷体_GB2312"/>
          <w:b/>
          <w:bCs/>
          <w:lang w:val="en-US" w:eastAsia="zh-CN"/>
        </w:rPr>
        <w:t>加强思想引领，发挥示范带动。</w:t>
      </w:r>
      <w:r>
        <w:rPr>
          <w:rFonts w:hint="eastAsia" w:ascii="仿宋_GB2312" w:hAnsi="仿宋_GB2312" w:cs="仿宋_GB2312"/>
          <w:lang w:val="en-US" w:eastAsia="zh-CN"/>
        </w:rPr>
        <w:t>一是凝聚共识力量。紧紧围绕“学习宣传贯彻党的二十大精神”主线，深入开展“巾帼心向党 喜迎二十大”“跟党奋进新征程 巾帼建功新时代”等群众性主题宣传教育活动，邀请党的二十大代表陈海艳同志为各级妇联干部、市直各单位女干部、两新组织女职工5000余人作专题交流报告，组织“遂宁市巾帼志愿宣讲队”开展巾帼大宣讲263场次，覆盖群众21万余人次。二是选树先进典型。深入开展三八红旗手（集体）评选活动，培育全国三八红旗手1名，省级三八红旗手4名、三八红旗集体5个，市级三八红旗手116名、三八红旗集体25个，积极推荐冉体兰申报全国三八红旗手。三是激发榜样力量。开展庆祝“三八”国际妇女节112周年系列活动，开通我市首条巾帼文明公交专线，拍摄《致敬“她”力量》宣传片，组织“巾帼绽芳华·致敬她力量”典型系列宣传14期，开展“致敬她力量·送奖到基层”慰问活动 10场次，展示巾帼不让须眉的风采。</w:t>
      </w:r>
      <w:r>
        <w:rPr>
          <w:rFonts w:hint="eastAsia" w:ascii="楷体_GB2312" w:hAnsi="楷体_GB2312" w:eastAsia="楷体_GB2312" w:cs="楷体_GB2312"/>
          <w:b/>
          <w:bCs/>
          <w:lang w:val="en-US" w:eastAsia="zh-CN"/>
        </w:rPr>
        <w:t>积极担当作为，助力“六稳六保”。</w:t>
      </w:r>
      <w:r>
        <w:rPr>
          <w:rFonts w:hint="eastAsia" w:ascii="仿宋_GB2312" w:hAnsi="仿宋_GB2312" w:cs="仿宋_GB2312"/>
          <w:lang w:val="en-US" w:eastAsia="zh-CN"/>
        </w:rPr>
        <w:t>一是全面发展妇儿事业。务实抓好新“两纲”任务分工、宣传发动、组织实施，联合市统计局开展新纲要的监测评估并召开培训会，健全上下贯通的统计监测指标体系，大力推进“两纲”示范县（区）创建工作。二是全面助力疫情防控。纵向联动四级妇联组织，众志成城打赢“3.30”“9.20”疫情防控阻击战，用心用情做好特殊时期关爱孕产妇工作，为20名援吉抗疫医护人员家庭开展“五送到家”服务。三是全面助力经济发展。成功承办2022年省妇联“春风送岗”女性专场招聘会，联动潼南妇联举办“遂潼杯”巾帼创新创业大赛暨遂宁市第三届巾帼创新创意大赛，评选优秀创新创业项目15个。开展关爱女农民工“回家行动”，为3万余返乡女农民工提供志愿服务。</w:t>
      </w:r>
      <w:r>
        <w:rPr>
          <w:rFonts w:hint="eastAsia" w:ascii="楷体_GB2312" w:hAnsi="楷体_GB2312" w:eastAsia="楷体_GB2312" w:cs="楷体_GB2312"/>
          <w:b/>
          <w:bCs/>
          <w:lang w:val="en-US" w:eastAsia="zh-CN"/>
        </w:rPr>
        <w:t>主动躬身入局，助力乡村振兴。</w:t>
      </w:r>
      <w:r>
        <w:rPr>
          <w:rFonts w:hint="eastAsia" w:ascii="仿宋_GB2312" w:hAnsi="仿宋_GB2312" w:cs="仿宋_GB2312"/>
          <w:lang w:val="en-US" w:eastAsia="zh-CN"/>
        </w:rPr>
        <w:t>一是坚持高位推动。加强与市委农办、市乡村振兴局、市委组织部等部门的联动，召开全市“乡村振兴巾帼行动”现场推进会议，积极推动“乡村振兴巾帼行动”各项目标任务纳入全市乡村振兴目标考核体系。二是打造巾帼品牌。建立“遂宁市巾帼返乡下乡创业联盟”，创建“乡村振兴巾帼示范基地”10个，“乡村振兴巾帼示范村”16个，“美丽家园示范户”180户，选树乡村振兴巾帼典型2名，建立市级巾帼家政服务示范点2个。三是凝聚各界力量。与建设银行遂宁分行合作“巾帼信用贷”，为225户巾帼企业投放贷款1.68亿元；与中国人寿遂宁分公司合作，培养“乡村振兴巾帼人才”100名。牵手中国妇女杂志，成功承办由全国妇联妇女发展部、国家乡村振兴局政策法规司指导的“非凡十年家乡美·帼姐带你看中国”系列主题公益直播四川篇走进遂宁活动，在线观看人数达600余万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3.优化服务，在全面履职尽责中践行了为民初心。</w:t>
      </w:r>
      <w:r>
        <w:rPr>
          <w:rFonts w:hint="eastAsia" w:ascii="楷体_GB2312" w:hAnsi="楷体_GB2312" w:eastAsia="楷体_GB2312" w:cs="楷体_GB2312"/>
          <w:b/>
          <w:bCs/>
          <w:lang w:val="en-US" w:eastAsia="zh-CN"/>
        </w:rPr>
        <w:t>筑牢“家”阵地。</w:t>
      </w:r>
      <w:r>
        <w:rPr>
          <w:rFonts w:hint="eastAsia" w:ascii="仿宋_GB2312" w:hAnsi="仿宋_GB2312" w:cs="仿宋_GB2312"/>
          <w:lang w:val="en-US" w:eastAsia="zh-CN"/>
        </w:rPr>
        <w:t>一是注重家庭助文明。开展第一届遂宁市五好家庭暨家庭工作先进集体先进个人评选，启动寻找2022年度“最美家庭”活动，</w:t>
      </w:r>
      <w:r>
        <w:rPr>
          <w:rFonts w:hint="default" w:ascii="仿宋_GB2312" w:hAnsi="仿宋_GB2312" w:cs="仿宋_GB2312"/>
          <w:lang w:val="en-US" w:eastAsia="zh-CN"/>
        </w:rPr>
        <w:t>培育全国最美家庭1户、全国五好家庭1户，省级最美家庭7户、五好家庭8户</w:t>
      </w:r>
      <w:r>
        <w:rPr>
          <w:rFonts w:hint="eastAsia" w:ascii="仿宋_GB2312" w:hAnsi="仿宋_GB2312" w:cs="仿宋_GB2312"/>
          <w:lang w:val="en-US" w:eastAsia="zh-CN"/>
        </w:rPr>
        <w:t>。二是注重家教促和谐。实施政府购买家庭教育服务项目，组织《家庭教育促进法》知识竞答，召开遂宁市家庭、学校、社会协同育人工作现场会，建成市县两级家庭教育指导中心9个、市级家庭教育指导服务示范点（市级示范家长学校）20个，开通线上“家长学校”6个。三是注重家风扬美德。新建市级家风广场1个，联合市纪委监委开展廉洁家风主题日、“家庭心向党 喜迎二十大”家风家训作品征集，组织“送家庭荣誉进基层”活动，制作《好家风吹暖红土地》视频，家庭美德建设经验在全省市域社会治理现代化试点创新研讨会作交流。</w:t>
      </w:r>
      <w:r>
        <w:rPr>
          <w:rFonts w:hint="eastAsia" w:ascii="楷体_GB2312" w:hAnsi="楷体_GB2312" w:eastAsia="楷体_GB2312" w:cs="楷体_GB2312"/>
          <w:b/>
          <w:bCs/>
          <w:lang w:val="en-US" w:eastAsia="zh-CN"/>
        </w:rPr>
        <w:t>维护“她”权益。</w:t>
      </w:r>
      <w:r>
        <w:rPr>
          <w:rFonts w:hint="eastAsia" w:ascii="仿宋_GB2312" w:hAnsi="仿宋_GB2312" w:cs="仿宋_GB2312"/>
          <w:lang w:val="en-US" w:eastAsia="zh-CN"/>
        </w:rPr>
        <w:t>一是做优维权机制。制发《遂宁市妇女联合会关于开展婚姻家庭领域矛盾风险隐患“大排查、大化解、大管控”百日攻坚行动的通知》，常态化开展婚姻家庭矛盾纠纷隐患排查和预防未成年人被侵害“成长之盾”集中行动，同步健全信访件转介和大要案联动等制度，推动落实党政主导的大维权格局。二是做强维权阵地。打造“市级示范婚调室”8个，新建遂宁市妇女维权法律服务站1个，组建遂宁市妇女儿童法律服务和援助专家团队、女子调解队、女子诉讼服务队等志愿者队伍，将妇女儿童权益保护工作纳入网格化管理，全市800余名妇联干部担任网格员。三是做实维权宣传。开展法律知识有奖竞答社区宣传游园活动122场，妇女儿童法律知识微信有奖竞答抢红包活动12场，举办妇女儿童法律知识讲座进社区、学校、农村等5000余场次，发放宣传资料近50万份，努力营造全社会关心关爱妇女儿童的良好氛围，维权工作经验在全省妇联系统维权业务研讨培训会上交流发言。</w:t>
      </w:r>
      <w:r>
        <w:rPr>
          <w:rFonts w:hint="eastAsia" w:ascii="楷体_GB2312" w:hAnsi="楷体_GB2312" w:eastAsia="楷体_GB2312" w:cs="楷体_GB2312"/>
          <w:b/>
          <w:bCs/>
          <w:lang w:val="en-US" w:eastAsia="zh-CN"/>
        </w:rPr>
        <w:t>倾心解难题。</w:t>
      </w:r>
      <w:r>
        <w:rPr>
          <w:rFonts w:hint="eastAsia" w:ascii="仿宋_GB2312" w:hAnsi="仿宋_GB2312" w:cs="仿宋_GB2312"/>
          <w:lang w:val="en-US" w:eastAsia="zh-CN"/>
        </w:rPr>
        <w:t>一是用心推进民生实事。全面完成省妇联妇女儿童关爱十项实事。持续推动将贫困妇女“两癌”救助和“两癌”保险继续纳入2022年市政府民生实事项目，统筹市、县两级财政资金289.4万元，救助“两癌”患病妇女104名，为5.94万名贫困妇女购买“两癌”保险。配合市卫健委提前超额完成全市“两癌”筛查年度目标任务。二是用情开展关爱慰问。开展“送温暖.献爱心”新春慰问活动，争取财政资金25万元，走访慰问困境妇女和家庭500人/户。持续实施“春蕾助学”暨关爱留守困境女童行动，统筹资金20万元关爱女童500名。三是用力强化联系帮扶。制定《2022年城市社区联系共建工作方案》，支持经开区南强街道大石桥社区提升全国文明城市创建成效；制定《联系帮扶“三无小区”治理实施方案》，帮助经开区明月社区向康小区实现“三无小区”治理“六有”目标；与结对帮扶对象欧村沟村开展“关爱女童护成长 消费帮扶助振兴”“结对共建聚合力 党建引领促发展”等活动，捐赠乡村振兴帮扶资金2万元。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cs="仿宋_GB2312"/>
          <w:lang w:val="en-US" w:eastAsia="zh-CN"/>
        </w:rPr>
      </w:pPr>
      <w:r>
        <w:rPr>
          <w:rFonts w:hint="eastAsia" w:ascii="仿宋_GB2312" w:hAnsi="仿宋_GB2312" w:cs="仿宋_GB2312"/>
          <w:lang w:val="en-US" w:eastAsia="zh-CN"/>
        </w:rPr>
        <w:t>4.强化举措，在保障妇儿权益中促进了社会和。</w:t>
      </w:r>
      <w:r>
        <w:rPr>
          <w:rFonts w:hint="eastAsia" w:ascii="楷体_GB2312" w:hAnsi="楷体_GB2312" w:eastAsia="楷体_GB2312" w:cs="楷体_GB2312"/>
          <w:b/>
          <w:bCs/>
          <w:lang w:val="en-US" w:eastAsia="zh-CN"/>
        </w:rPr>
        <w:t>深入推进法治建设。</w:t>
      </w:r>
      <w:r>
        <w:rPr>
          <w:rFonts w:hint="eastAsia" w:ascii="仿宋_GB2312" w:hAnsi="仿宋_GB2312" w:cs="仿宋_GB2312"/>
          <w:lang w:val="en-US" w:eastAsia="zh-CN"/>
        </w:rPr>
        <w:t>进一步完善中心组会前学纪学法制度和机关妇联干部带头学法用法制度，把学习法律法规学习纳入基层妇联干部培训内容，开展会前学纪学法12次，妇联干部队伍法治意识和依法履职能力。开展“建设法治遂宁.巾帼在行动”活动，拍摄《面对家暴 勇敢说不》普法微视频，做优“妇女维权周三播报”专题栏目50期，为15名困境家庭申报“中央专项彩票公益金法律援助项目”。结合“三八”维权月活动，宣传贯彻落实好《妇女权益保障法》《反家暴法》《家庭教育促进法》等法律法规，积极遏制婚姻家庭“民转刑”案件发生。</w:t>
      </w:r>
      <w:r>
        <w:rPr>
          <w:rFonts w:hint="eastAsia" w:ascii="楷体_GB2312" w:hAnsi="楷体_GB2312" w:eastAsia="楷体_GB2312" w:cs="楷体_GB2312"/>
          <w:b/>
          <w:bCs/>
          <w:lang w:val="en-US" w:eastAsia="zh-CN"/>
        </w:rPr>
        <w:t>全力守好底线红线。</w:t>
      </w:r>
      <w:r>
        <w:rPr>
          <w:rFonts w:hint="eastAsia" w:ascii="仿宋_GB2312" w:hAnsi="仿宋_GB2312" w:cs="仿宋_GB2312"/>
          <w:lang w:val="en-US" w:eastAsia="zh-CN"/>
        </w:rPr>
        <w:t>牢牢守住安全底线。</w:t>
      </w:r>
      <w:r>
        <w:rPr>
          <w:rFonts w:hint="default" w:ascii="仿宋_GB2312" w:hAnsi="仿宋_GB2312" w:cs="仿宋_GB2312"/>
          <w:lang w:val="en-US" w:eastAsia="zh-CN"/>
        </w:rPr>
        <w:t>严格落实安全生产主体责任，开展安全生产督查督导7次，专题组织研究安全生产工作3次，全面学习《安全生产十五条措施》，制定出台《2022年安全宣传进家庭活动实施方案》《关于贯彻落实安全生产十五条措施的通知》《关于开展2022年“安全生产活动月”的通知》，共创建安全宣传“进家庭”示范点8个。</w:t>
      </w:r>
      <w:r>
        <w:rPr>
          <w:rFonts w:hint="eastAsia" w:ascii="仿宋_GB2312" w:hAnsi="仿宋_GB2312" w:cs="仿宋_GB2312"/>
          <w:lang w:val="en-US" w:eastAsia="zh-CN"/>
        </w:rPr>
        <w:t>牢牢守住生态红线。全面履行生态环境保护党政同责主体责任，联合市委宣传部、市乡村振兴局、市农业农村局、市林业局开展“乡村振兴巾帼示范村”“美丽家园示范户”创建活动，引导广大妇女和家庭积极参与农村环境卫生整治。</w:t>
      </w:r>
      <w:r>
        <w:rPr>
          <w:rFonts w:hint="eastAsia" w:ascii="楷体_GB2312" w:hAnsi="楷体_GB2312" w:eastAsia="楷体_GB2312" w:cs="楷体_GB2312"/>
          <w:b/>
          <w:bCs/>
          <w:lang w:val="en-US" w:eastAsia="zh-CN"/>
        </w:rPr>
        <w:t>着力防范重大风险。</w:t>
      </w:r>
      <w:r>
        <w:rPr>
          <w:rFonts w:hint="eastAsia" w:ascii="仿宋_GB2312" w:hAnsi="仿宋_GB2312" w:cs="仿宋_GB2312"/>
          <w:lang w:val="en-US" w:eastAsia="zh-CN"/>
        </w:rPr>
        <w:t>深入推进市域社会治理现代化建设工作，严格对照年度目标任务，分项制定推进、落实措施，协助制定相关点位迎检标准，牵头承担的3项重点任务已按质按量完成。组织召开全市妇联系统安全稳定工作会议，进一步规范完善信访接待和转办工作制度，不断加强信访能力建设，畅通信访渠道。2022年，全市妇联系统共接待来信、来电、来访信访案件281起，办结率100%，切实把不稳定因素化解在萌芽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5.扛牢责任，在全面从严治党中夯实了基层基础。</w:t>
      </w:r>
      <w:r>
        <w:rPr>
          <w:rFonts w:hint="eastAsia" w:ascii="楷体_GB2312" w:hAnsi="楷体_GB2312" w:eastAsia="楷体_GB2312" w:cs="楷体_GB2312"/>
          <w:b/>
          <w:bCs/>
          <w:lang w:val="en-US" w:eastAsia="zh-CN"/>
        </w:rPr>
        <w:t>持续深化党的政治建设。</w:t>
      </w:r>
      <w:r>
        <w:rPr>
          <w:rFonts w:eastAsia="仿宋_GB2312"/>
          <w:sz w:val="32"/>
          <w:szCs w:val="32"/>
        </w:rPr>
        <w:t>严明党的政治纪律和政</w:t>
      </w:r>
      <w:r>
        <w:rPr>
          <w:rFonts w:eastAsia="仿宋_GB2312"/>
          <w:bCs/>
          <w:kern w:val="0"/>
          <w:sz w:val="32"/>
          <w:szCs w:val="32"/>
          <w:lang w:bidi="ar"/>
        </w:rPr>
        <w:t>治规矩，争当学懂弄通做实习近平新时代中国特色社会主义思想和习近平总书记对四川工作系列重要指示精神的排头兵，</w:t>
      </w:r>
      <w:r>
        <w:rPr>
          <w:rFonts w:hint="eastAsia" w:eastAsia="仿宋_GB2312"/>
          <w:bCs/>
          <w:kern w:val="0"/>
          <w:sz w:val="32"/>
          <w:szCs w:val="32"/>
          <w:lang w:bidi="ar"/>
        </w:rPr>
        <w:t>始终保持政治清醒坚定</w:t>
      </w:r>
      <w:r>
        <w:rPr>
          <w:rFonts w:hint="eastAsia"/>
          <w:bCs/>
          <w:kern w:val="0"/>
          <w:sz w:val="32"/>
          <w:szCs w:val="32"/>
          <w:lang w:eastAsia="zh-CN" w:bidi="ar"/>
        </w:rPr>
        <w:t>。</w:t>
      </w:r>
      <w:r>
        <w:rPr>
          <w:rFonts w:hint="eastAsia" w:ascii="仿宋_GB2312" w:hAnsi="仿宋_GB2312" w:cs="仿宋_GB2312"/>
          <w:lang w:val="en-US" w:eastAsia="zh-CN"/>
        </w:rPr>
        <w:t>坚持民主集中制，规范实施“三重一大”集体决策制度，增强党内生活的政治性、原则性、严肃性，着力提升领导班子自我净化、自我完善、自我革新、自我提高的能力。严格落实民主生活会、组织生活会、民主评议党员、“三会一课”等制度，规范主题党日活动，定期分析研判，用好批评和自我批评武器，持续巩固良好的政治生态。</w:t>
      </w:r>
      <w:r>
        <w:rPr>
          <w:rFonts w:hint="eastAsia" w:ascii="楷体_GB2312" w:hAnsi="楷体_GB2312" w:eastAsia="楷体_GB2312" w:cs="楷体_GB2312"/>
          <w:b/>
          <w:bCs/>
          <w:lang w:val="en-US" w:eastAsia="zh-CN"/>
        </w:rPr>
        <w:t>持续筑牢廉洁从政防线。</w:t>
      </w:r>
      <w:r>
        <w:rPr>
          <w:rFonts w:hint="eastAsia" w:ascii="仿宋_GB2312" w:hAnsi="仿宋_GB2312" w:cs="仿宋_GB2312"/>
          <w:lang w:val="en-US" w:eastAsia="zh-CN"/>
        </w:rPr>
        <w:t>坚持把全面从严治党的政治责任牢牢抓在手中、扛在肩上，压紧压实党风廉政建设责任，通过党组会、主席办公会专题研究部署党风廉政建设工作2次，更新机关廉政风险防控点4个；发送节前廉政短信提醒7条，组织开展警示教育2次，开展廉政集体谈话2次，修订完善《市妇联党组议事规则》等机关管理制度15项，预防堵塞工作中存在的风险漏洞。扛牢审计反馈问题整改责任，</w:t>
      </w:r>
      <w:r>
        <w:rPr>
          <w:rFonts w:hint="default" w:ascii="Times New Roman" w:hAnsi="Times New Roman" w:eastAsia="仿宋_GB2312" w:cs="Times New Roman"/>
          <w:sz w:val="32"/>
          <w:szCs w:val="32"/>
        </w:rPr>
        <w:t>印发《</w:t>
      </w:r>
      <w:r>
        <w:rPr>
          <w:rFonts w:hint="default" w:ascii="Times New Roman" w:hAnsi="Times New Roman" w:eastAsia="仿宋_GB2312" w:cs="Times New Roman"/>
          <w:sz w:val="32"/>
          <w:szCs w:val="32"/>
          <w:lang w:eastAsia="zh-CN"/>
        </w:rPr>
        <w:t>中共遂宁市妇女联合会党组</w:t>
      </w:r>
      <w:r>
        <w:rPr>
          <w:rFonts w:hint="default" w:ascii="Times New Roman" w:hAnsi="Times New Roman" w:eastAsia="仿宋_GB2312" w:cs="Times New Roman"/>
          <w:sz w:val="32"/>
          <w:szCs w:val="32"/>
        </w:rPr>
        <w:t>关于印发</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审计</w:t>
      </w:r>
      <w:r>
        <w:rPr>
          <w:rFonts w:hint="default" w:ascii="Times New Roman" w:hAnsi="Times New Roman" w:eastAsia="仿宋_GB2312" w:cs="Times New Roman"/>
          <w:sz w:val="32"/>
          <w:szCs w:val="32"/>
          <w:lang w:eastAsia="zh-CN"/>
        </w:rPr>
        <w:t>报告整改工作方案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遂妇党</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制定整改措施21条，逐项逐条推动问题整改，11项具体问题全部整改完毕。</w:t>
      </w:r>
      <w:r>
        <w:rPr>
          <w:rFonts w:hint="eastAsia" w:ascii="楷体_GB2312" w:hAnsi="楷体_GB2312" w:eastAsia="楷体_GB2312" w:cs="楷体_GB2312"/>
          <w:b/>
          <w:bCs/>
          <w:lang w:val="en-US" w:eastAsia="zh-CN"/>
        </w:rPr>
        <w:t>持续巩固意识形态阵地。</w:t>
      </w:r>
      <w:r>
        <w:rPr>
          <w:rFonts w:hint="eastAsia" w:ascii="仿宋_GB2312" w:hAnsi="仿宋_GB2312" w:cs="仿宋_GB2312"/>
          <w:lang w:val="en-US" w:eastAsia="zh-CN"/>
        </w:rPr>
        <w:t>牢牢掌握妇联系统意识形态工作领导权，严格落实意识形态工作责任制，将意识形态工作写入工作要点，纳入民主生活会、组织生活会、述职报告的重要内容，与妇女工作同部署、同落实、同检查、同考核，全力打好意识形态工作主动仗。党组专题研究意识形态工作2次，定期分析研判意识形态领域情况4次。进一步加强意识形态阵地建设和管理，抓好1网1微N号N群的多平台、集群化、矩阵式的市妇联新媒体中心建设，全年发布信息1074条，覆盖妇女10万余人次。组织“今天我来读”云接力活动，选送视频被全国妇联妇女之声刊载。微信公众号“遂宁她时代”被评为“遂宁市十大最具影响力网站平台”。</w:t>
      </w:r>
      <w:r>
        <w:rPr>
          <w:rFonts w:hint="eastAsia" w:ascii="楷体_GB2312" w:hAnsi="楷体_GB2312" w:eastAsia="楷体_GB2312" w:cs="楷体_GB2312"/>
          <w:b/>
          <w:bCs/>
          <w:lang w:val="en-US" w:eastAsia="zh-CN"/>
        </w:rPr>
        <w:t>持续夯实基层战斗堡垒。</w:t>
      </w:r>
      <w:r>
        <w:rPr>
          <w:rFonts w:hint="eastAsia" w:ascii="仿宋_GB2312" w:hAnsi="仿宋_GB2312" w:cs="仿宋_GB2312"/>
          <w:lang w:val="en-US" w:eastAsia="zh-CN"/>
        </w:rPr>
        <w:t>规范化建设“妇女之家”示范点9个、巾帼志愿阳光服务示范点8个、驻外妇联组织9个，推动市直单位妇委会全覆盖，“两新”领域中妇女组织覆盖率达95%以上。建立市妇联专兼挂职副主席联系执委工作制度，成功承办四川省妇联、遂宁市妇联执委专题学习座谈会，有效调动执委履职尽责的积极性和主动性。实施“基层妇联领头雁培训计划”，举办基层妇联主席培训班，实现全市基层妇联主席培训全覆盖。联合市委组织部举办2022年全市学习贯彻党的二十大、省第十二次党代会、市第八次党代会精神暨女干部专题研修班，进一步提升全市妇联干部能力和水平，推动干部队伍担当作为。</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bCs/>
          <w:lang w:eastAsia="zh-CN"/>
        </w:rPr>
        <w:t>支出控制：</w:t>
      </w:r>
      <w:r>
        <w:rPr>
          <w:rFonts w:hint="default" w:ascii="Times New Roman" w:hAnsi="Times New Roman" w:eastAsia="仿宋_GB2312" w:cs="Times New Roman"/>
          <w:color w:val="auto"/>
          <w:sz w:val="32"/>
          <w:szCs w:val="32"/>
          <w:lang w:val="en-US" w:eastAsia="zh-CN"/>
        </w:rPr>
        <w:t>严格按照年初预算进行部门整体支出。在支出过程中，能严格遵守各项规章制度。</w:t>
      </w:r>
    </w:p>
    <w:p>
      <w:pPr>
        <w:adjustRightInd w:val="0"/>
        <w:snapToGrid w:val="0"/>
        <w:spacing w:line="600" w:lineRule="exact"/>
        <w:ind w:firstLine="642" w:firstLineChars="200"/>
        <w:contextualSpacing/>
        <w:rPr>
          <w:b/>
          <w:color w:val="000000" w:themeColor="text1"/>
          <w:kern w:val="0"/>
          <w:szCs w:val="32"/>
          <w:shd w:val="clear" w:color="auto" w:fill="FFFFFF"/>
          <w:lang w:val="zh-CN"/>
          <w14:textFill>
            <w14:solidFill>
              <w14:schemeClr w14:val="tx1"/>
            </w14:solidFill>
          </w14:textFill>
        </w:rPr>
      </w:pPr>
      <w:r>
        <w:rPr>
          <w:rFonts w:hint="eastAsia"/>
          <w:b/>
          <w:color w:val="000000" w:themeColor="text1"/>
          <w:kern w:val="0"/>
          <w:szCs w:val="32"/>
          <w:shd w:val="clear" w:color="auto" w:fill="FFFFFF"/>
          <w:lang w:val="zh-CN"/>
          <w14:textFill>
            <w14:solidFill>
              <w14:schemeClr w14:val="tx1"/>
            </w14:solidFill>
          </w14:textFill>
        </w:rPr>
        <w:t>及时处置。</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我会对</w:t>
      </w:r>
      <w:r>
        <w:rPr>
          <w:rFonts w:hint="eastAsia"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个部</w:t>
      </w:r>
      <w:r>
        <w:rPr>
          <w:rFonts w:hint="eastAsia" w:cs="Times New Roman"/>
          <w:color w:val="auto"/>
          <w:sz w:val="32"/>
          <w:szCs w:val="32"/>
          <w:lang w:val="en-US" w:eastAsia="zh-CN"/>
        </w:rPr>
        <w:t>室</w:t>
      </w:r>
      <w:r>
        <w:rPr>
          <w:rFonts w:hint="eastAsia" w:ascii="Times New Roman" w:hAnsi="Times New Roman" w:eastAsia="仿宋_GB2312" w:cs="Times New Roman"/>
          <w:color w:val="auto"/>
          <w:sz w:val="32"/>
          <w:szCs w:val="32"/>
          <w:lang w:val="en-US" w:eastAsia="zh-CN"/>
        </w:rPr>
        <w:t>预算项目开展了绩效运行监控，并根据</w:t>
      </w:r>
      <w:r>
        <w:rPr>
          <w:rFonts w:hint="eastAsia" w:cs="Times New Roman"/>
          <w:color w:val="auto"/>
          <w:sz w:val="32"/>
          <w:szCs w:val="32"/>
          <w:lang w:val="en-US" w:eastAsia="zh-CN"/>
        </w:rPr>
        <w:t>疫情发展及</w:t>
      </w:r>
      <w:r>
        <w:rPr>
          <w:rFonts w:hint="eastAsia" w:ascii="Times New Roman" w:hAnsi="Times New Roman" w:eastAsia="仿宋_GB2312" w:cs="Times New Roman"/>
          <w:color w:val="auto"/>
          <w:sz w:val="32"/>
          <w:szCs w:val="32"/>
          <w:lang w:val="en-US" w:eastAsia="zh-CN"/>
        </w:rPr>
        <w:t>项目实际情况，对</w:t>
      </w:r>
      <w:r>
        <w:rPr>
          <w:rFonts w:hint="eastAsia" w:cs="Times New Roman"/>
          <w:color w:val="auto"/>
          <w:sz w:val="32"/>
          <w:szCs w:val="32"/>
          <w:lang w:val="en-US" w:eastAsia="zh-CN"/>
        </w:rPr>
        <w:t>政府购买家庭教育服务</w:t>
      </w:r>
      <w:r>
        <w:rPr>
          <w:rFonts w:hint="eastAsia" w:ascii="Times New Roman" w:hAnsi="Times New Roman" w:eastAsia="仿宋_GB2312" w:cs="Times New Roman"/>
          <w:color w:val="auto"/>
          <w:sz w:val="32"/>
          <w:szCs w:val="32"/>
          <w:lang w:val="en-US" w:eastAsia="zh-CN"/>
        </w:rPr>
        <w:t>项目进行动态调整，</w:t>
      </w:r>
      <w:r>
        <w:rPr>
          <w:rFonts w:hint="eastAsia" w:cs="Times New Roman"/>
          <w:color w:val="auto"/>
          <w:sz w:val="32"/>
          <w:szCs w:val="32"/>
          <w:lang w:val="en-US" w:eastAsia="zh-CN"/>
        </w:rPr>
        <w:t>金</w:t>
      </w:r>
      <w:r>
        <w:rPr>
          <w:rFonts w:hint="eastAsia" w:ascii="Times New Roman" w:hAnsi="Times New Roman" w:eastAsia="仿宋_GB2312" w:cs="Times New Roman"/>
          <w:color w:val="auto"/>
          <w:sz w:val="32"/>
          <w:szCs w:val="32"/>
          <w:lang w:val="en-US" w:eastAsia="zh-CN"/>
        </w:rPr>
        <w:t>额</w:t>
      </w:r>
      <w:r>
        <w:rPr>
          <w:rFonts w:hint="eastAsia" w:cs="Times New Roman"/>
          <w:color w:val="auto"/>
          <w:sz w:val="32"/>
          <w:szCs w:val="32"/>
          <w:lang w:val="en-US" w:eastAsia="zh-CN"/>
        </w:rPr>
        <w:t>调减</w:t>
      </w:r>
      <w:r>
        <w:rPr>
          <w:rFonts w:hint="eastAsia" w:ascii="Times New Roman" w:hAnsi="Times New Roman" w:eastAsia="仿宋_GB2312" w:cs="Times New Roman"/>
          <w:color w:val="auto"/>
          <w:sz w:val="32"/>
          <w:szCs w:val="32"/>
          <w:lang w:val="en-US" w:eastAsia="zh-CN"/>
        </w:rPr>
        <w:t>为</w:t>
      </w:r>
      <w:r>
        <w:rPr>
          <w:rFonts w:hint="eastAsia"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spacing w:line="560" w:lineRule="exact"/>
        <w:ind w:firstLine="642" w:firstLineChars="200"/>
        <w:jc w:val="left"/>
        <w:textAlignment w:val="auto"/>
        <w:rPr>
          <w:rFonts w:hint="default" w:ascii="Times New Roman" w:hAnsi="Times New Roman" w:eastAsia="楷体_GB2312" w:cs="Times New Roman"/>
          <w:lang w:val="zh-CN" w:eastAsia="zh-CN"/>
        </w:rPr>
      </w:pPr>
      <w:r>
        <w:rPr>
          <w:rFonts w:hint="default"/>
          <w:b/>
          <w:color w:val="000000" w:themeColor="text1"/>
          <w:kern w:val="0"/>
          <w:szCs w:val="32"/>
          <w:shd w:val="clear" w:color="auto" w:fill="FFFFFF"/>
          <w:lang w:val="en-US" w:eastAsia="zh-CN"/>
          <w14:textFill>
            <w14:solidFill>
              <w14:schemeClr w14:val="tx1"/>
            </w14:solidFill>
          </w14:textFill>
        </w:rPr>
        <w:t>执行进度：</w:t>
      </w:r>
      <w:r>
        <w:rPr>
          <w:rFonts w:hint="default" w:ascii="Times New Roman" w:hAnsi="Times New Roman" w:eastAsia="仿宋_GB2312" w:cs="Times New Roman"/>
          <w:color w:val="auto"/>
          <w:sz w:val="32"/>
          <w:szCs w:val="32"/>
          <w:lang w:val="zh-CN" w:eastAsia="zh-CN"/>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zh-CN" w:eastAsia="zh-CN"/>
        </w:rPr>
        <w:t>年财政资金支出</w:t>
      </w:r>
      <w:r>
        <w:rPr>
          <w:rFonts w:hint="eastAsia" w:ascii="仿宋" w:hAnsi="仿宋" w:eastAsia="仿宋"/>
          <w:color w:val="auto"/>
          <w:sz w:val="32"/>
          <w:szCs w:val="32"/>
          <w:highlight w:val="none"/>
        </w:rPr>
        <w:t>599.38</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eastAsia="zh-CN"/>
        </w:rPr>
        <w:t>万元，其中基本支</w:t>
      </w:r>
      <w:r>
        <w:rPr>
          <w:rFonts w:hint="default" w:ascii="Times New Roman" w:hAnsi="Times New Roman" w:cs="Times New Roman"/>
          <w:kern w:val="0"/>
          <w:shd w:val="clear" w:color="auto" w:fill="FFFFFF"/>
          <w:lang w:val="zh-CN"/>
        </w:rPr>
        <w:t>出</w:t>
      </w:r>
      <w:r>
        <w:rPr>
          <w:rFonts w:hint="eastAsia" w:eastAsia="楷体_GB2312" w:cs="Times New Roman"/>
          <w:lang w:val="en-US" w:eastAsia="zh-CN"/>
        </w:rPr>
        <w:t xml:space="preserve">  </w:t>
      </w:r>
      <w:r>
        <w:rPr>
          <w:rFonts w:hint="eastAsia" w:ascii="仿宋" w:hAnsi="仿宋" w:eastAsia="仿宋"/>
          <w:color w:val="auto"/>
          <w:sz w:val="32"/>
          <w:szCs w:val="32"/>
          <w:highlight w:val="none"/>
        </w:rPr>
        <w:t>289.34</w:t>
      </w:r>
      <w:r>
        <w:rPr>
          <w:rFonts w:hint="default" w:ascii="Times New Roman" w:hAnsi="Times New Roman" w:cs="Times New Roman"/>
          <w:kern w:val="0"/>
          <w:shd w:val="clear" w:color="auto" w:fill="FFFFFF"/>
          <w:lang w:val="zh-CN"/>
        </w:rPr>
        <w:t>万元，</w:t>
      </w:r>
      <w:r>
        <w:rPr>
          <w:rFonts w:hint="default" w:ascii="Times New Roman" w:hAnsi="Times New Roman" w:cs="Times New Roman"/>
          <w:kern w:val="0"/>
          <w:shd w:val="clear" w:color="auto" w:fill="FFFFFF"/>
          <w:lang w:val="zh-CN" w:eastAsia="zh-CN"/>
        </w:rPr>
        <w:t>占</w:t>
      </w:r>
      <w:r>
        <w:rPr>
          <w:rFonts w:hint="eastAsia" w:cs="Times New Roman"/>
          <w:kern w:val="0"/>
          <w:shd w:val="clear" w:color="auto" w:fill="FFFFFF"/>
          <w:lang w:val="en-US" w:eastAsia="zh-CN"/>
        </w:rPr>
        <w:t>48.27</w:t>
      </w:r>
      <w:r>
        <w:rPr>
          <w:rFonts w:hint="eastAsia" w:eastAsia="楷体_GB2312" w:cs="Times New Roman"/>
          <w:lang w:val="en-US" w:eastAsia="zh-CN"/>
        </w:rPr>
        <w:t xml:space="preserve">  </w:t>
      </w:r>
      <w:r>
        <w:rPr>
          <w:rFonts w:hint="default" w:ascii="Times New Roman" w:hAnsi="Times New Roman" w:eastAsia="楷体_GB2312" w:cs="Times New Roman"/>
          <w:lang w:val="zh-CN" w:eastAsia="zh-CN"/>
        </w:rPr>
        <w:t>%</w:t>
      </w:r>
      <w:r>
        <w:rPr>
          <w:rFonts w:hint="default" w:ascii="Times New Roman" w:hAnsi="Times New Roman" w:cs="Times New Roman"/>
          <w:kern w:val="0"/>
          <w:shd w:val="clear" w:color="auto" w:fill="FFFFFF"/>
          <w:lang w:val="zh-CN"/>
        </w:rPr>
        <w:t>；项目支出</w:t>
      </w:r>
      <w:r>
        <w:rPr>
          <w:rFonts w:hint="eastAsia" w:eastAsia="楷体_GB2312" w:cs="Times New Roman"/>
          <w:lang w:val="en-US" w:eastAsia="zh-CN"/>
        </w:rPr>
        <w:t xml:space="preserve"> 310.04 </w:t>
      </w:r>
      <w:r>
        <w:rPr>
          <w:rFonts w:hint="default" w:ascii="Times New Roman" w:hAnsi="Times New Roman" w:cs="Times New Roman"/>
          <w:kern w:val="0"/>
          <w:shd w:val="clear" w:color="auto" w:fill="FFFFFF"/>
          <w:lang w:val="zh-CN"/>
        </w:rPr>
        <w:t>万元，占</w:t>
      </w:r>
      <w:r>
        <w:rPr>
          <w:rFonts w:hint="eastAsia" w:eastAsia="楷体_GB2312" w:cs="Times New Roman"/>
          <w:lang w:val="en-US" w:eastAsia="zh-CN"/>
        </w:rPr>
        <w:t xml:space="preserve"> 51.73 </w:t>
      </w:r>
      <w:r>
        <w:rPr>
          <w:rFonts w:hint="default" w:ascii="Times New Roman" w:hAnsi="Times New Roman" w:eastAsia="楷体_GB2312" w:cs="Times New Roman"/>
          <w:lang w:val="zh-CN" w:eastAsia="zh-CN"/>
        </w:rPr>
        <w:t>%。</w:t>
      </w:r>
    </w:p>
    <w:p>
      <w:pPr>
        <w:adjustRightInd w:val="0"/>
        <w:snapToGrid w:val="0"/>
        <w:spacing w:line="580" w:lineRule="exact"/>
        <w:ind w:firstLine="642" w:firstLineChars="200"/>
        <w:rPr>
          <w:rFonts w:hint="default" w:ascii="Times New Roman" w:hAnsi="Times New Roman" w:cs="Times New Roman"/>
          <w:shd w:val="clear" w:color="auto" w:fill="FFFFFF"/>
          <w:lang w:val="zh-CN"/>
        </w:rPr>
      </w:pPr>
      <w:r>
        <w:rPr>
          <w:rFonts w:hint="default" w:ascii="Times New Roman" w:hAnsi="Times New Roman" w:cs="Times New Roman"/>
          <w:b/>
          <w:bCs/>
          <w:lang w:eastAsia="zh-CN"/>
        </w:rPr>
        <w:t>预算完成情况：</w:t>
      </w:r>
      <w:r>
        <w:rPr>
          <w:rFonts w:hint="default" w:ascii="Times New Roman" w:hAnsi="Times New Roman" w:eastAsia="楷体_GB2312" w:cs="Times New Roman"/>
          <w:lang w:val="en-US" w:eastAsia="zh-CN"/>
        </w:rPr>
        <w:t>2022</w:t>
      </w:r>
      <w:r>
        <w:rPr>
          <w:rFonts w:hint="default" w:ascii="Times New Roman" w:hAnsi="Times New Roman" w:cs="Times New Roman"/>
          <w:shd w:val="clear" w:color="auto" w:fill="FFFFFF"/>
          <w:lang w:val="zh-CN"/>
        </w:rPr>
        <w:t>年度收入决算</w:t>
      </w:r>
      <w:r>
        <w:rPr>
          <w:rFonts w:hint="eastAsia" w:eastAsia="楷体_GB2312" w:cs="Times New Roman"/>
          <w:lang w:val="en-US" w:eastAsia="zh-CN"/>
        </w:rPr>
        <w:t xml:space="preserve"> </w:t>
      </w:r>
      <w:r>
        <w:rPr>
          <w:rFonts w:hint="eastAsia" w:ascii="仿宋" w:hAnsi="仿宋" w:eastAsia="仿宋"/>
          <w:color w:val="auto"/>
          <w:sz w:val="32"/>
          <w:szCs w:val="32"/>
          <w:highlight w:val="none"/>
        </w:rPr>
        <w:t>616.55</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万元，其中，公共预算财政拨款收入</w:t>
      </w:r>
      <w:r>
        <w:rPr>
          <w:rFonts w:hint="eastAsia" w:eastAsia="楷体_GB2312" w:cs="Times New Roman"/>
          <w:lang w:val="en-US" w:eastAsia="zh-CN"/>
        </w:rPr>
        <w:t xml:space="preserve"> </w:t>
      </w:r>
      <w:r>
        <w:rPr>
          <w:rFonts w:hint="eastAsia" w:ascii="仿宋" w:hAnsi="仿宋" w:eastAsia="仿宋"/>
          <w:color w:val="auto"/>
          <w:sz w:val="32"/>
          <w:szCs w:val="32"/>
          <w:highlight w:val="none"/>
        </w:rPr>
        <w:t>599.38</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万元；支出决算数</w:t>
      </w:r>
      <w:r>
        <w:rPr>
          <w:rFonts w:hint="eastAsia" w:eastAsia="楷体_GB2312" w:cs="Times New Roman"/>
          <w:lang w:val="en-US" w:eastAsia="zh-CN"/>
        </w:rPr>
        <w:t xml:space="preserve"> </w:t>
      </w:r>
      <w:r>
        <w:rPr>
          <w:rFonts w:hint="eastAsia" w:ascii="仿宋" w:hAnsi="仿宋" w:eastAsia="仿宋"/>
          <w:color w:val="auto"/>
          <w:sz w:val="32"/>
          <w:szCs w:val="32"/>
          <w:highlight w:val="none"/>
        </w:rPr>
        <w:t>616.55</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万元，其中，基本支出</w:t>
      </w:r>
      <w:r>
        <w:rPr>
          <w:rFonts w:hint="eastAsia" w:ascii="仿宋" w:hAnsi="仿宋" w:eastAsia="仿宋"/>
          <w:color w:val="auto"/>
          <w:sz w:val="32"/>
          <w:szCs w:val="32"/>
          <w:highlight w:val="none"/>
        </w:rPr>
        <w:t>289.34</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万元，项目支出</w:t>
      </w:r>
      <w:r>
        <w:rPr>
          <w:rFonts w:hint="eastAsia" w:ascii="仿宋" w:hAnsi="仿宋" w:eastAsia="仿宋"/>
          <w:color w:val="auto"/>
          <w:sz w:val="32"/>
          <w:szCs w:val="32"/>
          <w:highlight w:val="none"/>
        </w:rPr>
        <w:t>327.21</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万元。</w:t>
      </w:r>
    </w:p>
    <w:p>
      <w:pPr>
        <w:adjustRightInd w:val="0"/>
        <w:snapToGrid w:val="0"/>
        <w:spacing w:line="580" w:lineRule="exact"/>
        <w:ind w:firstLine="640" w:firstLineChars="200"/>
        <w:rPr>
          <w:rFonts w:hint="default" w:ascii="Times New Roman" w:hAnsi="Times New Roman" w:cs="Times New Roman"/>
          <w:lang w:eastAsia="zh-CN"/>
        </w:rPr>
      </w:pPr>
      <w:r>
        <w:rPr>
          <w:rFonts w:hint="default" w:ascii="Times New Roman" w:hAnsi="Times New Roman" w:cs="Times New Roman"/>
          <w:shd w:val="clear" w:color="auto" w:fill="FFFFFF"/>
          <w:lang w:val="zh-CN"/>
        </w:rPr>
        <w:t>“三公经费”实际总支出为</w:t>
      </w:r>
      <w:r>
        <w:rPr>
          <w:rFonts w:hint="eastAsia" w:eastAsia="楷体_GB2312" w:cs="Times New Roman"/>
          <w:lang w:val="en-US" w:eastAsia="zh-CN"/>
        </w:rPr>
        <w:t xml:space="preserve"> </w:t>
      </w:r>
      <w:r>
        <w:rPr>
          <w:rFonts w:hint="eastAsia" w:ascii="仿宋" w:hAnsi="仿宋" w:eastAsia="仿宋"/>
          <w:color w:val="auto"/>
          <w:sz w:val="32"/>
          <w:szCs w:val="32"/>
          <w:highlight w:val="none"/>
        </w:rPr>
        <w:t>4.70</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元，其中车辆经费为</w:t>
      </w:r>
      <w:r>
        <w:rPr>
          <w:rFonts w:hint="eastAsia" w:ascii="仿宋" w:hAnsi="仿宋" w:eastAsia="仿宋"/>
          <w:color w:val="auto"/>
          <w:sz w:val="32"/>
          <w:szCs w:val="32"/>
          <w:highlight w:val="none"/>
          <w:lang w:val="en-US" w:eastAsia="zh-CN"/>
        </w:rPr>
        <w:t>4.32</w:t>
      </w:r>
      <w:r>
        <w:rPr>
          <w:rFonts w:hint="eastAsia" w:eastAsia="楷体_GB2312" w:cs="Times New Roman"/>
          <w:lang w:val="en-US" w:eastAsia="zh-CN"/>
        </w:rPr>
        <w:t xml:space="preserve">  </w:t>
      </w:r>
      <w:r>
        <w:rPr>
          <w:rFonts w:hint="default" w:ascii="Times New Roman" w:hAnsi="Times New Roman" w:cs="Times New Roman"/>
          <w:shd w:val="clear" w:color="auto" w:fill="FFFFFF"/>
          <w:lang w:val="zh-CN"/>
        </w:rPr>
        <w:t>元</w:t>
      </w:r>
      <w:r>
        <w:rPr>
          <w:rFonts w:hint="default" w:ascii="Times New Roman" w:hAnsi="Times New Roman" w:eastAsia="楷体_GB2312" w:cs="Times New Roman"/>
          <w:lang w:val="zh-CN" w:eastAsia="zh-CN"/>
        </w:rPr>
        <w:t>，</w:t>
      </w:r>
      <w:r>
        <w:rPr>
          <w:rFonts w:hint="default" w:ascii="Times New Roman" w:hAnsi="Times New Roman" w:cs="Times New Roman"/>
          <w:shd w:val="clear" w:color="auto" w:fill="FFFFFF"/>
          <w:lang w:val="zh-CN"/>
        </w:rPr>
        <w:t>公务接待费</w:t>
      </w:r>
      <w:r>
        <w:rPr>
          <w:rFonts w:hint="eastAsia" w:cs="Times New Roman"/>
          <w:shd w:val="clear" w:color="auto" w:fill="FFFFFF"/>
          <w:lang w:val="en-US" w:eastAsia="zh-CN"/>
        </w:rPr>
        <w:t xml:space="preserve"> </w:t>
      </w:r>
      <w:r>
        <w:rPr>
          <w:rFonts w:hint="eastAsia" w:ascii="仿宋" w:hAnsi="仿宋" w:eastAsia="仿宋"/>
          <w:color w:val="auto"/>
          <w:sz w:val="32"/>
          <w:szCs w:val="32"/>
          <w:highlight w:val="none"/>
        </w:rPr>
        <w:t>0.39</w:t>
      </w:r>
      <w:r>
        <w:rPr>
          <w:rFonts w:hint="eastAsia" w:cs="Times New Roman"/>
          <w:shd w:val="clear" w:color="auto" w:fill="FFFFFF"/>
          <w:lang w:val="en-US" w:eastAsia="zh-CN"/>
        </w:rPr>
        <w:t xml:space="preserve"> </w:t>
      </w:r>
      <w:r>
        <w:rPr>
          <w:rFonts w:hint="default" w:ascii="Times New Roman" w:hAnsi="Times New Roman" w:cs="Times New Roman"/>
          <w:shd w:val="clear" w:color="auto" w:fill="FFFFFF"/>
          <w:lang w:val="zh-CN"/>
        </w:rPr>
        <w:t>元，出国经费为</w:t>
      </w:r>
      <w:r>
        <w:rPr>
          <w:rFonts w:hint="eastAsia" w:eastAsia="楷体_GB2312" w:cs="Times New Roman"/>
          <w:lang w:val="en-US" w:eastAsia="zh-CN"/>
        </w:rPr>
        <w:t xml:space="preserve"> 0 </w:t>
      </w:r>
      <w:r>
        <w:rPr>
          <w:rFonts w:hint="default" w:ascii="Times New Roman" w:hAnsi="Times New Roman" w:cs="Times New Roman"/>
          <w:shd w:val="clear" w:color="auto" w:fill="FFFFFF"/>
          <w:lang w:val="zh-CN"/>
        </w:rPr>
        <w:t>元。</w:t>
      </w:r>
    </w:p>
    <w:p>
      <w:pPr>
        <w:adjustRightInd w:val="0"/>
        <w:snapToGrid w:val="0"/>
        <w:spacing w:line="580" w:lineRule="exact"/>
        <w:ind w:firstLine="720"/>
        <w:rPr>
          <w:rFonts w:hint="default" w:ascii="Times New Roman" w:hAnsi="Times New Roman" w:cs="Times New Roman"/>
          <w:lang w:val="en-US" w:eastAsia="zh-CN"/>
        </w:rPr>
      </w:pPr>
      <w:r>
        <w:rPr>
          <w:rFonts w:hint="default" w:ascii="Times New Roman" w:hAnsi="Times New Roman" w:cs="Times New Roman"/>
          <w:b/>
          <w:bCs/>
          <w:lang w:eastAsia="zh-CN"/>
        </w:rPr>
        <w:t>违规记录：</w:t>
      </w:r>
      <w:r>
        <w:rPr>
          <w:rFonts w:hint="default" w:ascii="Times New Roman" w:hAnsi="Times New Roman" w:cs="Times New Roman"/>
          <w:lang w:eastAsia="zh-CN"/>
        </w:rPr>
        <w:t>全年没有违规记录。</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w:t>
      </w:r>
      <w:r>
        <w:rPr>
          <w:rFonts w:hint="default" w:ascii="Times New Roman" w:hAnsi="Times New Roman" w:eastAsia="楷体" w:cs="Times New Roman"/>
          <w:kern w:val="0"/>
          <w:shd w:val="clear" w:color="auto" w:fill="FFFFFF"/>
          <w:lang w:val="en-US" w:eastAsia="zh-CN"/>
        </w:rPr>
        <w:t>二</w:t>
      </w:r>
      <w:r>
        <w:rPr>
          <w:rFonts w:hint="default" w:ascii="Times New Roman" w:hAnsi="Times New Roman" w:eastAsia="楷体" w:cs="Times New Roman"/>
          <w:kern w:val="0"/>
          <w:shd w:val="clear" w:color="auto" w:fill="FFFFFF"/>
          <w:lang w:val="zh-CN"/>
        </w:rPr>
        <w:t>）结果应用情况</w:t>
      </w:r>
    </w:p>
    <w:p>
      <w:pPr>
        <w:adjustRightInd w:val="0"/>
        <w:snapToGrid w:val="0"/>
        <w:spacing w:line="580" w:lineRule="exact"/>
        <w:ind w:right="-58" w:rightChars="-18" w:firstLine="642" w:firstLineChars="200"/>
        <w:contextualSpacing/>
        <w:jc w:val="left"/>
        <w:rPr>
          <w:rFonts w:ascii="仿宋_GB2312"/>
          <w:color w:val="000000" w:themeColor="text1"/>
          <w:kern w:val="0"/>
          <w:szCs w:val="32"/>
          <w14:textFill>
            <w14:solidFill>
              <w14:schemeClr w14:val="tx1"/>
            </w14:solidFill>
          </w14:textFill>
        </w:rPr>
      </w:pPr>
      <w:r>
        <w:rPr>
          <w:rFonts w:hint="eastAsia" w:ascii="仿宋_GB2312"/>
          <w:b/>
          <w:color w:val="000000" w:themeColor="text1"/>
          <w:kern w:val="0"/>
          <w:szCs w:val="32"/>
          <w:shd w:val="clear" w:color="auto" w:fill="FFFFFF"/>
          <w:lang w:val="zh-CN"/>
          <w14:textFill>
            <w14:solidFill>
              <w14:schemeClr w14:val="tx1"/>
            </w14:solidFill>
          </w14:textFill>
        </w:rPr>
        <w:t>自评公开。</w:t>
      </w:r>
      <w:r>
        <w:rPr>
          <w:rFonts w:hint="eastAsia" w:ascii="仿宋_GB2312"/>
          <w:color w:val="000000" w:themeColor="text1"/>
          <w:kern w:val="0"/>
          <w:szCs w:val="32"/>
          <w14:textFill>
            <w14:solidFill>
              <w14:schemeClr w14:val="tx1"/>
            </w14:solidFill>
          </w14:textFill>
        </w:rPr>
        <w:t>我会严格按照预决算编制要求编制绩效目标，填列绩效目标完成情况，开展绩效自评工作，并按要求将相关绩效信息随部门预算</w:t>
      </w:r>
      <w:r>
        <w:rPr>
          <w:rFonts w:hint="eastAsia" w:ascii="仿宋_GB2312"/>
          <w:color w:val="000000" w:themeColor="text1"/>
          <w:kern w:val="0"/>
          <w:szCs w:val="32"/>
          <w:lang w:eastAsia="zh-CN"/>
          <w14:textFill>
            <w14:solidFill>
              <w14:schemeClr w14:val="tx1"/>
            </w14:solidFill>
          </w14:textFill>
        </w:rPr>
        <w:t>决算</w:t>
      </w:r>
      <w:r>
        <w:rPr>
          <w:rFonts w:hint="eastAsia" w:ascii="仿宋_GB2312"/>
          <w:color w:val="000000" w:themeColor="text1"/>
          <w:kern w:val="0"/>
          <w:szCs w:val="32"/>
          <w14:textFill>
            <w14:solidFill>
              <w14:schemeClr w14:val="tx1"/>
            </w14:solidFill>
          </w14:textFill>
        </w:rPr>
        <w:t>一并在</w:t>
      </w:r>
      <w:r>
        <w:rPr>
          <w:rFonts w:hint="eastAsia"/>
          <w:color w:val="000000" w:themeColor="text1"/>
          <w:szCs w:val="32"/>
          <w14:textFill>
            <w14:solidFill>
              <w14:schemeClr w14:val="tx1"/>
            </w14:solidFill>
          </w14:textFill>
        </w:rPr>
        <w:t>政府网站和</w:t>
      </w:r>
      <w:r>
        <w:rPr>
          <w:rFonts w:hint="eastAsia" w:ascii="仿宋_GB2312"/>
          <w:color w:val="000000" w:themeColor="text1"/>
          <w:kern w:val="0"/>
          <w:szCs w:val="32"/>
          <w14:textFill>
            <w14:solidFill>
              <w14:schemeClr w14:val="tx1"/>
            </w14:solidFill>
          </w14:textFill>
        </w:rPr>
        <w:t>单位门户网站公开。</w:t>
      </w:r>
    </w:p>
    <w:p>
      <w:pPr>
        <w:pStyle w:val="9"/>
        <w:shd w:val="clear" w:color="auto" w:fill="FFFFFF"/>
        <w:spacing w:before="0" w:beforeAutospacing="0" w:after="0" w:afterAutospacing="0" w:line="580" w:lineRule="exact"/>
        <w:ind w:firstLine="642" w:firstLineChars="200"/>
        <w:jc w:val="both"/>
        <w:rPr>
          <w:rFonts w:hint="default" w:ascii="Times New Roman" w:hAnsi="Times New Roman" w:eastAsia="仿宋_GB2312" w:cs="Times New Roman"/>
          <w:sz w:val="32"/>
          <w:shd w:val="clear" w:color="auto" w:fill="FFFFFF"/>
          <w:lang w:val="zh-CN"/>
        </w:rPr>
      </w:pPr>
      <w:r>
        <w:rPr>
          <w:rFonts w:hint="default" w:ascii="Times New Roman" w:hAnsi="Times New Roman" w:eastAsia="仿宋_GB2312" w:cs="Times New Roman"/>
          <w:b/>
          <w:bCs/>
          <w:sz w:val="32"/>
          <w:shd w:val="clear" w:color="auto" w:fill="FFFFFF"/>
          <w:lang w:val="zh-CN"/>
        </w:rPr>
        <w:t>结果整改：</w:t>
      </w:r>
      <w:r>
        <w:rPr>
          <w:rFonts w:hint="default" w:ascii="Times New Roman" w:hAnsi="Times New Roman" w:eastAsia="仿宋_GB2312" w:cs="Times New Roman"/>
          <w:sz w:val="32"/>
          <w:shd w:val="clear" w:color="auto" w:fill="FFFFFF"/>
          <w:lang w:val="zh-CN"/>
        </w:rPr>
        <w:t>根据绩效评价结果进一步优化工作部署和资金统筹，按照工作实际，结合自身职能职责，科学编制和细化部门预算，规范项目实施和预算资金管理使用。</w:t>
      </w:r>
    </w:p>
    <w:p>
      <w:pPr>
        <w:pStyle w:val="9"/>
        <w:shd w:val="clear" w:color="auto" w:fill="FFFFFF"/>
        <w:spacing w:before="0" w:beforeAutospacing="0" w:after="0" w:afterAutospacing="0" w:line="580" w:lineRule="exact"/>
        <w:ind w:firstLine="642" w:firstLineChars="200"/>
        <w:jc w:val="both"/>
        <w:rPr>
          <w:rFonts w:hint="eastAsia" w:ascii="Times New Roman" w:hAnsi="Times New Roman" w:eastAsia="仿宋_GB2312" w:cs="Times New Roman"/>
          <w:sz w:val="32"/>
          <w:shd w:val="clear" w:color="auto" w:fill="FFFFFF"/>
          <w:lang w:val="zh-CN"/>
        </w:rPr>
      </w:pPr>
      <w:r>
        <w:rPr>
          <w:rFonts w:hint="default" w:ascii="Times New Roman" w:hAnsi="Times New Roman" w:eastAsia="仿宋_GB2312" w:cs="Times New Roman"/>
          <w:b/>
          <w:bCs/>
          <w:sz w:val="32"/>
          <w:shd w:val="clear" w:color="auto" w:fill="FFFFFF"/>
          <w:lang w:val="zh-CN"/>
        </w:rPr>
        <w:t>应用反馈：</w:t>
      </w:r>
      <w:r>
        <w:rPr>
          <w:rFonts w:hint="default" w:ascii="Times New Roman" w:hAnsi="Times New Roman" w:eastAsia="仿宋_GB2312" w:cs="Times New Roman"/>
          <w:sz w:val="32"/>
          <w:shd w:val="clear" w:color="auto" w:fill="FFFFFF"/>
          <w:lang w:val="zh-CN"/>
        </w:rPr>
        <w:t>将绩效评价结果应用于工作开展中的各个方面</w:t>
      </w:r>
      <w:r>
        <w:rPr>
          <w:rFonts w:hint="eastAsia" w:ascii="Times New Roman" w:hAnsi="Times New Roman" w:eastAsia="仿宋_GB2312" w:cs="Times New Roman"/>
          <w:sz w:val="32"/>
          <w:shd w:val="clear" w:color="auto" w:fill="FFFFFF"/>
          <w:lang w:val="zh-CN"/>
        </w:rPr>
        <w:t>，</w:t>
      </w:r>
      <w:r>
        <w:rPr>
          <w:rFonts w:hint="eastAsia" w:ascii="Times New Roman" w:hAnsi="Times New Roman" w:eastAsia="仿宋_GB2312" w:cs="Times New Roman"/>
          <w:sz w:val="32"/>
          <w:shd w:val="clear" w:color="auto" w:fill="FFFFFF"/>
          <w:lang w:val="zh-CN" w:eastAsia="zh-CN"/>
        </w:rPr>
        <w:t>并</w:t>
      </w:r>
      <w:r>
        <w:rPr>
          <w:rFonts w:hint="eastAsia" w:ascii="Times New Roman" w:hAnsi="Times New Roman" w:eastAsia="仿宋_GB2312" w:cs="Times New Roman"/>
          <w:sz w:val="32"/>
          <w:shd w:val="clear" w:color="auto" w:fill="FFFFFF"/>
          <w:lang w:val="zh-CN"/>
        </w:rPr>
        <w:t>按要求在规定时间内将应用结果向财政反馈。</w:t>
      </w:r>
    </w:p>
    <w:p>
      <w:pPr>
        <w:pStyle w:val="9"/>
        <w:shd w:val="clear" w:color="auto" w:fill="FFFFFF"/>
        <w:spacing w:before="0" w:beforeAutospacing="0" w:after="0" w:afterAutospacing="0" w:line="580" w:lineRule="exact"/>
        <w:ind w:firstLine="640" w:firstLineChars="200"/>
        <w:jc w:val="both"/>
        <w:rPr>
          <w:rFonts w:hint="default" w:ascii="Times New Roman" w:hAnsi="Times New Roman" w:cs="Times New Roman"/>
          <w:b/>
          <w:sz w:val="32"/>
          <w:szCs w:val="32"/>
        </w:rPr>
      </w:pPr>
      <w:r>
        <w:rPr>
          <w:rFonts w:hint="default" w:ascii="Times New Roman" w:hAnsi="Times New Roman" w:eastAsia="黑体" w:cs="Times New Roman"/>
          <w:kern w:val="0"/>
          <w:sz w:val="32"/>
          <w:szCs w:val="32"/>
          <w:shd w:val="clear" w:color="auto" w:fill="FFFFFF"/>
        </w:rPr>
        <w:t>四、评价结论及建议</w:t>
      </w:r>
    </w:p>
    <w:p>
      <w:pPr>
        <w:adjustRightInd w:val="0"/>
        <w:snapToGrid w:val="0"/>
        <w:spacing w:line="580" w:lineRule="exact"/>
        <w:ind w:firstLine="720"/>
        <w:rPr>
          <w:rFonts w:hint="default" w:ascii="Times New Roman" w:hAnsi="Times New Roman" w:eastAsia="楷体" w:cs="Times New Roman"/>
          <w:b/>
          <w:kern w:val="0"/>
          <w:shd w:val="clear" w:color="auto" w:fill="FFFFFF"/>
          <w:lang w:val="zh-CN"/>
        </w:rPr>
      </w:pPr>
      <w:r>
        <w:rPr>
          <w:rFonts w:hint="default" w:ascii="Times New Roman" w:hAnsi="Times New Roman" w:eastAsia="楷体" w:cs="Times New Roman"/>
          <w:kern w:val="0"/>
          <w:shd w:val="clear" w:color="auto" w:fill="FFFFFF"/>
          <w:lang w:val="zh-CN"/>
        </w:rPr>
        <w:t>（一）评价结论</w:t>
      </w:r>
    </w:p>
    <w:p>
      <w:pPr>
        <w:adjustRightInd w:val="0"/>
        <w:snapToGrid w:val="0"/>
        <w:spacing w:line="580" w:lineRule="exact"/>
        <w:ind w:firstLine="720"/>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就财务方面，市</w:t>
      </w:r>
      <w:r>
        <w:rPr>
          <w:rFonts w:hint="eastAsia" w:cs="Times New Roman"/>
          <w:kern w:val="0"/>
          <w:shd w:val="clear" w:color="auto" w:fill="FFFFFF"/>
          <w:lang w:val="zh-CN"/>
        </w:rPr>
        <w:t>妇</w:t>
      </w:r>
      <w:r>
        <w:rPr>
          <w:rFonts w:hint="default" w:ascii="Times New Roman" w:hAnsi="Times New Roman" w:cs="Times New Roman"/>
          <w:kern w:val="0"/>
          <w:shd w:val="clear" w:color="auto" w:fill="FFFFFF"/>
          <w:lang w:val="zh-CN"/>
        </w:rPr>
        <w:t>联在支出过程中，能遵守各项规章制度及中央、省、市各项规定，实施的项目都制定了方案，按方案组织实施，并加强了监督，达到了节约、高效的支出目标。</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（二）存在问题</w:t>
      </w:r>
    </w:p>
    <w:p>
      <w:pPr>
        <w:adjustRightInd w:val="0"/>
        <w:snapToGrid w:val="0"/>
        <w:spacing w:line="580" w:lineRule="exact"/>
        <w:ind w:firstLine="720"/>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业务素质有待进一步提高。由于预算绩效管理工作开展时间短，涉及面广，专业性强，加上缺乏系统的培训，工作人员预算绩效管理业务不精通，在一定程度上影响了绩效评价工作质量。</w:t>
      </w:r>
    </w:p>
    <w:p>
      <w:pPr>
        <w:adjustRightInd w:val="0"/>
        <w:snapToGrid w:val="0"/>
        <w:spacing w:line="580" w:lineRule="exact"/>
        <w:ind w:firstLine="720"/>
        <w:rPr>
          <w:rFonts w:hint="default" w:ascii="Times New Roman" w:hAnsi="Times New Roman" w:eastAsia="楷体" w:cs="Times New Roman"/>
          <w:kern w:val="0"/>
          <w:shd w:val="clear" w:color="auto" w:fill="FFFFFF"/>
          <w:lang w:val="zh-CN"/>
        </w:rPr>
      </w:pPr>
      <w:r>
        <w:rPr>
          <w:rFonts w:hint="default" w:ascii="Times New Roman" w:hAnsi="Times New Roman" w:eastAsia="楷体" w:cs="Times New Roman"/>
          <w:kern w:val="0"/>
          <w:shd w:val="clear" w:color="auto" w:fill="FFFFFF"/>
          <w:lang w:val="zh-CN"/>
        </w:rPr>
        <w:t>（三）改进建议</w:t>
      </w:r>
    </w:p>
    <w:p>
      <w:pPr>
        <w:pStyle w:val="9"/>
        <w:shd w:val="clear" w:color="auto" w:fill="FFFFFF"/>
        <w:spacing w:before="0" w:beforeAutospacing="0" w:after="0" w:afterAutospacing="0" w:line="580" w:lineRule="exact"/>
        <w:ind w:firstLine="947" w:firstLineChars="296"/>
        <w:jc w:val="both"/>
        <w:rPr>
          <w:rFonts w:hint="default" w:ascii="Times New Roman" w:hAnsi="Times New Roman" w:cs="Times New Roman"/>
          <w:kern w:val="0"/>
          <w:shd w:val="clear" w:color="auto" w:fill="FFFFFF"/>
          <w:lang w:val="en-US" w:eastAsia="zh-CN"/>
        </w:rPr>
      </w:pPr>
      <w:r>
        <w:rPr>
          <w:rFonts w:hint="default" w:ascii="Times New Roman" w:hAnsi="Times New Roman" w:eastAsia="仿宋_GB2312" w:cs="Times New Roman"/>
          <w:sz w:val="32"/>
          <w:shd w:val="clear" w:color="auto" w:fill="FFFFFF"/>
          <w:lang w:val="zh-CN"/>
        </w:rPr>
        <w:t>加大财务绩效评价工作的宣传和培训力度。</w:t>
      </w:r>
    </w:p>
    <w:p>
      <w:pPr>
        <w:pStyle w:val="13"/>
        <w:rPr>
          <w:rFonts w:hint="default" w:ascii="Times New Roman" w:hAnsi="Times New Roman" w:cs="Times New Roman"/>
          <w:kern w:val="0"/>
          <w:shd w:val="clear" w:color="auto" w:fill="FFFFFF"/>
          <w:lang w:val="en-US" w:eastAsia="zh-CN"/>
        </w:rPr>
      </w:pPr>
    </w:p>
    <w:p>
      <w:pPr>
        <w:widowControl/>
        <w:adjustRightInd w:val="0"/>
        <w:snapToGrid w:val="0"/>
        <w:spacing w:line="62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附</w:t>
      </w:r>
      <w:r>
        <w:rPr>
          <w:rFonts w:hint="eastAsia"/>
          <w:color w:val="000000"/>
          <w:kern w:val="0"/>
          <w:szCs w:val="32"/>
          <w:shd w:val="clear" w:color="auto" w:fill="FFFFFF"/>
          <w:lang w:val="zh-CN"/>
        </w:rPr>
        <w:t>件</w:t>
      </w:r>
      <w:r>
        <w:rPr>
          <w:color w:val="000000"/>
          <w:kern w:val="0"/>
          <w:szCs w:val="32"/>
          <w:shd w:val="clear" w:color="auto" w:fill="FFFFFF"/>
          <w:lang w:val="zh-CN"/>
        </w:rPr>
        <w:t>：</w:t>
      </w:r>
      <w:r>
        <w:rPr>
          <w:rFonts w:hint="eastAsia"/>
          <w:color w:val="000000"/>
          <w:kern w:val="0"/>
          <w:szCs w:val="32"/>
          <w:shd w:val="clear" w:color="auto" w:fill="FFFFFF"/>
        </w:rPr>
        <w:t>1.</w:t>
      </w:r>
      <w:r>
        <w:rPr>
          <w:rFonts w:hint="eastAsia"/>
          <w:color w:val="000000" w:themeColor="text1"/>
          <w:kern w:val="0"/>
          <w:szCs w:val="32"/>
          <w:shd w:val="clear" w:color="auto" w:fill="FFFFFF"/>
          <w:lang w:val="zh-CN"/>
          <w14:textFill>
            <w14:solidFill>
              <w14:schemeClr w14:val="tx1"/>
            </w14:solidFill>
          </w14:textFill>
        </w:rPr>
        <w:t>2022年市级部门整体支出绩效评价指标体系</w:t>
      </w:r>
    </w:p>
    <w:p>
      <w:pPr>
        <w:widowControl/>
        <w:numPr>
          <w:ilvl w:val="0"/>
          <w:numId w:val="0"/>
        </w:numPr>
        <w:adjustRightInd w:val="0"/>
        <w:snapToGrid w:val="0"/>
        <w:spacing w:line="580" w:lineRule="exact"/>
        <w:ind w:left="1577" w:leftChars="0"/>
        <w:contextualSpacing/>
        <w:jc w:val="left"/>
        <w:rPr>
          <w:rFonts w:hint="eastAsia"/>
          <w:color w:val="000000"/>
          <w:kern w:val="0"/>
          <w:szCs w:val="32"/>
          <w:highlight w:val="none"/>
          <w:shd w:val="clear" w:color="auto" w:fill="FFFFFF"/>
        </w:rPr>
      </w:pPr>
      <w:r>
        <w:rPr>
          <w:rFonts w:hint="eastAsia"/>
          <w:color w:val="000000"/>
          <w:kern w:val="0"/>
          <w:szCs w:val="32"/>
          <w:highlight w:val="none"/>
          <w:shd w:val="clear" w:color="auto" w:fill="FFFFFF"/>
          <w:lang w:val="en-US" w:eastAsia="zh-CN"/>
        </w:rPr>
        <w:t>2.妇女思想引领及基层组织建设</w:t>
      </w:r>
      <w:r>
        <w:rPr>
          <w:rFonts w:hint="eastAsia"/>
          <w:color w:val="000000"/>
          <w:kern w:val="0"/>
          <w:szCs w:val="32"/>
          <w:highlight w:val="none"/>
          <w:shd w:val="clear" w:color="auto" w:fill="FFFFFF"/>
        </w:rPr>
        <w:t>项目绩效目标自评表</w:t>
      </w:r>
    </w:p>
    <w:p>
      <w:pPr>
        <w:widowControl/>
        <w:numPr>
          <w:ilvl w:val="0"/>
          <w:numId w:val="0"/>
        </w:numPr>
        <w:adjustRightInd w:val="0"/>
        <w:snapToGrid w:val="0"/>
        <w:spacing w:line="580" w:lineRule="exact"/>
        <w:ind w:left="1577" w:leftChars="0"/>
        <w:contextualSpacing/>
        <w:jc w:val="left"/>
        <w:rPr>
          <w:rFonts w:hint="eastAsia"/>
          <w:color w:val="000000"/>
          <w:kern w:val="0"/>
          <w:szCs w:val="32"/>
          <w:highlight w:val="none"/>
          <w:shd w:val="clear" w:color="auto" w:fill="FFFFFF"/>
        </w:rPr>
      </w:pPr>
      <w:r>
        <w:rPr>
          <w:rFonts w:hint="eastAsia"/>
          <w:color w:val="000000"/>
          <w:kern w:val="0"/>
          <w:szCs w:val="32"/>
          <w:highlight w:val="none"/>
          <w:shd w:val="clear" w:color="auto" w:fill="FFFFFF"/>
          <w:lang w:val="en-US" w:eastAsia="zh-CN"/>
        </w:rPr>
        <w:t>3.家庭家风家教建设工作</w:t>
      </w:r>
      <w:r>
        <w:rPr>
          <w:rFonts w:hint="eastAsia"/>
          <w:color w:val="000000"/>
          <w:kern w:val="0"/>
          <w:szCs w:val="32"/>
          <w:highlight w:val="none"/>
          <w:shd w:val="clear" w:color="auto" w:fill="FFFFFF"/>
        </w:rPr>
        <w:t>项目绩效目标自评表</w:t>
      </w:r>
    </w:p>
    <w:p>
      <w:pPr>
        <w:widowControl/>
        <w:numPr>
          <w:ilvl w:val="0"/>
          <w:numId w:val="0"/>
        </w:numPr>
        <w:adjustRightInd w:val="0"/>
        <w:snapToGrid w:val="0"/>
        <w:spacing w:line="580" w:lineRule="exact"/>
        <w:ind w:left="1577" w:leftChars="0"/>
        <w:contextualSpacing/>
        <w:jc w:val="left"/>
        <w:rPr>
          <w:rFonts w:hint="eastAsia"/>
          <w:color w:val="000000"/>
          <w:kern w:val="0"/>
          <w:szCs w:val="32"/>
          <w:highlight w:val="none"/>
          <w:shd w:val="clear" w:color="auto" w:fill="FFFFFF"/>
        </w:rPr>
      </w:pPr>
      <w:r>
        <w:rPr>
          <w:rFonts w:hint="eastAsia"/>
          <w:color w:val="000000"/>
          <w:kern w:val="0"/>
          <w:szCs w:val="32"/>
          <w:highlight w:val="none"/>
          <w:shd w:val="clear" w:color="auto" w:fill="FFFFFF"/>
          <w:lang w:val="en-US" w:eastAsia="zh-CN"/>
        </w:rPr>
        <w:t>4.</w:t>
      </w:r>
      <w:r>
        <w:rPr>
          <w:rFonts w:hint="default" w:ascii="Times New Roman" w:hAnsi="Times New Roman" w:cs="Times New Roman"/>
          <w:color w:val="000000"/>
          <w:kern w:val="0"/>
          <w:szCs w:val="32"/>
          <w:highlight w:val="none"/>
          <w:shd w:val="clear" w:color="auto" w:fill="FFFFFF"/>
          <w:lang w:val="en-US" w:eastAsia="zh-CN"/>
        </w:rPr>
        <w:t>妇女儿童维权关爱服务</w:t>
      </w:r>
      <w:r>
        <w:rPr>
          <w:rFonts w:hint="eastAsia" w:ascii="Times New Roman" w:hAnsi="Times New Roman" w:cs="Times New Roman"/>
          <w:color w:val="000000"/>
          <w:kern w:val="0"/>
          <w:szCs w:val="32"/>
          <w:highlight w:val="none"/>
          <w:shd w:val="clear" w:color="auto" w:fill="FFFFFF"/>
          <w:lang w:val="en-US" w:eastAsia="zh-CN"/>
        </w:rPr>
        <w:t>项</w:t>
      </w:r>
      <w:r>
        <w:rPr>
          <w:rFonts w:hint="eastAsia"/>
          <w:color w:val="000000"/>
          <w:kern w:val="0"/>
          <w:szCs w:val="32"/>
          <w:highlight w:val="none"/>
          <w:shd w:val="clear" w:color="auto" w:fill="FFFFFF"/>
        </w:rPr>
        <w:t>目绩效目标自评表</w:t>
      </w:r>
    </w:p>
    <w:p>
      <w:pPr>
        <w:widowControl/>
        <w:numPr>
          <w:ilvl w:val="0"/>
          <w:numId w:val="0"/>
        </w:numPr>
        <w:adjustRightInd w:val="0"/>
        <w:snapToGrid w:val="0"/>
        <w:spacing w:line="580" w:lineRule="exact"/>
        <w:ind w:left="1577" w:leftChars="0"/>
        <w:contextualSpacing/>
        <w:jc w:val="left"/>
        <w:rPr>
          <w:rFonts w:hint="eastAsia"/>
          <w:color w:val="000000"/>
          <w:kern w:val="0"/>
          <w:szCs w:val="32"/>
          <w:highlight w:val="none"/>
          <w:shd w:val="clear" w:color="auto" w:fill="FFFFFF"/>
        </w:rPr>
      </w:pPr>
      <w:r>
        <w:rPr>
          <w:rFonts w:hint="eastAsia"/>
          <w:color w:val="000000"/>
          <w:kern w:val="0"/>
          <w:szCs w:val="32"/>
          <w:highlight w:val="none"/>
          <w:shd w:val="clear" w:color="auto" w:fill="FFFFFF"/>
          <w:lang w:val="en-US" w:eastAsia="zh-CN"/>
        </w:rPr>
        <w:t>5.乡村振兴巾帼行动</w:t>
      </w:r>
      <w:r>
        <w:rPr>
          <w:rFonts w:hint="eastAsia"/>
          <w:color w:val="000000"/>
          <w:kern w:val="0"/>
          <w:szCs w:val="32"/>
          <w:highlight w:val="none"/>
          <w:shd w:val="clear" w:color="auto" w:fill="FFFFFF"/>
        </w:rPr>
        <w:t>项目绩效目标自评表</w:t>
      </w:r>
    </w:p>
    <w:p>
      <w:pPr>
        <w:widowControl/>
        <w:numPr>
          <w:ilvl w:val="0"/>
          <w:numId w:val="0"/>
        </w:numPr>
        <w:adjustRightInd w:val="0"/>
        <w:snapToGrid w:val="0"/>
        <w:spacing w:line="580" w:lineRule="exact"/>
        <w:ind w:left="1577" w:leftChars="0"/>
        <w:contextualSpacing/>
        <w:jc w:val="left"/>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6.两纲工作项目绩效目标自评表</w:t>
      </w:r>
    </w:p>
    <w:p>
      <w:pPr>
        <w:widowControl/>
        <w:numPr>
          <w:ilvl w:val="0"/>
          <w:numId w:val="0"/>
        </w:numPr>
        <w:adjustRightInd w:val="0"/>
        <w:snapToGrid w:val="0"/>
        <w:spacing w:line="580" w:lineRule="exact"/>
        <w:ind w:left="1577" w:leftChars="0"/>
        <w:contextualSpacing/>
        <w:jc w:val="left"/>
        <w:rPr>
          <w:rFonts w:hint="eastAsia" w:ascii="Times New Roman" w:hAnsi="Times New Roman" w:cs="Times New Roman"/>
          <w:color w:val="000000"/>
          <w:kern w:val="0"/>
          <w:szCs w:val="32"/>
          <w:highlight w:val="none"/>
          <w:shd w:val="clear" w:color="auto" w:fill="FFFFFF"/>
          <w:lang w:val="en-US" w:eastAsia="zh-CN"/>
        </w:rPr>
      </w:pPr>
      <w:r>
        <w:rPr>
          <w:rFonts w:hint="eastAsia" w:ascii="Times New Roman" w:hAnsi="Times New Roman" w:cs="Times New Roman"/>
          <w:color w:val="000000"/>
          <w:kern w:val="0"/>
          <w:szCs w:val="32"/>
          <w:highlight w:val="none"/>
          <w:shd w:val="clear" w:color="auto" w:fill="FFFFFF"/>
          <w:lang w:val="en-US" w:eastAsia="zh-CN"/>
        </w:rPr>
        <w:t>7.四川省妇女居家灵活就业示范基地运营费项目绩效目标自评表</w:t>
      </w:r>
    </w:p>
    <w:p>
      <w:pPr>
        <w:widowControl/>
        <w:numPr>
          <w:ilvl w:val="0"/>
          <w:numId w:val="0"/>
        </w:numPr>
        <w:adjustRightInd w:val="0"/>
        <w:snapToGrid w:val="0"/>
        <w:spacing w:line="580" w:lineRule="exact"/>
        <w:ind w:left="1577" w:leftChars="0"/>
        <w:contextualSpacing/>
        <w:jc w:val="left"/>
        <w:rPr>
          <w:rFonts w:hint="eastAsia" w:ascii="Times New Roman" w:hAnsi="Times New Roman" w:cs="Times New Roman"/>
          <w:color w:val="000000"/>
          <w:kern w:val="0"/>
          <w:szCs w:val="32"/>
          <w:highlight w:val="yellow"/>
          <w:shd w:val="clear" w:color="auto" w:fill="FFFFFF"/>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5750" w:leftChars="1600" w:hanging="630" w:hangingChars="197"/>
        <w:textAlignment w:val="auto"/>
        <w:rPr>
          <w:rFonts w:hint="default" w:ascii="Times New Roman" w:hAnsi="Times New Roman" w:cs="Times New Roman"/>
          <w:kern w:val="0"/>
          <w:shd w:val="clear" w:color="auto" w:fill="FFFFFF"/>
          <w:lang w:val="en-US" w:eastAsia="zh-CN"/>
        </w:rPr>
      </w:pPr>
      <w:r>
        <w:rPr>
          <w:rFonts w:hint="default" w:ascii="Times New Roman" w:hAnsi="Times New Roman" w:cs="Times New Roman"/>
          <w:kern w:val="0"/>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5750" w:leftChars="1600" w:hanging="630" w:hangingChars="197"/>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遂宁市</w:t>
      </w:r>
      <w:r>
        <w:rPr>
          <w:rFonts w:hint="eastAsia" w:eastAsia="CESI仿宋-GB2312" w:cs="Times New Roman"/>
          <w:color w:val="auto"/>
          <w:sz w:val="32"/>
          <w:szCs w:val="32"/>
          <w:lang w:val="en-US" w:eastAsia="zh-CN"/>
        </w:rPr>
        <w:t>妇女</w:t>
      </w:r>
      <w:r>
        <w:rPr>
          <w:rFonts w:hint="default" w:ascii="Times New Roman" w:hAnsi="Times New Roman" w:eastAsia="CESI仿宋-GB2312" w:cs="Times New Roman"/>
          <w:color w:val="auto"/>
          <w:sz w:val="32"/>
          <w:szCs w:val="32"/>
          <w:lang w:val="en-US" w:eastAsia="zh-CN"/>
        </w:rPr>
        <w:t>联合会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CESI仿宋-GB2312" w:cs="Times New Roman"/>
          <w:color w:val="auto"/>
          <w:sz w:val="32"/>
          <w:szCs w:val="32"/>
          <w:lang w:val="en-US" w:eastAsia="zh-CN"/>
        </w:rPr>
      </w:pPr>
      <w:r>
        <w:rPr>
          <w:rFonts w:hint="default" w:ascii="Times New Roman" w:hAnsi="Times New Roman" w:eastAsia="CESI仿宋-GB2312" w:cs="Times New Roman"/>
          <w:color w:val="auto"/>
          <w:sz w:val="32"/>
          <w:szCs w:val="32"/>
          <w:lang w:val="en-US" w:eastAsia="zh-CN"/>
        </w:rPr>
        <w:t xml:space="preserve">                             2023年</w:t>
      </w:r>
      <w:r>
        <w:rPr>
          <w:rFonts w:hint="default" w:eastAsia="CESI仿宋-GB2312" w:cs="Times New Roman"/>
          <w:color w:val="auto"/>
          <w:sz w:val="32"/>
          <w:szCs w:val="32"/>
          <w:lang w:eastAsia="zh-CN"/>
        </w:rPr>
        <w:t>4</w:t>
      </w:r>
      <w:r>
        <w:rPr>
          <w:rFonts w:hint="default" w:ascii="Times New Roman" w:hAnsi="Times New Roman" w:eastAsia="CESI仿宋-GB2312" w:cs="Times New Roman"/>
          <w:color w:val="auto"/>
          <w:sz w:val="32"/>
          <w:szCs w:val="32"/>
          <w:lang w:val="en-US" w:eastAsia="zh-CN"/>
        </w:rPr>
        <w:t>月</w:t>
      </w:r>
      <w:r>
        <w:rPr>
          <w:rFonts w:hint="eastAsia" w:eastAsia="CESI仿宋-GB2312" w:cs="Times New Roman"/>
          <w:color w:val="auto"/>
          <w:sz w:val="32"/>
          <w:szCs w:val="32"/>
          <w:lang w:val="en-US" w:eastAsia="zh-CN"/>
        </w:rPr>
        <w:t>20</w:t>
      </w:r>
      <w:r>
        <w:rPr>
          <w:rFonts w:hint="default" w:ascii="Times New Roman" w:hAnsi="Times New Roman" w:eastAsia="CESI仿宋-GB2312" w:cs="Times New Roman"/>
          <w:color w:val="auto"/>
          <w:sz w:val="32"/>
          <w:szCs w:val="32"/>
          <w:lang w:val="en-US" w:eastAsia="zh-CN"/>
        </w:rPr>
        <w:t>日</w:t>
      </w:r>
    </w:p>
    <w:p>
      <w:pPr>
        <w:pStyle w:val="13"/>
        <w:rPr>
          <w:rFonts w:hint="default" w:ascii="Times New Roman" w:hAnsi="Times New Roman" w:eastAsia="CESI仿宋-GB2312" w:cs="Times New Roman"/>
          <w:color w:val="auto"/>
          <w:sz w:val="32"/>
          <w:szCs w:val="32"/>
          <w:lang w:val="en-US" w:eastAsia="zh-CN"/>
        </w:rPr>
      </w:pPr>
    </w:p>
    <w:p>
      <w:pPr>
        <w:rPr>
          <w:rFonts w:hint="default" w:ascii="Times New Roman" w:hAnsi="Times New Roman" w:eastAsia="CESI仿宋-GB2312" w:cs="Times New Roman"/>
          <w:color w:val="auto"/>
          <w:sz w:val="32"/>
          <w:szCs w:val="32"/>
          <w:lang w:val="en-US" w:eastAsia="zh-CN"/>
        </w:rPr>
        <w:sectPr>
          <w:footerReference r:id="rId3" w:type="default"/>
          <w:pgSz w:w="11906" w:h="16838"/>
          <w:pgMar w:top="1701" w:right="1474" w:bottom="1758" w:left="1588" w:header="851" w:footer="992" w:gutter="0"/>
          <w:pgNumType w:fmt="numberInDash"/>
          <w:cols w:space="425" w:num="1"/>
          <w:docGrid w:linePitch="312" w:charSpace="0"/>
        </w:sectPr>
      </w:pPr>
    </w:p>
    <w:p>
      <w:pPr>
        <w:rPr>
          <w:rFonts w:hint="default" w:cs="Times New Roman"/>
          <w:kern w:val="0"/>
          <w:shd w:val="clear" w:color="auto" w:fill="FFFFFF"/>
        </w:rPr>
      </w:pPr>
      <w:r>
        <w:rPr>
          <w:rFonts w:hint="eastAsia" w:ascii="仿宋_GB2312" w:hAnsi="仿宋_GB2312" w:eastAsia="仿宋_GB2312" w:cs="仿宋_GB2312"/>
          <w:kern w:val="0"/>
          <w:shd w:val="clear" w:color="auto" w:fill="FFFFFF"/>
        </w:rPr>
        <w:t>附件1</w:t>
      </w:r>
      <w:r>
        <w:rPr>
          <w:rFonts w:hint="default" w:cs="Times New Roman"/>
          <w:kern w:val="0"/>
          <w:shd w:val="clear" w:color="auto" w:fill="FFFFFF"/>
        </w:rPr>
        <w:t>：</w:t>
      </w:r>
    </w:p>
    <w:p>
      <w:pPr>
        <w:adjustRightInd w:val="0"/>
        <w:snapToGrid w:val="0"/>
        <w:spacing w:line="580" w:lineRule="exact"/>
        <w:ind w:left="400" w:hanging="400" w:hangingChars="100"/>
        <w:contextualSpacing/>
        <w:jc w:val="center"/>
        <w:rPr>
          <w:color w:val="000000" w:themeColor="text1"/>
          <w:kern w:val="0"/>
          <w:szCs w:val="32"/>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0"/>
          <w:szCs w:val="40"/>
          <w14:textFill>
            <w14:solidFill>
              <w14:schemeClr w14:val="tx1"/>
            </w14:solidFill>
          </w14:textFill>
        </w:rPr>
        <w:t>2022年市级部门整体支出绩效评价指标体系</w:t>
      </w:r>
    </w:p>
    <w:tbl>
      <w:tblPr>
        <w:tblStyle w:val="10"/>
        <w:tblW w:w="14700" w:type="dxa"/>
        <w:tblInd w:w="93" w:type="dxa"/>
        <w:tblLayout w:type="autofit"/>
        <w:tblCellMar>
          <w:top w:w="0" w:type="dxa"/>
          <w:left w:w="108" w:type="dxa"/>
          <w:bottom w:w="0" w:type="dxa"/>
          <w:right w:w="108" w:type="dxa"/>
        </w:tblCellMar>
      </w:tblPr>
      <w:tblGrid>
        <w:gridCol w:w="656"/>
        <w:gridCol w:w="906"/>
        <w:gridCol w:w="953"/>
        <w:gridCol w:w="542"/>
        <w:gridCol w:w="1513"/>
        <w:gridCol w:w="4272"/>
        <w:gridCol w:w="3556"/>
        <w:gridCol w:w="1536"/>
        <w:gridCol w:w="766"/>
      </w:tblGrid>
      <w:tr>
        <w:tblPrEx>
          <w:tblCellMar>
            <w:top w:w="0" w:type="dxa"/>
            <w:left w:w="108" w:type="dxa"/>
            <w:bottom w:w="0" w:type="dxa"/>
            <w:right w:w="108" w:type="dxa"/>
          </w:tblCellMar>
        </w:tblPrEx>
        <w:trPr>
          <w:trHeight w:val="356" w:hRule="atLeast"/>
          <w:tblHeader/>
        </w:trPr>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绩效指标</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指标</w:t>
            </w:r>
          </w:p>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分值</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指标解释</w:t>
            </w:r>
          </w:p>
        </w:tc>
        <w:tc>
          <w:tcPr>
            <w:tcW w:w="42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计分标准</w:t>
            </w:r>
          </w:p>
        </w:tc>
        <w:tc>
          <w:tcPr>
            <w:tcW w:w="35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依据资料</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评价过程（只写扣分项的原因）</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textAlignment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自评</w:t>
            </w:r>
          </w:p>
          <w:p>
            <w:pPr>
              <w:widowControl/>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得分</w:t>
            </w:r>
          </w:p>
        </w:tc>
      </w:tr>
      <w:tr>
        <w:tblPrEx>
          <w:tblCellMar>
            <w:top w:w="0" w:type="dxa"/>
            <w:left w:w="108" w:type="dxa"/>
            <w:bottom w:w="0" w:type="dxa"/>
            <w:right w:w="108" w:type="dxa"/>
          </w:tblCellMar>
        </w:tblPrEx>
        <w:trPr>
          <w:trHeight w:val="610"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96" w:leftChars="-30" w:right="-96" w:rightChars="-30"/>
              <w:jc w:val="center"/>
              <w:textAlignment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一级</w:t>
            </w:r>
          </w:p>
          <w:p>
            <w:pPr>
              <w:widowControl/>
              <w:spacing w:line="240" w:lineRule="exact"/>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指标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二级指标</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96" w:leftChars="-30" w:right="-96" w:rightChars="-30"/>
              <w:jc w:val="center"/>
              <w:textAlignment w:val="center"/>
              <w:rPr>
                <w:rFonts w:hint="eastAsia" w:ascii="宋体" w:hAnsi="宋体" w:eastAsia="宋体" w:cs="宋体"/>
                <w:b/>
                <w:bCs/>
                <w:color w:val="000000" w:themeColor="text1"/>
                <w:kern w:val="0"/>
                <w:sz w:val="20"/>
                <w:szCs w:val="20"/>
                <w:lang w:eastAsia="zh-CN"/>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三级</w:t>
            </w:r>
          </w:p>
          <w:p>
            <w:pPr>
              <w:widowControl/>
              <w:spacing w:line="240" w:lineRule="exact"/>
              <w:ind w:left="-96" w:leftChars="-30" w:right="-96" w:rightChars="-30"/>
              <w:jc w:val="center"/>
              <w:textAlignment w:val="center"/>
              <w:rPr>
                <w:rFonts w:ascii="宋体" w:hAnsi="宋体" w:eastAsia="宋体" w:cs="宋体"/>
                <w:b/>
                <w:bCs/>
                <w:color w:val="000000" w:themeColor="text1"/>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指标</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c>
          <w:tcPr>
            <w:tcW w:w="42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c>
          <w:tcPr>
            <w:tcW w:w="35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96" w:leftChars="-30" w:right="-96" w:rightChars="-30"/>
              <w:jc w:val="center"/>
              <w:rPr>
                <w:rFonts w:ascii="宋体" w:hAnsi="宋体" w:eastAsia="宋体" w:cs="宋体"/>
                <w:b/>
                <w:bCs/>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136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部门预算管理（70分）</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预算编制（25分）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目标制定</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评价部门绩效目标是否要素完整、细化量化并集体决策。</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1.绩效目标编制要素完整的，得4分，否则酌情扣分。                                                       2.绩效指标细化量化的，得4分，否则酌情扣分。                                                                    </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3.评价部门绩效目标纳入部门党组（委）会（办公会）集体决策范围的得2分，否则不得分。                                                 </w:t>
            </w:r>
          </w:p>
        </w:tc>
        <w:tc>
          <w:tcPr>
            <w:tcW w:w="3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要素完整指目标的完成指标及效益指标、满意度指标是否填写完整，根据编制绩效目标时市财政局的要求。指标细化量化指该定量表达的是否定量表达，定性表达是否明确具体。党组（委）会（办公会）会议记录、纪要。</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themeColor="text1"/>
                <w:sz w:val="20"/>
                <w:szCs w:val="20"/>
                <w:lang w:val="en-US" w:eastAsia="zh-CN"/>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10</w:t>
            </w:r>
          </w:p>
        </w:tc>
      </w:tr>
      <w:tr>
        <w:tblPrEx>
          <w:tblCellMar>
            <w:top w:w="0" w:type="dxa"/>
            <w:left w:w="108" w:type="dxa"/>
            <w:bottom w:w="0" w:type="dxa"/>
            <w:right w:w="108" w:type="dxa"/>
          </w:tblCellMar>
        </w:tblPrEx>
        <w:trPr>
          <w:trHeight w:val="923"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目标完成</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评价部门绩效目标实际实现程度与预期目标的偏离度。</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以项目完成数量指标为核心，评价项目实际完成情况是否达到预期绩效目标，指标得分=达到预期绩效目标的部门预算项目个数/纳入绩效目标管理的部门预算项目个数*15。</w:t>
            </w:r>
          </w:p>
        </w:tc>
        <w:tc>
          <w:tcPr>
            <w:tcW w:w="3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项目绩效目标申报表（数量指标）。</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15</w:t>
            </w:r>
          </w:p>
        </w:tc>
      </w:tr>
      <w:tr>
        <w:tblPrEx>
          <w:tblCellMar>
            <w:top w:w="0" w:type="dxa"/>
            <w:left w:w="108" w:type="dxa"/>
            <w:bottom w:w="0" w:type="dxa"/>
            <w:right w:w="108" w:type="dxa"/>
          </w:tblCellMar>
        </w:tblPrEx>
        <w:trPr>
          <w:trHeight w:val="162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                                                                             预算执行（25分）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支出控制</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部门公用经费及项目支出相关科目控制情况。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计算部门日常公用经费、项目支出中“办公费、印刷费、水费、电费、物业管理费、维修（护）费、培训费、会议费”8个科目年初预算数与决算数偏差程度。                                              预决算偏差程度在10%以内的，得10分。偏差度在10%</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 xml:space="preserve">20%之间的，得5分，偏差度超过20%的，不得分。                                           </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决算数：决算报表Z08_1、Z08_2、Z10_1、Z10_2、Z12相关科目合计数</w:t>
            </w:r>
          </w:p>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年初预算数：一体化系统—综合报表查询2022年—预算编制报表—部门预算批复（表12支出经济分类表）</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偏差程度=（决算数</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预算数）的绝对值/决算数*100%。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r>
      <w:tr>
        <w:tblPrEx>
          <w:tblCellMar>
            <w:top w:w="0" w:type="dxa"/>
            <w:left w:w="108" w:type="dxa"/>
            <w:bottom w:w="0" w:type="dxa"/>
            <w:right w:w="108" w:type="dxa"/>
          </w:tblCellMar>
        </w:tblPrEx>
        <w:trPr>
          <w:trHeight w:val="356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及时处置</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评价部门开展绩效运行监控后，将绩效监控结果应用到预算调整的情况。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1.当部门绩效监控调整取消额和结余注销额均不为零时，指标得分=部门项目支出绩效监控调整取消额÷</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 xml:space="preserve">部门绩效监控调整取消额+预算结余注销额）*5                                                  2.当部门绩效监控调整取消额为零，结余注销额不为零时，指标得分=（1-5*结余注销额/年度预算总额）*5，结余注销额超过部门年度预算总额10%的，指标不得分。                  </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3.当部门绩效监控调整取消额与结余注销额均为零时，得满分。   </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决算报表（Z01全年预算数、CS01_1）</w:t>
            </w:r>
          </w:p>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年度预算总额：Z01全年预算数总计数。</w:t>
            </w:r>
          </w:p>
          <w:p>
            <w:pPr>
              <w:widowControl/>
              <w:jc w:val="left"/>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绩效监控调整取消额：调整前年初结转和结余</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调整后年初结转和结余=0，则没有取消额。</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预算结余注销额：决算报表CS01_1归集上缴和缴回资金栏为0，表示当年没有注销，如果有数就是注销额。</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r>
      <w:tr>
        <w:tblPrEx>
          <w:tblCellMar>
            <w:top w:w="0" w:type="dxa"/>
            <w:left w:w="108" w:type="dxa"/>
            <w:bottom w:w="0" w:type="dxa"/>
            <w:right w:w="108" w:type="dxa"/>
          </w:tblCellMar>
        </w:tblPrEx>
        <w:trPr>
          <w:trHeight w:val="2424"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执行进度</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评价部门在6、9、11月的预算执行情况。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部门预算执行进度在6、9、11月应达到序时进度的80%、90%、90%，即实际支出进度分别达到40%、67.5%、82.5%。                                                     6、9、11月部门预算执行进度达到量化指标的分别得3、4、3分，未达到目标进度</w:t>
            </w:r>
            <w:r>
              <w:rPr>
                <w:rFonts w:hint="eastAsia" w:ascii="宋体" w:hAnsi="宋体" w:eastAsia="宋体" w:cs="宋体"/>
                <w:color w:val="000000" w:themeColor="text1"/>
                <w:kern w:val="0"/>
                <w:sz w:val="20"/>
                <w:szCs w:val="20"/>
                <w:lang w:eastAsia="zh-CN"/>
                <w14:textFill>
                  <w14:solidFill>
                    <w14:schemeClr w14:val="tx1"/>
                  </w14:solidFill>
                </w14:textFill>
              </w:rPr>
              <w:t>的</w:t>
            </w:r>
            <w:r>
              <w:rPr>
                <w:rFonts w:hint="eastAsia" w:ascii="宋体" w:hAnsi="宋体" w:eastAsia="宋体" w:cs="宋体"/>
                <w:color w:val="000000" w:themeColor="text1"/>
                <w:kern w:val="0"/>
                <w:sz w:val="20"/>
                <w:szCs w:val="20"/>
                <w14:textFill>
                  <w14:solidFill>
                    <w14:schemeClr w14:val="tx1"/>
                  </w14:solidFill>
                </w14:textFill>
              </w:rPr>
              <w:t xml:space="preserve">按其实际进度占目标进度的比重计算得分。                                           </w:t>
            </w:r>
          </w:p>
        </w:tc>
        <w:tc>
          <w:tcPr>
            <w:tcW w:w="3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一体化系统—综合报表查询2022年—预算执行报表—预算执行（单位）—可执行指标执行情况表—“支付日期”填需查询的时间段，“预算单位”勾选本部门机关及所有下属单位—查询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6月、</w:t>
            </w:r>
            <w:r>
              <w:rPr>
                <w:rFonts w:hint="eastAsia" w:ascii="宋体" w:hAnsi="宋体" w:eastAsia="宋体" w:cs="宋体"/>
                <w:color w:val="000000" w:themeColor="text1"/>
                <w:kern w:val="0"/>
                <w:sz w:val="20"/>
                <w:szCs w:val="20"/>
                <w14:textFill>
                  <w14:solidFill>
                    <w14:schemeClr w14:val="tx1"/>
                  </w14:solidFill>
                </w14:textFill>
              </w:rPr>
              <w:t>9月、11月预算执行进度分别为</w:t>
            </w:r>
            <w:r>
              <w:rPr>
                <w:rFonts w:hint="eastAsia" w:ascii="宋体" w:hAnsi="宋体" w:eastAsia="宋体" w:cs="宋体"/>
                <w:color w:val="000000" w:themeColor="text1"/>
                <w:kern w:val="0"/>
                <w:sz w:val="20"/>
                <w:szCs w:val="20"/>
                <w:highlight w:val="yellow"/>
                <w:lang w:val="en-US" w:eastAsia="zh-CN"/>
                <w14:textFill>
                  <w14:solidFill>
                    <w14:schemeClr w14:val="tx1"/>
                  </w14:solidFill>
                </w14:textFill>
              </w:rPr>
              <w:t>30.77</w:t>
            </w:r>
            <w:r>
              <w:rPr>
                <w:rFonts w:hint="eastAsia" w:ascii="宋体" w:hAnsi="宋体" w:eastAsia="宋体" w:cs="宋体"/>
                <w:color w:val="000000" w:themeColor="text1"/>
                <w:kern w:val="0"/>
                <w:sz w:val="20"/>
                <w:szCs w:val="20"/>
                <w:highlight w:val="yellow"/>
                <w14:textFill>
                  <w14:solidFill>
                    <w14:schemeClr w14:val="tx1"/>
                  </w14:solidFill>
                </w14:textFill>
              </w:rPr>
              <w:t>%</w:t>
            </w:r>
            <w:r>
              <w:rPr>
                <w:rFonts w:hint="eastAsia" w:ascii="宋体" w:hAnsi="宋体" w:eastAsia="宋体" w:cs="宋体"/>
                <w:color w:val="000000" w:themeColor="text1"/>
                <w:kern w:val="0"/>
                <w:sz w:val="20"/>
                <w:szCs w:val="20"/>
                <w:highlight w:val="yellow"/>
                <w:lang w:eastAsia="zh-CN"/>
                <w14:textFill>
                  <w14:solidFill>
                    <w14:schemeClr w14:val="tx1"/>
                  </w14:solidFill>
                </w14:textFill>
              </w:rPr>
              <w:t>、</w:t>
            </w:r>
            <w:r>
              <w:rPr>
                <w:rFonts w:hint="eastAsia" w:ascii="宋体" w:hAnsi="宋体" w:eastAsia="宋体" w:cs="宋体"/>
                <w:color w:val="000000" w:themeColor="text1"/>
                <w:kern w:val="0"/>
                <w:sz w:val="20"/>
                <w:szCs w:val="20"/>
                <w:highlight w:val="yellow"/>
                <w:lang w:val="en-US" w:eastAsia="zh-CN"/>
                <w14:textFill>
                  <w14:solidFill>
                    <w14:schemeClr w14:val="tx1"/>
                  </w14:solidFill>
                </w14:textFill>
              </w:rPr>
              <w:t>64.99</w:t>
            </w:r>
            <w:r>
              <w:rPr>
                <w:rFonts w:hint="eastAsia" w:ascii="宋体" w:hAnsi="宋体" w:eastAsia="宋体" w:cs="宋体"/>
                <w:color w:val="000000" w:themeColor="text1"/>
                <w:kern w:val="0"/>
                <w:sz w:val="20"/>
                <w:szCs w:val="20"/>
                <w:highlight w:val="yellow"/>
                <w14:textFill>
                  <w14:solidFill>
                    <w14:schemeClr w14:val="tx1"/>
                  </w14:solidFill>
                </w14:textFill>
              </w:rPr>
              <w:t>%、7</w:t>
            </w:r>
            <w:r>
              <w:rPr>
                <w:rFonts w:hint="eastAsia" w:ascii="宋体" w:hAnsi="宋体" w:eastAsia="宋体" w:cs="宋体"/>
                <w:color w:val="000000" w:themeColor="text1"/>
                <w:kern w:val="0"/>
                <w:sz w:val="20"/>
                <w:szCs w:val="20"/>
                <w:highlight w:val="yellow"/>
                <w:lang w:val="en-US" w:eastAsia="zh-CN"/>
                <w14:textFill>
                  <w14:solidFill>
                    <w14:schemeClr w14:val="tx1"/>
                  </w14:solidFill>
                </w14:textFill>
              </w:rPr>
              <w:t>6.38</w:t>
            </w:r>
            <w:r>
              <w:rPr>
                <w:rFonts w:hint="eastAsia" w:ascii="宋体" w:hAnsi="宋体" w:eastAsia="宋体" w:cs="宋体"/>
                <w:color w:val="000000" w:themeColor="text1"/>
                <w:kern w:val="0"/>
                <w:sz w:val="20"/>
                <w:szCs w:val="20"/>
                <w:highlight w:val="yellow"/>
                <w14:textFill>
                  <w14:solidFill>
                    <w14:schemeClr w14:val="tx1"/>
                  </w14:solidFill>
                </w14:textFill>
              </w:rPr>
              <w:t>%</w:t>
            </w:r>
            <w:r>
              <w:rPr>
                <w:rFonts w:hint="eastAsia" w:ascii="宋体" w:hAnsi="宋体" w:eastAsia="宋体" w:cs="宋体"/>
                <w:color w:val="000000" w:themeColor="text1"/>
                <w:kern w:val="0"/>
                <w:sz w:val="20"/>
                <w:szCs w:val="20"/>
                <w:lang w:eastAsia="zh-CN"/>
                <w14:textFill>
                  <w14:solidFill>
                    <w14:schemeClr w14:val="tx1"/>
                  </w14:solidFill>
                </w14:textFill>
              </w:rPr>
              <w:t>（受疫情影响，原计划妇女儿童活动无法开展导致支付进度滞后）</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p>
        </w:tc>
      </w:tr>
      <w:tr>
        <w:tblPrEx>
          <w:tblCellMar>
            <w:top w:w="0" w:type="dxa"/>
            <w:left w:w="108" w:type="dxa"/>
            <w:bottom w:w="0" w:type="dxa"/>
            <w:right w:w="108" w:type="dxa"/>
          </w:tblCellMar>
        </w:tblPrEx>
        <w:trPr>
          <w:trHeight w:val="181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完成结果（20分）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预算完成</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评价部门预算年终预算执行情况。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部门预算12月预算执行进度达到100%的，得5分，未达100%的，按照实际进度量化计算得分。</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同上</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1-12月预算执行进度为</w:t>
            </w:r>
            <w:r>
              <w:rPr>
                <w:rFonts w:hint="eastAsia" w:ascii="宋体" w:hAnsi="宋体" w:eastAsia="宋体" w:cs="宋体"/>
                <w:color w:val="000000" w:themeColor="text1"/>
                <w:kern w:val="0"/>
                <w:sz w:val="20"/>
                <w:szCs w:val="20"/>
                <w:lang w:val="en-US" w:eastAsia="zh-CN"/>
                <w14:textFill>
                  <w14:solidFill>
                    <w14:schemeClr w14:val="tx1"/>
                  </w14:solidFill>
                </w14:textFill>
              </w:rPr>
              <w:t>100</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sz w:val="20"/>
                <w:szCs w:val="20"/>
                <w14:textFill>
                  <w14:solidFill>
                    <w14:schemeClr w14:val="tx1"/>
                  </w14:solidFill>
                </w14:textFill>
              </w:rPr>
              <w:t xml:space="preserve">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5</w:t>
            </w:r>
          </w:p>
        </w:tc>
      </w:tr>
      <w:tr>
        <w:tblPrEx>
          <w:tblCellMar>
            <w:top w:w="0" w:type="dxa"/>
            <w:left w:w="108" w:type="dxa"/>
            <w:bottom w:w="0" w:type="dxa"/>
            <w:right w:w="108" w:type="dxa"/>
          </w:tblCellMar>
        </w:tblPrEx>
        <w:trPr>
          <w:trHeight w:val="214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资金结余率</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评价部门预算项目年终资金结余情况。                 </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部门预算项目资金结余率小于0.1的项目个数/部门预算项目总数*10。</w:t>
            </w:r>
          </w:p>
        </w:tc>
        <w:tc>
          <w:tcPr>
            <w:tcW w:w="3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Style w:val="20"/>
                <w:rFonts w:hint="eastAsia" w:eastAsia="宋体"/>
                <w:color w:val="000000" w:themeColor="text1"/>
                <w:sz w:val="20"/>
                <w:szCs w:val="20"/>
                <w:lang w:eastAsia="zh-CN"/>
                <w14:textFill>
                  <w14:solidFill>
                    <w14:schemeClr w14:val="tx1"/>
                  </w14:solidFill>
                </w14:textFill>
              </w:rPr>
            </w:pPr>
            <w:r>
              <w:rPr>
                <w:rStyle w:val="20"/>
                <w:rFonts w:hint="default"/>
                <w:color w:val="000000" w:themeColor="text1"/>
                <w:sz w:val="20"/>
                <w:szCs w:val="20"/>
                <w14:textFill>
                  <w14:solidFill>
                    <w14:schemeClr w14:val="tx1"/>
                  </w14:solidFill>
                </w14:textFill>
              </w:rPr>
              <w:t>项目资金结余率=1-“完成数”“占预算%”</w:t>
            </w:r>
          </w:p>
          <w:p>
            <w:pPr>
              <w:widowControl/>
              <w:jc w:val="left"/>
              <w:textAlignment w:val="center"/>
              <w:rPr>
                <w:rStyle w:val="20"/>
                <w:rFonts w:hint="eastAsia" w:eastAsia="宋体"/>
                <w:color w:val="000000" w:themeColor="text1"/>
                <w:sz w:val="20"/>
                <w:szCs w:val="20"/>
                <w:lang w:eastAsia="zh-CN"/>
                <w14:textFill>
                  <w14:solidFill>
                    <w14:schemeClr w14:val="tx1"/>
                  </w14:solidFill>
                </w14:textFill>
              </w:rPr>
            </w:pPr>
            <w:r>
              <w:rPr>
                <w:rStyle w:val="20"/>
                <w:rFonts w:hint="default"/>
                <w:color w:val="000000" w:themeColor="text1"/>
                <w:sz w:val="20"/>
                <w:szCs w:val="20"/>
                <w14:textFill>
                  <w14:solidFill>
                    <w14:schemeClr w14:val="tx1"/>
                  </w14:solidFill>
                </w14:textFill>
              </w:rPr>
              <w:t>部门预算项目总数：一体化系统中“预算数”不为0的项目数量。</w:t>
            </w:r>
          </w:p>
          <w:p>
            <w:pPr>
              <w:widowControl/>
              <w:jc w:val="left"/>
              <w:textAlignment w:val="center"/>
              <w:rPr>
                <w:rFonts w:ascii="宋体" w:hAnsi="宋体" w:eastAsia="宋体" w:cs="宋体"/>
                <w:color w:val="000000" w:themeColor="text1"/>
                <w:sz w:val="20"/>
                <w:szCs w:val="20"/>
                <w14:textFill>
                  <w14:solidFill>
                    <w14:schemeClr w14:val="tx1"/>
                  </w14:solidFill>
                </w14:textFill>
              </w:rPr>
            </w:pPr>
            <w:r>
              <w:rPr>
                <w:rStyle w:val="20"/>
                <w:rFonts w:hint="default"/>
                <w:color w:val="000000" w:themeColor="text1"/>
                <w:sz w:val="20"/>
                <w:szCs w:val="20"/>
                <w14:textFill>
                  <w14:solidFill>
                    <w14:schemeClr w14:val="tx1"/>
                  </w14:solidFill>
                </w14:textFill>
              </w:rPr>
              <w:t>一体化系统—综合报表查询2022年—预算执行报表—预算执行（单位）—可执行指标执行情况表—“支付日期”填需查询的时间段，“预算单位”勾选本部门机关及所有下属单位，</w:t>
            </w:r>
            <w:r>
              <w:rPr>
                <w:rStyle w:val="21"/>
                <w:rFonts w:hint="default"/>
                <w:color w:val="000000" w:themeColor="text1"/>
                <w:sz w:val="20"/>
                <w:szCs w:val="20"/>
                <w14:textFill>
                  <w14:solidFill>
                    <w14:schemeClr w14:val="tx1"/>
                  </w14:solidFill>
                </w14:textFill>
              </w:rPr>
              <w:t>“项目类别”勾选“31</w:t>
            </w:r>
            <w:r>
              <w:rPr>
                <w:rStyle w:val="21"/>
                <w:rFonts w:hint="eastAsia" w:eastAsia="宋体"/>
                <w:color w:val="000000" w:themeColor="text1"/>
                <w:sz w:val="20"/>
                <w:szCs w:val="20"/>
                <w:lang w:eastAsia="zh-CN"/>
                <w14:textFill>
                  <w14:solidFill>
                    <w14:schemeClr w14:val="tx1"/>
                  </w14:solidFill>
                </w14:textFill>
              </w:rPr>
              <w:t>－</w:t>
            </w:r>
            <w:r>
              <w:rPr>
                <w:rStyle w:val="21"/>
                <w:rFonts w:hint="default"/>
                <w:color w:val="000000" w:themeColor="text1"/>
                <w:sz w:val="20"/>
                <w:szCs w:val="20"/>
                <w14:textFill>
                  <w14:solidFill>
                    <w14:schemeClr w14:val="tx1"/>
                  </w14:solidFill>
                </w14:textFill>
              </w:rPr>
              <w:t>部门项目”</w:t>
            </w:r>
            <w:r>
              <w:rPr>
                <w:rStyle w:val="20"/>
                <w:rFonts w:hint="default"/>
                <w:color w:val="000000" w:themeColor="text1"/>
                <w:sz w:val="20"/>
                <w:szCs w:val="20"/>
                <w14:textFill>
                  <w14:solidFill>
                    <w14:schemeClr w14:val="tx1"/>
                  </w14:solidFill>
                </w14:textFill>
              </w:rPr>
              <w:t>—查询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000000" w:themeColor="text1"/>
                <w:sz w:val="20"/>
                <w:szCs w:val="20"/>
                <w:lang w:val="en-US" w:eastAsia="zh-CN"/>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5</w:t>
            </w:r>
          </w:p>
        </w:tc>
      </w:tr>
      <w:tr>
        <w:tblPrEx>
          <w:tblCellMar>
            <w:top w:w="0" w:type="dxa"/>
            <w:left w:w="108" w:type="dxa"/>
            <w:bottom w:w="0" w:type="dxa"/>
            <w:right w:w="108" w:type="dxa"/>
          </w:tblCellMar>
        </w:tblPrEx>
        <w:trPr>
          <w:trHeight w:val="1469"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违规记录</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根据审计监督、财政检查结果反映部门上一年度部门预算管理是否合规。</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依据上一年度审计监督、财政检查结果，出现部门预算管理方面违纪违规问题的，每个问题扣0.5分，直至扣完。</w:t>
            </w:r>
          </w:p>
        </w:tc>
        <w:tc>
          <w:tcPr>
            <w:tcW w:w="3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上一年度的审计监督、财政检查报告。</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5</w:t>
            </w:r>
          </w:p>
        </w:tc>
      </w:tr>
      <w:tr>
        <w:tblPrEx>
          <w:tblCellMar>
            <w:top w:w="0" w:type="dxa"/>
            <w:left w:w="108" w:type="dxa"/>
            <w:bottom w:w="0" w:type="dxa"/>
            <w:right w:w="108" w:type="dxa"/>
          </w:tblCellMar>
        </w:tblPrEx>
        <w:trPr>
          <w:trHeight w:val="945"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绩效结果应用（20分）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内部应用</w:t>
            </w:r>
          </w:p>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预算挂钩</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评价部门内部绩效结果与预算挂钩情况。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xml:space="preserve">将内设机构和下属单位绩效自评纳入考核体系，建立对内设机构和下属单位预算与绩效挂钩机制的，得6分，否则酌情扣分。    </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相关制度文件。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25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信息公开</w:t>
            </w:r>
          </w:p>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（4分</w:t>
            </w:r>
            <w:r>
              <w:rPr>
                <w:rFonts w:hint="eastAsia" w:ascii="宋体" w:hAnsi="宋体" w:eastAsia="宋体" w:cs="宋体"/>
                <w:color w:val="000000" w:themeColor="text1"/>
                <w:kern w:val="0"/>
                <w:sz w:val="20"/>
                <w:szCs w:val="20"/>
                <w:lang w:eastAsia="zh-CN"/>
                <w14:textFill>
                  <w14:solidFill>
                    <w14:schemeClr w14:val="tx1"/>
                  </w14:solidFill>
                </w14:textFill>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自评公开</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评价部门是否按要求将部门整体绩效自评情况和自行组织的评价情况向社会公开。</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按要求将相关绩效信息随同决算公开的，得4分，否则不得分。</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政府或部门门户网站。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1191"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整改反馈</w:t>
            </w:r>
          </w:p>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结果整改</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评价部门根据绩效管理结果整改问题、完善政策、改进管理的情况。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针对绩效管理过程中（包括绩效目标核查、绩效监控核查和重点绩效评价）提出的问题，发现一处未整改的，扣2分，直至扣完。</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结果整改说明、整改报告，现场检查。</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r>
      <w:tr>
        <w:tblPrEx>
          <w:tblCellMar>
            <w:top w:w="0" w:type="dxa"/>
            <w:left w:w="108" w:type="dxa"/>
            <w:bottom w:w="0" w:type="dxa"/>
            <w:right w:w="108" w:type="dxa"/>
          </w:tblCellMar>
        </w:tblPrEx>
        <w:trPr>
          <w:trHeight w:val="1049"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应用反馈</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评价部门按要求及时向财政部门反馈结果应用情况。</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部门在规定时间内向财政部门反馈应用绩效结果报告的，得满分，否则不得分。</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根据财政部门要求反馈的时间限制。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r>
      <w:tr>
        <w:tblPrEx>
          <w:tblCellMar>
            <w:top w:w="0" w:type="dxa"/>
            <w:left w:w="108" w:type="dxa"/>
            <w:bottom w:w="0" w:type="dxa"/>
            <w:right w:w="108" w:type="dxa"/>
          </w:tblCellMar>
        </w:tblPrEx>
        <w:trPr>
          <w:trHeight w:val="1522" w:hRule="atLeast"/>
        </w:trPr>
        <w:tc>
          <w:tcPr>
            <w:tcW w:w="656"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自评质量（10分）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自评质量（10分）</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自评准确</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评价部门整体支出自评准确率。</w:t>
            </w: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0"/>
                <w:szCs w:val="20"/>
                <w14:textFill>
                  <w14:solidFill>
                    <w14:schemeClr w14:val="tx1"/>
                  </w14:solidFill>
                </w14:textFill>
              </w:rPr>
            </w:pPr>
            <w:r>
              <w:rPr>
                <w:rStyle w:val="20"/>
                <w:rFonts w:hint="default"/>
                <w:color w:val="000000" w:themeColor="text1"/>
                <w:sz w:val="20"/>
                <w:szCs w:val="20"/>
                <w14:textFill>
                  <w14:solidFill>
                    <w14:schemeClr w14:val="tx1"/>
                  </w14:solidFill>
                </w14:textFill>
              </w:rPr>
              <w:t>部门整体支出自评得分与评价组抽查得分差异在5%以内的，不扣分；在5%</w:t>
            </w:r>
            <w:r>
              <w:rPr>
                <w:rStyle w:val="20"/>
                <w:rFonts w:hint="eastAsia" w:eastAsia="宋体"/>
                <w:color w:val="000000" w:themeColor="text1"/>
                <w:sz w:val="20"/>
                <w:szCs w:val="20"/>
                <w:lang w:eastAsia="zh-CN"/>
                <w14:textFill>
                  <w14:solidFill>
                    <w14:schemeClr w14:val="tx1"/>
                  </w14:solidFill>
                </w14:textFill>
              </w:rPr>
              <w:t>—</w:t>
            </w:r>
            <w:r>
              <w:rPr>
                <w:rStyle w:val="20"/>
                <w:rFonts w:hint="default"/>
                <w:color w:val="000000" w:themeColor="text1"/>
                <w:sz w:val="20"/>
                <w:szCs w:val="20"/>
                <w14:textFill>
                  <w14:solidFill>
                    <w14:schemeClr w14:val="tx1"/>
                  </w14:solidFill>
                </w14:textFill>
              </w:rPr>
              <w:t>10%之间的，扣4分，在10%</w:t>
            </w:r>
            <w:r>
              <w:rPr>
                <w:rStyle w:val="20"/>
                <w:rFonts w:hint="eastAsia" w:eastAsia="宋体"/>
                <w:color w:val="000000" w:themeColor="text1"/>
                <w:sz w:val="20"/>
                <w:szCs w:val="20"/>
                <w:lang w:eastAsia="zh-CN"/>
                <w14:textFill>
                  <w14:solidFill>
                    <w14:schemeClr w14:val="tx1"/>
                  </w14:solidFill>
                </w14:textFill>
              </w:rPr>
              <w:t>—</w:t>
            </w:r>
            <w:r>
              <w:rPr>
                <w:rStyle w:val="20"/>
                <w:rFonts w:hint="default"/>
                <w:color w:val="000000" w:themeColor="text1"/>
                <w:sz w:val="20"/>
                <w:szCs w:val="20"/>
                <w14:textFill>
                  <w14:solidFill>
                    <w14:schemeClr w14:val="tx1"/>
                  </w14:solidFill>
                </w14:textFill>
              </w:rPr>
              <w:t>20%的，扣8分，在20%以上的，扣10分。（</w:t>
            </w:r>
            <w:r>
              <w:rPr>
                <w:rStyle w:val="21"/>
                <w:rFonts w:hint="default"/>
                <w:color w:val="000000" w:themeColor="text1"/>
                <w:sz w:val="20"/>
                <w:szCs w:val="20"/>
                <w14:textFill>
                  <w14:solidFill>
                    <w14:schemeClr w14:val="tx1"/>
                  </w14:solidFill>
                </w14:textFill>
              </w:rPr>
              <w:t>部门在自评时，此项指标无需打分，部门自评满分为90分</w:t>
            </w:r>
            <w:r>
              <w:rPr>
                <w:rStyle w:val="20"/>
                <w:rFonts w:hint="default"/>
                <w:color w:val="000000" w:themeColor="text1"/>
                <w:sz w:val="20"/>
                <w:szCs w:val="20"/>
                <w14:textFill>
                  <w14:solidFill>
                    <w14:schemeClr w14:val="tx1"/>
                  </w14:solidFill>
                </w14:textFill>
              </w:rPr>
              <w:t>）</w:t>
            </w: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599" w:hRule="atLeast"/>
        </w:trPr>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自评总分</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90</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themeColor="text1"/>
                <w:sz w:val="20"/>
                <w:szCs w:val="20"/>
                <w14:textFill>
                  <w14:solidFill>
                    <w14:schemeClr w14:val="tx1"/>
                  </w14:solidFill>
                </w14:textFill>
              </w:rPr>
            </w:pPr>
          </w:p>
        </w:tc>
        <w:tc>
          <w:tcPr>
            <w:tcW w:w="42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35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0"/>
                <w:szCs w:val="20"/>
                <w14:textFill>
                  <w14:solidFill>
                    <w14:schemeClr w14:val="tx1"/>
                  </w14:solidFill>
                </w14:textFill>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themeColor="text1"/>
                <w:sz w:val="20"/>
                <w:szCs w:val="20"/>
                <w:lang w:val="en-US" w:eastAsia="zh-CN"/>
                <w14:textFill>
                  <w14:solidFill>
                    <w14:schemeClr w14:val="tx1"/>
                  </w14:solidFill>
                </w14:textFill>
              </w:rPr>
            </w:pPr>
          </w:p>
        </w:tc>
      </w:tr>
      <w:tr>
        <w:tblPrEx>
          <w:tblCellMar>
            <w:top w:w="0" w:type="dxa"/>
            <w:left w:w="108" w:type="dxa"/>
            <w:bottom w:w="0" w:type="dxa"/>
            <w:right w:w="108" w:type="dxa"/>
          </w:tblCellMar>
        </w:tblPrEx>
        <w:trPr>
          <w:trHeight w:val="512" w:hRule="atLeast"/>
        </w:trPr>
        <w:tc>
          <w:tcPr>
            <w:tcW w:w="14700" w:type="dxa"/>
            <w:gridSpan w:val="9"/>
            <w:tcBorders>
              <w:top w:val="nil"/>
              <w:left w:val="nil"/>
              <w:bottom w:val="nil"/>
              <w:right w:val="nil"/>
            </w:tcBorders>
            <w:shd w:val="clear" w:color="auto" w:fill="auto"/>
            <w:vAlign w:val="center"/>
          </w:tcPr>
          <w:p>
            <w:pPr>
              <w:widowControl/>
              <w:jc w:val="left"/>
              <w:textAlignment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注：本表涉及部门的数据均为包括部门机关及所有下属单位的数据。</w:t>
            </w:r>
          </w:p>
        </w:tc>
      </w:tr>
    </w:tbl>
    <w:p>
      <w:pPr>
        <w:pStyle w:val="13"/>
        <w:rPr>
          <w:rFonts w:hint="default" w:cs="Times New Roman"/>
          <w:kern w:val="0"/>
          <w:shd w:val="clear" w:color="auto" w:fill="FFFFFF"/>
        </w:rPr>
        <w:sectPr>
          <w:footerReference r:id="rId4" w:type="default"/>
          <w:pgSz w:w="16838" w:h="11906" w:orient="landscape"/>
          <w:pgMar w:top="1588" w:right="1701" w:bottom="1474" w:left="1758" w:header="851" w:footer="992" w:gutter="0"/>
          <w:pgNumType w:fmt="numberInDash"/>
          <w:cols w:space="425" w:num="1"/>
          <w:docGrid w:linePitch="312" w:charSpace="0"/>
        </w:sectPr>
      </w:pPr>
    </w:p>
    <w:p>
      <w:pPr>
        <w:rPr>
          <w:rFonts w:hint="eastAsia" w:ascii="仿宋_GB2312" w:hAnsi="仿宋_GB2312" w:eastAsia="仿宋_GB2312" w:cs="仿宋_GB2312"/>
        </w:rPr>
      </w:pPr>
      <w:r>
        <w:rPr>
          <w:rFonts w:hint="eastAsia" w:ascii="仿宋_GB2312" w:hAnsi="仿宋_GB2312" w:eastAsia="仿宋_GB2312" w:cs="仿宋_GB2312"/>
        </w:rPr>
        <w:t>附件2：</w:t>
      </w: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576"/>
        <w:gridCol w:w="1587"/>
        <w:gridCol w:w="1505"/>
        <w:gridCol w:w="1708"/>
      </w:tblGrid>
      <w:tr>
        <w:tblPrEx>
          <w:tblCellMar>
            <w:top w:w="0" w:type="dxa"/>
            <w:left w:w="108" w:type="dxa"/>
            <w:bottom w:w="0" w:type="dxa"/>
            <w:right w:w="108" w:type="dxa"/>
          </w:tblCellMar>
        </w:tblPrEx>
        <w:trPr>
          <w:trHeight w:val="675"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eastAsia="zh-CN" w:bidi="ar-SA"/>
                <w14:textFill>
                  <w14:solidFill>
                    <w14:schemeClr w14:val="tx1"/>
                  </w14:solidFill>
                </w14:textFill>
              </w:rPr>
              <w:t>（</w:t>
            </w:r>
            <w:r>
              <w:rPr>
                <w:rFonts w:hint="eastAsia" w:ascii="仿宋_GB2312" w:eastAsia="仿宋_GB2312"/>
                <w:color w:val="auto"/>
                <w:sz w:val="28"/>
                <w:szCs w:val="28"/>
                <w:highlight w:val="none"/>
                <w:lang w:val="en-US" w:eastAsia="zh-CN"/>
              </w:rPr>
              <w:t>妇女思想引领及基层</w:t>
            </w:r>
            <w:r>
              <w:rPr>
                <w:rFonts w:hint="eastAsia" w:ascii="仿宋_GB2312" w:eastAsia="仿宋_GB2312"/>
                <w:color w:val="auto"/>
                <w:sz w:val="28"/>
                <w:szCs w:val="28"/>
                <w:highlight w:val="none"/>
              </w:rPr>
              <w:t>组织建设</w:t>
            </w:r>
            <w:r>
              <w:rPr>
                <w:rFonts w:hint="eastAsia" w:ascii="仿宋_GB2312" w:eastAsia="仿宋_GB2312"/>
                <w:color w:val="auto"/>
                <w:sz w:val="28"/>
                <w:szCs w:val="28"/>
                <w:highlight w:val="none"/>
                <w:lang w:eastAsia="zh-CN"/>
              </w:rPr>
              <w:t>）</w:t>
            </w:r>
          </w:p>
        </w:tc>
      </w:tr>
      <w:tr>
        <w:tblPrEx>
          <w:tblCellMar>
            <w:top w:w="0" w:type="dxa"/>
            <w:left w:w="108" w:type="dxa"/>
            <w:bottom w:w="0" w:type="dxa"/>
            <w:right w:w="108" w:type="dxa"/>
          </w:tblCellMar>
        </w:tblPrEx>
        <w:trPr>
          <w:trHeight w:val="812"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主管部门及代码</w:t>
            </w:r>
          </w:p>
        </w:tc>
        <w:tc>
          <w:tcPr>
            <w:tcW w:w="3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000000"/>
                <w:sz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市妇联</w:t>
            </w:r>
          </w:p>
        </w:tc>
      </w:tr>
      <w:tr>
        <w:tblPrEx>
          <w:tblCellMar>
            <w:top w:w="0" w:type="dxa"/>
            <w:left w:w="108" w:type="dxa"/>
            <w:bottom w:w="0" w:type="dxa"/>
            <w:right w:w="108" w:type="dxa"/>
          </w:tblCellMar>
        </w:tblPrEx>
        <w:trPr>
          <w:trHeight w:val="508"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项目预算</w:t>
            </w:r>
          </w:p>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执行情况</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（万元）</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 预算数：</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50.35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rPr>
            </w:pPr>
            <w:r>
              <w:rPr>
                <w:rFonts w:hint="eastAsia" w:ascii="宋体" w:hAnsi="宋体" w:eastAsia="宋体" w:cs="宋体"/>
                <w:color w:val="000000"/>
                <w:sz w:val="24"/>
                <w:lang w:val="en-US" w:eastAsia="zh-CN"/>
              </w:rPr>
              <w:t>50.35</w:t>
            </w:r>
          </w:p>
        </w:tc>
      </w:tr>
      <w:tr>
        <w:tblPrEx>
          <w:tblCellMar>
            <w:top w:w="0" w:type="dxa"/>
            <w:left w:w="108" w:type="dxa"/>
            <w:bottom w:w="0" w:type="dxa"/>
            <w:right w:w="108" w:type="dxa"/>
          </w:tblCellMar>
        </w:tblPrEx>
        <w:trPr>
          <w:trHeight w:val="880"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rPr>
            </w:pPr>
            <w:r>
              <w:rPr>
                <w:rFonts w:hint="eastAsia" w:ascii="宋体" w:hAnsi="宋体" w:eastAsia="宋体" w:cs="宋体"/>
                <w:color w:val="000000"/>
                <w:sz w:val="24"/>
                <w:lang w:val="en-US" w:eastAsia="zh-CN"/>
              </w:rPr>
              <w:t>50.35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000000"/>
                <w:sz w:val="24"/>
              </w:rPr>
            </w:pPr>
            <w:r>
              <w:rPr>
                <w:rFonts w:hint="eastAsia" w:ascii="宋体" w:hAnsi="宋体" w:eastAsia="宋体" w:cs="宋体"/>
                <w:color w:val="000000"/>
                <w:sz w:val="24"/>
                <w:lang w:val="en-US" w:eastAsia="zh-CN"/>
              </w:rPr>
              <w:t>50.35</w:t>
            </w:r>
          </w:p>
        </w:tc>
      </w:tr>
      <w:tr>
        <w:tblPrEx>
          <w:tblCellMar>
            <w:top w:w="0" w:type="dxa"/>
            <w:left w:w="108" w:type="dxa"/>
            <w:bottom w:w="0" w:type="dxa"/>
            <w:right w:w="108" w:type="dxa"/>
          </w:tblCellMar>
        </w:tblPrEx>
        <w:trPr>
          <w:trHeight w:val="481"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年度总体目标</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完成情况</w:t>
            </w:r>
          </w:p>
        </w:tc>
        <w:tc>
          <w:tcPr>
            <w:tcW w:w="43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32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4340" w:type="dxa"/>
            <w:gridSpan w:val="3"/>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jc w:val="left"/>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1开展“巾帼心向党”妇女思想引领活动</w:t>
            </w:r>
            <w:r>
              <w:rPr>
                <w:rFonts w:hint="eastAsia" w:ascii="Times New Roman" w:hAnsi="Times New Roman" w:eastAsia="仿宋_GB2312"/>
                <w:sz w:val="18"/>
                <w:szCs w:val="18"/>
                <w:lang w:eastAsia="zh-CN"/>
              </w:rPr>
              <w:t>。</w:t>
            </w:r>
          </w:p>
          <w:p>
            <w:pPr>
              <w:numPr>
                <w:ilvl w:val="0"/>
                <w:numId w:val="0"/>
              </w:numPr>
              <w:jc w:val="left"/>
              <w:rPr>
                <w:rFonts w:hint="default" w:ascii="Times New Roman" w:hAnsi="Times New Roman" w:eastAsia="仿宋_GB2312"/>
                <w:sz w:val="18"/>
                <w:szCs w:val="18"/>
                <w:lang w:val="en-US" w:eastAsia="zh-CN"/>
              </w:rPr>
            </w:pPr>
            <w:r>
              <w:rPr>
                <w:rFonts w:hint="eastAsia" w:ascii="Times New Roman" w:hAnsi="Times New Roman" w:eastAsia="仿宋_GB2312"/>
                <w:sz w:val="18"/>
                <w:szCs w:val="18"/>
                <w:lang w:val="en-US" w:eastAsia="zh-CN"/>
              </w:rPr>
              <w:t>2.发挥遂宁籍驻外妇联组织作用，开展联络活动。</w:t>
            </w:r>
          </w:p>
          <w:p>
            <w:pPr>
              <w:widowControl/>
              <w:spacing w:line="320" w:lineRule="exact"/>
              <w:jc w:val="left"/>
              <w:textAlignment w:val="center"/>
              <w:rPr>
                <w:rFonts w:hint="eastAsia" w:ascii="宋体" w:hAnsi="宋体" w:eastAsia="宋体" w:cs="宋体"/>
                <w:color w:val="000000"/>
                <w:kern w:val="0"/>
                <w:sz w:val="24"/>
                <w:lang w:bidi="ar"/>
              </w:rPr>
            </w:pPr>
            <w:r>
              <w:rPr>
                <w:rFonts w:hint="eastAsia" w:ascii="Times New Roman" w:hAnsi="Times New Roman" w:eastAsia="仿宋_GB2312"/>
                <w:sz w:val="18"/>
                <w:szCs w:val="18"/>
                <w:lang w:val="en-US" w:eastAsia="zh-CN"/>
              </w:rPr>
              <w:t>3.</w:t>
            </w:r>
            <w:r>
              <w:rPr>
                <w:rFonts w:hint="default" w:ascii="Times New Roman" w:hAnsi="Times New Roman" w:eastAsia="仿宋_GB2312"/>
                <w:sz w:val="18"/>
                <w:szCs w:val="18"/>
                <w:lang w:val="en-US" w:eastAsia="zh-CN"/>
              </w:rPr>
              <w:t>开展示范“妇女之家”“妇女微家”建设，开展巾帼志愿服务活动，打造“妇”字号品牌</w:t>
            </w:r>
          </w:p>
        </w:tc>
        <w:tc>
          <w:tcPr>
            <w:tcW w:w="32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Times New Roman" w:hAnsi="Times New Roman" w:eastAsia="仿宋_GB2312"/>
                <w:sz w:val="18"/>
                <w:szCs w:val="18"/>
              </w:rPr>
              <w:t>按照省妇联思想引领与宣传工作的要求，运用网络及新媒体线上线下联动开展各类妇女思想引领</w:t>
            </w:r>
            <w:r>
              <w:rPr>
                <w:rFonts w:hint="eastAsia" w:ascii="Times New Roman" w:hAnsi="Times New Roman" w:eastAsia="仿宋_GB2312"/>
                <w:sz w:val="18"/>
                <w:szCs w:val="18"/>
                <w:lang w:eastAsia="zh-CN"/>
              </w:rPr>
              <w:t>活动</w:t>
            </w:r>
            <w:r>
              <w:rPr>
                <w:rFonts w:hint="eastAsia" w:ascii="Times New Roman" w:hAnsi="Times New Roman" w:eastAsia="仿宋_GB2312"/>
                <w:sz w:val="18"/>
                <w:szCs w:val="18"/>
              </w:rPr>
              <w:t>，团结引领广大妇女群众听党话、跟党走。</w:t>
            </w:r>
          </w:p>
        </w:tc>
      </w:tr>
      <w:tr>
        <w:tblPrEx>
          <w:tblCellMar>
            <w:top w:w="0" w:type="dxa"/>
            <w:left w:w="108" w:type="dxa"/>
            <w:bottom w:w="0" w:type="dxa"/>
            <w:right w:w="108" w:type="dxa"/>
          </w:tblCellMar>
        </w:tblPrEx>
        <w:trPr>
          <w:trHeight w:val="738" w:hRule="atLeast"/>
        </w:trPr>
        <w:tc>
          <w:tcPr>
            <w:tcW w:w="19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一级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二级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三级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实际完成指标值</w:t>
            </w:r>
          </w:p>
        </w:tc>
      </w:tr>
      <w:tr>
        <w:tblPrEx>
          <w:tblCellMar>
            <w:top w:w="0" w:type="dxa"/>
            <w:left w:w="108" w:type="dxa"/>
            <w:bottom w:w="0" w:type="dxa"/>
            <w:right w:w="108" w:type="dxa"/>
          </w:tblCellMar>
        </w:tblPrEx>
        <w:trPr>
          <w:trHeight w:val="9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完成</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数量指标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eastAsia="zh-CN" w:bidi="ar"/>
              </w:rPr>
              <w:t>与媒体合作数量</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sz w:val="28"/>
                <w:szCs w:val="28"/>
              </w:rPr>
            </w:pPr>
            <w:r>
              <w:rPr>
                <w:rFonts w:hint="eastAsia" w:ascii="仿宋_GB2312" w:hAnsi="Times New Roman" w:eastAsia="仿宋_GB2312"/>
                <w:szCs w:val="32"/>
              </w:rPr>
              <w:t>≥</w:t>
            </w:r>
            <w:r>
              <w:rPr>
                <w:rFonts w:hint="default" w:ascii="仿宋_GB2312" w:hAnsi="仿宋_GB2312" w:cs="仿宋_GB2312"/>
                <w:color w:val="000000"/>
                <w:sz w:val="28"/>
                <w:szCs w:val="28"/>
              </w:rPr>
              <w:t>2次</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sz w:val="28"/>
                <w:szCs w:val="28"/>
                <w:lang w:val="en-US" w:eastAsia="zh-CN"/>
              </w:rPr>
              <w:t>2</w:t>
            </w:r>
            <w:r>
              <w:rPr>
                <w:rFonts w:hint="default" w:ascii="仿宋_GB2312" w:hAnsi="仿宋_GB2312" w:cs="仿宋_GB2312"/>
                <w:color w:val="000000"/>
                <w:sz w:val="28"/>
                <w:szCs w:val="28"/>
              </w:rPr>
              <w:t>次</w:t>
            </w:r>
          </w:p>
        </w:tc>
      </w:tr>
      <w:tr>
        <w:tblPrEx>
          <w:tblCellMar>
            <w:top w:w="0" w:type="dxa"/>
            <w:left w:w="108" w:type="dxa"/>
            <w:bottom w:w="0" w:type="dxa"/>
            <w:right w:w="108" w:type="dxa"/>
          </w:tblCellMar>
        </w:tblPrEx>
        <w:trPr>
          <w:trHeight w:val="697"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质量指标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突出思想引领范围</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全市90万妇女群众</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eastAsia="zh-CN" w:bidi="ar"/>
              </w:rPr>
              <w:t>100</w:t>
            </w:r>
            <w:r>
              <w:rPr>
                <w:rFonts w:hint="eastAsia" w:ascii="仿宋_GB2312" w:hAnsi="仿宋_GB2312" w:cs="仿宋_GB2312"/>
                <w:color w:val="000000"/>
                <w:kern w:val="0"/>
                <w:sz w:val="28"/>
                <w:szCs w:val="28"/>
                <w:lang w:val="en-US" w:eastAsia="zh-CN" w:bidi="ar"/>
              </w:rPr>
              <w:t>%</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时效指标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eastAsia="zh-CN" w:bidi="ar"/>
              </w:rPr>
              <w:t>完成时限</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成本指标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eastAsia="zh-CN" w:bidi="ar"/>
              </w:rPr>
              <w:t>实际支出</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bidi="ar"/>
              </w:rPr>
              <w:t>≤</w:t>
            </w:r>
            <w:r>
              <w:rPr>
                <w:rFonts w:hint="eastAsia" w:ascii="仿宋_GB2312" w:hAnsi="仿宋_GB2312" w:cs="仿宋_GB2312"/>
                <w:color w:val="000000"/>
                <w:kern w:val="0"/>
                <w:sz w:val="28"/>
                <w:szCs w:val="28"/>
                <w:lang w:val="en-US" w:eastAsia="zh-CN" w:bidi="ar"/>
              </w:rPr>
              <w:t>50.35</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val="en-US" w:eastAsia="zh-CN" w:bidi="ar"/>
              </w:rPr>
              <w:t>50.35</w:t>
            </w:r>
          </w:p>
        </w:tc>
      </w:tr>
      <w:tr>
        <w:tblPrEx>
          <w:tblCellMar>
            <w:top w:w="0" w:type="dxa"/>
            <w:left w:w="108" w:type="dxa"/>
            <w:bottom w:w="0" w:type="dxa"/>
            <w:right w:w="108" w:type="dxa"/>
          </w:tblCellMar>
        </w:tblPrEx>
        <w:trPr>
          <w:trHeight w:val="80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社会效益  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eastAsia="zh-CN" w:bidi="ar"/>
              </w:rPr>
            </w:pPr>
            <w:r>
              <w:rPr>
                <w:rFonts w:hint="eastAsia" w:ascii="仿宋_GB2312" w:hAnsi="仿宋_GB2312" w:cs="仿宋_GB2312"/>
                <w:color w:val="000000"/>
                <w:kern w:val="0"/>
                <w:sz w:val="28"/>
                <w:szCs w:val="28"/>
                <w:lang w:eastAsia="zh-CN" w:bidi="ar"/>
              </w:rPr>
              <w:t>妇女思想变化</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思想素质普遍提高</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优</w:t>
            </w:r>
          </w:p>
        </w:tc>
      </w:tr>
      <w:tr>
        <w:tblPrEx>
          <w:tblCellMar>
            <w:top w:w="0" w:type="dxa"/>
            <w:left w:w="108" w:type="dxa"/>
            <w:bottom w:w="0" w:type="dxa"/>
            <w:right w:w="108" w:type="dxa"/>
          </w:tblCellMar>
        </w:tblPrEx>
        <w:trPr>
          <w:trHeight w:val="864" w:hRule="atLeast"/>
        </w:trPr>
        <w:tc>
          <w:tcPr>
            <w:tcW w:w="193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cs="仿宋_GB2312"/>
                <w:color w:val="000000"/>
                <w:kern w:val="0"/>
                <w:sz w:val="28"/>
                <w:szCs w:val="28"/>
                <w:lang w:bidi="ar"/>
              </w:rPr>
              <w:t>满意</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度指标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满意度</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eastAsia="zh-CN" w:bidi="ar"/>
              </w:rPr>
            </w:pPr>
            <w:r>
              <w:rPr>
                <w:rFonts w:hint="eastAsia" w:ascii="仿宋_GB2312" w:hAnsi="仿宋_GB2312" w:cs="仿宋_GB2312"/>
                <w:color w:val="000000"/>
                <w:kern w:val="0"/>
                <w:sz w:val="28"/>
                <w:szCs w:val="28"/>
                <w:lang w:eastAsia="zh-CN" w:bidi="ar"/>
              </w:rPr>
              <w:t>群众满意度</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eastAsia" w:ascii="仿宋_GB2312" w:hAnsi="Times New Roman" w:eastAsia="仿宋_GB2312"/>
                <w:szCs w:val="32"/>
              </w:rPr>
              <w:t>≥</w:t>
            </w:r>
            <w:r>
              <w:rPr>
                <w:rFonts w:hint="default" w:ascii="仿宋_GB2312" w:hAnsi="仿宋_GB2312" w:cs="仿宋_GB2312"/>
                <w:color w:val="000000"/>
                <w:kern w:val="0"/>
                <w:sz w:val="28"/>
                <w:szCs w:val="28"/>
                <w:lang w:eastAsia="zh-CN" w:bidi="ar"/>
              </w:rPr>
              <w:t>90</w:t>
            </w:r>
            <w:r>
              <w:rPr>
                <w:rFonts w:hint="eastAsia" w:ascii="仿宋_GB2312" w:hAnsi="仿宋_GB2312" w:cs="仿宋_GB2312"/>
                <w:color w:val="000000"/>
                <w:kern w:val="0"/>
                <w:sz w:val="28"/>
                <w:szCs w:val="28"/>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90</w:t>
            </w:r>
            <w:r>
              <w:rPr>
                <w:rFonts w:hint="eastAsia" w:ascii="仿宋_GB2312" w:hAnsi="仿宋_GB2312" w:cs="仿宋_GB2312"/>
                <w:color w:val="000000"/>
                <w:kern w:val="0"/>
                <w:sz w:val="28"/>
                <w:szCs w:val="28"/>
                <w:lang w:val="en-US" w:eastAsia="zh-CN" w:bidi="ar"/>
              </w:rPr>
              <w:t>%</w:t>
            </w:r>
          </w:p>
        </w:tc>
      </w:tr>
    </w:tbl>
    <w:p>
      <w:pPr>
        <w:rPr>
          <w:rFonts w:hint="default"/>
          <w:lang w:val="zh-CN"/>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附件3：</w:t>
      </w: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576"/>
        <w:gridCol w:w="1587"/>
        <w:gridCol w:w="1505"/>
        <w:gridCol w:w="1708"/>
      </w:tblGrid>
      <w:tr>
        <w:tblPrEx>
          <w:tblCellMar>
            <w:top w:w="0" w:type="dxa"/>
            <w:left w:w="108" w:type="dxa"/>
            <w:bottom w:w="0" w:type="dxa"/>
            <w:right w:w="108" w:type="dxa"/>
          </w:tblCellMar>
        </w:tblPrEx>
        <w:trPr>
          <w:trHeight w:val="821"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r>
              <w:rPr>
                <w:rFonts w:hint="default" w:ascii="宋体" w:hAnsi="宋体" w:eastAsia="宋体" w:cs="宋体"/>
                <w:color w:val="000000"/>
                <w:kern w:val="0"/>
                <w:sz w:val="24"/>
                <w:szCs w:val="24"/>
                <w:lang w:val="en-US" w:eastAsia="zh-CN" w:bidi="ar"/>
              </w:rPr>
              <w:t>家庭家风家教建设工作</w:t>
            </w: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536"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主管部门及代码</w:t>
            </w:r>
          </w:p>
        </w:tc>
        <w:tc>
          <w:tcPr>
            <w:tcW w:w="31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000000"/>
                <w:sz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市妇联</w:t>
            </w:r>
          </w:p>
        </w:tc>
      </w:tr>
      <w:tr>
        <w:tblPrEx>
          <w:tblCellMar>
            <w:top w:w="0" w:type="dxa"/>
            <w:left w:w="108" w:type="dxa"/>
            <w:bottom w:w="0" w:type="dxa"/>
            <w:right w:w="108" w:type="dxa"/>
          </w:tblCellMar>
        </w:tblPrEx>
        <w:trPr>
          <w:trHeight w:val="508"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项目预算</w:t>
            </w:r>
          </w:p>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执行情况</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（万元）</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35</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r>
      <w:tr>
        <w:tblPrEx>
          <w:tblCellMar>
            <w:top w:w="0" w:type="dxa"/>
            <w:left w:w="108" w:type="dxa"/>
            <w:bottom w:w="0" w:type="dxa"/>
            <w:right w:w="108" w:type="dxa"/>
          </w:tblCellMar>
        </w:tblPrEx>
        <w:trPr>
          <w:trHeight w:val="880"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r>
      <w:tr>
        <w:tblPrEx>
          <w:tblCellMar>
            <w:top w:w="0" w:type="dxa"/>
            <w:left w:w="108" w:type="dxa"/>
            <w:bottom w:w="0" w:type="dxa"/>
            <w:right w:w="108" w:type="dxa"/>
          </w:tblCellMar>
        </w:tblPrEx>
        <w:trPr>
          <w:trHeight w:val="481"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年度总体目标</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完成情况</w:t>
            </w:r>
          </w:p>
        </w:tc>
        <w:tc>
          <w:tcPr>
            <w:tcW w:w="43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321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434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1.建设1个家风家训示范村，形成具有地域特色的家风文化。</w:t>
            </w:r>
          </w:p>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2.开展优秀家庭典型评选表扬活动，征集最美家庭故事，优良家风家训，将社会主义核心价值观落到家庭。</w:t>
            </w:r>
          </w:p>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3.成立遂宁市家庭教育促进会，开发亲子精品研学线路3条。</w:t>
            </w:r>
          </w:p>
        </w:tc>
        <w:tc>
          <w:tcPr>
            <w:tcW w:w="321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遂宁市妇联突出“妇”字特色，聚焦“三个注重”，围绕培育和弘扬社会主义核心价值观，以寻找最美家庭、评选五好家庭为抓手，统筹做好“家”字文章。</w:t>
            </w:r>
          </w:p>
        </w:tc>
      </w:tr>
      <w:tr>
        <w:tblPrEx>
          <w:tblCellMar>
            <w:top w:w="0" w:type="dxa"/>
            <w:left w:w="108" w:type="dxa"/>
            <w:bottom w:w="0" w:type="dxa"/>
            <w:right w:w="108" w:type="dxa"/>
          </w:tblCellMar>
        </w:tblPrEx>
        <w:trPr>
          <w:trHeight w:val="738" w:hRule="atLeast"/>
        </w:trPr>
        <w:tc>
          <w:tcPr>
            <w:tcW w:w="19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一级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二级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三级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实际完成指标值</w:t>
            </w:r>
          </w:p>
        </w:tc>
      </w:tr>
      <w:tr>
        <w:tblPrEx>
          <w:tblCellMar>
            <w:top w:w="0" w:type="dxa"/>
            <w:left w:w="108" w:type="dxa"/>
            <w:bottom w:w="0" w:type="dxa"/>
            <w:right w:w="108" w:type="dxa"/>
          </w:tblCellMar>
        </w:tblPrEx>
        <w:trPr>
          <w:trHeight w:val="813"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完成</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数量指标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sz w:val="28"/>
                <w:szCs w:val="28"/>
              </w:rPr>
            </w:pPr>
            <w:r>
              <w:rPr>
                <w:rFonts w:hint="eastAsia" w:ascii="仿宋_GB2312" w:hAnsi="仿宋_GB2312" w:cs="仿宋_GB2312"/>
                <w:color w:val="000000"/>
                <w:sz w:val="28"/>
                <w:szCs w:val="28"/>
              </w:rPr>
              <w:t>家风家训示范村</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sz w:val="28"/>
                <w:szCs w:val="28"/>
                <w:lang w:eastAsia="zh-CN"/>
              </w:rPr>
            </w:pPr>
            <w:r>
              <w:rPr>
                <w:rFonts w:hint="eastAsia" w:ascii="仿宋_GB2312" w:hAnsi="Times New Roman" w:eastAsia="仿宋_GB2312"/>
                <w:szCs w:val="32"/>
              </w:rPr>
              <w:t>≥</w:t>
            </w:r>
            <w:r>
              <w:rPr>
                <w:rFonts w:hint="eastAsia" w:ascii="仿宋_GB2312" w:hAnsi="仿宋_GB2312" w:cs="仿宋_GB2312"/>
                <w:color w:val="000000"/>
                <w:sz w:val="28"/>
                <w:szCs w:val="28"/>
                <w:lang w:val="en-US" w:eastAsia="zh-CN"/>
              </w:rPr>
              <w:t>1</w:t>
            </w:r>
            <w:r>
              <w:rPr>
                <w:rFonts w:hint="eastAsia" w:ascii="仿宋_GB2312" w:hAnsi="仿宋_GB2312" w:cs="仿宋_GB2312"/>
                <w:color w:val="000000"/>
                <w:sz w:val="28"/>
                <w:szCs w:val="28"/>
                <w:lang w:eastAsia="zh-CN"/>
              </w:rPr>
              <w:t>个</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cs="仿宋_GB2312"/>
                <w:color w:val="000000"/>
                <w:sz w:val="28"/>
                <w:szCs w:val="28"/>
                <w:lang w:val="en-US" w:eastAsia="zh-CN"/>
              </w:rPr>
              <w:t>1</w:t>
            </w:r>
            <w:r>
              <w:rPr>
                <w:rFonts w:hint="eastAsia" w:ascii="仿宋_GB2312" w:hAnsi="仿宋_GB2312" w:cs="仿宋_GB2312"/>
                <w:color w:val="000000"/>
                <w:sz w:val="28"/>
                <w:szCs w:val="28"/>
                <w:lang w:eastAsia="zh-CN"/>
              </w:rPr>
              <w:t>个</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数量指标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开发亲子精品研学线路</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Times New Roman" w:eastAsia="仿宋_GB2312"/>
                <w:szCs w:val="32"/>
              </w:rPr>
              <w:t>≥</w:t>
            </w:r>
            <w:r>
              <w:rPr>
                <w:rFonts w:hint="eastAsia" w:ascii="仿宋_GB2312" w:hAnsi="仿宋_GB2312" w:cs="仿宋_GB2312"/>
                <w:color w:val="000000"/>
                <w:sz w:val="28"/>
                <w:szCs w:val="28"/>
                <w:lang w:val="en-US" w:eastAsia="zh-CN"/>
              </w:rPr>
              <w:t>3</w:t>
            </w:r>
            <w:r>
              <w:rPr>
                <w:rFonts w:hint="eastAsia" w:ascii="仿宋_GB2312" w:hAnsi="仿宋_GB2312" w:cs="仿宋_GB2312"/>
                <w:color w:val="000000"/>
                <w:sz w:val="28"/>
                <w:szCs w:val="28"/>
                <w:lang w:eastAsia="zh-CN"/>
              </w:rPr>
              <w:t>条</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sz w:val="28"/>
                <w:szCs w:val="28"/>
                <w:lang w:val="en-US" w:eastAsia="zh-CN"/>
              </w:rPr>
              <w:t>3</w:t>
            </w:r>
            <w:r>
              <w:rPr>
                <w:rFonts w:hint="eastAsia" w:ascii="仿宋_GB2312" w:hAnsi="仿宋_GB2312" w:cs="仿宋_GB2312"/>
                <w:color w:val="000000"/>
                <w:sz w:val="28"/>
                <w:szCs w:val="28"/>
                <w:lang w:eastAsia="zh-CN"/>
              </w:rPr>
              <w:t>条</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时效指标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eastAsia="zh-CN" w:bidi="ar"/>
              </w:rPr>
              <w:t>完成时限</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成本指标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eastAsia="zh-CN" w:bidi="ar"/>
              </w:rPr>
              <w:t>实际支出</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bidi="ar"/>
              </w:rPr>
              <w:t>≤</w:t>
            </w:r>
            <w:r>
              <w:rPr>
                <w:rFonts w:hint="eastAsia" w:ascii="仿宋_GB2312" w:hAnsi="仿宋_GB2312" w:cs="仿宋_GB2312"/>
                <w:color w:val="000000"/>
                <w:kern w:val="0"/>
                <w:sz w:val="28"/>
                <w:szCs w:val="28"/>
                <w:lang w:val="en-US" w:eastAsia="zh-CN" w:bidi="ar"/>
              </w:rPr>
              <w:t>35</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val="en-US" w:eastAsia="zh-CN" w:bidi="ar"/>
              </w:rPr>
              <w:t>35</w:t>
            </w:r>
          </w:p>
        </w:tc>
      </w:tr>
      <w:tr>
        <w:tblPrEx>
          <w:tblCellMar>
            <w:top w:w="0" w:type="dxa"/>
            <w:left w:w="108" w:type="dxa"/>
            <w:bottom w:w="0" w:type="dxa"/>
            <w:right w:w="108" w:type="dxa"/>
          </w:tblCellMar>
        </w:tblPrEx>
        <w:trPr>
          <w:trHeight w:val="648"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cs="仿宋_GB2312"/>
                <w:color w:val="000000"/>
                <w:kern w:val="0"/>
                <w:sz w:val="28"/>
                <w:szCs w:val="28"/>
                <w:lang w:bidi="ar"/>
              </w:rPr>
              <w:t>效益</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eastAsia="zh-CN" w:bidi="ar"/>
              </w:rPr>
              <w:t>社会</w:t>
            </w:r>
            <w:r>
              <w:rPr>
                <w:rFonts w:hint="eastAsia" w:ascii="仿宋_GB2312" w:hAnsi="仿宋_GB2312" w:cs="仿宋_GB2312"/>
                <w:color w:val="000000"/>
                <w:kern w:val="0"/>
                <w:sz w:val="28"/>
                <w:szCs w:val="28"/>
                <w:lang w:bidi="ar"/>
              </w:rPr>
              <w:t>效益  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4"/>
                <w:szCs w:val="24"/>
                <w:lang w:eastAsia="zh-CN" w:bidi="ar"/>
              </w:rPr>
            </w:pPr>
            <w:r>
              <w:rPr>
                <w:rFonts w:hint="eastAsia" w:ascii="仿宋_GB2312" w:hAnsi="仿宋_GB2312" w:cs="仿宋_GB2312"/>
                <w:color w:val="000000"/>
                <w:kern w:val="0"/>
                <w:sz w:val="24"/>
                <w:szCs w:val="24"/>
                <w:lang w:eastAsia="zh-CN" w:bidi="ar"/>
              </w:rPr>
              <w:t>优良家风氛围</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有所提升</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有所提升</w:t>
            </w:r>
          </w:p>
        </w:tc>
      </w:tr>
      <w:tr>
        <w:tblPrEx>
          <w:tblCellMar>
            <w:top w:w="0" w:type="dxa"/>
            <w:left w:w="108" w:type="dxa"/>
            <w:bottom w:w="0" w:type="dxa"/>
            <w:right w:w="108" w:type="dxa"/>
          </w:tblCellMar>
        </w:tblPrEx>
        <w:trPr>
          <w:trHeight w:val="1013" w:hRule="atLeast"/>
        </w:trPr>
        <w:tc>
          <w:tcPr>
            <w:tcW w:w="193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cs="仿宋_GB2312"/>
                <w:color w:val="000000"/>
                <w:kern w:val="0"/>
                <w:sz w:val="28"/>
                <w:szCs w:val="28"/>
                <w:lang w:bidi="ar"/>
              </w:rPr>
              <w:t>满意</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度指标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满意度</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5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eastAsia="zh-CN" w:bidi="ar"/>
              </w:rPr>
            </w:pPr>
            <w:r>
              <w:rPr>
                <w:rFonts w:hint="eastAsia" w:ascii="仿宋_GB2312" w:hAnsi="仿宋_GB2312" w:cs="仿宋_GB2312"/>
                <w:color w:val="000000"/>
                <w:kern w:val="0"/>
                <w:sz w:val="28"/>
                <w:szCs w:val="28"/>
                <w:lang w:eastAsia="zh-CN" w:bidi="ar"/>
              </w:rPr>
              <w:t>群众满意度</w:t>
            </w:r>
          </w:p>
        </w:tc>
        <w:tc>
          <w:tcPr>
            <w:tcW w:w="150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eastAsia" w:ascii="仿宋_GB2312" w:hAnsi="Times New Roman" w:eastAsia="仿宋_GB2312"/>
                <w:szCs w:val="32"/>
              </w:rPr>
              <w:t>≥</w:t>
            </w:r>
            <w:r>
              <w:rPr>
                <w:rFonts w:hint="default" w:ascii="仿宋_GB2312" w:hAnsi="仿宋_GB2312" w:cs="仿宋_GB2312"/>
                <w:color w:val="000000"/>
                <w:kern w:val="0"/>
                <w:sz w:val="28"/>
                <w:szCs w:val="28"/>
                <w:lang w:eastAsia="zh-CN" w:bidi="ar"/>
              </w:rPr>
              <w:t>90</w:t>
            </w:r>
            <w:r>
              <w:rPr>
                <w:rFonts w:hint="eastAsia" w:ascii="仿宋_GB2312" w:hAnsi="仿宋_GB2312" w:cs="仿宋_GB2312"/>
                <w:color w:val="000000"/>
                <w:kern w:val="0"/>
                <w:sz w:val="28"/>
                <w:szCs w:val="28"/>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9</w:t>
            </w:r>
            <w:r>
              <w:rPr>
                <w:rFonts w:hint="eastAsia" w:ascii="仿宋_GB2312" w:hAnsi="仿宋_GB2312" w:cs="仿宋_GB2312"/>
                <w:color w:val="000000"/>
                <w:kern w:val="0"/>
                <w:sz w:val="28"/>
                <w:szCs w:val="28"/>
                <w:lang w:val="en-US" w:eastAsia="zh-CN" w:bidi="ar"/>
              </w:rPr>
              <w:t>0%</w:t>
            </w:r>
          </w:p>
        </w:tc>
      </w:tr>
    </w:tbl>
    <w:p>
      <w:pPr>
        <w:rPr>
          <w:rFonts w:hint="default"/>
          <w:lang w:val="zh-CN"/>
        </w:rPr>
      </w:pPr>
    </w:p>
    <w:p>
      <w:pPr>
        <w:pStyle w:val="2"/>
        <w:rPr>
          <w:rFonts w:hint="default"/>
          <w:lang w:val="zh-CN"/>
        </w:rPr>
      </w:pPr>
    </w:p>
    <w:p>
      <w:pPr>
        <w:rPr>
          <w:rFonts w:hint="default"/>
        </w:rPr>
      </w:pPr>
      <w:r>
        <w:rPr>
          <w:rFonts w:hint="default"/>
        </w:rPr>
        <w:t>附件</w:t>
      </w:r>
      <w:r>
        <w:rPr>
          <w:rFonts w:hint="eastAsia"/>
          <w:lang w:val="en-US" w:eastAsia="zh-CN"/>
        </w:rPr>
        <w:t>4</w:t>
      </w:r>
      <w:r>
        <w:rPr>
          <w:rFonts w:hint="default"/>
        </w:rPr>
        <w:t>：</w:t>
      </w: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417"/>
        <w:gridCol w:w="1442"/>
        <w:gridCol w:w="1809"/>
        <w:gridCol w:w="1708"/>
      </w:tblGrid>
      <w:tr>
        <w:tblPrEx>
          <w:tblCellMar>
            <w:top w:w="0" w:type="dxa"/>
            <w:left w:w="108" w:type="dxa"/>
            <w:bottom w:w="0" w:type="dxa"/>
            <w:right w:w="108" w:type="dxa"/>
          </w:tblCellMar>
        </w:tblPrEx>
        <w:trPr>
          <w:trHeight w:val="821"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r>
              <w:rPr>
                <w:rFonts w:hint="default" w:ascii="黑体" w:hAnsi="黑体" w:eastAsia="黑体" w:cs="黑体"/>
                <w:color w:val="000000" w:themeColor="text1"/>
                <w:kern w:val="0"/>
                <w:sz w:val="28"/>
                <w:szCs w:val="28"/>
                <w:lang w:val="en-US" w:eastAsia="zh-CN" w:bidi="ar-SA"/>
                <w14:textFill>
                  <w14:solidFill>
                    <w14:schemeClr w14:val="tx1"/>
                  </w14:solidFill>
                </w14:textFill>
              </w:rPr>
              <w:t>妇女儿童维权关爱服务</w:t>
            </w: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536"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主管部门及代码</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000000"/>
                <w:sz w:val="24"/>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市妇联</w:t>
            </w:r>
          </w:p>
        </w:tc>
      </w:tr>
      <w:tr>
        <w:tblPrEx>
          <w:tblCellMar>
            <w:top w:w="0" w:type="dxa"/>
            <w:left w:w="108" w:type="dxa"/>
            <w:bottom w:w="0" w:type="dxa"/>
            <w:right w:w="108" w:type="dxa"/>
          </w:tblCellMar>
        </w:tblPrEx>
        <w:trPr>
          <w:trHeight w:val="508"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项目预算</w:t>
            </w:r>
          </w:p>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执行情况</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（万元）</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38.5</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38.5</w:t>
            </w:r>
          </w:p>
        </w:tc>
      </w:tr>
      <w:tr>
        <w:tblPrEx>
          <w:tblCellMar>
            <w:top w:w="0" w:type="dxa"/>
            <w:left w:w="108" w:type="dxa"/>
            <w:bottom w:w="0" w:type="dxa"/>
            <w:right w:w="108" w:type="dxa"/>
          </w:tblCellMar>
        </w:tblPrEx>
        <w:trPr>
          <w:trHeight w:val="880"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38.5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38.5</w:t>
            </w:r>
          </w:p>
        </w:tc>
      </w:tr>
      <w:tr>
        <w:tblPrEx>
          <w:tblCellMar>
            <w:top w:w="0" w:type="dxa"/>
            <w:left w:w="108" w:type="dxa"/>
            <w:bottom w:w="0" w:type="dxa"/>
            <w:right w:w="108" w:type="dxa"/>
          </w:tblCellMar>
        </w:tblPrEx>
        <w:trPr>
          <w:trHeight w:val="481"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年度总体目标</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完成情况</w:t>
            </w:r>
          </w:p>
        </w:tc>
        <w:tc>
          <w:tcPr>
            <w:tcW w:w="4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4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普法宣传、法律咨询、法律援助、服务返乡女农民工</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lang w:eastAsia="zh-CN" w:bidi="ar"/>
              </w:rPr>
              <w:t>1.开展“三八”维权周系列活动，开办“妇女维权周三播报”电台专栏节目40期；2.开展婚姻家庭矛盾纠纷相关工作及示范点建设，建立市级妇女儿童维权示范站2个；3.春节前后设立农民工宣传服务点，开展返乡女农民工创业就业技能培训；4.为困境妇女儿童提供法律援助。5.实施“春蕾助学”计划，帮扶救助贫困留守女童。</w:t>
            </w:r>
          </w:p>
        </w:tc>
      </w:tr>
      <w:tr>
        <w:tblPrEx>
          <w:tblCellMar>
            <w:top w:w="0" w:type="dxa"/>
            <w:left w:w="108" w:type="dxa"/>
            <w:bottom w:w="0" w:type="dxa"/>
            <w:right w:w="108" w:type="dxa"/>
          </w:tblCellMar>
        </w:tblPrEx>
        <w:trPr>
          <w:trHeight w:val="738" w:hRule="atLeast"/>
        </w:trPr>
        <w:tc>
          <w:tcPr>
            <w:tcW w:w="19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一级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二级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三级</w:t>
            </w:r>
          </w:p>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实际完成指标值</w:t>
            </w:r>
          </w:p>
        </w:tc>
      </w:tr>
      <w:tr>
        <w:tblPrEx>
          <w:tblCellMar>
            <w:top w:w="0" w:type="dxa"/>
            <w:left w:w="108" w:type="dxa"/>
            <w:bottom w:w="0" w:type="dxa"/>
            <w:right w:w="108" w:type="dxa"/>
          </w:tblCellMar>
        </w:tblPrEx>
        <w:trPr>
          <w:trHeight w:val="632"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完成</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数量指标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sz w:val="24"/>
                <w:szCs w:val="24"/>
              </w:rPr>
            </w:pPr>
            <w:r>
              <w:rPr>
                <w:rFonts w:hint="eastAsia" w:ascii="仿宋_GB2312" w:hAnsi="仿宋_GB2312" w:cs="仿宋_GB2312"/>
                <w:color w:val="000000"/>
                <w:sz w:val="24"/>
                <w:szCs w:val="24"/>
              </w:rPr>
              <w:t>电台专栏节目</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sz w:val="28"/>
                <w:szCs w:val="28"/>
                <w:lang w:eastAsia="zh-CN"/>
              </w:rPr>
            </w:pPr>
            <w:r>
              <w:rPr>
                <w:rFonts w:hint="eastAsia" w:ascii="仿宋_GB2312" w:hAnsi="Times New Roman" w:eastAsia="仿宋_GB2312"/>
                <w:szCs w:val="32"/>
              </w:rPr>
              <w:t>≥</w:t>
            </w:r>
            <w:r>
              <w:rPr>
                <w:rFonts w:hint="eastAsia" w:ascii="仿宋_GB2312" w:hAnsi="仿宋_GB2312" w:cs="仿宋_GB2312"/>
                <w:color w:val="000000"/>
                <w:sz w:val="28"/>
                <w:szCs w:val="28"/>
                <w:lang w:val="en-US" w:eastAsia="zh-CN"/>
              </w:rPr>
              <w:t>40</w:t>
            </w:r>
            <w:r>
              <w:rPr>
                <w:rFonts w:hint="eastAsia" w:ascii="仿宋_GB2312" w:hAnsi="仿宋_GB2312" w:cs="仿宋_GB2312"/>
                <w:color w:val="000000"/>
                <w:sz w:val="28"/>
                <w:szCs w:val="28"/>
                <w:lang w:eastAsia="zh-CN"/>
              </w:rPr>
              <w:t>期</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sz w:val="28"/>
                <w:szCs w:val="28"/>
                <w:lang w:val="en-US"/>
              </w:rPr>
            </w:pPr>
            <w:r>
              <w:rPr>
                <w:rFonts w:hint="eastAsia" w:ascii="仿宋_GB2312" w:hAnsi="仿宋_GB2312" w:cs="仿宋_GB2312"/>
                <w:color w:val="000000"/>
                <w:sz w:val="28"/>
                <w:szCs w:val="28"/>
                <w:lang w:val="en-US" w:eastAsia="zh-CN"/>
              </w:rPr>
              <w:t>40期</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eastAsia="zh-CN" w:bidi="ar"/>
              </w:rPr>
              <w:t>数</w:t>
            </w:r>
            <w:r>
              <w:rPr>
                <w:rFonts w:hint="eastAsia" w:ascii="仿宋_GB2312" w:hAnsi="仿宋_GB2312" w:cs="仿宋_GB2312"/>
                <w:color w:val="000000"/>
                <w:kern w:val="0"/>
                <w:sz w:val="28"/>
                <w:szCs w:val="28"/>
                <w:lang w:bidi="ar"/>
              </w:rPr>
              <w:t>量指标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4"/>
                <w:szCs w:val="24"/>
                <w:lang w:bidi="ar"/>
              </w:rPr>
            </w:pPr>
            <w:r>
              <w:rPr>
                <w:rFonts w:hint="eastAsia" w:ascii="仿宋_GB2312" w:hAnsi="仿宋_GB2312" w:cs="仿宋_GB2312"/>
                <w:color w:val="000000"/>
                <w:sz w:val="24"/>
                <w:szCs w:val="24"/>
                <w:lang w:eastAsia="zh-CN"/>
              </w:rPr>
              <w:t>维权示范站</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Times New Roman" w:eastAsia="仿宋_GB2312"/>
                <w:szCs w:val="32"/>
              </w:rPr>
              <w:t>≥</w:t>
            </w:r>
            <w:r>
              <w:rPr>
                <w:rFonts w:hint="eastAsia" w:ascii="仿宋_GB2312" w:hAnsi="仿宋_GB2312" w:cs="仿宋_GB2312"/>
                <w:color w:val="000000"/>
                <w:sz w:val="28"/>
                <w:szCs w:val="28"/>
                <w:lang w:val="en-US" w:eastAsia="zh-CN"/>
              </w:rPr>
              <w:t>2</w:t>
            </w:r>
            <w:r>
              <w:rPr>
                <w:rFonts w:hint="eastAsia" w:ascii="仿宋_GB2312" w:hAnsi="仿宋_GB2312" w:cs="仿宋_GB2312"/>
                <w:color w:val="000000"/>
                <w:sz w:val="28"/>
                <w:szCs w:val="28"/>
                <w:lang w:eastAsia="zh-CN"/>
              </w:rPr>
              <w:t>个</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val="en-US" w:eastAsia="zh-CN" w:bidi="ar"/>
              </w:rPr>
              <w:t>2个</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时效指标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eastAsia="zh-CN" w:bidi="ar"/>
              </w:rPr>
              <w:t>完成时限</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bidi="ar"/>
              </w:rPr>
            </w:pPr>
            <w:r>
              <w:rPr>
                <w:rFonts w:hint="default" w:ascii="仿宋_GB2312" w:hAnsi="仿宋_GB2312" w:cs="仿宋_GB2312"/>
                <w:color w:val="000000"/>
                <w:kern w:val="0"/>
                <w:sz w:val="28"/>
                <w:szCs w:val="28"/>
                <w:lang w:bidi="ar"/>
              </w:rPr>
              <w:t>2022年</w:t>
            </w:r>
          </w:p>
        </w:tc>
      </w:tr>
      <w:tr>
        <w:tblPrEx>
          <w:tblCellMar>
            <w:top w:w="0" w:type="dxa"/>
            <w:left w:w="108" w:type="dxa"/>
            <w:bottom w:w="0" w:type="dxa"/>
            <w:right w:w="108" w:type="dxa"/>
          </w:tblCellMar>
        </w:tblPrEx>
        <w:trPr>
          <w:trHeight w:val="4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成本指标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4"/>
                <w:szCs w:val="24"/>
                <w:lang w:bidi="ar"/>
              </w:rPr>
            </w:pPr>
            <w:r>
              <w:rPr>
                <w:rFonts w:hint="eastAsia" w:ascii="仿宋_GB2312" w:hAnsi="仿宋_GB2312" w:cs="仿宋_GB2312"/>
                <w:color w:val="000000"/>
                <w:kern w:val="0"/>
                <w:sz w:val="24"/>
                <w:szCs w:val="24"/>
                <w:lang w:eastAsia="zh-CN" w:bidi="ar"/>
              </w:rPr>
              <w:t>实际支出</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bidi="ar"/>
              </w:rPr>
              <w:t>≤</w:t>
            </w:r>
            <w:r>
              <w:rPr>
                <w:rFonts w:hint="eastAsia" w:ascii="仿宋_GB2312" w:hAnsi="仿宋_GB2312" w:cs="仿宋_GB2312"/>
                <w:color w:val="000000"/>
                <w:kern w:val="0"/>
                <w:sz w:val="28"/>
                <w:szCs w:val="28"/>
                <w:lang w:val="en-US" w:eastAsia="zh-CN" w:bidi="ar"/>
              </w:rPr>
              <w:t>38.5</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eastAsia="仿宋_GB2312" w:cs="仿宋_GB2312"/>
                <w:color w:val="000000"/>
                <w:kern w:val="0"/>
                <w:sz w:val="28"/>
                <w:szCs w:val="28"/>
                <w:lang w:val="en-US" w:eastAsia="zh-CN" w:bidi="ar"/>
              </w:rPr>
            </w:pPr>
            <w:r>
              <w:rPr>
                <w:rFonts w:hint="eastAsia" w:ascii="仿宋_GB2312" w:hAnsi="仿宋_GB2312" w:cs="仿宋_GB2312"/>
                <w:color w:val="000000"/>
                <w:kern w:val="0"/>
                <w:sz w:val="28"/>
                <w:szCs w:val="28"/>
                <w:lang w:val="en-US" w:eastAsia="zh-CN" w:bidi="ar"/>
              </w:rPr>
              <w:t>38.5</w:t>
            </w:r>
          </w:p>
        </w:tc>
      </w:tr>
      <w:tr>
        <w:tblPrEx>
          <w:tblCellMar>
            <w:top w:w="0" w:type="dxa"/>
            <w:left w:w="108" w:type="dxa"/>
            <w:bottom w:w="0" w:type="dxa"/>
            <w:right w:w="108" w:type="dxa"/>
          </w:tblCellMar>
        </w:tblPrEx>
        <w:trPr>
          <w:trHeight w:val="9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_GB2312" w:hAnsi="仿宋_GB2312" w:cs="仿宋_GB2312"/>
                <w:color w:val="000000"/>
                <w:sz w:val="28"/>
                <w:szCs w:val="28"/>
              </w:rPr>
            </w:pP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社会效益  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32"/>
                <w:szCs w:val="32"/>
                <w:lang w:eastAsia="zh-CN" w:bidi="ar"/>
              </w:rPr>
            </w:pPr>
            <w:r>
              <w:rPr>
                <w:rFonts w:hint="eastAsia" w:ascii="仿宋_GB2312" w:hAnsi="仿宋_GB2312" w:cs="仿宋_GB2312"/>
                <w:color w:val="000000"/>
                <w:kern w:val="0"/>
                <w:sz w:val="24"/>
                <w:szCs w:val="24"/>
                <w:lang w:eastAsia="zh-CN" w:bidi="ar"/>
              </w:rPr>
              <w:t>妇女维权意识、为女童健康成长保驾护航</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有所提升</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有所提升</w:t>
            </w:r>
          </w:p>
        </w:tc>
      </w:tr>
      <w:tr>
        <w:tblPrEx>
          <w:tblCellMar>
            <w:top w:w="0" w:type="dxa"/>
            <w:left w:w="108" w:type="dxa"/>
            <w:bottom w:w="0" w:type="dxa"/>
            <w:right w:w="108" w:type="dxa"/>
          </w:tblCellMar>
        </w:tblPrEx>
        <w:trPr>
          <w:trHeight w:val="803" w:hRule="atLeast"/>
        </w:trPr>
        <w:tc>
          <w:tcPr>
            <w:tcW w:w="193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cs="仿宋_GB2312"/>
                <w:color w:val="000000"/>
                <w:kern w:val="0"/>
                <w:sz w:val="28"/>
                <w:szCs w:val="28"/>
                <w:lang w:bidi="ar"/>
              </w:rPr>
              <w:t>满意</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度指标</w:t>
            </w:r>
          </w:p>
        </w:tc>
        <w:tc>
          <w:tcPr>
            <w:tcW w:w="141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bidi="ar"/>
              </w:rPr>
            </w:pPr>
            <w:r>
              <w:rPr>
                <w:rFonts w:hint="eastAsia" w:ascii="仿宋_GB2312" w:hAnsi="仿宋_GB2312" w:cs="仿宋_GB2312"/>
                <w:color w:val="000000"/>
                <w:kern w:val="0"/>
                <w:sz w:val="28"/>
                <w:szCs w:val="28"/>
                <w:lang w:bidi="ar"/>
              </w:rPr>
              <w:t>满意度</w:t>
            </w:r>
          </w:p>
          <w:p>
            <w:pPr>
              <w:widowControl/>
              <w:spacing w:line="320" w:lineRule="exact"/>
              <w:jc w:val="center"/>
              <w:textAlignment w:val="bottom"/>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指标</w:t>
            </w:r>
          </w:p>
        </w:tc>
        <w:tc>
          <w:tcPr>
            <w:tcW w:w="144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left"/>
              <w:textAlignment w:val="bottom"/>
              <w:rPr>
                <w:rFonts w:hint="eastAsia" w:ascii="仿宋_GB2312" w:hAnsi="仿宋_GB2312" w:cs="仿宋_GB2312"/>
                <w:color w:val="000000"/>
                <w:kern w:val="0"/>
                <w:sz w:val="28"/>
                <w:szCs w:val="28"/>
                <w:lang w:eastAsia="zh-CN" w:bidi="ar"/>
              </w:rPr>
            </w:pPr>
            <w:r>
              <w:rPr>
                <w:rFonts w:hint="eastAsia"/>
                <w:sz w:val="22"/>
                <w:szCs w:val="22"/>
                <w:lang w:eastAsia="zh-CN"/>
              </w:rPr>
              <w:t>群众</w:t>
            </w:r>
            <w:r>
              <w:rPr>
                <w:rFonts w:hint="eastAsia" w:ascii="Times New Roman" w:hAnsi="Times New Roman" w:eastAsia="仿宋_GB2312"/>
                <w:sz w:val="22"/>
                <w:szCs w:val="22"/>
                <w:lang w:eastAsia="zh-CN"/>
              </w:rPr>
              <w:t>满意度</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default" w:ascii="仿宋_GB2312" w:hAnsi="仿宋_GB2312" w:cs="仿宋_GB2312"/>
                <w:color w:val="000000"/>
                <w:kern w:val="0"/>
                <w:sz w:val="28"/>
                <w:szCs w:val="28"/>
                <w:lang w:eastAsia="zh-CN" w:bidi="ar"/>
              </w:rPr>
            </w:pPr>
            <w:r>
              <w:rPr>
                <w:rFonts w:hint="eastAsia" w:ascii="仿宋_GB2312" w:hAnsi="Times New Roman" w:eastAsia="仿宋_GB2312"/>
                <w:szCs w:val="32"/>
              </w:rPr>
              <w:t>≥</w:t>
            </w:r>
            <w:r>
              <w:rPr>
                <w:rFonts w:hint="default" w:ascii="仿宋_GB2312" w:hAnsi="仿宋_GB2312" w:cs="仿宋_GB2312"/>
                <w:color w:val="000000"/>
                <w:kern w:val="0"/>
                <w:sz w:val="28"/>
                <w:szCs w:val="28"/>
                <w:lang w:eastAsia="zh-CN" w:bidi="ar"/>
              </w:rPr>
              <w:t>90</w:t>
            </w:r>
            <w:r>
              <w:rPr>
                <w:rFonts w:hint="eastAsia" w:ascii="仿宋_GB2312" w:hAnsi="仿宋_GB2312" w:cs="仿宋_GB2312"/>
                <w:color w:val="000000"/>
                <w:kern w:val="0"/>
                <w:sz w:val="28"/>
                <w:szCs w:val="28"/>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_GB2312" w:hAnsi="仿宋_GB2312" w:cs="仿宋_GB2312"/>
                <w:color w:val="000000"/>
                <w:kern w:val="0"/>
                <w:sz w:val="28"/>
                <w:szCs w:val="28"/>
                <w:lang w:eastAsia="zh-CN" w:bidi="ar"/>
              </w:rPr>
            </w:pPr>
            <w:r>
              <w:rPr>
                <w:rFonts w:hint="default" w:ascii="仿宋_GB2312" w:hAnsi="仿宋_GB2312" w:cs="仿宋_GB2312"/>
                <w:color w:val="000000"/>
                <w:kern w:val="0"/>
                <w:sz w:val="28"/>
                <w:szCs w:val="28"/>
                <w:lang w:eastAsia="zh-CN" w:bidi="ar"/>
              </w:rPr>
              <w:t>9</w:t>
            </w:r>
            <w:r>
              <w:rPr>
                <w:rFonts w:hint="eastAsia" w:ascii="仿宋_GB2312" w:hAnsi="仿宋_GB2312" w:cs="仿宋_GB2312"/>
                <w:color w:val="000000"/>
                <w:kern w:val="0"/>
                <w:sz w:val="28"/>
                <w:szCs w:val="28"/>
                <w:lang w:val="en-US" w:eastAsia="zh-CN" w:bidi="ar"/>
              </w:rPr>
              <w:t>0%</w:t>
            </w:r>
          </w:p>
        </w:tc>
      </w:tr>
    </w:tbl>
    <w:p>
      <w:pPr>
        <w:pStyle w:val="13"/>
        <w:rPr>
          <w:rFonts w:hint="default"/>
          <w:lang w:val="zh-CN"/>
        </w:rPr>
      </w:pPr>
    </w:p>
    <w:p>
      <w:pPr>
        <w:rPr>
          <w:rFonts w:hint="default"/>
        </w:rPr>
      </w:pPr>
      <w:r>
        <w:rPr>
          <w:rFonts w:hint="default"/>
        </w:rPr>
        <w:t>附件</w:t>
      </w:r>
      <w:r>
        <w:rPr>
          <w:rFonts w:hint="eastAsia"/>
          <w:lang w:val="en-US" w:eastAsia="zh-CN"/>
        </w:rPr>
        <w:t>5</w:t>
      </w:r>
      <w:r>
        <w:rPr>
          <w:rFonts w:hint="default"/>
        </w:rPr>
        <w:t>：</w:t>
      </w: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576"/>
        <w:gridCol w:w="1283"/>
        <w:gridCol w:w="1809"/>
        <w:gridCol w:w="1708"/>
      </w:tblGrid>
      <w:tr>
        <w:tblPrEx>
          <w:tblCellMar>
            <w:top w:w="0" w:type="dxa"/>
            <w:left w:w="108" w:type="dxa"/>
            <w:bottom w:w="0" w:type="dxa"/>
            <w:right w:w="108" w:type="dxa"/>
          </w:tblCellMar>
        </w:tblPrEx>
        <w:trPr>
          <w:trHeight w:val="821"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r>
              <w:rPr>
                <w:rFonts w:hint="default" w:ascii="黑体" w:hAnsi="黑体" w:eastAsia="黑体" w:cs="黑体"/>
                <w:color w:val="000000" w:themeColor="text1"/>
                <w:kern w:val="0"/>
                <w:sz w:val="28"/>
                <w:szCs w:val="28"/>
                <w:lang w:val="en-US" w:eastAsia="zh-CN" w:bidi="ar-SA"/>
                <w14:textFill>
                  <w14:solidFill>
                    <w14:schemeClr w14:val="tx1"/>
                  </w14:solidFill>
                </w14:textFill>
              </w:rPr>
              <w:t>乡村振兴巾帼行动</w:t>
            </w: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447"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主管部门及代码</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宋体" w:hAnsi="宋体" w:eastAsia="宋体" w:cs="宋体"/>
                <w:color w:val="000000"/>
                <w:sz w:val="24"/>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市妇联</w:t>
            </w:r>
          </w:p>
        </w:tc>
      </w:tr>
      <w:tr>
        <w:tblPrEx>
          <w:tblCellMar>
            <w:top w:w="0" w:type="dxa"/>
            <w:left w:w="108" w:type="dxa"/>
            <w:bottom w:w="0" w:type="dxa"/>
            <w:right w:w="108" w:type="dxa"/>
          </w:tblCellMar>
        </w:tblPrEx>
        <w:trPr>
          <w:trHeight w:val="419"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项目预算</w:t>
            </w:r>
          </w:p>
          <w:p>
            <w:pPr>
              <w:widowControl/>
              <w:spacing w:line="32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执行情况</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（万元）</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kern w:val="0"/>
                <w:sz w:val="24"/>
                <w:lang w:val="en-US" w:eastAsia="zh-CN" w:bidi="ar"/>
              </w:rPr>
              <w:t>42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w:t>
            </w:r>
          </w:p>
        </w:tc>
      </w:tr>
      <w:tr>
        <w:tblPrEx>
          <w:tblCellMar>
            <w:top w:w="0" w:type="dxa"/>
            <w:left w:w="108" w:type="dxa"/>
            <w:bottom w:w="0" w:type="dxa"/>
            <w:right w:w="108" w:type="dxa"/>
          </w:tblCellMar>
        </w:tblPrEx>
        <w:trPr>
          <w:trHeight w:val="759"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其中：</w:t>
            </w:r>
          </w:p>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w:t>
            </w:r>
          </w:p>
        </w:tc>
      </w:tr>
      <w:tr>
        <w:tblPrEx>
          <w:tblCellMar>
            <w:top w:w="0" w:type="dxa"/>
            <w:left w:w="108" w:type="dxa"/>
            <w:bottom w:w="0" w:type="dxa"/>
            <w:right w:w="108" w:type="dxa"/>
          </w:tblCellMar>
        </w:tblPrEx>
        <w:trPr>
          <w:trHeight w:val="423"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9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年度总体目标</w:t>
            </w:r>
          </w:p>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完成情况</w:t>
            </w:r>
          </w:p>
        </w:tc>
        <w:tc>
          <w:tcPr>
            <w:tcW w:w="40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eastAsia="宋体" w:cs="宋体"/>
                <w:color w:val="000000"/>
                <w:sz w:val="24"/>
              </w:rPr>
            </w:pPr>
          </w:p>
        </w:tc>
        <w:tc>
          <w:tcPr>
            <w:tcW w:w="4036"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通过技能培训。基地创建，帮助妇女居家灵活就业</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1.支持各县（市、区）、园区妇联举办巾帼家政服务培训班8期；</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2.创建乡村振兴巾帼示范基地6个，培训乡村振兴巾帼人才及典型100名。</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3.对表市上精品村建设，开展“美丽家园”建设。</w:t>
            </w:r>
          </w:p>
        </w:tc>
      </w:tr>
      <w:tr>
        <w:tblPrEx>
          <w:tblCellMar>
            <w:top w:w="0" w:type="dxa"/>
            <w:left w:w="108" w:type="dxa"/>
            <w:bottom w:w="0" w:type="dxa"/>
            <w:right w:w="108" w:type="dxa"/>
          </w:tblCellMar>
        </w:tblPrEx>
        <w:trPr>
          <w:trHeight w:val="596" w:hRule="atLeast"/>
        </w:trPr>
        <w:tc>
          <w:tcPr>
            <w:tcW w:w="193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_GB2312" w:hAnsi="仿宋_GB2312" w:cs="仿宋_GB2312"/>
                <w:color w:val="000000"/>
                <w:sz w:val="28"/>
                <w:szCs w:val="28"/>
              </w:rPr>
            </w:pPr>
            <w:r>
              <w:rPr>
                <w:rFonts w:hint="eastAsia" w:ascii="仿宋_GB2312" w:hAnsi="仿宋_GB2312" w:cs="仿宋_GB2312"/>
                <w:color w:val="000000"/>
                <w:kern w:val="0"/>
                <w:sz w:val="28"/>
                <w:szCs w:val="28"/>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trHeight w:val="694"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数量指标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sz w:val="21"/>
                <w:szCs w:val="21"/>
              </w:rPr>
            </w:pPr>
            <w:r>
              <w:rPr>
                <w:rFonts w:hint="eastAsia" w:ascii="仿宋_GB2312" w:hAnsi="仿宋_GB2312" w:cs="仿宋_GB2312"/>
                <w:color w:val="000000"/>
                <w:sz w:val="21"/>
                <w:szCs w:val="21"/>
              </w:rPr>
              <w:t>家政服务培训班</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color w:val="000000"/>
                <w:sz w:val="21"/>
                <w:szCs w:val="21"/>
                <w:lang w:eastAsia="zh-CN"/>
              </w:rPr>
            </w:pPr>
            <w:r>
              <w:rPr>
                <w:rFonts w:hint="eastAsia" w:ascii="仿宋_GB2312" w:hAnsi="Times New Roman" w:eastAsia="仿宋_GB2312"/>
                <w:sz w:val="21"/>
                <w:szCs w:val="21"/>
              </w:rPr>
              <w:t>≥</w:t>
            </w:r>
            <w:r>
              <w:rPr>
                <w:rFonts w:hint="eastAsia" w:ascii="仿宋_GB2312" w:hAnsi="仿宋_GB2312" w:cs="仿宋_GB2312"/>
                <w:color w:val="000000"/>
                <w:sz w:val="21"/>
                <w:szCs w:val="21"/>
                <w:lang w:val="en-US" w:eastAsia="zh-CN"/>
              </w:rPr>
              <w:t>8</w:t>
            </w:r>
            <w:r>
              <w:rPr>
                <w:rFonts w:hint="eastAsia" w:ascii="仿宋_GB2312" w:hAnsi="仿宋_GB2312" w:cs="仿宋_GB2312"/>
                <w:color w:val="000000"/>
                <w:sz w:val="21"/>
                <w:szCs w:val="21"/>
                <w:lang w:eastAsia="zh-CN"/>
              </w:rPr>
              <w:t>期</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sz w:val="21"/>
                <w:szCs w:val="21"/>
                <w:lang w:val="en-US" w:eastAsia="zh-CN"/>
              </w:rPr>
              <w:t>8</w:t>
            </w:r>
            <w:r>
              <w:rPr>
                <w:rFonts w:hint="eastAsia" w:ascii="仿宋_GB2312" w:hAnsi="仿宋_GB2312" w:cs="仿宋_GB2312"/>
                <w:color w:val="000000"/>
                <w:sz w:val="21"/>
                <w:szCs w:val="21"/>
                <w:lang w:eastAsia="zh-CN"/>
              </w:rPr>
              <w:t>期</w:t>
            </w:r>
          </w:p>
        </w:tc>
      </w:tr>
      <w:tr>
        <w:tblPrEx>
          <w:tblCellMar>
            <w:top w:w="0" w:type="dxa"/>
            <w:left w:w="108" w:type="dxa"/>
            <w:bottom w:w="0" w:type="dxa"/>
            <w:right w:w="108" w:type="dxa"/>
          </w:tblCellMar>
        </w:tblPrEx>
        <w:trPr>
          <w:trHeight w:val="1116"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数</w:t>
            </w:r>
            <w:r>
              <w:rPr>
                <w:rFonts w:hint="eastAsia" w:ascii="仿宋_GB2312" w:hAnsi="仿宋_GB2312" w:cs="仿宋_GB2312"/>
                <w:color w:val="000000"/>
                <w:kern w:val="0"/>
                <w:sz w:val="21"/>
                <w:szCs w:val="21"/>
                <w:lang w:bidi="ar"/>
              </w:rPr>
              <w:t>量指标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乡村振兴巾帼示范基地</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kern w:val="0"/>
                <w:sz w:val="21"/>
                <w:szCs w:val="21"/>
                <w:lang w:bidi="ar"/>
              </w:rPr>
            </w:pPr>
            <w:r>
              <w:rPr>
                <w:rFonts w:hint="eastAsia" w:ascii="仿宋_GB2312" w:hAnsi="Times New Roman" w:eastAsia="仿宋_GB2312"/>
                <w:sz w:val="21"/>
                <w:szCs w:val="21"/>
              </w:rPr>
              <w:t>≥</w:t>
            </w:r>
            <w:r>
              <w:rPr>
                <w:rFonts w:hint="eastAsia" w:ascii="仿宋_GB2312" w:hAnsi="仿宋_GB2312" w:cs="仿宋_GB2312"/>
                <w:color w:val="000000"/>
                <w:sz w:val="21"/>
                <w:szCs w:val="21"/>
                <w:lang w:val="en-US" w:eastAsia="zh-CN"/>
              </w:rPr>
              <w:t>6个</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sz w:val="21"/>
                <w:szCs w:val="21"/>
                <w:lang w:val="en-US" w:eastAsia="zh-CN"/>
              </w:rPr>
              <w:t>6个</w:t>
            </w:r>
          </w:p>
        </w:tc>
      </w:tr>
      <w:tr>
        <w:tblPrEx>
          <w:tblCellMar>
            <w:top w:w="0" w:type="dxa"/>
            <w:left w:w="108" w:type="dxa"/>
            <w:bottom w:w="0" w:type="dxa"/>
            <w:right w:w="108" w:type="dxa"/>
          </w:tblCellMar>
        </w:tblPrEx>
        <w:trPr>
          <w:trHeight w:val="79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时效指标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eastAsia="zh-CN" w:bidi="ar"/>
              </w:rPr>
              <w:t>完成时限</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r>
      <w:tr>
        <w:tblPrEx>
          <w:tblCellMar>
            <w:top w:w="0" w:type="dxa"/>
            <w:left w:w="108" w:type="dxa"/>
            <w:bottom w:w="0" w:type="dxa"/>
            <w:right w:w="108" w:type="dxa"/>
          </w:tblCellMar>
        </w:tblPrEx>
        <w:trPr>
          <w:trHeight w:val="84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成本指标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eastAsia="zh-CN" w:bidi="ar"/>
              </w:rPr>
              <w:t>实际支出</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val="en-US" w:eastAsia="zh-CN" w:bidi="ar"/>
              </w:rPr>
              <w:t>42</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42</w:t>
            </w:r>
          </w:p>
        </w:tc>
      </w:tr>
      <w:tr>
        <w:tblPrEx>
          <w:tblCellMar>
            <w:top w:w="0" w:type="dxa"/>
            <w:left w:w="108" w:type="dxa"/>
            <w:bottom w:w="0" w:type="dxa"/>
            <w:right w:w="108" w:type="dxa"/>
          </w:tblCellMar>
        </w:tblPrEx>
        <w:trPr>
          <w:trHeight w:val="1180" w:hRule="atLeast"/>
        </w:trPr>
        <w:tc>
          <w:tcPr>
            <w:tcW w:w="1935" w:type="dxa"/>
            <w:vMerge w:val="continue"/>
            <w:tcBorders>
              <w:left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效益</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eastAsia="zh-CN" w:bidi="ar"/>
              </w:rPr>
              <w:t>社会</w:t>
            </w:r>
            <w:r>
              <w:rPr>
                <w:rFonts w:hint="eastAsia" w:ascii="仿宋_GB2312" w:hAnsi="仿宋_GB2312" w:cs="仿宋_GB2312"/>
                <w:color w:val="000000"/>
                <w:kern w:val="0"/>
                <w:sz w:val="21"/>
                <w:szCs w:val="21"/>
                <w:lang w:bidi="ar"/>
              </w:rPr>
              <w:t>效益指标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妇女自主就业能力</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cs="仿宋_GB2312"/>
                <w:color w:val="000000"/>
                <w:kern w:val="0"/>
                <w:sz w:val="21"/>
                <w:szCs w:val="21"/>
                <w:lang w:eastAsia="zh-CN" w:bidi="ar"/>
              </w:rPr>
            </w:pPr>
            <w:r>
              <w:rPr>
                <w:rFonts w:hint="eastAsia" w:ascii="CESI仿宋-GB2312" w:hAnsi="CESI仿宋-GB2312" w:eastAsia="CESI仿宋-GB2312" w:cs="CESI仿宋-GB2312"/>
                <w:sz w:val="18"/>
                <w:szCs w:val="18"/>
                <w:lang w:eastAsia="zh-CN"/>
              </w:rPr>
              <w:t>有所提升</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cs="仿宋_GB2312"/>
                <w:color w:val="000000"/>
                <w:kern w:val="0"/>
                <w:sz w:val="21"/>
                <w:szCs w:val="21"/>
                <w:lang w:eastAsia="zh-CN" w:bidi="ar"/>
              </w:rPr>
            </w:pPr>
            <w:r>
              <w:rPr>
                <w:rFonts w:hint="eastAsia" w:ascii="CESI仿宋-GB2312" w:hAnsi="CESI仿宋-GB2312" w:eastAsia="CESI仿宋-GB2312" w:cs="CESI仿宋-GB2312"/>
                <w:sz w:val="18"/>
                <w:szCs w:val="18"/>
                <w:lang w:eastAsia="zh-CN"/>
              </w:rPr>
              <w:t>有所提升</w:t>
            </w:r>
          </w:p>
        </w:tc>
      </w:tr>
      <w:tr>
        <w:tblPrEx>
          <w:tblCellMar>
            <w:top w:w="0" w:type="dxa"/>
            <w:left w:w="108" w:type="dxa"/>
            <w:bottom w:w="0" w:type="dxa"/>
            <w:right w:w="108" w:type="dxa"/>
          </w:tblCellMar>
        </w:tblPrEx>
        <w:trPr>
          <w:trHeight w:val="894" w:hRule="atLeast"/>
        </w:trPr>
        <w:tc>
          <w:tcPr>
            <w:tcW w:w="193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_GB2312" w:hAnsi="仿宋_GB2312" w:cs="仿宋_GB2312"/>
                <w:color w:val="000000"/>
                <w:sz w:val="28"/>
                <w:szCs w:val="28"/>
              </w:rPr>
            </w:pPr>
          </w:p>
        </w:tc>
        <w:tc>
          <w:tcPr>
            <w:tcW w:w="11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满意</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度指标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群众满意度</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default" w:ascii="仿宋_GB2312" w:hAnsi="仿宋_GB2312" w:cs="仿宋_GB2312"/>
                <w:color w:val="000000"/>
                <w:kern w:val="0"/>
                <w:sz w:val="21"/>
                <w:szCs w:val="21"/>
                <w:lang w:eastAsia="zh-CN" w:bidi="ar"/>
              </w:rPr>
            </w:pPr>
            <w:r>
              <w:rPr>
                <w:rFonts w:hint="eastAsia" w:ascii="仿宋_GB2312" w:hAnsi="Times New Roman" w:eastAsia="仿宋_GB2312"/>
                <w:sz w:val="21"/>
                <w:szCs w:val="21"/>
              </w:rPr>
              <w:t>≥</w:t>
            </w:r>
            <w:r>
              <w:rPr>
                <w:rFonts w:hint="default" w:ascii="仿宋_GB2312" w:hAnsi="仿宋_GB2312" w:cs="仿宋_GB2312"/>
                <w:color w:val="000000"/>
                <w:kern w:val="0"/>
                <w:sz w:val="21"/>
                <w:szCs w:val="21"/>
                <w:lang w:eastAsia="zh-CN" w:bidi="ar"/>
              </w:rPr>
              <w:t>90</w:t>
            </w:r>
            <w:r>
              <w:rPr>
                <w:rFonts w:hint="eastAsia" w:ascii="仿宋_GB2312" w:hAnsi="仿宋_GB2312" w:cs="仿宋_GB2312"/>
                <w:color w:val="000000"/>
                <w:kern w:val="0"/>
                <w:sz w:val="21"/>
                <w:szCs w:val="21"/>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80" w:lineRule="exact"/>
              <w:jc w:val="center"/>
              <w:textAlignment w:val="bottom"/>
              <w:rPr>
                <w:rFonts w:hint="eastAsia" w:ascii="仿宋_GB2312" w:hAnsi="仿宋_GB2312" w:cs="仿宋_GB2312"/>
                <w:color w:val="000000"/>
                <w:kern w:val="0"/>
                <w:sz w:val="21"/>
                <w:szCs w:val="21"/>
                <w:lang w:eastAsia="zh-CN" w:bidi="ar"/>
              </w:rPr>
            </w:pPr>
            <w:r>
              <w:rPr>
                <w:rFonts w:hint="default" w:ascii="仿宋_GB2312" w:hAnsi="仿宋_GB2312" w:cs="仿宋_GB2312"/>
                <w:color w:val="000000"/>
                <w:kern w:val="0"/>
                <w:sz w:val="21"/>
                <w:szCs w:val="21"/>
                <w:lang w:eastAsia="zh-CN" w:bidi="ar"/>
              </w:rPr>
              <w:t>9</w:t>
            </w:r>
            <w:r>
              <w:rPr>
                <w:rFonts w:hint="eastAsia" w:ascii="仿宋_GB2312" w:hAnsi="仿宋_GB2312" w:cs="仿宋_GB2312"/>
                <w:color w:val="000000"/>
                <w:kern w:val="0"/>
                <w:sz w:val="21"/>
                <w:szCs w:val="21"/>
                <w:lang w:val="en-US" w:eastAsia="zh-CN" w:bidi="ar"/>
              </w:rPr>
              <w:t>0%</w:t>
            </w:r>
          </w:p>
        </w:tc>
      </w:tr>
    </w:tbl>
    <w:p>
      <w:pPr>
        <w:pStyle w:val="13"/>
        <w:rPr>
          <w:rFonts w:hint="default"/>
          <w:lang w:val="zh-CN"/>
        </w:rPr>
      </w:pPr>
    </w:p>
    <w:p>
      <w:pPr>
        <w:pStyle w:val="13"/>
        <w:jc w:val="center"/>
        <w:rPr>
          <w:rFonts w:hint="default"/>
          <w:lang w:val="zh-CN"/>
        </w:rPr>
      </w:pPr>
    </w:p>
    <w:p>
      <w:pPr>
        <w:rPr>
          <w:rFonts w:hint="default"/>
          <w:lang w:val="zh-CN"/>
        </w:rPr>
      </w:pPr>
    </w:p>
    <w:p>
      <w:pPr>
        <w:rPr>
          <w:rFonts w:hint="default"/>
        </w:rPr>
      </w:pPr>
      <w:r>
        <w:rPr>
          <w:rFonts w:hint="default"/>
        </w:rPr>
        <w:t>附件</w:t>
      </w:r>
      <w:r>
        <w:rPr>
          <w:rFonts w:hint="eastAsia"/>
          <w:lang w:val="en-US" w:eastAsia="zh-CN"/>
        </w:rPr>
        <w:t>6</w:t>
      </w:r>
      <w:r>
        <w:rPr>
          <w:rFonts w:hint="default"/>
        </w:rPr>
        <w:t>：</w:t>
      </w: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576"/>
        <w:gridCol w:w="1283"/>
        <w:gridCol w:w="1809"/>
        <w:gridCol w:w="1708"/>
      </w:tblGrid>
      <w:tr>
        <w:tblPrEx>
          <w:tblCellMar>
            <w:top w:w="0" w:type="dxa"/>
            <w:left w:w="108" w:type="dxa"/>
            <w:bottom w:w="0" w:type="dxa"/>
            <w:right w:w="108" w:type="dxa"/>
          </w:tblCellMar>
        </w:tblPrEx>
        <w:trPr>
          <w:trHeight w:val="821"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r>
              <w:rPr>
                <w:rFonts w:hint="default" w:ascii="黑体" w:hAnsi="黑体" w:eastAsia="黑体" w:cs="黑体"/>
                <w:color w:val="000000" w:themeColor="text1"/>
                <w:kern w:val="0"/>
                <w:sz w:val="28"/>
                <w:szCs w:val="28"/>
                <w:lang w:val="en-US" w:eastAsia="zh-CN" w:bidi="ar-SA"/>
                <w14:textFill>
                  <w14:solidFill>
                    <w14:schemeClr w14:val="tx1"/>
                  </w14:solidFill>
                </w14:textFill>
              </w:rPr>
              <w:t>两纲</w:t>
            </w:r>
            <w:r>
              <w:rPr>
                <w:rFonts w:hint="eastAsia" w:ascii="黑体" w:hAnsi="黑体" w:eastAsia="黑体" w:cs="黑体"/>
                <w:color w:val="000000" w:themeColor="text1"/>
                <w:kern w:val="0"/>
                <w:sz w:val="28"/>
                <w:szCs w:val="28"/>
                <w:lang w:val="en-US" w:eastAsia="zh-CN" w:bidi="ar-SA"/>
                <w14:textFill>
                  <w14:solidFill>
                    <w14:schemeClr w14:val="tx1"/>
                  </w14:solidFill>
                </w14:textFill>
              </w:rPr>
              <w:t>工作）</w:t>
            </w:r>
          </w:p>
        </w:tc>
      </w:tr>
      <w:tr>
        <w:tblPrEx>
          <w:tblCellMar>
            <w:top w:w="0" w:type="dxa"/>
            <w:left w:w="108" w:type="dxa"/>
            <w:bottom w:w="0" w:type="dxa"/>
            <w:right w:w="108" w:type="dxa"/>
          </w:tblCellMar>
        </w:tblPrEx>
        <w:trPr>
          <w:trHeight w:val="536"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主管部门及代码</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1"/>
                <w:szCs w:val="21"/>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市妇联</w:t>
            </w:r>
          </w:p>
        </w:tc>
      </w:tr>
      <w:tr>
        <w:tblPrEx>
          <w:tblCellMar>
            <w:top w:w="0" w:type="dxa"/>
            <w:left w:w="108" w:type="dxa"/>
            <w:bottom w:w="0" w:type="dxa"/>
            <w:right w:w="108" w:type="dxa"/>
          </w:tblCellMar>
        </w:tblPrEx>
        <w:trPr>
          <w:trHeight w:val="508"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项目预算</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执行情况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（万元）</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tblPrEx>
          <w:tblCellMar>
            <w:top w:w="0" w:type="dxa"/>
            <w:left w:w="108" w:type="dxa"/>
            <w:bottom w:w="0" w:type="dxa"/>
            <w:right w:w="108" w:type="dxa"/>
          </w:tblCellMar>
        </w:tblPrEx>
        <w:trPr>
          <w:trHeight w:val="880"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其中：</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财政拨款</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其中：</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tblPrEx>
          <w:tblCellMar>
            <w:top w:w="0" w:type="dxa"/>
            <w:left w:w="108" w:type="dxa"/>
            <w:bottom w:w="0" w:type="dxa"/>
            <w:right w:w="108" w:type="dxa"/>
          </w:tblCellMar>
        </w:tblPrEx>
        <w:trPr>
          <w:trHeight w:val="481"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其他资金</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0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年度总体目标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完成情况</w:t>
            </w:r>
          </w:p>
        </w:tc>
        <w:tc>
          <w:tcPr>
            <w:tcW w:w="40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预期目标</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403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开展两纲业务培训，推动实施新一轮妇女儿童发展纲要。</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通过开展中、省、市新一轮妇女儿童发展纲要解读及新两纲目标任务分解、指标解读工作会议，两纲工作年终总结会议，两纲业务培训会议等，推动实施新一轮妇女儿童发展纲要（2021—2030年）。</w:t>
            </w:r>
          </w:p>
        </w:tc>
      </w:tr>
      <w:tr>
        <w:tblPrEx>
          <w:tblCellMar>
            <w:top w:w="0" w:type="dxa"/>
            <w:left w:w="108" w:type="dxa"/>
            <w:bottom w:w="0" w:type="dxa"/>
            <w:right w:w="108" w:type="dxa"/>
          </w:tblCellMar>
        </w:tblPrEx>
        <w:trPr>
          <w:trHeight w:val="738" w:hRule="atLeast"/>
        </w:trPr>
        <w:tc>
          <w:tcPr>
            <w:tcW w:w="19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trHeight w:val="583"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数量指标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hint="eastAsia" w:ascii="仿宋_GB2312" w:hAnsi="仿宋_GB2312" w:cs="仿宋_GB2312"/>
                <w:color w:val="000000"/>
                <w:sz w:val="21"/>
                <w:szCs w:val="21"/>
              </w:rPr>
            </w:pPr>
            <w:r>
              <w:rPr>
                <w:rFonts w:hint="eastAsia" w:ascii="Times New Roman" w:hAnsi="Times New Roman" w:eastAsia="仿宋_GB2312"/>
                <w:sz w:val="18"/>
                <w:szCs w:val="18"/>
                <w:lang w:val="en-US" w:eastAsia="zh-CN"/>
              </w:rPr>
              <w:t>开展两纲业务培训</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sz w:val="21"/>
                <w:szCs w:val="21"/>
                <w:lang w:eastAsia="zh-CN"/>
              </w:rPr>
            </w:pPr>
            <w:r>
              <w:rPr>
                <w:rFonts w:hint="eastAsia" w:ascii="仿宋_GB2312" w:hAnsi="Times New Roman" w:eastAsia="仿宋_GB2312"/>
                <w:sz w:val="21"/>
                <w:szCs w:val="21"/>
              </w:rPr>
              <w:t>≥</w:t>
            </w:r>
            <w:r>
              <w:rPr>
                <w:rFonts w:hint="eastAsia" w:ascii="Times New Roman" w:hAnsi="Times New Roman" w:eastAsia="仿宋_GB2312"/>
                <w:sz w:val="18"/>
                <w:szCs w:val="18"/>
                <w:lang w:val="en-US" w:eastAsia="zh-CN"/>
              </w:rPr>
              <w:t>2</w:t>
            </w:r>
            <w:r>
              <w:rPr>
                <w:rFonts w:hint="eastAsia" w:ascii="Times New Roman" w:hAnsi="Times New Roman"/>
                <w:sz w:val="18"/>
                <w:szCs w:val="18"/>
                <w:lang w:val="en-US" w:eastAsia="zh-CN"/>
              </w:rPr>
              <w:t>期</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Times New Roman" w:hAnsi="Times New Roman" w:eastAsia="仿宋_GB2312"/>
                <w:sz w:val="18"/>
                <w:szCs w:val="18"/>
                <w:lang w:val="en-US" w:eastAsia="zh-CN"/>
              </w:rPr>
              <w:t>2</w:t>
            </w:r>
            <w:r>
              <w:rPr>
                <w:rFonts w:hint="eastAsia" w:ascii="Times New Roman" w:hAnsi="Times New Roman"/>
                <w:sz w:val="18"/>
                <w:szCs w:val="18"/>
                <w:lang w:val="en-US" w:eastAsia="zh-CN"/>
              </w:rPr>
              <w:t>期</w:t>
            </w:r>
          </w:p>
        </w:tc>
      </w:tr>
      <w:tr>
        <w:tblPrEx>
          <w:tblCellMar>
            <w:top w:w="0" w:type="dxa"/>
            <w:left w:w="108" w:type="dxa"/>
            <w:bottom w:w="0" w:type="dxa"/>
            <w:right w:w="108" w:type="dxa"/>
          </w:tblCellMar>
        </w:tblPrEx>
        <w:trPr>
          <w:trHeight w:val="620"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时效指标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完成时限</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r>
      <w:tr>
        <w:tblPrEx>
          <w:tblCellMar>
            <w:top w:w="0" w:type="dxa"/>
            <w:left w:w="108" w:type="dxa"/>
            <w:bottom w:w="0" w:type="dxa"/>
            <w:right w:w="108" w:type="dxa"/>
          </w:tblCellMar>
        </w:tblPrEx>
        <w:trPr>
          <w:trHeight w:val="531"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成本指标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实际支出</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5</w:t>
            </w:r>
          </w:p>
        </w:tc>
      </w:tr>
      <w:tr>
        <w:tblPrEx>
          <w:tblCellMar>
            <w:top w:w="0" w:type="dxa"/>
            <w:left w:w="108" w:type="dxa"/>
            <w:bottom w:w="0" w:type="dxa"/>
            <w:right w:w="108" w:type="dxa"/>
          </w:tblCellMar>
        </w:tblPrEx>
        <w:trPr>
          <w:trHeight w:val="738"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社会效益指标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推动男女平等基本国策和儿童优先原则的落实</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sz w:val="21"/>
                <w:szCs w:val="21"/>
                <w:lang w:eastAsia="zh-CN"/>
              </w:rPr>
              <w:t>有所提升</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eastAsia="zh-CN" w:bidi="ar"/>
              </w:rPr>
            </w:pPr>
            <w:r>
              <w:rPr>
                <w:rFonts w:hint="eastAsia" w:ascii="仿宋_GB2312"/>
                <w:sz w:val="21"/>
                <w:szCs w:val="21"/>
                <w:lang w:eastAsia="zh-CN"/>
              </w:rPr>
              <w:t>有所提升</w:t>
            </w:r>
          </w:p>
        </w:tc>
      </w:tr>
      <w:tr>
        <w:tblPrEx>
          <w:tblCellMar>
            <w:top w:w="0" w:type="dxa"/>
            <w:left w:w="108" w:type="dxa"/>
            <w:bottom w:w="0" w:type="dxa"/>
            <w:right w:w="108" w:type="dxa"/>
          </w:tblCellMar>
        </w:tblPrEx>
        <w:trPr>
          <w:trHeight w:val="1248" w:hRule="atLeast"/>
        </w:trPr>
        <w:tc>
          <w:tcPr>
            <w:tcW w:w="193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满意</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度指标</w:t>
            </w:r>
          </w:p>
        </w:tc>
        <w:tc>
          <w:tcPr>
            <w:tcW w:w="157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left"/>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工作开展满意度</w:t>
            </w:r>
          </w:p>
        </w:tc>
        <w:tc>
          <w:tcPr>
            <w:tcW w:w="180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eastAsia="zh-CN" w:bidi="ar"/>
              </w:rPr>
            </w:pPr>
            <w:r>
              <w:rPr>
                <w:rFonts w:hint="eastAsia" w:ascii="仿宋_GB2312" w:hAnsi="Times New Roman" w:eastAsia="仿宋_GB2312"/>
                <w:sz w:val="21"/>
                <w:szCs w:val="21"/>
              </w:rPr>
              <w:t>≥</w:t>
            </w:r>
            <w:r>
              <w:rPr>
                <w:rFonts w:hint="default" w:ascii="仿宋_GB2312" w:hAnsi="仿宋_GB2312" w:cs="仿宋_GB2312"/>
                <w:color w:val="000000"/>
                <w:kern w:val="0"/>
                <w:sz w:val="21"/>
                <w:szCs w:val="21"/>
                <w:lang w:eastAsia="zh-CN" w:bidi="ar"/>
              </w:rPr>
              <w:t>90</w:t>
            </w:r>
            <w:r>
              <w:rPr>
                <w:rFonts w:hint="eastAsia" w:ascii="仿宋_GB2312" w:hAnsi="仿宋_GB2312" w:cs="仿宋_GB2312"/>
                <w:color w:val="000000"/>
                <w:kern w:val="0"/>
                <w:sz w:val="21"/>
                <w:szCs w:val="21"/>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95%</w:t>
            </w:r>
          </w:p>
        </w:tc>
      </w:tr>
    </w:tbl>
    <w:p>
      <w:pPr>
        <w:pStyle w:val="13"/>
        <w:ind w:left="0" w:leftChars="0" w:firstLine="0" w:firstLineChars="0"/>
        <w:rPr>
          <w:rFonts w:hint="default"/>
          <w:lang w:val="zh-CN"/>
        </w:rPr>
      </w:pPr>
    </w:p>
    <w:p>
      <w:pPr>
        <w:rPr>
          <w:rFonts w:hint="default"/>
          <w:lang w:val="zh-CN"/>
        </w:rPr>
      </w:pPr>
    </w:p>
    <w:p>
      <w:pPr>
        <w:pStyle w:val="2"/>
        <w:rPr>
          <w:rFonts w:hint="default"/>
          <w:lang w:val="zh-CN"/>
        </w:rPr>
      </w:pPr>
    </w:p>
    <w:p>
      <w:pPr>
        <w:rPr>
          <w:rFonts w:hint="default"/>
          <w:lang w:val="zh-CN"/>
        </w:rPr>
      </w:pPr>
    </w:p>
    <w:p>
      <w:pPr>
        <w:rPr>
          <w:rFonts w:hint="default"/>
        </w:rPr>
      </w:pPr>
      <w:r>
        <w:rPr>
          <w:rFonts w:hint="default"/>
        </w:rPr>
        <w:t>附件</w:t>
      </w:r>
      <w:r>
        <w:rPr>
          <w:rFonts w:hint="eastAsia"/>
          <w:lang w:val="en-US" w:eastAsia="zh-CN"/>
        </w:rPr>
        <w:t>7</w:t>
      </w:r>
      <w:r>
        <w:rPr>
          <w:rFonts w:hint="default"/>
        </w:rPr>
        <w:t>：</w:t>
      </w:r>
    </w:p>
    <w:p>
      <w:pPr>
        <w:pStyle w:val="2"/>
        <w:rPr>
          <w:rFonts w:hint="default"/>
          <w:lang w:val="zh-CN"/>
        </w:rPr>
      </w:pPr>
    </w:p>
    <w:tbl>
      <w:tblPr>
        <w:tblStyle w:val="10"/>
        <w:tblpPr w:leftFromText="180" w:rightFromText="180" w:vertAnchor="text" w:horzAnchor="page" w:tblpX="1256" w:tblpY="221"/>
        <w:tblOverlap w:val="never"/>
        <w:tblW w:w="9488" w:type="dxa"/>
        <w:tblInd w:w="0" w:type="dxa"/>
        <w:tblLayout w:type="fixed"/>
        <w:tblCellMar>
          <w:top w:w="0" w:type="dxa"/>
          <w:left w:w="108" w:type="dxa"/>
          <w:bottom w:w="0" w:type="dxa"/>
          <w:right w:w="108" w:type="dxa"/>
        </w:tblCellMar>
      </w:tblPr>
      <w:tblGrid>
        <w:gridCol w:w="1935"/>
        <w:gridCol w:w="1177"/>
        <w:gridCol w:w="1576"/>
        <w:gridCol w:w="1283"/>
        <w:gridCol w:w="1809"/>
        <w:gridCol w:w="1708"/>
      </w:tblGrid>
      <w:tr>
        <w:tblPrEx>
          <w:tblCellMar>
            <w:top w:w="0" w:type="dxa"/>
            <w:left w:w="108" w:type="dxa"/>
            <w:bottom w:w="0" w:type="dxa"/>
            <w:right w:w="108" w:type="dxa"/>
          </w:tblCellMar>
        </w:tblPrEx>
        <w:trPr>
          <w:trHeight w:val="821" w:hRule="atLeast"/>
        </w:trPr>
        <w:tc>
          <w:tcPr>
            <w:tcW w:w="9488" w:type="dxa"/>
            <w:gridSpan w:val="6"/>
            <w:tcBorders>
              <w:top w:val="nil"/>
              <w:left w:val="nil"/>
              <w:bottom w:val="nil"/>
              <w:right w:val="nil"/>
            </w:tcBorders>
            <w:noWrap w:val="0"/>
            <w:vAlign w:val="center"/>
          </w:tcPr>
          <w:p>
            <w:pPr>
              <w:widowControl/>
              <w:jc w:val="center"/>
              <w:textAlignment w:val="center"/>
              <w:rPr>
                <w:rFonts w:hint="eastAsia"/>
              </w:rPr>
            </w:pPr>
            <w:r>
              <w:rPr>
                <w:rFonts w:hint="eastAsia" w:ascii="方正小标宋简体" w:hAnsi="方正小标宋简体" w:eastAsia="方正小标宋简体" w:cs="方正小标宋简体"/>
              </w:rPr>
              <w:t>2022年度特定目标类部门预算项目绩效目标自评表</w:t>
            </w:r>
          </w:p>
          <w:p>
            <w:pPr>
              <w:pStyle w:val="13"/>
              <w:jc w:val="center"/>
              <w:rPr>
                <w:rFonts w:hint="default"/>
              </w:rPr>
            </w:pP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r>
              <w:rPr>
                <w:rFonts w:hint="default" w:ascii="黑体" w:hAnsi="黑体" w:eastAsia="黑体" w:cs="黑体"/>
                <w:color w:val="000000" w:themeColor="text1"/>
                <w:kern w:val="0"/>
                <w:sz w:val="28"/>
                <w:szCs w:val="28"/>
                <w:lang w:val="en-US" w:eastAsia="zh-CN" w:bidi="ar-SA"/>
                <w14:textFill>
                  <w14:solidFill>
                    <w14:schemeClr w14:val="tx1"/>
                  </w14:solidFill>
                </w14:textFill>
              </w:rPr>
              <w:t>四川省妇女居家灵活就业示范基地运营费</w:t>
            </w:r>
            <w:r>
              <w:rPr>
                <w:rFonts w:hint="eastAsia" w:ascii="黑体" w:hAnsi="黑体" w:eastAsia="黑体" w:cs="黑体"/>
                <w:color w:val="000000" w:themeColor="text1"/>
                <w:kern w:val="0"/>
                <w:sz w:val="28"/>
                <w:szCs w:val="28"/>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536" w:hRule="atLeast"/>
        </w:trPr>
        <w:tc>
          <w:tcPr>
            <w:tcW w:w="31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主管部门及代码</w:t>
            </w:r>
          </w:p>
        </w:tc>
        <w:tc>
          <w:tcPr>
            <w:tcW w:w="28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color w:val="000000"/>
                <w:sz w:val="21"/>
                <w:szCs w:val="21"/>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实施单位</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市妇联</w:t>
            </w:r>
          </w:p>
        </w:tc>
      </w:tr>
      <w:tr>
        <w:tblPrEx>
          <w:tblCellMar>
            <w:top w:w="0" w:type="dxa"/>
            <w:left w:w="108" w:type="dxa"/>
            <w:bottom w:w="0" w:type="dxa"/>
            <w:right w:w="108" w:type="dxa"/>
          </w:tblCellMar>
        </w:tblPrEx>
        <w:trPr>
          <w:trHeight w:val="508" w:hRule="atLeast"/>
        </w:trPr>
        <w:tc>
          <w:tcPr>
            <w:tcW w:w="31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项目预算</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执行情况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（万元）</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Times New Roman" w:hAnsi="Times New Roman" w:eastAsia="仿宋_GB2312"/>
                <w:sz w:val="18"/>
                <w:szCs w:val="18"/>
                <w:lang w:val="en-US" w:eastAsia="zh-CN"/>
              </w:rPr>
              <w:t>2.65</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 执行数：</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Times New Roman" w:hAnsi="Times New Roman" w:eastAsia="仿宋_GB2312"/>
                <w:sz w:val="18"/>
                <w:szCs w:val="18"/>
                <w:lang w:val="en-US" w:eastAsia="zh-CN"/>
              </w:rPr>
              <w:t>2.65</w:t>
            </w:r>
          </w:p>
        </w:tc>
      </w:tr>
      <w:tr>
        <w:tblPrEx>
          <w:tblCellMar>
            <w:top w:w="0" w:type="dxa"/>
            <w:left w:w="108" w:type="dxa"/>
            <w:bottom w:w="0" w:type="dxa"/>
            <w:right w:w="108" w:type="dxa"/>
          </w:tblCellMar>
        </w:tblPrEx>
        <w:trPr>
          <w:trHeight w:val="880"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其中：</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财政拨款</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eastAsia="宋体" w:cs="宋体"/>
                <w:color w:val="000000"/>
                <w:sz w:val="21"/>
                <w:szCs w:val="21"/>
                <w:lang w:val="en-US" w:eastAsia="zh-CN"/>
              </w:rPr>
            </w:pPr>
            <w:r>
              <w:rPr>
                <w:rFonts w:hint="eastAsia" w:ascii="Times New Roman" w:hAnsi="Times New Roman" w:eastAsia="仿宋_GB2312"/>
                <w:sz w:val="18"/>
                <w:szCs w:val="18"/>
                <w:lang w:val="en-US" w:eastAsia="zh-CN"/>
              </w:rPr>
              <w:t>2.65</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其中：</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财政拨款</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eastAsia="宋体" w:cs="宋体"/>
                <w:color w:val="000000"/>
                <w:sz w:val="21"/>
                <w:szCs w:val="21"/>
                <w:lang w:val="en-US" w:eastAsia="zh-CN"/>
              </w:rPr>
            </w:pPr>
            <w:r>
              <w:rPr>
                <w:rFonts w:hint="eastAsia" w:ascii="Times New Roman" w:hAnsi="Times New Roman" w:eastAsia="仿宋_GB2312"/>
                <w:sz w:val="18"/>
                <w:szCs w:val="18"/>
                <w:lang w:val="en-US" w:eastAsia="zh-CN"/>
              </w:rPr>
              <w:t>2.65</w:t>
            </w:r>
          </w:p>
        </w:tc>
      </w:tr>
      <w:tr>
        <w:tblPrEx>
          <w:tblCellMar>
            <w:top w:w="0" w:type="dxa"/>
            <w:left w:w="108" w:type="dxa"/>
            <w:bottom w:w="0" w:type="dxa"/>
            <w:right w:w="108" w:type="dxa"/>
          </w:tblCellMar>
        </w:tblPrEx>
        <w:trPr>
          <w:trHeight w:val="481" w:hRule="atLeast"/>
        </w:trPr>
        <w:tc>
          <w:tcPr>
            <w:tcW w:w="31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其他资金</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其他资金</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600" w:hRule="atLeast"/>
        </w:trPr>
        <w:tc>
          <w:tcPr>
            <w:tcW w:w="19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年度总体目标</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完成情况</w:t>
            </w:r>
          </w:p>
        </w:tc>
        <w:tc>
          <w:tcPr>
            <w:tcW w:w="40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预期目标</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目标实际完成情况</w:t>
            </w:r>
          </w:p>
        </w:tc>
      </w:tr>
      <w:tr>
        <w:tblPrEx>
          <w:tblCellMar>
            <w:top w:w="0" w:type="dxa"/>
            <w:left w:w="108" w:type="dxa"/>
            <w:bottom w:w="0" w:type="dxa"/>
            <w:right w:w="108" w:type="dxa"/>
          </w:tblCellMar>
        </w:tblPrEx>
        <w:trPr>
          <w:trHeight w:val="764" w:hRule="atLeast"/>
        </w:trPr>
        <w:tc>
          <w:tcPr>
            <w:tcW w:w="19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000000"/>
                <w:sz w:val="21"/>
                <w:szCs w:val="21"/>
              </w:rPr>
            </w:pPr>
          </w:p>
        </w:tc>
        <w:tc>
          <w:tcPr>
            <w:tcW w:w="403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eastAsia="zh-CN" w:bidi="ar"/>
              </w:rPr>
            </w:pPr>
            <w:r>
              <w:rPr>
                <w:rFonts w:hint="eastAsia" w:ascii="Times New Roman" w:hAnsi="Times New Roman" w:eastAsia="仿宋_GB2312"/>
                <w:sz w:val="18"/>
                <w:szCs w:val="18"/>
                <w:lang w:eastAsia="zh-CN"/>
              </w:rPr>
              <w:t>保障</w:t>
            </w:r>
            <w:r>
              <w:rPr>
                <w:rFonts w:hint="eastAsia" w:ascii="Times New Roman" w:hAnsi="Times New Roman" w:eastAsia="仿宋_GB2312"/>
                <w:sz w:val="18"/>
                <w:szCs w:val="18"/>
              </w:rPr>
              <w:t>四川省妇女居家灵活就业示范基地</w:t>
            </w:r>
            <w:r>
              <w:rPr>
                <w:rFonts w:hint="eastAsia" w:ascii="Times New Roman" w:hAnsi="Times New Roman" w:eastAsia="仿宋_GB2312"/>
                <w:sz w:val="18"/>
                <w:szCs w:val="18"/>
                <w:lang w:eastAsia="zh-CN"/>
              </w:rPr>
              <w:t>安全健康有序运营</w:t>
            </w:r>
          </w:p>
        </w:tc>
        <w:tc>
          <w:tcPr>
            <w:tcW w:w="351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0"/>
                <w:sz w:val="21"/>
                <w:szCs w:val="21"/>
                <w:lang w:eastAsia="zh-CN" w:bidi="ar"/>
              </w:rPr>
            </w:pPr>
            <w:r>
              <w:rPr>
                <w:rFonts w:hint="eastAsia" w:ascii="Times New Roman" w:hAnsi="Times New Roman" w:eastAsia="仿宋_GB2312"/>
                <w:sz w:val="18"/>
                <w:szCs w:val="18"/>
                <w:lang w:eastAsia="zh-CN"/>
              </w:rPr>
              <w:t>保障</w:t>
            </w:r>
            <w:r>
              <w:rPr>
                <w:rFonts w:hint="eastAsia" w:ascii="Times New Roman" w:hAnsi="Times New Roman" w:eastAsia="仿宋_GB2312"/>
                <w:sz w:val="18"/>
                <w:szCs w:val="18"/>
              </w:rPr>
              <w:t>四川省妇女居家灵活就业示范基地</w:t>
            </w:r>
            <w:r>
              <w:rPr>
                <w:rFonts w:hint="eastAsia" w:ascii="Times New Roman" w:hAnsi="Times New Roman" w:eastAsia="仿宋_GB2312"/>
                <w:sz w:val="18"/>
                <w:szCs w:val="18"/>
                <w:lang w:eastAsia="zh-CN"/>
              </w:rPr>
              <w:t>安全健康有序运营</w:t>
            </w:r>
          </w:p>
        </w:tc>
      </w:tr>
      <w:tr>
        <w:tblPrEx>
          <w:tblCellMar>
            <w:top w:w="0" w:type="dxa"/>
            <w:left w:w="108" w:type="dxa"/>
            <w:bottom w:w="0" w:type="dxa"/>
            <w:right w:w="108" w:type="dxa"/>
          </w:tblCellMar>
        </w:tblPrEx>
        <w:trPr>
          <w:trHeight w:val="738" w:hRule="atLeast"/>
        </w:trPr>
        <w:tc>
          <w:tcPr>
            <w:tcW w:w="193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年度绩效指标完成情况</w:t>
            </w:r>
          </w:p>
        </w:tc>
        <w:tc>
          <w:tcPr>
            <w:tcW w:w="11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一级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二级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三级</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预期指标值</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实际完成指标值</w:t>
            </w:r>
          </w:p>
        </w:tc>
      </w:tr>
      <w:tr>
        <w:tblPrEx>
          <w:tblCellMar>
            <w:top w:w="0" w:type="dxa"/>
            <w:left w:w="108" w:type="dxa"/>
            <w:bottom w:w="0" w:type="dxa"/>
            <w:right w:w="108" w:type="dxa"/>
          </w:tblCellMar>
        </w:tblPrEx>
        <w:trPr>
          <w:trHeight w:val="583"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完成</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数量指标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Times New Roman" w:hAnsi="Times New Roman"/>
                <w:sz w:val="18"/>
                <w:szCs w:val="18"/>
                <w:lang w:val="en-US" w:eastAsia="zh-CN"/>
              </w:rPr>
              <w:t>保障基地基本运行</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sz w:val="21"/>
                <w:szCs w:val="21"/>
                <w:lang w:eastAsia="zh-CN"/>
              </w:rPr>
            </w:pPr>
            <w:r>
              <w:rPr>
                <w:rFonts w:hint="eastAsia" w:ascii="仿宋_GB2312" w:hAnsi="Times New Roman" w:eastAsia="仿宋_GB2312"/>
                <w:sz w:val="21"/>
                <w:szCs w:val="21"/>
              </w:rPr>
              <w:t>≥</w:t>
            </w:r>
            <w:r>
              <w:rPr>
                <w:rFonts w:hint="eastAsia" w:ascii="Times New Roman" w:hAnsi="Times New Roman"/>
                <w:sz w:val="18"/>
                <w:szCs w:val="18"/>
                <w:lang w:val="en-US" w:eastAsia="zh-CN"/>
              </w:rPr>
              <w:t>1个</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Times New Roman" w:hAnsi="Times New Roman"/>
                <w:sz w:val="18"/>
                <w:szCs w:val="18"/>
                <w:lang w:val="en-US" w:eastAsia="zh-CN"/>
              </w:rPr>
              <w:t>1个</w:t>
            </w:r>
          </w:p>
        </w:tc>
      </w:tr>
      <w:tr>
        <w:tblPrEx>
          <w:tblCellMar>
            <w:top w:w="0" w:type="dxa"/>
            <w:left w:w="108" w:type="dxa"/>
            <w:bottom w:w="0" w:type="dxa"/>
            <w:right w:w="108" w:type="dxa"/>
          </w:tblCellMar>
        </w:tblPrEx>
        <w:trPr>
          <w:trHeight w:val="783"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时效指标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完成时限</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bidi="ar"/>
              </w:rPr>
            </w:pPr>
            <w:r>
              <w:rPr>
                <w:rFonts w:hint="default" w:ascii="仿宋_GB2312" w:hAnsi="仿宋_GB2312" w:cs="仿宋_GB2312"/>
                <w:color w:val="000000"/>
                <w:kern w:val="0"/>
                <w:sz w:val="21"/>
                <w:szCs w:val="21"/>
                <w:lang w:bidi="ar"/>
              </w:rPr>
              <w:t>2022年</w:t>
            </w:r>
          </w:p>
        </w:tc>
      </w:tr>
      <w:tr>
        <w:tblPrEx>
          <w:tblCellMar>
            <w:top w:w="0" w:type="dxa"/>
            <w:left w:w="108" w:type="dxa"/>
            <w:bottom w:w="0" w:type="dxa"/>
            <w:right w:w="108" w:type="dxa"/>
          </w:tblCellMar>
        </w:tblPrEx>
        <w:trPr>
          <w:trHeight w:val="550" w:hRule="atLeast"/>
        </w:trPr>
        <w:tc>
          <w:tcPr>
            <w:tcW w:w="193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成本指标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实际支出</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bidi="ar"/>
              </w:rPr>
              <w:t>≤</w:t>
            </w:r>
            <w:r>
              <w:rPr>
                <w:rFonts w:hint="eastAsia" w:ascii="仿宋_GB2312" w:hAnsi="仿宋_GB2312" w:cs="仿宋_GB2312"/>
                <w:color w:val="000000"/>
                <w:kern w:val="0"/>
                <w:sz w:val="21"/>
                <w:szCs w:val="21"/>
                <w:lang w:val="en-US" w:eastAsia="zh-CN" w:bidi="ar"/>
              </w:rPr>
              <w:t>2.65</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eastAsia="仿宋_GB2312" w:cs="仿宋_GB2312"/>
                <w:color w:val="000000"/>
                <w:kern w:val="0"/>
                <w:sz w:val="21"/>
                <w:szCs w:val="21"/>
                <w:lang w:val="en-US" w:eastAsia="zh-CN" w:bidi="ar"/>
              </w:rPr>
            </w:pPr>
            <w:r>
              <w:rPr>
                <w:rFonts w:hint="eastAsia" w:ascii="仿宋_GB2312" w:hAnsi="仿宋_GB2312" w:cs="仿宋_GB2312"/>
                <w:color w:val="000000"/>
                <w:kern w:val="0"/>
                <w:sz w:val="21"/>
                <w:szCs w:val="21"/>
                <w:lang w:val="en-US" w:eastAsia="zh-CN" w:bidi="ar"/>
              </w:rPr>
              <w:t>2.65</w:t>
            </w:r>
          </w:p>
        </w:tc>
      </w:tr>
      <w:tr>
        <w:tblPrEx>
          <w:tblCellMar>
            <w:top w:w="0" w:type="dxa"/>
            <w:left w:w="108" w:type="dxa"/>
            <w:bottom w:w="0" w:type="dxa"/>
            <w:right w:w="108" w:type="dxa"/>
          </w:tblCellMar>
        </w:tblPrEx>
        <w:trPr>
          <w:trHeight w:val="3067" w:hRule="atLeast"/>
        </w:trPr>
        <w:tc>
          <w:tcPr>
            <w:tcW w:w="193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cs="仿宋_GB2312"/>
                <w:color w:val="000000"/>
                <w:sz w:val="21"/>
                <w:szCs w:val="21"/>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eastAsia="仿宋_GB2312" w:cs="仿宋_GB2312"/>
                <w:color w:val="000000"/>
                <w:kern w:val="0"/>
                <w:sz w:val="21"/>
                <w:szCs w:val="21"/>
                <w:lang w:eastAsia="zh-CN" w:bidi="ar"/>
              </w:rPr>
            </w:pPr>
            <w:r>
              <w:rPr>
                <w:rFonts w:hint="eastAsia" w:ascii="仿宋_GB2312" w:hAnsi="仿宋_GB2312" w:cs="仿宋_GB2312"/>
                <w:color w:val="000000"/>
                <w:kern w:val="0"/>
                <w:sz w:val="21"/>
                <w:szCs w:val="21"/>
                <w:lang w:bidi="ar"/>
              </w:rPr>
              <w:t>满意</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度指标</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center"/>
              <w:textAlignment w:val="bottom"/>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指标</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eastAsia="zh-CN" w:bidi="ar"/>
              </w:rPr>
              <w:t>工作开展满意度</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default" w:ascii="仿宋_GB2312" w:hAnsi="仿宋_GB2312" w:cs="仿宋_GB2312"/>
                <w:color w:val="000000"/>
                <w:kern w:val="0"/>
                <w:sz w:val="21"/>
                <w:szCs w:val="21"/>
                <w:lang w:eastAsia="zh-CN" w:bidi="ar"/>
              </w:rPr>
            </w:pPr>
            <w:r>
              <w:rPr>
                <w:rFonts w:hint="eastAsia" w:ascii="仿宋_GB2312" w:hAnsi="Times New Roman" w:eastAsia="仿宋_GB2312"/>
                <w:sz w:val="21"/>
                <w:szCs w:val="21"/>
              </w:rPr>
              <w:t>≥</w:t>
            </w:r>
            <w:r>
              <w:rPr>
                <w:rFonts w:hint="default" w:ascii="仿宋_GB2312" w:hAnsi="仿宋_GB2312" w:cs="仿宋_GB2312"/>
                <w:color w:val="000000"/>
                <w:kern w:val="0"/>
                <w:sz w:val="21"/>
                <w:szCs w:val="21"/>
                <w:lang w:eastAsia="zh-CN" w:bidi="ar"/>
              </w:rPr>
              <w:t>90</w:t>
            </w:r>
            <w:r>
              <w:rPr>
                <w:rFonts w:hint="eastAsia" w:ascii="仿宋_GB2312" w:hAnsi="仿宋_GB2312" w:cs="仿宋_GB2312"/>
                <w:color w:val="000000"/>
                <w:kern w:val="0"/>
                <w:sz w:val="21"/>
                <w:szCs w:val="21"/>
                <w:lang w:val="en-US" w:eastAsia="zh-CN" w:bidi="ar"/>
              </w:rPr>
              <w:t>%</w:t>
            </w:r>
          </w:p>
        </w:tc>
        <w:tc>
          <w:tcPr>
            <w:tcW w:w="1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仿宋_GB2312" w:hAnsi="仿宋_GB2312" w:cs="仿宋_GB2312"/>
                <w:color w:val="000000"/>
                <w:kern w:val="0"/>
                <w:sz w:val="21"/>
                <w:szCs w:val="21"/>
                <w:lang w:eastAsia="zh-CN" w:bidi="ar"/>
              </w:rPr>
            </w:pPr>
            <w:r>
              <w:rPr>
                <w:rFonts w:hint="eastAsia" w:ascii="仿宋_GB2312" w:hAnsi="仿宋_GB2312" w:cs="仿宋_GB2312"/>
                <w:color w:val="000000"/>
                <w:kern w:val="0"/>
                <w:sz w:val="21"/>
                <w:szCs w:val="21"/>
                <w:lang w:val="en-US" w:eastAsia="zh-CN" w:bidi="ar"/>
              </w:rPr>
              <w:t>95%</w:t>
            </w:r>
          </w:p>
        </w:tc>
      </w:tr>
    </w:tbl>
    <w:p>
      <w:pPr>
        <w:pStyle w:val="2"/>
        <w:rPr>
          <w:rFonts w:hint="default"/>
          <w:lang w:val="zh-CN"/>
        </w:rPr>
      </w:pPr>
    </w:p>
    <w:sectPr>
      <w:pgSz w:w="11906" w:h="16838"/>
      <w:pgMar w:top="1701" w:right="1474" w:bottom="1758"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PO8JfUAAAABw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2F13"/>
    <w:multiLevelType w:val="singleLevel"/>
    <w:tmpl w:val="BC9D2F13"/>
    <w:lvl w:ilvl="0" w:tentative="0">
      <w:start w:val="2"/>
      <w:numFmt w:val="chineseCounting"/>
      <w:suff w:val="nothing"/>
      <w:lvlText w:val="（%1）"/>
      <w:lvlJc w:val="left"/>
      <w:rPr>
        <w:rFonts w:hint="eastAsia"/>
      </w:rPr>
    </w:lvl>
  </w:abstractNum>
  <w:abstractNum w:abstractNumId="1">
    <w:nsid w:val="7F4AD62D"/>
    <w:multiLevelType w:val="singleLevel"/>
    <w:tmpl w:val="7F4AD62D"/>
    <w:lvl w:ilvl="0" w:tentative="0">
      <w:start w:val="1"/>
      <w:numFmt w:val="decimal"/>
      <w:pStyle w:val="3"/>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jRkNmU3ZGU1YTc3MzU1YjZiY2UzMWMyNWM1ODgifQ=="/>
  </w:docVars>
  <w:rsids>
    <w:rsidRoot w:val="004317BC"/>
    <w:rsid w:val="00020A5B"/>
    <w:rsid w:val="0005273F"/>
    <w:rsid w:val="000C0D84"/>
    <w:rsid w:val="000C445F"/>
    <w:rsid w:val="000F3586"/>
    <w:rsid w:val="00150C1A"/>
    <w:rsid w:val="001F18FE"/>
    <w:rsid w:val="001F691E"/>
    <w:rsid w:val="00291FE1"/>
    <w:rsid w:val="002F172E"/>
    <w:rsid w:val="003365D7"/>
    <w:rsid w:val="003D19CC"/>
    <w:rsid w:val="00415C5A"/>
    <w:rsid w:val="0042442C"/>
    <w:rsid w:val="004317BC"/>
    <w:rsid w:val="004A33E7"/>
    <w:rsid w:val="005000D3"/>
    <w:rsid w:val="0050082A"/>
    <w:rsid w:val="005011DB"/>
    <w:rsid w:val="005E58FE"/>
    <w:rsid w:val="006860B0"/>
    <w:rsid w:val="006B0B2E"/>
    <w:rsid w:val="006D1769"/>
    <w:rsid w:val="007166BA"/>
    <w:rsid w:val="00786184"/>
    <w:rsid w:val="0080059E"/>
    <w:rsid w:val="0092590F"/>
    <w:rsid w:val="00A07801"/>
    <w:rsid w:val="00A6010A"/>
    <w:rsid w:val="00AA6F04"/>
    <w:rsid w:val="00B05B64"/>
    <w:rsid w:val="00C0509B"/>
    <w:rsid w:val="00C54759"/>
    <w:rsid w:val="00C622FA"/>
    <w:rsid w:val="00CC2708"/>
    <w:rsid w:val="00DB4DAF"/>
    <w:rsid w:val="00E14D77"/>
    <w:rsid w:val="00E26066"/>
    <w:rsid w:val="00E7128B"/>
    <w:rsid w:val="00EB4534"/>
    <w:rsid w:val="00F200EF"/>
    <w:rsid w:val="00F607C7"/>
    <w:rsid w:val="00FD67F4"/>
    <w:rsid w:val="05EB1CBE"/>
    <w:rsid w:val="0C9F5F62"/>
    <w:rsid w:val="136709BF"/>
    <w:rsid w:val="1AF23E6D"/>
    <w:rsid w:val="2375EABE"/>
    <w:rsid w:val="256C6F12"/>
    <w:rsid w:val="34CF62DF"/>
    <w:rsid w:val="3596B263"/>
    <w:rsid w:val="3E7A1509"/>
    <w:rsid w:val="4EEBF0E4"/>
    <w:rsid w:val="4F6FB8CB"/>
    <w:rsid w:val="51FF440C"/>
    <w:rsid w:val="5DDB3DF9"/>
    <w:rsid w:val="5E7B3B9B"/>
    <w:rsid w:val="65E7991F"/>
    <w:rsid w:val="66F744FA"/>
    <w:rsid w:val="6ADF69E4"/>
    <w:rsid w:val="6B1C1E0E"/>
    <w:rsid w:val="6FDFAAA7"/>
    <w:rsid w:val="74786307"/>
    <w:rsid w:val="77F78500"/>
    <w:rsid w:val="7A3B7EB5"/>
    <w:rsid w:val="7B5F0509"/>
    <w:rsid w:val="7D0D5E1C"/>
    <w:rsid w:val="7DBF5EEF"/>
    <w:rsid w:val="7DDFFAE8"/>
    <w:rsid w:val="7F7F8B93"/>
    <w:rsid w:val="7F875786"/>
    <w:rsid w:val="7FAFFB86"/>
    <w:rsid w:val="7FD14ACB"/>
    <w:rsid w:val="7FFB3969"/>
    <w:rsid w:val="8FF79556"/>
    <w:rsid w:val="A3BB941F"/>
    <w:rsid w:val="ACF8BC6D"/>
    <w:rsid w:val="AFDDF4FA"/>
    <w:rsid w:val="B1DE5A91"/>
    <w:rsid w:val="B3FF788A"/>
    <w:rsid w:val="BAEBCC22"/>
    <w:rsid w:val="BDFEAC54"/>
    <w:rsid w:val="CFDEF0E9"/>
    <w:rsid w:val="D3F8985A"/>
    <w:rsid w:val="D5FB6750"/>
    <w:rsid w:val="DAFF348C"/>
    <w:rsid w:val="DFBBB396"/>
    <w:rsid w:val="EEEF1076"/>
    <w:rsid w:val="EEFBBFDF"/>
    <w:rsid w:val="F3EC04A4"/>
    <w:rsid w:val="F55B028D"/>
    <w:rsid w:val="F7AE9773"/>
    <w:rsid w:val="F7E1E4FE"/>
    <w:rsid w:val="FAD577C9"/>
    <w:rsid w:val="FBBA6C98"/>
    <w:rsid w:val="FCBED144"/>
    <w:rsid w:val="FD3F8C68"/>
    <w:rsid w:val="FD5F087F"/>
    <w:rsid w:val="FDDDDE26"/>
    <w:rsid w:val="FDF48F9A"/>
    <w:rsid w:val="FE98A823"/>
    <w:rsid w:val="FF9EEB10"/>
    <w:rsid w:val="FFEEF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3">
    <w:name w:val="List Number"/>
    <w:basedOn w:val="1"/>
    <w:semiHidden/>
    <w:unhideWhenUsed/>
    <w:qFormat/>
    <w:uiPriority w:val="99"/>
    <w:pPr>
      <w:numPr>
        <w:ilvl w:val="0"/>
        <w:numId w:val="1"/>
      </w:numPr>
    </w:pPr>
  </w:style>
  <w:style w:type="paragraph" w:styleId="4">
    <w:name w:val="index 6"/>
    <w:basedOn w:val="1"/>
    <w:next w:val="1"/>
    <w:qFormat/>
    <w:uiPriority w:val="0"/>
    <w:pPr>
      <w:ind w:left="2100"/>
    </w:pPr>
    <w:rPr>
      <w:rFonts w:ascii="Times New Roman" w:hAnsi="Times New Roman" w:eastAsia="黑体" w:cs="Times New Roman"/>
      <w:lang w:bidi="ar-SA"/>
    </w:rPr>
  </w:style>
  <w:style w:type="paragraph" w:styleId="5">
    <w:name w:val="Body Text Indent 2"/>
    <w:basedOn w:val="1"/>
    <w:next w:val="6"/>
    <w:qFormat/>
    <w:uiPriority w:val="99"/>
    <w:pPr>
      <w:spacing w:after="120" w:line="480" w:lineRule="auto"/>
      <w:ind w:left="420" w:leftChars="200"/>
    </w:pPr>
  </w:style>
  <w:style w:type="paragraph" w:styleId="6">
    <w:name w:val="Body Text First Indent 2"/>
    <w:basedOn w:val="1"/>
    <w:next w:val="1"/>
    <w:qFormat/>
    <w:uiPriority w:val="0"/>
    <w:pPr>
      <w:ind w:firstLine="420" w:firstLineChars="200"/>
    </w:pPr>
    <w:rPr>
      <w:rFonts w:eastAsia="仿宋" w:cs="Times New Roman"/>
      <w:sz w:val="28"/>
    </w:rPr>
  </w:style>
  <w:style w:type="paragraph" w:styleId="7">
    <w:name w:val="footer"/>
    <w:basedOn w:val="1"/>
    <w:link w:val="1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0"/>
    <w:rPr>
      <w:b/>
    </w:rPr>
  </w:style>
  <w:style w:type="paragraph" w:customStyle="1" w:styleId="13">
    <w:name w:val="图表目录1"/>
    <w:basedOn w:val="14"/>
    <w:next w:val="1"/>
    <w:qFormat/>
    <w:uiPriority w:val="0"/>
    <w:pPr>
      <w:spacing w:before="100" w:beforeAutospacing="1" w:after="100" w:afterAutospacing="1"/>
      <w:ind w:left="200" w:leftChars="200" w:hanging="200" w:hangingChars="200"/>
    </w:pPr>
  </w:style>
  <w:style w:type="paragraph" w:customStyle="1" w:styleId="14">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semiHidden/>
    <w:qFormat/>
    <w:uiPriority w:val="99"/>
    <w:rPr>
      <w:sz w:val="18"/>
      <w:szCs w:val="18"/>
    </w:rPr>
  </w:style>
  <w:style w:type="paragraph" w:styleId="17">
    <w:name w:val="List Paragraph"/>
    <w:basedOn w:val="1"/>
    <w:qFormat/>
    <w:uiPriority w:val="34"/>
    <w:pPr>
      <w:ind w:firstLine="420" w:firstLineChars="200"/>
    </w:pPr>
    <w:rPr>
      <w:rFonts w:ascii="Calibri" w:hAnsi="Calibri" w:eastAsia="宋体"/>
      <w:sz w:val="21"/>
      <w:szCs w:val="22"/>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 w:type="paragraph" w:customStyle="1" w:styleId="19">
    <w:name w:val="常用样式（方正仿宋简）"/>
    <w:basedOn w:val="1"/>
    <w:next w:val="4"/>
    <w:qFormat/>
    <w:uiPriority w:val="0"/>
    <w:pPr>
      <w:spacing w:line="560" w:lineRule="exact"/>
      <w:ind w:firstLine="200" w:firstLineChars="200"/>
    </w:pPr>
    <w:rPr>
      <w:rFonts w:ascii="Times New Roman" w:hAnsi="Times New Roman" w:eastAsia="方正仿宋简体" w:cs="Times New Roman"/>
      <w:sz w:val="32"/>
    </w:rPr>
  </w:style>
  <w:style w:type="character" w:customStyle="1" w:styleId="20">
    <w:name w:val="font61"/>
    <w:basedOn w:val="11"/>
    <w:qFormat/>
    <w:uiPriority w:val="0"/>
    <w:rPr>
      <w:rFonts w:hint="eastAsia" w:ascii="宋体" w:hAnsi="宋体" w:eastAsia="宋体" w:cs="宋体"/>
      <w:color w:val="000000"/>
      <w:sz w:val="22"/>
      <w:szCs w:val="22"/>
      <w:u w:val="none"/>
    </w:rPr>
  </w:style>
  <w:style w:type="character" w:customStyle="1" w:styleId="21">
    <w:name w:val="font101"/>
    <w:basedOn w:val="11"/>
    <w:qFormat/>
    <w:uiPriority w:val="0"/>
    <w:rPr>
      <w:rFonts w:hint="eastAsia" w:ascii="宋体" w:hAnsi="宋体" w:eastAsia="宋体" w:cs="宋体"/>
      <w:color w:val="FF0000"/>
      <w:sz w:val="22"/>
      <w:szCs w:val="22"/>
      <w:u w:val="none"/>
    </w:rPr>
  </w:style>
  <w:style w:type="paragraph" w:customStyle="1" w:styleId="22">
    <w:name w:val="报告正文"/>
    <w:basedOn w:val="1"/>
    <w:qFormat/>
    <w:uiPriority w:val="0"/>
    <w:pPr>
      <w:spacing w:line="600" w:lineRule="exact"/>
      <w:ind w:firstLine="200" w:firstLineChars="200"/>
    </w:pPr>
    <w:rPr>
      <w:rFonts w:eastAsia="仿宋" w:asciiTheme="minorHAnsi" w:hAnsiTheme="minorHAnsi" w:cstheme="minorBidi"/>
      <w:szCs w:val="2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11033</Words>
  <Characters>11529</Characters>
  <Lines>25</Lines>
  <Paragraphs>7</Paragraphs>
  <TotalTime>2</TotalTime>
  <ScaleCrop>false</ScaleCrop>
  <LinksUpToDate>false</LinksUpToDate>
  <CharactersWithSpaces>12178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2020-07-30T06:30:00Z</dcterms:created>
  <dc:creator>admin</dc:creator>
  <cp:lastModifiedBy>snak</cp:lastModifiedBy>
  <cp:lastPrinted>2023-04-17T22:13:00Z</cp:lastPrinted>
  <dcterms:modified xsi:type="dcterms:W3CDTF">2023-08-21T16:33:05Z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8AEE9F21F3EC4E2389B27AE4BE7B12EA_12</vt:lpwstr>
  </property>
</Properties>
</file>