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遂宁市市妇联2016年部门决算</w:t>
      </w:r>
    </w:p>
    <w:p>
      <w:pPr>
        <w:spacing w:line="600" w:lineRule="exact"/>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编制的说明</w:t>
      </w:r>
    </w:p>
    <w:p>
      <w:pPr>
        <w:spacing w:line="600" w:lineRule="exact"/>
        <w:ind w:firstLine="640" w:firstLineChars="200"/>
        <w:rPr>
          <w:rFonts w:ascii="Times New Roman" w:hAnsi="Times New Roman" w:eastAsia="黑体" w:cs="Times New Roman"/>
          <w:color w:val="000000" w:themeColor="text1"/>
        </w:rPr>
      </w:pPr>
      <w:r>
        <w:rPr>
          <w:rFonts w:ascii="Times New Roman" w:hAnsi="Times New Roman" w:eastAsia="黑体" w:cs="Times New Roman"/>
          <w:color w:val="000000" w:themeColor="text1"/>
        </w:rPr>
        <w:t>一、基本职能及主要工作</w:t>
      </w:r>
    </w:p>
    <w:p>
      <w:pPr>
        <w:pStyle w:val="2"/>
        <w:adjustRightInd w:val="0"/>
        <w:snapToGrid w:val="0"/>
        <w:spacing w:beforeLines="0" w:line="600" w:lineRule="exact"/>
        <w:ind w:firstLine="665" w:firstLineChars="208"/>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（一）主要职能。</w:t>
      </w:r>
    </w:p>
    <w:p>
      <w:pPr>
        <w:pStyle w:val="2"/>
        <w:adjustRightInd w:val="0"/>
        <w:snapToGrid w:val="0"/>
        <w:spacing w:before="93" w:line="580" w:lineRule="exact"/>
        <w:ind w:firstLine="672" w:firstLineChars="210"/>
        <w:rPr>
          <w:rFonts w:hAnsi="仿宋"/>
          <w:sz w:val="32"/>
          <w:szCs w:val="32"/>
        </w:rPr>
      </w:pPr>
      <w:r>
        <w:rPr>
          <w:rStyle w:val="12"/>
          <w:rFonts w:hint="eastAsia" w:hAnsi="仿宋"/>
          <w:sz w:val="32"/>
          <w:szCs w:val="32"/>
        </w:rPr>
        <w:t>1.贯彻党的妇女儿童方针、政策，坚持正确的政治方向，团结、教育全市广大妇女以及各类妇女组织同党中央在思想、政治上、行动上保持高度一致。</w:t>
      </w:r>
    </w:p>
    <w:p>
      <w:pPr>
        <w:pStyle w:val="2"/>
        <w:adjustRightInd w:val="0"/>
        <w:snapToGrid w:val="0"/>
        <w:spacing w:before="93" w:line="580" w:lineRule="exact"/>
        <w:ind w:firstLine="672" w:firstLineChars="210"/>
        <w:rPr>
          <w:rStyle w:val="12"/>
          <w:rFonts w:hAnsi="仿宋"/>
          <w:sz w:val="32"/>
          <w:szCs w:val="32"/>
        </w:rPr>
      </w:pPr>
      <w:r>
        <w:rPr>
          <w:rStyle w:val="12"/>
          <w:rFonts w:hint="eastAsia" w:hAnsi="仿宋"/>
          <w:sz w:val="32"/>
          <w:szCs w:val="32"/>
        </w:rPr>
        <w:t>2.紧密围绕党和政府的中心任务开展工作，团结、动员、组织广大妇女积极投身五个文明建设，促进经济发展和社会进步，为维护改革发展稳定的大局服务。</w:t>
      </w:r>
    </w:p>
    <w:p>
      <w:pPr>
        <w:pStyle w:val="2"/>
        <w:adjustRightInd w:val="0"/>
        <w:snapToGrid w:val="0"/>
        <w:spacing w:before="93" w:line="580" w:lineRule="exact"/>
        <w:ind w:firstLine="672" w:firstLineChars="210"/>
        <w:rPr>
          <w:rFonts w:hAnsi="仿宋"/>
          <w:sz w:val="32"/>
          <w:szCs w:val="32"/>
        </w:rPr>
      </w:pPr>
      <w:r>
        <w:rPr>
          <w:rStyle w:val="12"/>
          <w:rFonts w:hint="eastAsia" w:hAnsi="仿宋"/>
          <w:sz w:val="32"/>
          <w:szCs w:val="32"/>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pStyle w:val="2"/>
        <w:adjustRightInd w:val="0"/>
        <w:snapToGrid w:val="0"/>
        <w:spacing w:before="93" w:line="580" w:lineRule="exact"/>
        <w:ind w:firstLine="672" w:firstLineChars="210"/>
        <w:rPr>
          <w:rFonts w:hAnsi="仿宋"/>
          <w:sz w:val="32"/>
          <w:szCs w:val="32"/>
        </w:rPr>
      </w:pPr>
      <w:r>
        <w:rPr>
          <w:rStyle w:val="12"/>
          <w:rFonts w:hint="eastAsia" w:hAnsi="仿宋"/>
          <w:sz w:val="32"/>
          <w:szCs w:val="32"/>
        </w:rPr>
        <w:t>4.代表妇女参与国家和社会事务的民主管理和民主监督；宣传、贯彻执行有关妇儿童的法律、法规；组织调查研究涉及妇女切身利益的热点、难点问题，及时向党和政府反映社情民情，提出对策建议；参与有关妇女儿童政策和行政措施的制定，维护妇女儿童合法权益。</w:t>
      </w:r>
    </w:p>
    <w:p>
      <w:pPr>
        <w:pStyle w:val="2"/>
        <w:adjustRightInd w:val="0"/>
        <w:snapToGrid w:val="0"/>
        <w:spacing w:before="93" w:line="580" w:lineRule="exact"/>
        <w:ind w:firstLine="672" w:firstLineChars="210"/>
        <w:rPr>
          <w:rFonts w:hAnsi="仿宋"/>
          <w:sz w:val="32"/>
          <w:szCs w:val="32"/>
        </w:rPr>
      </w:pPr>
      <w:r>
        <w:rPr>
          <w:rStyle w:val="12"/>
          <w:rFonts w:hint="eastAsia" w:hAnsi="仿宋"/>
          <w:sz w:val="32"/>
          <w:szCs w:val="32"/>
        </w:rPr>
        <w:t>5.组织指导各级妇联开展为妇女儿童服务工作，加强与社会各界的联系，协调推动全社会为妇女儿童办实事、办好事。</w:t>
      </w:r>
    </w:p>
    <w:p>
      <w:pPr>
        <w:pStyle w:val="2"/>
        <w:adjustRightInd w:val="0"/>
        <w:snapToGrid w:val="0"/>
        <w:spacing w:before="93" w:line="580" w:lineRule="exact"/>
        <w:ind w:firstLine="672" w:firstLineChars="210"/>
        <w:rPr>
          <w:rFonts w:hAnsi="仿宋"/>
          <w:sz w:val="32"/>
          <w:szCs w:val="32"/>
        </w:rPr>
      </w:pPr>
      <w:r>
        <w:rPr>
          <w:rStyle w:val="12"/>
          <w:rFonts w:hint="eastAsia" w:hAnsi="仿宋"/>
          <w:sz w:val="32"/>
          <w:szCs w:val="32"/>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pStyle w:val="2"/>
        <w:adjustRightInd w:val="0"/>
        <w:snapToGrid w:val="0"/>
        <w:spacing w:before="93" w:line="580" w:lineRule="exact"/>
        <w:ind w:firstLine="672" w:firstLineChars="210"/>
        <w:rPr>
          <w:rFonts w:hAnsi="仿宋"/>
          <w:sz w:val="32"/>
          <w:szCs w:val="32"/>
        </w:rPr>
      </w:pPr>
      <w:r>
        <w:rPr>
          <w:rStyle w:val="12"/>
          <w:rFonts w:hint="eastAsia" w:hAnsi="仿宋"/>
          <w:sz w:val="32"/>
          <w:szCs w:val="32"/>
        </w:rPr>
        <w:t>7.承担市妇女儿童工作委员会办公室的工作。</w:t>
      </w:r>
    </w:p>
    <w:p>
      <w:pPr>
        <w:pStyle w:val="2"/>
        <w:adjustRightInd w:val="0"/>
        <w:snapToGrid w:val="0"/>
        <w:spacing w:before="93" w:line="580" w:lineRule="exact"/>
        <w:ind w:firstLine="672" w:firstLineChars="210"/>
        <w:rPr>
          <w:rFonts w:ascii="Times New Roman" w:hAnsi="Times New Roman" w:cs="Times New Roman"/>
          <w:bCs/>
          <w:color w:val="FF0000"/>
          <w:sz w:val="32"/>
          <w:szCs w:val="32"/>
        </w:rPr>
      </w:pPr>
      <w:r>
        <w:rPr>
          <w:rStyle w:val="12"/>
          <w:rFonts w:hint="eastAsia" w:hAnsi="仿宋"/>
          <w:sz w:val="32"/>
          <w:szCs w:val="32"/>
        </w:rPr>
        <w:t>8.承办市委、市政府交办的有关事项</w:t>
      </w:r>
    </w:p>
    <w:p>
      <w:pPr>
        <w:pStyle w:val="2"/>
        <w:adjustRightInd w:val="0"/>
        <w:snapToGrid w:val="0"/>
        <w:spacing w:beforeLines="0" w:line="600" w:lineRule="exact"/>
        <w:ind w:firstLine="665" w:firstLineChars="208"/>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（二）2016年重点工作完成情况。</w:t>
      </w:r>
    </w:p>
    <w:p>
      <w:pPr>
        <w:spacing w:line="580" w:lineRule="exact"/>
        <w:ind w:firstLine="640" w:firstLineChars="200"/>
        <w:rPr>
          <w:rFonts w:ascii="黑体" w:hAnsi="黑体" w:eastAsia="黑体"/>
        </w:rPr>
      </w:pPr>
      <w:r>
        <w:rPr>
          <w:rFonts w:hint="eastAsia" w:ascii="黑体" w:hAnsi="黑体" w:eastAsia="黑体"/>
        </w:rPr>
        <w:t>一、围绕五大行动，扎实推进妇女儿童事业健康发展</w:t>
      </w:r>
    </w:p>
    <w:p>
      <w:pPr>
        <w:spacing w:line="58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（一）妇联组织和干部队伍建设纵深推进。</w:t>
      </w:r>
    </w:p>
    <w:p>
      <w:pPr>
        <w:spacing w:line="580" w:lineRule="exact"/>
        <w:ind w:firstLine="640" w:firstLineChars="200"/>
        <w:rPr>
          <w:rFonts w:ascii="仿宋_GB2312" w:hAnsi="仿宋"/>
        </w:rPr>
      </w:pPr>
      <w:r>
        <w:rPr>
          <w:rFonts w:hint="eastAsia" w:ascii="仿宋_GB2312" w:hAnsi="仿宋"/>
        </w:rPr>
        <w:t>一是健全组织，落实经费保障。积极指导推进村妇代会改建村妇联工作，全市各县区在前期试点的基础上，充分利用村“两委”换届契机，以党建带妇联，改建村妇联工作全面完成，</w:t>
      </w:r>
      <w:r>
        <w:rPr>
          <w:rFonts w:hint="eastAsia" w:ascii="仿宋_GB2312" w:hAnsi="黑体"/>
        </w:rPr>
        <w:t>建立健全了市、县</w:t>
      </w:r>
      <w:r>
        <w:rPr>
          <w:rFonts w:ascii="仿宋_GB2312" w:hAnsi="黑体"/>
        </w:rPr>
        <w:t>(</w:t>
      </w:r>
      <w:r>
        <w:rPr>
          <w:rFonts w:hint="eastAsia" w:ascii="仿宋_GB2312" w:hAnsi="黑体"/>
        </w:rPr>
        <w:t>区</w:t>
      </w:r>
      <w:r>
        <w:rPr>
          <w:rFonts w:ascii="仿宋_GB2312" w:hAnsi="黑体"/>
        </w:rPr>
        <w:t>)</w:t>
      </w:r>
      <w:r>
        <w:rPr>
          <w:rFonts w:hint="eastAsia" w:ascii="仿宋_GB2312" w:hAnsi="黑体"/>
        </w:rPr>
        <w:t>、园区、乡镇（街道）、村（社区）四级妇联组织。解决了市妇女儿童活动中心场地。新</w:t>
      </w:r>
      <w:r>
        <w:rPr>
          <w:rFonts w:hint="eastAsia" w:ascii="仿宋_GB2312" w:hAnsi="仿宋"/>
        </w:rPr>
        <w:t>建妇女之家</w:t>
      </w:r>
      <w:r>
        <w:rPr>
          <w:rFonts w:ascii="仿宋_GB2312" w:hAnsi="仿宋"/>
        </w:rPr>
        <w:t xml:space="preserve"> 2289</w:t>
      </w:r>
      <w:r>
        <w:rPr>
          <w:rFonts w:hint="eastAsia" w:ascii="仿宋_GB2312" w:hAnsi="仿宋"/>
        </w:rPr>
        <w:t>个，组建率达</w:t>
      </w:r>
      <w:r>
        <w:rPr>
          <w:rFonts w:ascii="仿宋_GB2312" w:hAnsi="仿宋"/>
        </w:rPr>
        <w:t>100%</w:t>
      </w:r>
      <w:r>
        <w:rPr>
          <w:rFonts w:hint="eastAsia" w:ascii="仿宋_GB2312" w:hAnsi="仿宋"/>
        </w:rPr>
        <w:t>；“妇女之家”示范点</w:t>
      </w:r>
      <w:r>
        <w:rPr>
          <w:rFonts w:ascii="仿宋_GB2312" w:hAnsi="仿宋"/>
        </w:rPr>
        <w:t>135</w:t>
      </w:r>
      <w:r>
        <w:rPr>
          <w:rFonts w:hint="eastAsia" w:ascii="仿宋_GB2312" w:hAnsi="仿宋"/>
        </w:rPr>
        <w:t>个，建市级基层妇联组织建设示范镇</w:t>
      </w:r>
      <w:r>
        <w:rPr>
          <w:rFonts w:ascii="仿宋_GB2312" w:hAnsi="仿宋"/>
        </w:rPr>
        <w:t>5</w:t>
      </w:r>
      <w:r>
        <w:rPr>
          <w:rFonts w:hint="eastAsia" w:ascii="仿宋_GB2312" w:hAnsi="仿宋"/>
        </w:rPr>
        <w:t>个，“妇联</w:t>
      </w:r>
      <w:r>
        <w:rPr>
          <w:rFonts w:ascii="仿宋_GB2312" w:hAnsi="仿宋"/>
        </w:rPr>
        <w:t>+</w:t>
      </w:r>
      <w:r>
        <w:rPr>
          <w:rFonts w:hint="eastAsia" w:ascii="仿宋_GB2312" w:hAnsi="仿宋"/>
        </w:rPr>
        <w:t>企业</w:t>
      </w:r>
      <w:r>
        <w:rPr>
          <w:rFonts w:ascii="仿宋_GB2312" w:hAnsi="仿宋"/>
        </w:rPr>
        <w:t>+</w:t>
      </w:r>
      <w:r>
        <w:rPr>
          <w:rFonts w:hint="eastAsia" w:ascii="仿宋_GB2312" w:hAnsi="仿宋"/>
        </w:rPr>
        <w:t>社会组织”开放式妇女儿童之家示范点</w:t>
      </w:r>
      <w:r>
        <w:rPr>
          <w:rFonts w:ascii="仿宋_GB2312" w:hAnsi="仿宋"/>
        </w:rPr>
        <w:t>5</w:t>
      </w:r>
      <w:r>
        <w:rPr>
          <w:rFonts w:hint="eastAsia" w:ascii="仿宋_GB2312" w:hAnsi="仿宋"/>
        </w:rPr>
        <w:t>个。市、县（区）基本落实了</w:t>
      </w:r>
      <w:r>
        <w:rPr>
          <w:rFonts w:ascii="仿宋_GB2312" w:hAnsi="仿宋"/>
        </w:rPr>
        <w:t>1</w:t>
      </w:r>
      <w:r>
        <w:rPr>
          <w:rFonts w:hint="eastAsia" w:ascii="仿宋_GB2312" w:hAnsi="仿宋"/>
        </w:rPr>
        <w:t>元钱专项经费政策，船山区对每个乡镇安排了</w:t>
      </w:r>
      <w:r>
        <w:rPr>
          <w:rFonts w:ascii="仿宋_GB2312" w:hAnsi="仿宋"/>
        </w:rPr>
        <w:t>2</w:t>
      </w:r>
      <w:r>
        <w:rPr>
          <w:rFonts w:hint="eastAsia" w:ascii="仿宋_GB2312" w:hAnsi="仿宋"/>
        </w:rPr>
        <w:t>万元工作经费。</w:t>
      </w:r>
    </w:p>
    <w:p>
      <w:pPr>
        <w:spacing w:line="580" w:lineRule="exact"/>
        <w:ind w:firstLine="640" w:firstLineChars="200"/>
        <w:rPr>
          <w:rFonts w:ascii="仿宋_GB2312"/>
        </w:rPr>
      </w:pPr>
      <w:r>
        <w:rPr>
          <w:rFonts w:hint="eastAsia" w:ascii="仿宋_GB2312" w:hAnsi="仿宋"/>
        </w:rPr>
        <w:t>二是大力推进“网上妇联”建设。建立了各级妇联门户网站、</w:t>
      </w:r>
      <w:r>
        <w:rPr>
          <w:rFonts w:ascii="仿宋_GB2312" w:hAnsi="仿宋"/>
        </w:rPr>
        <w:t>qq</w:t>
      </w:r>
      <w:r>
        <w:rPr>
          <w:rFonts w:hint="eastAsia" w:ascii="仿宋_GB2312" w:hAnsi="仿宋"/>
        </w:rPr>
        <w:t>工作群和微信群</w:t>
      </w:r>
      <w:r>
        <w:rPr>
          <w:rFonts w:ascii="仿宋_GB2312" w:hAnsi="仿宋"/>
        </w:rPr>
        <w:t>30</w:t>
      </w:r>
      <w:r>
        <w:rPr>
          <w:rFonts w:hint="eastAsia" w:ascii="仿宋_GB2312" w:hAnsi="仿宋"/>
        </w:rPr>
        <w:t>个，</w:t>
      </w:r>
      <w:r>
        <w:rPr>
          <w:rFonts w:hint="eastAsia" w:ascii="仿宋_GB2312"/>
        </w:rPr>
        <w:t>办好“遂宁她时代”微信平台，坚持每日更新内容，编辑推送微信</w:t>
      </w:r>
      <w:r>
        <w:rPr>
          <w:rFonts w:ascii="仿宋_GB2312"/>
        </w:rPr>
        <w:t>1500</w:t>
      </w:r>
      <w:r>
        <w:rPr>
          <w:rFonts w:hint="eastAsia" w:ascii="仿宋_GB2312"/>
        </w:rPr>
        <w:t>条。</w:t>
      </w:r>
      <w:r>
        <w:rPr>
          <w:rFonts w:hint="eastAsia" w:ascii="仿宋_GB2312" w:hAnsi="仿宋"/>
        </w:rPr>
        <w:t>推进建立“网上妇女之家”，</w:t>
      </w:r>
      <w:r>
        <w:rPr>
          <w:rFonts w:hint="eastAsia" w:ascii="仿宋_GB2312"/>
        </w:rPr>
        <w:t>办好妇联门户网站，发布信息</w:t>
      </w:r>
      <w:r>
        <w:rPr>
          <w:rFonts w:ascii="仿宋_GB2312"/>
        </w:rPr>
        <w:t>300</w:t>
      </w:r>
      <w:r>
        <w:rPr>
          <w:rFonts w:hint="eastAsia" w:ascii="仿宋_GB2312"/>
        </w:rPr>
        <w:t>余条，网上服务人群达</w:t>
      </w:r>
      <w:r>
        <w:rPr>
          <w:rFonts w:ascii="仿宋_GB2312"/>
        </w:rPr>
        <w:t>20</w:t>
      </w:r>
      <w:r>
        <w:rPr>
          <w:rFonts w:hint="eastAsia" w:ascii="仿宋_GB2312"/>
        </w:rPr>
        <w:t>余万人。</w:t>
      </w:r>
      <w:r>
        <w:rPr>
          <w:rFonts w:hint="eastAsia" w:ascii="仿宋_GB2312" w:hAnsi="仿宋"/>
        </w:rPr>
        <w:t>举办了“网上妇联”和妇女干部公文写作培训班，培训妇联干部、企业、社会组织工作人员</w:t>
      </w:r>
      <w:r>
        <w:rPr>
          <w:rFonts w:ascii="仿宋_GB2312" w:hAnsi="仿宋"/>
        </w:rPr>
        <w:t>80</w:t>
      </w:r>
      <w:r>
        <w:rPr>
          <w:rFonts w:hint="eastAsia" w:ascii="仿宋_GB2312" w:hAnsi="仿宋"/>
        </w:rPr>
        <w:t>人。自办的“遂宁她时代”公众微信号获评四川省妇联系统微政务优秀账号、遂宁市十佳政务微信、遂宁市最具社会影响力公众号等荣誉。</w:t>
      </w:r>
    </w:p>
    <w:p>
      <w:pPr>
        <w:spacing w:line="580" w:lineRule="exact"/>
        <w:ind w:firstLine="627" w:firstLineChars="196"/>
        <w:rPr>
          <w:rFonts w:ascii="仿宋_GB2312" w:hAnsi="仿宋"/>
        </w:rPr>
      </w:pPr>
      <w:r>
        <w:rPr>
          <w:rFonts w:hint="eastAsia" w:ascii="仿宋_GB2312" w:hAnsi="仿宋" w:cs="宋体"/>
          <w:kern w:val="0"/>
        </w:rPr>
        <w:t>三是加强对社会组织的培育和引领</w:t>
      </w:r>
      <w:r>
        <w:rPr>
          <w:rFonts w:hint="eastAsia" w:ascii="仿宋_GB2312" w:hAnsi="仿宋" w:cs="华文仿宋"/>
        </w:rPr>
        <w:t>。</w:t>
      </w:r>
      <w:r>
        <w:rPr>
          <w:rFonts w:hint="eastAsia" w:ascii="仿宋_GB2312" w:hAnsi="仿宋"/>
        </w:rPr>
        <w:t>全面推广妇联组织与社会组织的“双联”模式，新孵化社会组织</w:t>
      </w:r>
      <w:r>
        <w:rPr>
          <w:rFonts w:ascii="仿宋_GB2312" w:hAnsi="仿宋"/>
        </w:rPr>
        <w:t>10</w:t>
      </w:r>
      <w:r>
        <w:rPr>
          <w:rFonts w:hint="eastAsia" w:ascii="仿宋_GB2312" w:hAnsi="仿宋"/>
        </w:rPr>
        <w:t>多家，建立了“妇”字号社会组织数据库，常年联系、合作的社会组织</w:t>
      </w:r>
      <w:r>
        <w:rPr>
          <w:rFonts w:ascii="仿宋_GB2312" w:hAnsi="仿宋"/>
        </w:rPr>
        <w:t>40</w:t>
      </w:r>
      <w:r>
        <w:rPr>
          <w:rFonts w:hint="eastAsia" w:ascii="仿宋_GB2312" w:hAnsi="仿宋"/>
        </w:rPr>
        <w:t>余家；加大对社会组织负责人的培训和业务指导，培训社会组织负责人</w:t>
      </w:r>
      <w:r>
        <w:rPr>
          <w:rFonts w:ascii="仿宋_GB2312" w:hAnsi="仿宋"/>
        </w:rPr>
        <w:t>100</w:t>
      </w:r>
      <w:r>
        <w:rPr>
          <w:rFonts w:hint="eastAsia" w:ascii="仿宋_GB2312" w:hAnsi="仿宋"/>
        </w:rPr>
        <w:t>余人次。</w:t>
      </w:r>
    </w:p>
    <w:p>
      <w:pPr>
        <w:spacing w:line="580" w:lineRule="exact"/>
        <w:ind w:firstLine="627" w:firstLineChars="196"/>
        <w:rPr>
          <w:rFonts w:ascii="仿宋_GB2312" w:hAnsi="仿宋"/>
        </w:rPr>
      </w:pPr>
      <w:r>
        <w:rPr>
          <w:rFonts w:hint="eastAsia" w:ascii="仿宋_GB2312"/>
        </w:rPr>
        <w:t>四是开展女干部培训工作。不断完善培训机制，采取联办、走出去等方式，举办了女领导干部领导力提升研修班、</w:t>
      </w:r>
      <w:r>
        <w:rPr>
          <w:rFonts w:hint="eastAsia" w:ascii="仿宋_GB2312" w:hAnsi="黑体"/>
        </w:rPr>
        <w:t>女干部素质提升班、基层妇联干部素质提升班</w:t>
      </w:r>
      <w:r>
        <w:rPr>
          <w:rFonts w:hint="eastAsia" w:ascii="仿宋_GB2312"/>
          <w:color w:val="000000"/>
          <w:shd w:val="clear" w:color="auto" w:fill="FFFFFF"/>
        </w:rPr>
        <w:t>，选送各界优秀女性参加省妇联在浙大、复旦等培训班的学习</w:t>
      </w:r>
      <w:r>
        <w:rPr>
          <w:rFonts w:hint="eastAsia" w:ascii="仿宋_GB2312" w:hAnsi="黑体"/>
        </w:rPr>
        <w:t>，不断提升妇女干部素质。</w:t>
      </w:r>
    </w:p>
    <w:p>
      <w:pPr>
        <w:spacing w:line="58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（二）积极引领妇女增强创新创业意识。</w:t>
      </w:r>
    </w:p>
    <w:p>
      <w:pPr>
        <w:shd w:val="clear" w:color="auto" w:fill="FFFFFF"/>
        <w:spacing w:line="580" w:lineRule="exact"/>
        <w:ind w:firstLine="640" w:firstLineChars="200"/>
        <w:jc w:val="left"/>
        <w:rPr>
          <w:rFonts w:ascii="仿宋_GB2312" w:hAnsi="仿宋"/>
        </w:rPr>
      </w:pPr>
      <w:r>
        <w:rPr>
          <w:rFonts w:hint="eastAsia" w:ascii="仿宋_GB2312" w:hAnsi="仿宋"/>
        </w:rPr>
        <w:t>一是大力开展“遂州女性创新创业”引领行动。</w:t>
      </w:r>
      <w:r>
        <w:rPr>
          <w:rFonts w:hint="eastAsia" w:ascii="仿宋_GB2312" w:hAnsi="黑体"/>
        </w:rPr>
        <w:t>举办“遂宁女性创新创业”</w:t>
      </w:r>
      <w:r>
        <w:rPr>
          <w:rFonts w:hint="eastAsia" w:ascii="仿宋_GB2312" w:hAnsi="微软雅黑"/>
          <w:bCs/>
        </w:rPr>
        <w:t>系列论坛，从宣传发动、政策对接、榜样示范、探索解疑、精准帮扶等层面设置活动，先后举办“双创”主论坛，“双创”故事分享会、“服务业如何过寒冬”、“扶助与合作”</w:t>
      </w:r>
      <w:r>
        <w:rPr>
          <w:rFonts w:ascii="仿宋_GB2312" w:hAnsi="微软雅黑"/>
          <w:bCs/>
        </w:rPr>
        <w:t>---</w:t>
      </w:r>
      <w:r>
        <w:rPr>
          <w:rFonts w:hint="eastAsia" w:ascii="仿宋_GB2312" w:hAnsi="微软雅黑"/>
          <w:bCs/>
        </w:rPr>
        <w:t>“</w:t>
      </w:r>
      <w:r>
        <w:rPr>
          <w:rStyle w:val="13"/>
          <w:rFonts w:hint="eastAsia" w:ascii="仿宋_GB2312" w:hAnsi="仿宋"/>
          <w:sz w:val="32"/>
        </w:rPr>
        <w:t>种养殖专场交流会</w:t>
      </w:r>
      <w:r>
        <w:rPr>
          <w:rFonts w:hint="eastAsia" w:ascii="仿宋_GB2312" w:hAnsi="微软雅黑"/>
          <w:bCs/>
        </w:rPr>
        <w:t>”专题活动，全市各界先后有</w:t>
      </w:r>
      <w:r>
        <w:rPr>
          <w:rFonts w:ascii="仿宋_GB2312" w:hAnsi="微软雅黑"/>
          <w:bCs/>
        </w:rPr>
        <w:t>600</w:t>
      </w:r>
      <w:r>
        <w:rPr>
          <w:rFonts w:hint="eastAsia" w:ascii="仿宋_GB2312" w:hAnsi="微软雅黑"/>
          <w:bCs/>
        </w:rPr>
        <w:t>多名女性参与了论坛。印制政策汇编</w:t>
      </w:r>
      <w:r>
        <w:rPr>
          <w:rFonts w:ascii="仿宋_GB2312" w:hAnsi="微软雅黑"/>
          <w:bCs/>
        </w:rPr>
        <w:t>5000</w:t>
      </w:r>
      <w:r>
        <w:rPr>
          <w:rFonts w:hint="eastAsia" w:ascii="仿宋_GB2312" w:hAnsi="微软雅黑"/>
          <w:bCs/>
        </w:rPr>
        <w:t>册，制作专题片</w:t>
      </w:r>
      <w:r>
        <w:rPr>
          <w:rFonts w:ascii="仿宋_GB2312" w:hAnsi="微软雅黑"/>
          <w:bCs/>
        </w:rPr>
        <w:t>26</w:t>
      </w:r>
      <w:r>
        <w:rPr>
          <w:rFonts w:hint="eastAsia" w:ascii="仿宋_GB2312" w:hAnsi="微软雅黑"/>
          <w:bCs/>
        </w:rPr>
        <w:t>部，在遂宁电视台、遂宁日报开设双创专栏，多家新媒体踊跃跟进；组建了“巾帼创新创业”导师团，建立了创业女性人才库；评选“遂州巾帼双创之星”</w:t>
      </w:r>
      <w:r>
        <w:rPr>
          <w:rFonts w:ascii="仿宋_GB2312" w:hAnsi="微软雅黑"/>
          <w:bCs/>
        </w:rPr>
        <w:t>100</w:t>
      </w:r>
      <w:r>
        <w:rPr>
          <w:rFonts w:hint="eastAsia" w:ascii="仿宋_GB2312" w:hAnsi="微软雅黑"/>
          <w:bCs/>
        </w:rPr>
        <w:t>名、巾帼创业励志奖</w:t>
      </w:r>
      <w:r>
        <w:rPr>
          <w:rFonts w:ascii="仿宋_GB2312" w:hAnsi="微软雅黑"/>
          <w:bCs/>
        </w:rPr>
        <w:t>10</w:t>
      </w:r>
      <w:r>
        <w:rPr>
          <w:rFonts w:hint="eastAsia" w:ascii="仿宋_GB2312" w:hAnsi="微软雅黑"/>
          <w:bCs/>
        </w:rPr>
        <w:t>名、巾帼创新创意奖</w:t>
      </w:r>
      <w:r>
        <w:rPr>
          <w:rFonts w:ascii="仿宋_GB2312" w:hAnsi="微软雅黑"/>
          <w:bCs/>
        </w:rPr>
        <w:t>10</w:t>
      </w:r>
      <w:r>
        <w:rPr>
          <w:rFonts w:hint="eastAsia" w:ascii="仿宋_GB2312" w:hAnsi="微软雅黑"/>
          <w:bCs/>
        </w:rPr>
        <w:t>名、开展网上投票宣传产生网络人气奖５名，巾帼“双创”评选活动起到了很好的示范引领作用。</w:t>
      </w:r>
    </w:p>
    <w:p>
      <w:pPr>
        <w:spacing w:line="580" w:lineRule="exact"/>
        <w:ind w:firstLine="627" w:firstLineChars="196"/>
        <w:rPr>
          <w:rFonts w:ascii="仿宋_GB2312" w:hAnsi="仿宋"/>
        </w:rPr>
      </w:pPr>
      <w:r>
        <w:rPr>
          <w:rFonts w:hint="eastAsia" w:ascii="仿宋_GB2312" w:hAnsi="仿宋"/>
        </w:rPr>
        <w:t>二是开展居家灵活就业基地建设。</w:t>
      </w:r>
      <w:r>
        <w:rPr>
          <w:rFonts w:hint="eastAsia" w:ascii="仿宋_GB2312"/>
        </w:rPr>
        <w:t>成立了</w:t>
      </w:r>
      <w:r>
        <w:rPr>
          <w:rFonts w:hint="eastAsia" w:ascii="仿宋_GB2312" w:hAnsi="宋体" w:cs="宋体"/>
        </w:rPr>
        <w:t>种养殖业、手工制作业、生活服务业三个行业互助组，引导妇女居家灵活就业。</w:t>
      </w:r>
      <w:r>
        <w:rPr>
          <w:rFonts w:hint="eastAsia" w:ascii="仿宋_GB2312" w:hAnsi="华文仿宋"/>
        </w:rPr>
        <w:t>引入项目化运作模式，在农村联系点和五个县区开展居家灵活就业基地创建工作，充分发挥示范基地在解决女性居家就业方面的作用。今年支持和打造市级</w:t>
      </w:r>
      <w:r>
        <w:rPr>
          <w:rFonts w:hint="eastAsia" w:ascii="仿宋_GB2312"/>
        </w:rPr>
        <w:t>居家灵活就业基地</w:t>
      </w:r>
      <w:r>
        <w:rPr>
          <w:rFonts w:ascii="仿宋_GB2312"/>
        </w:rPr>
        <w:t>10</w:t>
      </w:r>
      <w:r>
        <w:rPr>
          <w:rFonts w:hint="eastAsia" w:ascii="仿宋_GB2312"/>
        </w:rPr>
        <w:t>个，引导留守妇女居家灵活就业纵深发展。</w:t>
      </w:r>
    </w:p>
    <w:p>
      <w:pPr>
        <w:spacing w:line="580" w:lineRule="exact"/>
        <w:ind w:firstLine="627" w:firstLineChars="196"/>
        <w:rPr>
          <w:rFonts w:ascii="仿宋_GB2312" w:hAnsi="仿宋"/>
        </w:rPr>
      </w:pPr>
      <w:r>
        <w:rPr>
          <w:rFonts w:hint="eastAsia" w:ascii="仿宋_GB2312" w:hAnsi="仿宋"/>
        </w:rPr>
        <w:t>三是抓好技能培训推进妇女再就业。</w:t>
      </w:r>
      <w:r>
        <w:rPr>
          <w:rFonts w:hint="eastAsia" w:ascii="仿宋_GB2312"/>
        </w:rPr>
        <w:t>整合资源，与人社</w:t>
      </w:r>
      <w:r>
        <w:rPr>
          <w:rFonts w:hint="eastAsia" w:ascii="仿宋_GB2312" w:hAnsi="仿宋"/>
        </w:rPr>
        <w:t>等部门和美景家政等企业联合开展手工、种养殖等技能培训</w:t>
      </w:r>
      <w:r>
        <w:rPr>
          <w:rFonts w:ascii="仿宋_GB2312" w:hAnsi="仿宋"/>
        </w:rPr>
        <w:t>8</w:t>
      </w:r>
      <w:r>
        <w:rPr>
          <w:rFonts w:hint="eastAsia" w:ascii="仿宋_GB2312" w:hAnsi="仿宋"/>
        </w:rPr>
        <w:t>期，培训妇女</w:t>
      </w:r>
      <w:r>
        <w:rPr>
          <w:rFonts w:ascii="仿宋_GB2312" w:hAnsi="仿宋"/>
        </w:rPr>
        <w:t>800</w:t>
      </w:r>
      <w:r>
        <w:rPr>
          <w:rFonts w:hint="eastAsia" w:ascii="仿宋_GB2312" w:hAnsi="仿宋"/>
        </w:rPr>
        <w:t>人；实施电商培训项目，培训</w:t>
      </w:r>
      <w:r>
        <w:rPr>
          <w:rFonts w:ascii="仿宋_GB2312" w:hAnsi="仿宋"/>
        </w:rPr>
        <w:t>50</w:t>
      </w:r>
      <w:r>
        <w:rPr>
          <w:rFonts w:hint="eastAsia" w:ascii="仿宋_GB2312" w:hAnsi="仿宋"/>
        </w:rPr>
        <w:t>人，提高妇女创业就业能力。</w:t>
      </w:r>
    </w:p>
    <w:p>
      <w:pPr>
        <w:spacing w:line="580" w:lineRule="exact"/>
        <w:ind w:firstLine="640" w:firstLineChars="200"/>
        <w:rPr>
          <w:rFonts w:ascii="仿宋_GB2312" w:hAnsi="仿宋"/>
        </w:rPr>
      </w:pPr>
      <w:r>
        <w:rPr>
          <w:rFonts w:hint="eastAsia" w:ascii="仿宋_GB2312" w:hAnsi="仿宋"/>
        </w:rPr>
        <w:t>四是倾力做好扶贫帮困工作。做好联系村脱贫攻坚工作，帮助结对贫困户解决生产生活问题</w:t>
      </w:r>
      <w:r>
        <w:rPr>
          <w:rFonts w:ascii="仿宋_GB2312" w:hAnsi="仿宋"/>
        </w:rPr>
        <w:t>80</w:t>
      </w:r>
      <w:r>
        <w:rPr>
          <w:rFonts w:hint="eastAsia" w:ascii="仿宋_GB2312" w:hAnsi="仿宋"/>
        </w:rPr>
        <w:t>余个，干部个人捐款捐物共计</w:t>
      </w:r>
      <w:r>
        <w:rPr>
          <w:rFonts w:ascii="仿宋_GB2312" w:hAnsi="仿宋"/>
        </w:rPr>
        <w:t>1.5</w:t>
      </w:r>
      <w:r>
        <w:rPr>
          <w:rFonts w:hint="eastAsia" w:ascii="仿宋_GB2312" w:hAnsi="仿宋"/>
        </w:rPr>
        <w:t>万元，单位捐赠慰问物资３万多元；支持项目</w:t>
      </w:r>
      <w:r>
        <w:rPr>
          <w:rFonts w:ascii="仿宋_GB2312" w:hAnsi="仿宋"/>
        </w:rPr>
        <w:t>4</w:t>
      </w:r>
      <w:r>
        <w:rPr>
          <w:rFonts w:hint="eastAsia" w:ascii="仿宋_GB2312" w:hAnsi="仿宋"/>
        </w:rPr>
        <w:t>个，争取项目资金</w:t>
      </w:r>
      <w:r>
        <w:rPr>
          <w:rFonts w:ascii="仿宋_GB2312" w:hAnsi="仿宋"/>
        </w:rPr>
        <w:t>12</w:t>
      </w:r>
      <w:r>
        <w:rPr>
          <w:rFonts w:hint="eastAsia" w:ascii="仿宋_GB2312" w:hAnsi="仿宋"/>
        </w:rPr>
        <w:t>万元，用于村道路改造和村办公室、村民活动场所建设，发展集体经济；开展“六顺六净”、“寻找最美家庭”等家庭建设活动</w:t>
      </w:r>
      <w:r>
        <w:rPr>
          <w:rFonts w:ascii="仿宋_GB2312" w:hAnsi="仿宋"/>
        </w:rPr>
        <w:t>10</w:t>
      </w:r>
      <w:r>
        <w:rPr>
          <w:rFonts w:hint="eastAsia" w:ascii="仿宋_GB2312" w:hAnsi="仿宋"/>
        </w:rPr>
        <w:t>场，</w:t>
      </w:r>
      <w:r>
        <w:rPr>
          <w:rFonts w:hint="eastAsia" w:ascii="仿宋_GB2312"/>
        </w:rPr>
        <w:t>组织志愿者</w:t>
      </w:r>
      <w:r>
        <w:rPr>
          <w:rFonts w:ascii="仿宋_GB2312"/>
        </w:rPr>
        <w:t>45</w:t>
      </w:r>
      <w:r>
        <w:rPr>
          <w:rFonts w:hint="eastAsia" w:ascii="仿宋_GB2312"/>
        </w:rPr>
        <w:t>人开展联系村居家环境卫生秩序集中整治活动，充分发挥村党员一对一帮带活动，引导村民养成好习惯、形成好风气</w:t>
      </w:r>
      <w:r>
        <w:rPr>
          <w:rFonts w:hint="eastAsia" w:ascii="仿宋_GB2312" w:hAnsi="仿宋"/>
        </w:rPr>
        <w:t>。</w:t>
      </w:r>
      <w:r>
        <w:rPr>
          <w:rFonts w:hint="eastAsia" w:ascii="仿宋_GB2312"/>
        </w:rPr>
        <w:t>启动“巾帼扶贫行动”，开展送爱心、文化、卫生、法律、服务下乡活动，慰问</w:t>
      </w:r>
      <w:r>
        <w:rPr>
          <w:rStyle w:val="6"/>
          <w:rFonts w:hint="eastAsia" w:ascii="仿宋_GB2312" w:hAnsi="黑体"/>
          <w:b w:val="0"/>
          <w:shd w:val="clear" w:color="auto" w:fill="FFFFFF"/>
        </w:rPr>
        <w:t>困难妇女儿童</w:t>
      </w:r>
      <w:r>
        <w:rPr>
          <w:rStyle w:val="6"/>
          <w:rFonts w:ascii="仿宋_GB2312" w:hAnsi="黑体"/>
          <w:b w:val="0"/>
          <w:shd w:val="clear" w:color="auto" w:fill="FFFFFF"/>
        </w:rPr>
        <w:t>910</w:t>
      </w:r>
      <w:r>
        <w:rPr>
          <w:rStyle w:val="6"/>
          <w:rFonts w:hint="eastAsia" w:ascii="仿宋_GB2312" w:hAnsi="黑体"/>
          <w:b w:val="0"/>
          <w:shd w:val="clear" w:color="auto" w:fill="FFFFFF"/>
        </w:rPr>
        <w:t>人，</w:t>
      </w:r>
      <w:r>
        <w:rPr>
          <w:rFonts w:hint="eastAsia" w:ascii="仿宋_GB2312"/>
        </w:rPr>
        <w:t>金额</w:t>
      </w:r>
      <w:r>
        <w:rPr>
          <w:rFonts w:ascii="仿宋_GB2312"/>
        </w:rPr>
        <w:t>47</w:t>
      </w:r>
      <w:r>
        <w:rPr>
          <w:rFonts w:hint="eastAsia" w:ascii="仿宋_GB2312"/>
        </w:rPr>
        <w:t>万元；</w:t>
      </w:r>
      <w:r>
        <w:rPr>
          <w:rFonts w:hint="eastAsia" w:ascii="仿宋_GB2312" w:hAnsi="宋体" w:cs="宋体"/>
          <w:kern w:val="0"/>
        </w:rPr>
        <w:t>利用新媒体开展公益募捐活动，发起爱心众筹</w:t>
      </w:r>
      <w:r>
        <w:rPr>
          <w:rFonts w:ascii="仿宋_GB2312" w:hAnsi="宋体" w:cs="宋体"/>
          <w:kern w:val="0"/>
        </w:rPr>
        <w:t>9</w:t>
      </w:r>
      <w:r>
        <w:rPr>
          <w:rFonts w:hint="eastAsia" w:ascii="仿宋_GB2312" w:hAnsi="宋体" w:cs="宋体"/>
          <w:kern w:val="0"/>
        </w:rPr>
        <w:t>起，募捐资金</w:t>
      </w:r>
      <w:r>
        <w:rPr>
          <w:rFonts w:ascii="仿宋_GB2312" w:hAnsi="宋体" w:cs="宋体"/>
          <w:kern w:val="0"/>
        </w:rPr>
        <w:t>30</w:t>
      </w:r>
      <w:r>
        <w:rPr>
          <w:rFonts w:hint="eastAsia" w:ascii="仿宋_GB2312" w:hAnsi="宋体" w:cs="宋体"/>
          <w:kern w:val="0"/>
        </w:rPr>
        <w:t>多万元</w:t>
      </w:r>
      <w:r>
        <w:rPr>
          <w:rFonts w:hint="eastAsia" w:ascii="仿宋_GB2312"/>
        </w:rPr>
        <w:t>；组织巾帼文明岗、社会组织和志愿者开展帮扶活动</w:t>
      </w:r>
      <w:r>
        <w:rPr>
          <w:rFonts w:ascii="仿宋_GB2312"/>
        </w:rPr>
        <w:t>28</w:t>
      </w:r>
      <w:r>
        <w:rPr>
          <w:rFonts w:hint="eastAsia" w:ascii="仿宋_GB2312"/>
        </w:rPr>
        <w:t>场次，发放慰问物资折合人民币</w:t>
      </w:r>
      <w:r>
        <w:rPr>
          <w:rFonts w:ascii="仿宋_GB2312"/>
        </w:rPr>
        <w:t>362</w:t>
      </w:r>
      <w:r>
        <w:rPr>
          <w:rFonts w:hint="eastAsia" w:ascii="仿宋_GB2312"/>
        </w:rPr>
        <w:t>万元，受助困难群众</w:t>
      </w:r>
      <w:r>
        <w:rPr>
          <w:rFonts w:ascii="仿宋_GB2312"/>
        </w:rPr>
        <w:t>1.35</w:t>
      </w:r>
      <w:r>
        <w:rPr>
          <w:rFonts w:hint="eastAsia" w:ascii="仿宋_GB2312"/>
        </w:rPr>
        <w:t>万人次。</w:t>
      </w:r>
    </w:p>
    <w:p>
      <w:pPr>
        <w:shd w:val="clear" w:color="auto" w:fill="FFFFFF"/>
        <w:spacing w:line="580" w:lineRule="exact"/>
        <w:ind w:firstLine="643" w:firstLineChars="200"/>
        <w:jc w:val="left"/>
        <w:rPr>
          <w:rFonts w:ascii="楷体_GB2312" w:hAnsi="楷体_GB2312" w:eastAsia="楷体_GB2312" w:cs="楷体_GB2312"/>
          <w:b/>
          <w:bCs/>
          <w:color w:val="000000"/>
        </w:rPr>
      </w:pPr>
      <w:r>
        <w:rPr>
          <w:rFonts w:hint="eastAsia" w:ascii="楷体_GB2312" w:hAnsi="楷体_GB2312" w:eastAsia="楷体_GB2312" w:cs="楷体_GB2312"/>
          <w:b/>
          <w:bCs/>
          <w:color w:val="000000"/>
        </w:rPr>
        <w:t>（三）认真做好妇女儿童维权工作。</w:t>
      </w:r>
    </w:p>
    <w:p>
      <w:pPr>
        <w:spacing w:line="580" w:lineRule="exact"/>
        <w:ind w:firstLine="640" w:firstLineChars="200"/>
        <w:rPr>
          <w:rFonts w:ascii="仿宋_GB2312" w:hAnsi="仿宋"/>
        </w:rPr>
      </w:pPr>
      <w:r>
        <w:rPr>
          <w:rFonts w:hint="eastAsia" w:ascii="仿宋_GB2312" w:hAnsi="仿宋" w:cs="宋体"/>
          <w:kern w:val="0"/>
        </w:rPr>
        <w:t>一是切实维护妇女儿童合法权益。</w:t>
      </w:r>
      <w:r>
        <w:rPr>
          <w:rFonts w:hint="eastAsia" w:ascii="仿宋_GB2312" w:hAnsi="仿宋"/>
        </w:rPr>
        <w:t>建立了婚姻家庭纠纷调解工作领导小组、婚姻家庭纠纷调解工作联席会议制度、政策法规性别平等评估机制、反家暴联动机制、侵害妇女儿童大要案通报制度。依托乡镇司法所建立婚姻家庭</w:t>
      </w:r>
      <w:r>
        <w:rPr>
          <w:rFonts w:hint="eastAsia" w:ascii="仿宋_GB2312" w:hAnsi="仿宋" w:cs="宋体"/>
          <w:kern w:val="0"/>
        </w:rPr>
        <w:t>纠纷调解中心</w:t>
      </w:r>
      <w:r>
        <w:rPr>
          <w:rFonts w:ascii="仿宋_GB2312" w:hAnsi="仿宋" w:cs="宋体"/>
          <w:kern w:val="0"/>
        </w:rPr>
        <w:t>98</w:t>
      </w:r>
      <w:r>
        <w:rPr>
          <w:rFonts w:hint="eastAsia" w:ascii="仿宋_GB2312" w:hAnsi="仿宋" w:cs="宋体"/>
          <w:kern w:val="0"/>
        </w:rPr>
        <w:t>个，组建率达到</w:t>
      </w:r>
      <w:r>
        <w:rPr>
          <w:rFonts w:ascii="仿宋_GB2312" w:hAnsi="仿宋" w:cs="宋体"/>
          <w:kern w:val="0"/>
        </w:rPr>
        <w:t>100%</w:t>
      </w:r>
      <w:r>
        <w:rPr>
          <w:rFonts w:hint="eastAsia" w:ascii="仿宋_GB2312" w:hAnsi="仿宋" w:cs="宋体"/>
          <w:kern w:val="0"/>
        </w:rPr>
        <w:t>，落实了个案补贴；依托村（社区）妇女之家，在</w:t>
      </w:r>
      <w:r>
        <w:rPr>
          <w:rFonts w:ascii="仿宋_GB2312" w:hAnsi="仿宋" w:cs="宋体"/>
          <w:kern w:val="0"/>
        </w:rPr>
        <w:t>60%</w:t>
      </w:r>
      <w:r>
        <w:rPr>
          <w:rFonts w:hint="eastAsia" w:ascii="仿宋_GB2312" w:hAnsi="仿宋" w:cs="宋体"/>
          <w:kern w:val="0"/>
        </w:rPr>
        <w:t>的村、社区建立妇女信访代理室</w:t>
      </w:r>
      <w:r>
        <w:rPr>
          <w:rFonts w:ascii="仿宋_GB2312" w:hAnsi="仿宋" w:cs="宋体"/>
          <w:kern w:val="0"/>
        </w:rPr>
        <w:t>1380</w:t>
      </w:r>
      <w:r>
        <w:rPr>
          <w:rFonts w:hint="eastAsia" w:ascii="仿宋_GB2312" w:hAnsi="仿宋" w:cs="宋体"/>
          <w:kern w:val="0"/>
        </w:rPr>
        <w:t>个，</w:t>
      </w:r>
      <w:r>
        <w:rPr>
          <w:rFonts w:hint="eastAsia" w:ascii="仿宋_GB2312" w:hAnsi="仿宋"/>
        </w:rPr>
        <w:t>将法律服务送到群众家门口。</w:t>
      </w:r>
      <w:r>
        <w:rPr>
          <w:rFonts w:hint="eastAsia" w:ascii="仿宋_GB2312"/>
        </w:rPr>
        <w:t>聘请</w:t>
      </w:r>
      <w:r>
        <w:rPr>
          <w:rFonts w:ascii="仿宋_GB2312"/>
        </w:rPr>
        <w:t>5</w:t>
      </w:r>
      <w:r>
        <w:rPr>
          <w:rFonts w:hint="eastAsia" w:ascii="仿宋_GB2312"/>
        </w:rPr>
        <w:t>名法律顾问，为困难妇女提供法律咨询、法治宣传、法律援助等服务，</w:t>
      </w:r>
      <w:r>
        <w:rPr>
          <w:rFonts w:ascii="仿宋_GB2312" w:hAnsi="仿宋" w:cs="宋体"/>
          <w:kern w:val="0"/>
        </w:rPr>
        <w:t>24</w:t>
      </w:r>
      <w:r>
        <w:rPr>
          <w:rFonts w:hint="eastAsia" w:ascii="仿宋_GB2312" w:hAnsi="仿宋" w:cs="宋体"/>
          <w:kern w:val="0"/>
        </w:rPr>
        <w:t>起法律援助案</w:t>
      </w:r>
      <w:r>
        <w:rPr>
          <w:rFonts w:hint="eastAsia" w:ascii="仿宋_GB2312" w:hAnsi="仿宋_GB2312" w:cs="仿宋_GB2312"/>
          <w:kern w:val="0"/>
        </w:rPr>
        <w:t>件得到全国妇联法律援助行动项目支持，市妇联给予每个案例</w:t>
      </w:r>
      <w:r>
        <w:rPr>
          <w:rFonts w:ascii="仿宋_GB2312" w:hAnsi="仿宋_GB2312" w:cs="仿宋_GB2312"/>
          <w:kern w:val="0"/>
        </w:rPr>
        <w:t>500</w:t>
      </w:r>
      <w:r>
        <w:rPr>
          <w:rFonts w:hint="eastAsia" w:ascii="仿宋_GB2312" w:hAnsi="仿宋_GB2312" w:cs="仿宋_GB2312"/>
          <w:kern w:val="0"/>
        </w:rPr>
        <w:t>元补贴。</w:t>
      </w:r>
      <w:r>
        <w:rPr>
          <w:rFonts w:hint="eastAsia" w:ascii="仿宋_GB2312"/>
        </w:rPr>
        <w:t>与司法部门在全市所有乡镇建立妇女儿童维权站，通过送“法律下乡”等活动，</w:t>
      </w:r>
      <w:r>
        <w:rPr>
          <w:rFonts w:hint="eastAsia" w:ascii="仿宋_GB2312" w:hAnsi="宋体"/>
          <w:color w:val="000000"/>
        </w:rPr>
        <w:t>扎实推进全市“平安家庭”创建活动。</w:t>
      </w:r>
      <w:r>
        <w:rPr>
          <w:rFonts w:hint="eastAsia" w:ascii="仿宋_GB2312" w:hAnsi="仿宋_GB2312" w:cs="仿宋_GB2312"/>
          <w:kern w:val="0"/>
        </w:rPr>
        <w:t>依托村（社区）妇女之家，建立婚姻家庭纠纷调解室</w:t>
      </w:r>
      <w:r>
        <w:rPr>
          <w:rFonts w:hint="eastAsia" w:ascii="仿宋_GB2312" w:hAnsi="仿宋_GB2312" w:cs="仿宋_GB2312"/>
        </w:rPr>
        <w:t>；建立维权救助机制，对在维权中出现的困境妇女儿童及时从心理和生存保障上给予支持。</w:t>
      </w:r>
    </w:p>
    <w:p>
      <w:pPr>
        <w:spacing w:line="580" w:lineRule="exact"/>
        <w:ind w:firstLine="640" w:firstLineChars="200"/>
        <w:rPr>
          <w:rFonts w:ascii="仿宋_GB2312" w:hAnsi="仿宋"/>
        </w:rPr>
      </w:pPr>
      <w:r>
        <w:rPr>
          <w:rFonts w:hint="eastAsia" w:ascii="仿宋_GB2312" w:hAnsi="仿宋"/>
        </w:rPr>
        <w:t>二是深化维权品牌活动。继续做好“三八”维权周宣传活动，以《反家庭暴力法》宣传为重点，设立宣传站点</w:t>
      </w:r>
      <w:r>
        <w:rPr>
          <w:rFonts w:ascii="仿宋_GB2312" w:hAnsi="仿宋"/>
        </w:rPr>
        <w:t>2000</w:t>
      </w:r>
      <w:r>
        <w:rPr>
          <w:rFonts w:hint="eastAsia" w:ascii="仿宋_GB2312" w:hAnsi="仿宋"/>
        </w:rPr>
        <w:t>余个，发放宣传资料</w:t>
      </w:r>
      <w:r>
        <w:rPr>
          <w:rFonts w:ascii="仿宋_GB2312" w:hAnsi="仿宋"/>
        </w:rPr>
        <w:t>80</w:t>
      </w:r>
      <w:r>
        <w:rPr>
          <w:rFonts w:hint="eastAsia" w:ascii="仿宋_GB2312" w:hAnsi="仿宋"/>
        </w:rPr>
        <w:t>余万份；通过电视台、出租车顶广告、等推送宣传信息</w:t>
      </w:r>
      <w:r>
        <w:rPr>
          <w:rFonts w:ascii="仿宋_GB2312" w:hAnsi="仿宋"/>
        </w:rPr>
        <w:t>260</w:t>
      </w:r>
      <w:r>
        <w:rPr>
          <w:rFonts w:hint="eastAsia" w:ascii="仿宋_GB2312" w:hAnsi="仿宋"/>
        </w:rPr>
        <w:t>万余条；新媒体宣传报道</w:t>
      </w:r>
      <w:r>
        <w:rPr>
          <w:rFonts w:ascii="仿宋_GB2312" w:hAnsi="仿宋"/>
        </w:rPr>
        <w:t>12</w:t>
      </w:r>
      <w:r>
        <w:rPr>
          <w:rFonts w:hint="eastAsia" w:ascii="仿宋_GB2312" w:hAnsi="仿宋"/>
        </w:rPr>
        <w:t>篇；开展《反家庭暴力法》知识讲座</w:t>
      </w:r>
      <w:r>
        <w:rPr>
          <w:rFonts w:ascii="仿宋_GB2312" w:hAnsi="仿宋"/>
        </w:rPr>
        <w:t>1000</w:t>
      </w:r>
      <w:r>
        <w:rPr>
          <w:rFonts w:hint="eastAsia" w:ascii="仿宋_GB2312" w:hAnsi="仿宋"/>
        </w:rPr>
        <w:t>余场；拍摄反家暴微电影</w:t>
      </w:r>
      <w:r>
        <w:rPr>
          <w:rFonts w:ascii="仿宋_GB2312" w:hAnsi="仿宋"/>
        </w:rPr>
        <w:t>1</w:t>
      </w:r>
      <w:r>
        <w:rPr>
          <w:rFonts w:hint="eastAsia" w:ascii="仿宋_GB2312" w:hAnsi="仿宋"/>
        </w:rPr>
        <w:t>部。开展“十大维护妇女儿童合法权益优秀案例”和“十大妇女儿童维权先进个人”评选活动，</w:t>
      </w:r>
      <w:r>
        <w:rPr>
          <w:rFonts w:hint="eastAsia" w:ascii="仿宋_GB2312"/>
        </w:rPr>
        <w:t>“４</w:t>
      </w:r>
      <w:r>
        <w:rPr>
          <w:rFonts w:ascii="仿宋_GB2312"/>
        </w:rPr>
        <w:t>.26</w:t>
      </w:r>
      <w:r>
        <w:rPr>
          <w:rFonts w:hint="eastAsia" w:ascii="仿宋_GB2312"/>
        </w:rPr>
        <w:t>”儿童拐卖案例入选全省</w:t>
      </w:r>
      <w:r>
        <w:rPr>
          <w:rFonts w:hint="eastAsia" w:ascii="仿宋_GB2312" w:hAnsi="仿宋"/>
        </w:rPr>
        <w:t>“十大</w:t>
      </w:r>
      <w:r>
        <w:rPr>
          <w:rFonts w:hint="eastAsia" w:ascii="仿宋_GB2312"/>
        </w:rPr>
        <w:t>妇女儿童</w:t>
      </w:r>
      <w:r>
        <w:rPr>
          <w:rFonts w:hint="eastAsia" w:ascii="仿宋_GB2312" w:hAnsi="仿宋"/>
        </w:rPr>
        <w:t>维</w:t>
      </w:r>
      <w:r>
        <w:rPr>
          <w:rFonts w:hint="eastAsia" w:ascii="仿宋_GB2312"/>
        </w:rPr>
        <w:t>权优秀案例”。</w:t>
      </w:r>
      <w:r>
        <w:rPr>
          <w:rFonts w:hint="eastAsia" w:ascii="仿宋_GB2312" w:hAnsi="仿宋"/>
        </w:rPr>
        <w:t>认真做好群众来信来访，认真办理</w:t>
      </w:r>
      <w:r>
        <w:rPr>
          <w:rFonts w:ascii="仿宋_GB2312" w:hAnsi="仿宋"/>
        </w:rPr>
        <w:t>12345</w:t>
      </w:r>
      <w:r>
        <w:rPr>
          <w:rFonts w:hint="eastAsia" w:ascii="仿宋_GB2312" w:hAnsi="仿宋"/>
        </w:rPr>
        <w:t>政务服务热线转办件等件，办结率</w:t>
      </w:r>
      <w:r>
        <w:rPr>
          <w:rFonts w:ascii="仿宋_GB2312" w:hAnsi="仿宋"/>
        </w:rPr>
        <w:t>100%</w:t>
      </w:r>
      <w:r>
        <w:rPr>
          <w:rFonts w:hint="eastAsia" w:ascii="仿宋_GB2312" w:hAnsi="仿宋"/>
        </w:rPr>
        <w:t>。</w:t>
      </w:r>
    </w:p>
    <w:p>
      <w:pPr>
        <w:spacing w:line="580" w:lineRule="exact"/>
        <w:ind w:firstLine="643" w:firstLineChars="200"/>
        <w:rPr>
          <w:rFonts w:ascii="楷体_GB2312" w:hAnsi="楷体_GB2312" w:eastAsia="楷体_GB2312" w:cs="楷体_GB2312"/>
          <w:b/>
          <w:bCs/>
          <w:color w:val="000000"/>
        </w:rPr>
      </w:pPr>
      <w:r>
        <w:rPr>
          <w:rFonts w:hint="eastAsia" w:ascii="楷体_GB2312" w:hAnsi="楷体_GB2312" w:eastAsia="楷体_GB2312" w:cs="楷体_GB2312"/>
          <w:b/>
          <w:bCs/>
          <w:kern w:val="0"/>
        </w:rPr>
        <w:t>（四）</w:t>
      </w:r>
      <w:r>
        <w:rPr>
          <w:rFonts w:hint="eastAsia" w:ascii="楷体_GB2312" w:hAnsi="楷体_GB2312" w:eastAsia="楷体_GB2312" w:cs="楷体_GB2312"/>
          <w:b/>
          <w:bCs/>
          <w:color w:val="000000"/>
        </w:rPr>
        <w:t>实施“幸福家庭”行动。</w:t>
      </w:r>
    </w:p>
    <w:p>
      <w:pPr>
        <w:spacing w:line="580" w:lineRule="exact"/>
        <w:ind w:firstLine="640" w:firstLineChars="200"/>
        <w:rPr>
          <w:rFonts w:ascii="仿宋_GB2312" w:hAnsi="仿宋"/>
        </w:rPr>
      </w:pPr>
      <w:r>
        <w:rPr>
          <w:rFonts w:hint="eastAsia" w:ascii="仿宋_GB2312" w:hAnsi="仿宋"/>
        </w:rPr>
        <w:t>开展廉洁家庭创建活动，</w:t>
      </w:r>
      <w:r>
        <w:rPr>
          <w:rFonts w:hint="eastAsia" w:ascii="仿宋_GB2312" w:hAnsi="??" w:cs="宋体"/>
          <w:kern w:val="0"/>
        </w:rPr>
        <w:t>扎实推进领导干部及家属签定廉洁承诺书活动</w:t>
      </w:r>
      <w:r>
        <w:rPr>
          <w:rFonts w:hint="eastAsia" w:ascii="仿宋_GB2312" w:hAnsi="仿宋"/>
        </w:rPr>
        <w:t>，发挥领导干部的带头示范作用；开展“家风、家训、家规”作品征集活动，征集到优秀作品</w:t>
      </w:r>
      <w:r>
        <w:rPr>
          <w:rFonts w:ascii="仿宋_GB2312" w:hAnsi="仿宋"/>
        </w:rPr>
        <w:t>600</w:t>
      </w:r>
      <w:r>
        <w:rPr>
          <w:rFonts w:hint="eastAsia" w:ascii="仿宋_GB2312" w:hAnsi="仿宋"/>
        </w:rPr>
        <w:t>余件；深入开展寻找“最美家庭”活动，举办了“寻找最美家庭”颁奖暨“三八”节庆祝晚会，编撰印制《最美家庭》书籍</w:t>
      </w:r>
      <w:r>
        <w:rPr>
          <w:rFonts w:ascii="仿宋_GB2312" w:hAnsi="仿宋"/>
        </w:rPr>
        <w:t>1500</w:t>
      </w:r>
      <w:r>
        <w:rPr>
          <w:rFonts w:hint="eastAsia" w:ascii="仿宋_GB2312" w:hAnsi="仿宋"/>
        </w:rPr>
        <w:t>本，评选出各级“最美家庭”</w:t>
      </w:r>
      <w:r>
        <w:rPr>
          <w:rFonts w:ascii="仿宋_GB2312" w:hAnsi="仿宋"/>
        </w:rPr>
        <w:t>4670</w:t>
      </w:r>
      <w:r>
        <w:rPr>
          <w:rFonts w:hint="eastAsia" w:ascii="仿宋_GB2312" w:hAnsi="仿宋"/>
        </w:rPr>
        <w:t>户</w:t>
      </w:r>
      <w:r>
        <w:rPr>
          <w:rFonts w:ascii="仿宋_GB2312"/>
        </w:rPr>
        <w:t>(</w:t>
      </w:r>
      <w:r>
        <w:rPr>
          <w:rFonts w:hint="eastAsia" w:ascii="仿宋_GB2312"/>
        </w:rPr>
        <w:t>其中国家级</w:t>
      </w:r>
      <w:r>
        <w:rPr>
          <w:rFonts w:ascii="仿宋_GB2312"/>
        </w:rPr>
        <w:t>1</w:t>
      </w:r>
      <w:r>
        <w:rPr>
          <w:rFonts w:hint="eastAsia" w:ascii="仿宋_GB2312"/>
        </w:rPr>
        <w:t>户、省级</w:t>
      </w:r>
      <w:r>
        <w:rPr>
          <w:rFonts w:ascii="仿宋_GB2312"/>
        </w:rPr>
        <w:t>4</w:t>
      </w:r>
      <w:r>
        <w:rPr>
          <w:rFonts w:hint="eastAsia" w:ascii="仿宋_GB2312"/>
        </w:rPr>
        <w:t>户</w:t>
      </w:r>
      <w:r>
        <w:rPr>
          <w:rFonts w:ascii="仿宋_GB2312"/>
        </w:rPr>
        <w:t>)</w:t>
      </w:r>
      <w:r>
        <w:rPr>
          <w:rFonts w:hint="eastAsia" w:ascii="仿宋_GB2312" w:hAnsi="仿宋"/>
        </w:rPr>
        <w:t>；评选出好爸爸</w:t>
      </w:r>
      <w:r>
        <w:rPr>
          <w:rFonts w:ascii="仿宋_GB2312" w:hAnsi="仿宋"/>
        </w:rPr>
        <w:t>50</w:t>
      </w:r>
      <w:r>
        <w:rPr>
          <w:rFonts w:hint="eastAsia" w:ascii="仿宋_GB2312" w:hAnsi="仿宋"/>
        </w:rPr>
        <w:t>名、好妈妈</w:t>
      </w:r>
      <w:r>
        <w:rPr>
          <w:rFonts w:ascii="仿宋_GB2312" w:hAnsi="仿宋"/>
        </w:rPr>
        <w:t>50</w:t>
      </w:r>
      <w:r>
        <w:rPr>
          <w:rFonts w:hint="eastAsia" w:ascii="仿宋_GB2312" w:hAnsi="仿宋"/>
        </w:rPr>
        <w:t>名；大力开展家庭教育，培育良好家风，传播先进家教理念，培训“母亲课堂”讲师</w:t>
      </w:r>
      <w:r>
        <w:rPr>
          <w:rFonts w:ascii="仿宋_GB2312" w:hAnsi="仿宋"/>
        </w:rPr>
        <w:t>174</w:t>
      </w:r>
      <w:r>
        <w:rPr>
          <w:rFonts w:hint="eastAsia" w:ascii="仿宋_GB2312" w:hAnsi="仿宋"/>
        </w:rPr>
        <w:t>人，宣讲</w:t>
      </w:r>
      <w:r>
        <w:rPr>
          <w:rFonts w:ascii="仿宋_GB2312" w:hAnsi="仿宋"/>
        </w:rPr>
        <w:t>504</w:t>
      </w:r>
      <w:r>
        <w:rPr>
          <w:rFonts w:hint="eastAsia" w:ascii="仿宋_GB2312" w:hAnsi="仿宋"/>
        </w:rPr>
        <w:t>场次，建立家庭教育微课堂</w:t>
      </w:r>
      <w:r>
        <w:rPr>
          <w:rFonts w:ascii="仿宋_GB2312" w:hAnsi="仿宋"/>
        </w:rPr>
        <w:t>8</w:t>
      </w:r>
      <w:r>
        <w:rPr>
          <w:rFonts w:hint="eastAsia" w:ascii="仿宋_GB2312" w:hAnsi="仿宋"/>
        </w:rPr>
        <w:t>个，家长学校</w:t>
      </w:r>
      <w:r>
        <w:rPr>
          <w:rFonts w:ascii="仿宋_GB2312" w:hAnsi="仿宋"/>
        </w:rPr>
        <w:t>830</w:t>
      </w:r>
      <w:r>
        <w:rPr>
          <w:rFonts w:hint="eastAsia" w:ascii="仿宋_GB2312" w:hAnsi="仿宋"/>
        </w:rPr>
        <w:t>所，线上线下传播优良家风家教知识，家庭覆盖面达</w:t>
      </w:r>
      <w:r>
        <w:rPr>
          <w:rFonts w:ascii="仿宋_GB2312" w:hAnsi="仿宋"/>
        </w:rPr>
        <w:t>50%</w:t>
      </w:r>
      <w:r>
        <w:rPr>
          <w:rFonts w:hint="eastAsia" w:ascii="仿宋_GB2312" w:hAnsi="仿宋"/>
        </w:rPr>
        <w:t>以上</w:t>
      </w:r>
      <w:r>
        <w:rPr>
          <w:rFonts w:hint="eastAsia" w:ascii="仿宋_GB2312" w:hAnsi="仿宋" w:cs="宋体"/>
          <w:kern w:val="0"/>
        </w:rPr>
        <w:t>。</w:t>
      </w:r>
    </w:p>
    <w:p>
      <w:pPr>
        <w:spacing w:line="580" w:lineRule="exact"/>
        <w:ind w:firstLine="643" w:firstLineChars="200"/>
        <w:rPr>
          <w:rFonts w:ascii="楷体_GB2312" w:hAnsi="楷体_GB2312" w:eastAsia="楷体_GB2312" w:cs="楷体_GB2312"/>
          <w:b/>
          <w:bCs/>
          <w:kern w:val="0"/>
        </w:rPr>
      </w:pPr>
      <w:r>
        <w:rPr>
          <w:rFonts w:hint="eastAsia" w:ascii="楷体_GB2312" w:hAnsi="楷体_GB2312" w:eastAsia="楷体_GB2312" w:cs="楷体_GB2312"/>
          <w:b/>
          <w:bCs/>
          <w:kern w:val="0"/>
        </w:rPr>
        <w:t>（五）抓好品牌创建注重典型示范。</w:t>
      </w:r>
    </w:p>
    <w:p>
      <w:pPr>
        <w:spacing w:line="580" w:lineRule="exact"/>
        <w:ind w:firstLine="640" w:firstLineChars="200"/>
        <w:rPr>
          <w:rFonts w:ascii="仿宋_GB2312" w:hAnsi="黑体" w:cs="宋体"/>
          <w:kern w:val="0"/>
        </w:rPr>
      </w:pPr>
      <w:r>
        <w:rPr>
          <w:rFonts w:hint="eastAsia" w:ascii="仿宋_GB2312"/>
        </w:rPr>
        <w:t>通过“巾帼文明岗”创建活动，提高女职工劳动技能，提升职业素养，激发工作热情，今年新创建市级“巾帼文明岗”</w:t>
      </w:r>
      <w:r>
        <w:rPr>
          <w:rFonts w:ascii="仿宋_GB2312"/>
        </w:rPr>
        <w:t>12</w:t>
      </w:r>
      <w:r>
        <w:rPr>
          <w:rFonts w:hint="eastAsia" w:ascii="仿宋_GB2312"/>
        </w:rPr>
        <w:t>个。</w:t>
      </w:r>
      <w:r>
        <w:rPr>
          <w:rFonts w:hint="eastAsia" w:ascii="仿宋_GB2312" w:hAnsi="黑体"/>
        </w:rPr>
        <w:t>开展</w:t>
      </w:r>
      <w:r>
        <w:rPr>
          <w:rFonts w:hint="eastAsia" w:ascii="仿宋_GB2312"/>
        </w:rPr>
        <w:t>“我身边最美女性”先进事迹报告会，“最美家庭”事迹巡回报告会，用“四自”精神激励全市妇女，很好地彰显了遂州巾帼的创业创新能力和风采。</w:t>
      </w:r>
    </w:p>
    <w:p>
      <w:pPr>
        <w:spacing w:line="580" w:lineRule="exact"/>
        <w:ind w:firstLine="640" w:firstLineChars="200"/>
        <w:rPr>
          <w:rFonts w:ascii="黑体" w:hAnsi="黑体" w:eastAsia="黑体"/>
        </w:rPr>
      </w:pPr>
      <w:r>
        <w:rPr>
          <w:rFonts w:hint="eastAsia" w:ascii="黑体" w:hAnsi="黑体" w:eastAsia="黑体" w:cs="宋体"/>
          <w:kern w:val="0"/>
        </w:rPr>
        <w:t>二、增强创新意识，不断探索妇女儿童工作推进机制</w:t>
      </w:r>
    </w:p>
    <w:p>
      <w:pPr>
        <w:spacing w:line="580" w:lineRule="exact"/>
        <w:ind w:firstLine="640" w:firstLineChars="200"/>
        <w:rPr>
          <w:rFonts w:ascii="仿宋_GB2312" w:hAnsi="仿宋"/>
        </w:rPr>
      </w:pPr>
      <w:r>
        <w:rPr>
          <w:rFonts w:hint="eastAsia" w:ascii="仿宋_GB2312" w:hAnsi="仿宋" w:cs="宋体"/>
          <w:kern w:val="0"/>
        </w:rPr>
        <w:t>一是探索建立贫困妇女救助机制。大力实施“关爱女性健康保障计划”项目，筹资近</w:t>
      </w:r>
      <w:r>
        <w:rPr>
          <w:rFonts w:ascii="仿宋_GB2312" w:hAnsi="仿宋" w:cs="宋体"/>
          <w:kern w:val="0"/>
        </w:rPr>
        <w:t>14</w:t>
      </w:r>
      <w:r>
        <w:rPr>
          <w:rFonts w:hint="eastAsia" w:ascii="仿宋_GB2312" w:hAnsi="仿宋" w:cs="宋体"/>
          <w:kern w:val="0"/>
        </w:rPr>
        <w:t>万元，为</w:t>
      </w:r>
      <w:r>
        <w:rPr>
          <w:rFonts w:ascii="仿宋_GB2312" w:hAnsi="仿宋" w:cs="宋体"/>
          <w:kern w:val="0"/>
        </w:rPr>
        <w:t>2000</w:t>
      </w:r>
      <w:r>
        <w:rPr>
          <w:rFonts w:hint="eastAsia" w:ascii="仿宋_GB2312" w:hAnsi="仿宋" w:cs="宋体"/>
          <w:kern w:val="0"/>
        </w:rPr>
        <w:t>余名农村贫困妇女购买了“两癌”（宫颈癌、乳腺癌）商业保险，保额近</w:t>
      </w:r>
      <w:r>
        <w:rPr>
          <w:rFonts w:ascii="仿宋_GB2312" w:hAnsi="仿宋" w:cs="宋体"/>
          <w:kern w:val="0"/>
        </w:rPr>
        <w:t>8000</w:t>
      </w:r>
      <w:r>
        <w:rPr>
          <w:rFonts w:hint="eastAsia" w:ascii="仿宋_GB2312" w:hAnsi="仿宋" w:cs="宋体"/>
          <w:kern w:val="0"/>
        </w:rPr>
        <w:t>万元，为有效防范农村妇女因病致贫、因病返贫风险提供了支持。</w:t>
      </w:r>
      <w:r>
        <w:rPr>
          <w:rFonts w:hint="eastAsia" w:ascii="仿宋_GB2312" w:hAnsi="宋体" w:cs="宋体"/>
          <w:kern w:val="0"/>
        </w:rPr>
        <w:t>积极争取全国妇联“贫困母亲两癌救助专项基金”项目支持，共为</w:t>
      </w:r>
      <w:r>
        <w:rPr>
          <w:rFonts w:ascii="仿宋_GB2312" w:hAnsi="宋体" w:cs="宋体"/>
          <w:kern w:val="0"/>
        </w:rPr>
        <w:t>65</w:t>
      </w:r>
      <w:r>
        <w:rPr>
          <w:rFonts w:hint="eastAsia" w:ascii="仿宋_GB2312" w:hAnsi="宋体" w:cs="宋体"/>
          <w:kern w:val="0"/>
        </w:rPr>
        <w:t>名农村贫困患癌母亲争取救助资金</w:t>
      </w:r>
      <w:r>
        <w:rPr>
          <w:rFonts w:ascii="仿宋_GB2312" w:hAnsi="宋体" w:cs="宋体"/>
          <w:kern w:val="0"/>
        </w:rPr>
        <w:t>65</w:t>
      </w:r>
      <w:r>
        <w:rPr>
          <w:rFonts w:hint="eastAsia" w:ascii="仿宋_GB2312" w:hAnsi="仿宋" w:cs="宋体"/>
          <w:kern w:val="0"/>
        </w:rPr>
        <w:t>万元，</w:t>
      </w:r>
      <w:r>
        <w:rPr>
          <w:rFonts w:hint="eastAsia" w:ascii="仿宋_GB2312" w:hAnsi="宋体" w:cs="宋体"/>
          <w:kern w:val="0"/>
        </w:rPr>
        <w:t>对2万余名农村留守妇女进行“两癌”免费检查。举办关爱困境妇女儿童公益活动</w:t>
      </w:r>
      <w:r>
        <w:rPr>
          <w:rFonts w:ascii="仿宋_GB2312" w:hAnsi="宋体" w:cs="宋体"/>
          <w:kern w:val="0"/>
        </w:rPr>
        <w:t>,</w:t>
      </w:r>
      <w:r>
        <w:rPr>
          <w:rFonts w:hint="eastAsia" w:ascii="仿宋_GB2312" w:hAnsi="宋体" w:cs="宋体"/>
          <w:kern w:val="0"/>
        </w:rPr>
        <w:t>引导爱心企业和社会爱心人士参与关爱行动。</w:t>
      </w:r>
      <w:r>
        <w:rPr>
          <w:rFonts w:hint="eastAsia" w:ascii="仿宋_GB2312" w:hAnsi="仿宋" w:cs="宋体"/>
          <w:kern w:val="0"/>
        </w:rPr>
        <w:t>关爱女性健康、帮助妇女创业就业、救助贫困患癌妇女、依法维护妇女儿童合法权益、关爱农村留守妇女儿童、加强妇女儿童活动阵地建设等已纳入市委市政府“惠民提升行动”部署，得到了市委市政府的高度重视。二是大力开展“好习惯好家风”引导工作，印制“好家风、好风气”年历画</w:t>
      </w:r>
      <w:r>
        <w:rPr>
          <w:rFonts w:ascii="仿宋_GB2312" w:hAnsi="仿宋" w:cs="宋体"/>
          <w:kern w:val="0"/>
        </w:rPr>
        <w:t>2</w:t>
      </w:r>
      <w:r>
        <w:rPr>
          <w:rFonts w:hint="eastAsia" w:ascii="仿宋_GB2312" w:hAnsi="仿宋" w:cs="宋体"/>
          <w:kern w:val="0"/>
        </w:rPr>
        <w:t>万份发放到贫困户家中，助推脱贫攻坚工程。三是探索项目化推进工作模式。编制项目</w:t>
      </w:r>
      <w:r>
        <w:rPr>
          <w:rFonts w:ascii="仿宋_GB2312" w:hAnsi="仿宋" w:cs="宋体"/>
          <w:kern w:val="0"/>
        </w:rPr>
        <w:t>51</w:t>
      </w:r>
      <w:r>
        <w:rPr>
          <w:rFonts w:hint="eastAsia" w:ascii="仿宋_GB2312" w:hAnsi="仿宋" w:cs="宋体"/>
          <w:kern w:val="0"/>
        </w:rPr>
        <w:t>个（其中向全国妇联、省妇联申报项目</w:t>
      </w:r>
      <w:r>
        <w:rPr>
          <w:rFonts w:ascii="仿宋_GB2312" w:hAnsi="仿宋" w:cs="宋体"/>
          <w:kern w:val="0"/>
        </w:rPr>
        <w:t>21</w:t>
      </w:r>
      <w:r>
        <w:rPr>
          <w:rFonts w:hint="eastAsia" w:ascii="仿宋_GB2312" w:hAnsi="仿宋" w:cs="宋体"/>
          <w:kern w:val="0"/>
        </w:rPr>
        <w:t>个，争取到</w:t>
      </w:r>
      <w:r>
        <w:rPr>
          <w:rFonts w:ascii="仿宋_GB2312" w:hAnsi="仿宋" w:cs="宋体"/>
          <w:kern w:val="0"/>
        </w:rPr>
        <w:t>5</w:t>
      </w:r>
      <w:r>
        <w:rPr>
          <w:rFonts w:hint="eastAsia" w:ascii="仿宋_GB2312" w:hAnsi="仿宋" w:cs="宋体"/>
          <w:kern w:val="0"/>
        </w:rPr>
        <w:t>个；市、县（区）组织实施项目</w:t>
      </w:r>
      <w:r>
        <w:rPr>
          <w:rFonts w:ascii="仿宋_GB2312" w:hAnsi="仿宋" w:cs="宋体"/>
          <w:kern w:val="0"/>
        </w:rPr>
        <w:t>30</w:t>
      </w:r>
      <w:r>
        <w:rPr>
          <w:rFonts w:hint="eastAsia" w:ascii="仿宋_GB2312" w:hAnsi="仿宋" w:cs="宋体"/>
          <w:kern w:val="0"/>
        </w:rPr>
        <w:t>个），涉及妇女创新创业、维权、家庭教育、组织建设等多个领域。通过媒体公开发布项目信息，对外招标，目前所有项目全部完成。项目资金</w:t>
      </w:r>
      <w:r>
        <w:rPr>
          <w:rFonts w:ascii="仿宋_GB2312" w:hAnsi="仿宋" w:cs="宋体"/>
          <w:kern w:val="0"/>
        </w:rPr>
        <w:t>178</w:t>
      </w:r>
      <w:r>
        <w:rPr>
          <w:rFonts w:hint="eastAsia" w:ascii="仿宋_GB2312" w:hAnsi="仿宋" w:cs="宋体"/>
          <w:kern w:val="0"/>
        </w:rPr>
        <w:t>万元，惠及妇女儿童</w:t>
      </w:r>
      <w:r>
        <w:rPr>
          <w:rFonts w:ascii="仿宋_GB2312" w:hAnsi="仿宋" w:cs="宋体"/>
          <w:kern w:val="0"/>
        </w:rPr>
        <w:t>50</w:t>
      </w:r>
      <w:r>
        <w:rPr>
          <w:rFonts w:hint="eastAsia" w:ascii="仿宋_GB2312" w:hAnsi="仿宋" w:cs="宋体"/>
          <w:kern w:val="0"/>
        </w:rPr>
        <w:t>万余人。四是统筹推进《两纲》中期评估工作，重难点指标得到有效突破，各项指标达标率达</w:t>
      </w:r>
      <w:r>
        <w:rPr>
          <w:rFonts w:ascii="仿宋_GB2312" w:hAnsi="仿宋" w:cs="宋体"/>
          <w:kern w:val="0"/>
        </w:rPr>
        <w:t>96.2%</w:t>
      </w:r>
      <w:r>
        <w:rPr>
          <w:rFonts w:hint="eastAsia" w:ascii="仿宋_GB2312" w:hAnsi="仿宋" w:cs="宋体"/>
          <w:kern w:val="0"/>
        </w:rPr>
        <w:t>。</w:t>
      </w:r>
      <w:r>
        <w:rPr>
          <w:rFonts w:hint="eastAsia" w:ascii="仿宋_GB2312" w:hAnsi="黑体"/>
        </w:rPr>
        <w:t>今年</w:t>
      </w:r>
      <w:r>
        <w:rPr>
          <w:rFonts w:hint="eastAsia" w:ascii="仿宋_GB2312" w:hAnsi="仿宋" w:cs="宋体"/>
          <w:kern w:val="0"/>
        </w:rPr>
        <w:t>五月，我市代表四川省迎接国务院《两纲》中期评估督导检查，遂宁工作经验和成效得到国务院督导组的充分肯定，我市</w:t>
      </w:r>
      <w:r>
        <w:rPr>
          <w:rFonts w:hint="eastAsia" w:ascii="仿宋_GB2312" w:hAnsi="黑体"/>
        </w:rPr>
        <w:t>“两纲”中期评估工作获省政府妇儿工委表扬，</w:t>
      </w:r>
      <w:r>
        <w:rPr>
          <w:rFonts w:hint="eastAsia" w:ascii="仿宋_GB2312" w:hAnsi="仿宋" w:cs="宋体"/>
          <w:kern w:val="0"/>
        </w:rPr>
        <w:t>并在全省两纲中期评估督导检查通报分析暨示范县推进会议上作经</w:t>
      </w:r>
      <w:r>
        <w:rPr>
          <w:rFonts w:hint="eastAsia" w:ascii="仿宋_GB2312"/>
        </w:rPr>
        <w:t>验交流发言，市妇联也受到了市政府的通报表扬。</w:t>
      </w:r>
    </w:p>
    <w:p>
      <w:pPr>
        <w:spacing w:line="580" w:lineRule="exact"/>
        <w:ind w:firstLine="640" w:firstLineChars="200"/>
        <w:rPr>
          <w:rStyle w:val="14"/>
          <w:rFonts w:ascii="黑体" w:hAnsi="黑体" w:eastAsia="黑体"/>
          <w:sz w:val="32"/>
        </w:rPr>
      </w:pPr>
      <w:r>
        <w:rPr>
          <w:rFonts w:hint="eastAsia" w:ascii="黑体" w:hAnsi="黑体" w:eastAsia="黑体"/>
        </w:rPr>
        <w:t>三、增强廉洁意识，不断强化班子和队伍自身建设</w:t>
      </w:r>
    </w:p>
    <w:p>
      <w:pPr>
        <w:spacing w:line="580" w:lineRule="exact"/>
        <w:ind w:firstLine="640" w:firstLineChars="200"/>
        <w:rPr>
          <w:rFonts w:ascii="仿宋_GB2312" w:hAnsi="宋体"/>
        </w:rPr>
      </w:pPr>
      <w:r>
        <w:rPr>
          <w:rFonts w:hint="eastAsia" w:ascii="仿宋_GB2312" w:hAnsi="宋体"/>
        </w:rPr>
        <w:t>一是开展领导班子“四好”创建活动。将创建领导班子“四好”活动与市妇联的中心工作结合起来，年初有规划、年中有检查、年终有总结；党组不定期地听取“四好”创建工作汇报，把“四好”班子创建作为衡量工作实绩的重要标准。</w:t>
      </w:r>
    </w:p>
    <w:p>
      <w:pPr>
        <w:widowControl/>
        <w:spacing w:line="580" w:lineRule="exact"/>
        <w:ind w:firstLine="640" w:firstLineChars="200"/>
        <w:jc w:val="left"/>
        <w:rPr>
          <w:rFonts w:ascii="仿宋_GB2312" w:hAnsi="宋体"/>
        </w:rPr>
      </w:pPr>
      <w:r>
        <w:rPr>
          <w:rFonts w:hint="eastAsia" w:ascii="仿宋_GB2312" w:hAnsi="宋体"/>
        </w:rPr>
        <w:t>二是加强基层党组织建设工作。认真坚持“三会一课”制度，做到党组织建设工作与推动妇女儿童事业发展同步安排，年初有规划、年终有总结，认真开展党组织活动，并将党组织活动经费列入机关财务预算。加大党员教育力度，不断强化党员宗旨意识，不断坚定党员理想信念。按照省市党建工作三级联述联评联考的要求，对党建工作进行认真总结，分析存在的问题并对下步工作进行安排。</w:t>
      </w:r>
    </w:p>
    <w:p>
      <w:pPr>
        <w:widowControl/>
        <w:spacing w:line="580" w:lineRule="exact"/>
        <w:ind w:firstLine="640" w:firstLineChars="200"/>
        <w:jc w:val="left"/>
        <w:rPr>
          <w:rFonts w:ascii="仿宋_GB2312" w:hAnsi="宋体"/>
        </w:rPr>
      </w:pPr>
      <w:r>
        <w:rPr>
          <w:rFonts w:hint="eastAsia" w:ascii="仿宋_GB2312" w:hAnsi="宋体"/>
        </w:rPr>
        <w:t>三是认真开展“两学一做”学习教育活动。按照市委统一部署，认真制定活动方案，针对领导班子和党员干部、普通党员的不同情况，认真启动学习教育活动，严格按照三个专题的要求，支部书记认真讲党课，党员认真重温入党誓词和入党志愿书；充分利用庆“七一”活动开展教育活动，认真组织专题座谈讨论，认真撰写心得体会。通过学习和组织专题教育活动，党员干部</w:t>
      </w:r>
      <w:r>
        <w:fldChar w:fldCharType="begin"/>
      </w:r>
      <w:r>
        <w:instrText xml:space="preserve"> HYPERLINK "http://baike.baidu.com/view/79328.htm" \t "_blank" </w:instrText>
      </w:r>
      <w:r>
        <w:fldChar w:fldCharType="separate"/>
      </w:r>
      <w:r>
        <w:rPr>
          <w:rFonts w:hint="eastAsia" w:ascii="仿宋_GB2312" w:hAnsi="宋体"/>
        </w:rPr>
        <w:t>政治意识</w:t>
      </w:r>
      <w:r>
        <w:rPr>
          <w:rFonts w:hint="eastAsia" w:ascii="仿宋_GB2312" w:hAnsi="宋体"/>
        </w:rPr>
        <w:fldChar w:fldCharType="end"/>
      </w:r>
      <w:r>
        <w:rPr>
          <w:rFonts w:hint="eastAsia" w:ascii="仿宋_GB2312" w:hAnsi="宋体"/>
        </w:rPr>
        <w:t>、</w:t>
      </w:r>
      <w:r>
        <w:fldChar w:fldCharType="begin"/>
      </w:r>
      <w:r>
        <w:instrText xml:space="preserve"> HYPERLINK "http://baike.baidu.com/view/9742753.htm" \t "_blank" </w:instrText>
      </w:r>
      <w:r>
        <w:fldChar w:fldCharType="separate"/>
      </w:r>
      <w:r>
        <w:rPr>
          <w:rFonts w:hint="eastAsia" w:ascii="仿宋_GB2312" w:hAnsi="宋体"/>
        </w:rPr>
        <w:t>大局意识</w:t>
      </w:r>
      <w:r>
        <w:rPr>
          <w:rFonts w:hint="eastAsia" w:ascii="仿宋_GB2312" w:hAnsi="宋体"/>
        </w:rPr>
        <w:fldChar w:fldCharType="end"/>
      </w:r>
      <w:r>
        <w:rPr>
          <w:rFonts w:hint="eastAsia" w:ascii="仿宋_GB2312" w:hAnsi="宋体"/>
        </w:rPr>
        <w:t>、</w:t>
      </w:r>
      <w:r>
        <w:fldChar w:fldCharType="begin"/>
      </w:r>
      <w:r>
        <w:instrText xml:space="preserve"> HYPERLINK "http://baike.baidu.com/item/%E6%A0%B8%E5%BF%83%E6%84%8F%E8%AF%86" \t "_blank" </w:instrText>
      </w:r>
      <w:r>
        <w:fldChar w:fldCharType="separate"/>
      </w:r>
      <w:r>
        <w:rPr>
          <w:rFonts w:hint="eastAsia" w:ascii="仿宋_GB2312" w:hAnsi="宋体"/>
        </w:rPr>
        <w:t>核心意识</w:t>
      </w:r>
      <w:r>
        <w:rPr>
          <w:rFonts w:hint="eastAsia" w:ascii="仿宋_GB2312" w:hAnsi="宋体"/>
        </w:rPr>
        <w:fldChar w:fldCharType="end"/>
      </w:r>
      <w:r>
        <w:rPr>
          <w:rFonts w:hint="eastAsia" w:ascii="仿宋_GB2312" w:hAnsi="宋体"/>
        </w:rPr>
        <w:t>、</w:t>
      </w:r>
      <w:r>
        <w:fldChar w:fldCharType="begin"/>
      </w:r>
      <w:r>
        <w:instrText xml:space="preserve"> HYPERLINK "http://baike.baidu.com/item/%E7%9C%8B%E9%BD%90%E6%84%8F%E8%AF%86" \t "_blank" </w:instrText>
      </w:r>
      <w:r>
        <w:fldChar w:fldCharType="separate"/>
      </w:r>
      <w:r>
        <w:rPr>
          <w:rFonts w:hint="eastAsia" w:ascii="仿宋_GB2312" w:hAnsi="宋体"/>
        </w:rPr>
        <w:t>看齐意识</w:t>
      </w:r>
      <w:r>
        <w:rPr>
          <w:rFonts w:hint="eastAsia" w:ascii="仿宋_GB2312" w:hAnsi="宋体"/>
        </w:rPr>
        <w:fldChar w:fldCharType="end"/>
      </w:r>
      <w:r>
        <w:rPr>
          <w:rFonts w:hint="eastAsia" w:ascii="仿宋_GB2312" w:hAnsi="宋体"/>
        </w:rPr>
        <w:t>和宗旨观念进一步增强，干事创业的激情不断高涨。</w:t>
      </w:r>
    </w:p>
    <w:p>
      <w:pPr>
        <w:spacing w:line="580" w:lineRule="exact"/>
        <w:ind w:firstLine="640" w:firstLineChars="200"/>
        <w:rPr>
          <w:rFonts w:ascii="仿宋_GB2312" w:hAnsi="仿宋" w:cs="宋体"/>
          <w:kern w:val="0"/>
        </w:rPr>
      </w:pPr>
      <w:r>
        <w:rPr>
          <w:rFonts w:hint="eastAsia" w:ascii="仿宋_GB2312" w:hAnsi="仿宋_GB2312" w:cs="仿宋_GB2312"/>
        </w:rPr>
        <w:t>四是认真开展中心组学习活动。认真做好职工思想政治工作，推动学习型机关建设。认真制定学习计划，认真安排学习内容，认真坚持学习制度，坚持注重学习实效，坚持正面引导和反面警示相结合，不断创新学习方式。</w:t>
      </w:r>
      <w:r>
        <w:rPr>
          <w:rFonts w:hint="eastAsia" w:ascii="仿宋_GB2312"/>
        </w:rPr>
        <w:t>建立了中心组会前学法制度和机关妇联干部带头学法用法制度，并把法律学习纳入</w:t>
      </w:r>
      <w:r>
        <w:rPr>
          <w:rFonts w:hint="eastAsia" w:ascii="仿宋_GB2312" w:hAnsi="宋体"/>
          <w:color w:val="000000"/>
        </w:rPr>
        <w:t>妇联干部培训内容，</w:t>
      </w:r>
      <w:r>
        <w:rPr>
          <w:rFonts w:hint="eastAsia" w:ascii="仿宋_GB2312"/>
        </w:rPr>
        <w:t>不断提高班子和妇联干部队伍的法治意识和依法推进工作的能力</w:t>
      </w:r>
      <w:r>
        <w:rPr>
          <w:rFonts w:hint="eastAsia" w:ascii="仿宋_GB2312" w:hAnsi="宋体"/>
          <w:color w:val="000000"/>
        </w:rPr>
        <w:t>。</w:t>
      </w:r>
    </w:p>
    <w:p>
      <w:pPr>
        <w:pStyle w:val="15"/>
        <w:spacing w:line="580" w:lineRule="exact"/>
        <w:ind w:firstLine="640"/>
        <w:rPr>
          <w:rFonts w:ascii="Times New Roman" w:hAnsi="Times New Roman" w:cs="Times New Roman"/>
          <w:bCs/>
          <w:color w:val="FF0000"/>
          <w:szCs w:val="32"/>
        </w:rPr>
      </w:pPr>
      <w:r>
        <w:rPr>
          <w:rFonts w:hint="eastAsia" w:ascii="仿宋_GB2312" w:hAnsi="黑体"/>
          <w:szCs w:val="32"/>
        </w:rPr>
        <w:t>五是坚持一岗双责制，建设廉洁妇联。</w:t>
      </w:r>
      <w:r>
        <w:rPr>
          <w:rFonts w:hint="eastAsia" w:ascii="仿宋_GB2312"/>
          <w:szCs w:val="32"/>
        </w:rPr>
        <w:t>一是坚持一岗双责，把党风廉政建设工作纳入班子的重要议事日程。</w:t>
      </w:r>
      <w:r>
        <w:rPr>
          <w:rFonts w:hint="eastAsia" w:ascii="仿宋_GB2312" w:hAnsi="Verdana"/>
          <w:szCs w:val="32"/>
        </w:rPr>
        <w:t>完善了《市妇联党风廉政建设责任制工作意见》，</w:t>
      </w:r>
      <w:r>
        <w:rPr>
          <w:rFonts w:hint="eastAsia" w:ascii="仿宋_GB2312" w:hAnsi="??"/>
          <w:szCs w:val="32"/>
        </w:rPr>
        <w:t>签订了《市妇联党风廉政建设责任书》、《市妇联履行党风廉政建设责任承诺书》。</w:t>
      </w:r>
      <w:r>
        <w:rPr>
          <w:rFonts w:hint="eastAsia" w:ascii="仿宋_GB2312"/>
          <w:szCs w:val="32"/>
        </w:rPr>
        <w:t>二是筑牢思想防线。坚持定期学习制度，组织干部职工认真学习了《关于新形势下党内政治生活的若干准则》和《中国共产党党内监督条例》、《廉政准则》以及党的十八届六中全会精神，认真学习了</w:t>
      </w:r>
      <w:r>
        <w:rPr>
          <w:rFonts w:hint="eastAsia" w:ascii="仿宋_GB2312"/>
          <w:bCs/>
          <w:szCs w:val="32"/>
        </w:rPr>
        <w:t>中纪委、</w:t>
      </w:r>
      <w:r>
        <w:rPr>
          <w:rFonts w:hint="eastAsia" w:ascii="仿宋_GB2312"/>
          <w:szCs w:val="32"/>
        </w:rPr>
        <w:t>省委和省纪委、市委和市纪委的反腐败工作部署要求，并有针对性地开展学习讨论。三是坚持问题导向。</w:t>
      </w:r>
      <w:r>
        <w:rPr>
          <w:rFonts w:hint="eastAsia" w:ascii="仿宋_GB2312" w:hAnsi="??"/>
          <w:szCs w:val="32"/>
        </w:rPr>
        <w:t>对出现的苗头性、倾向性问题，早提醒、早打招呼，加强对全市妇联系统干部的党风廉政教育，及时学习传达</w:t>
      </w:r>
      <w:r>
        <w:rPr>
          <w:rFonts w:hint="eastAsia" w:ascii="仿宋_GB2312"/>
          <w:szCs w:val="32"/>
        </w:rPr>
        <w:t>各类违纪案件查处通报</w:t>
      </w:r>
      <w:r>
        <w:rPr>
          <w:rFonts w:hint="eastAsia" w:ascii="仿宋_GB2312" w:hAnsi="??"/>
          <w:szCs w:val="32"/>
        </w:rPr>
        <w:t>，为全体干部敲响反腐警钟。四是创新工作载体。推进家庭廉政文化建设工作。认真开展廉洁家庭创建活动，</w:t>
      </w:r>
      <w:r>
        <w:rPr>
          <w:rStyle w:val="13"/>
          <w:rFonts w:hint="eastAsia" w:ascii="仿宋_GB2312"/>
          <w:sz w:val="32"/>
          <w:szCs w:val="32"/>
        </w:rPr>
        <w:t>把廉政文化建设作为作为评选“五好文明家庭”的重要条件；</w:t>
      </w:r>
      <w:r>
        <w:rPr>
          <w:rFonts w:hint="eastAsia" w:ascii="仿宋_GB2312" w:hAnsi="??"/>
          <w:szCs w:val="32"/>
        </w:rPr>
        <w:t>扎实推进领导干部及家属签定廉洁承诺书活动。五是深化正风肃纪。严格三公”经费使用范围，禁止违规使用公车和超标使用办公用房，进一步控制会议数量和发文数量，“三公”经费持续下降；“四风”问题得到有效遏制，市妇联机关作风正，无违纪现象发生。</w:t>
      </w:r>
    </w:p>
    <w:p>
      <w:pPr>
        <w:spacing w:line="600" w:lineRule="exact"/>
        <w:ind w:firstLine="640" w:firstLineChars="200"/>
        <w:rPr>
          <w:rFonts w:ascii="Times New Roman" w:hAnsi="Times New Roman" w:eastAsia="黑体" w:cs="Times New Roman"/>
          <w:color w:val="000000" w:themeColor="text1"/>
        </w:rPr>
      </w:pPr>
      <w:r>
        <w:rPr>
          <w:rFonts w:ascii="Times New Roman" w:hAnsi="Times New Roman" w:eastAsia="黑体" w:cs="Times New Roman"/>
          <w:color w:val="000000" w:themeColor="text1"/>
        </w:rPr>
        <w:t>二、部门概况</w:t>
      </w:r>
    </w:p>
    <w:p>
      <w:pPr>
        <w:pStyle w:val="2"/>
        <w:adjustRightInd w:val="0"/>
        <w:snapToGrid w:val="0"/>
        <w:spacing w:before="93" w:line="580" w:lineRule="exact"/>
        <w:ind w:firstLine="672" w:firstLineChars="210"/>
        <w:rPr>
          <w:sz w:val="32"/>
          <w:szCs w:val="32"/>
        </w:rPr>
      </w:pPr>
      <w:r>
        <w:rPr>
          <w:rFonts w:hint="eastAsia"/>
          <w:sz w:val="32"/>
          <w:szCs w:val="32"/>
        </w:rPr>
        <w:t>市妇联系群团组织，参照国家公务员管理，无下属单位。</w:t>
      </w:r>
    </w:p>
    <w:p>
      <w:pPr>
        <w:spacing w:line="600" w:lineRule="exact"/>
        <w:ind w:firstLine="640" w:firstLineChars="200"/>
        <w:rPr>
          <w:rFonts w:ascii="Times New Roman" w:hAnsi="Times New Roman" w:eastAsia="黑体" w:cs="Times New Roman"/>
          <w:color w:val="000000"/>
        </w:rPr>
      </w:pPr>
      <w:r>
        <w:rPr>
          <w:rFonts w:ascii="Times New Roman" w:hAnsi="Times New Roman" w:eastAsia="黑体" w:cs="Times New Roman"/>
          <w:color w:val="000000"/>
        </w:rPr>
        <w:t>三、收支决算总体情况</w:t>
      </w:r>
    </w:p>
    <w:p>
      <w:pPr>
        <w:spacing w:line="600" w:lineRule="exact"/>
        <w:ind w:firstLine="640" w:firstLineChars="200"/>
        <w:rPr>
          <w:rFonts w:ascii="Times New Roman" w:hAnsi="Times New Roman" w:cs="Times New Roman"/>
          <w:color w:val="FF0000"/>
        </w:rPr>
      </w:pPr>
      <w:r>
        <w:rPr>
          <w:rFonts w:ascii="Times New Roman" w:hAnsi="Times New Roman" w:cs="Times New Roman"/>
          <w:color w:val="000000"/>
        </w:rPr>
        <w:t>2016年</w:t>
      </w:r>
      <w:r>
        <w:rPr>
          <w:rFonts w:hint="eastAsia" w:ascii="Times New Roman" w:hAnsi="Times New Roman"/>
          <w:color w:val="000000" w:themeColor="text1"/>
        </w:rPr>
        <w:t>遂宁市</w:t>
      </w:r>
      <w:r>
        <w:rPr>
          <w:rFonts w:hint="eastAsia" w:ascii="Times New Roman" w:hAnsi="Times New Roman"/>
          <w:color w:val="000000"/>
        </w:rPr>
        <w:t>妇女联合会</w:t>
      </w:r>
      <w:r>
        <w:rPr>
          <w:rFonts w:ascii="Times New Roman" w:hAnsi="Times New Roman" w:cs="Times New Roman"/>
          <w:color w:val="000000"/>
        </w:rPr>
        <w:t>本年收入合计</w:t>
      </w:r>
      <w:r>
        <w:rPr>
          <w:rFonts w:hint="eastAsia" w:ascii="Times New Roman" w:hAnsi="Times New Roman"/>
          <w:color w:val="000000"/>
        </w:rPr>
        <w:t>351.4</w:t>
      </w:r>
      <w:r>
        <w:rPr>
          <w:rFonts w:ascii="Times New Roman" w:hAnsi="Times New Roman" w:cs="Times New Roman"/>
          <w:color w:val="000000"/>
        </w:rPr>
        <w:t>万元，</w:t>
      </w:r>
      <w:r>
        <w:rPr>
          <w:rFonts w:hint="eastAsia" w:ascii="Times New Roman" w:hAnsi="Times New Roman" w:cs="Times New Roman"/>
          <w:color w:val="000000" w:themeColor="text1"/>
          <w14:textFill>
            <w14:solidFill>
              <w14:schemeClr w14:val="tx1"/>
            </w14:solidFill>
          </w14:textFill>
        </w:rPr>
        <w:t>比2015年增加91.01万元，主要是</w:t>
      </w:r>
      <w:r>
        <w:rPr>
          <w:rFonts w:hint="eastAsia" w:ascii="仿宋" w:hAnsi="仿宋" w:eastAsia="仿宋" w:cs="仿宋"/>
          <w:color w:val="000000" w:themeColor="text1"/>
          <w14:textFill>
            <w14:solidFill>
              <w14:schemeClr w14:val="tx1"/>
            </w14:solidFill>
          </w14:textFill>
        </w:rPr>
        <w:t>行政运行、社保保障以及项</w:t>
      </w:r>
      <w:r>
        <w:rPr>
          <w:rFonts w:hint="eastAsia" w:ascii="仿宋" w:hAnsi="仿宋" w:eastAsia="仿宋" w:cs="仿宋"/>
        </w:rPr>
        <w:t>目经费支出增加。 </w:t>
      </w:r>
      <w:r>
        <w:rPr>
          <w:rFonts w:ascii="Times New Roman" w:hAnsi="Times New Roman" w:cs="Times New Roman"/>
          <w:color w:val="000000"/>
        </w:rPr>
        <w:t>其中：财政拨款收入</w:t>
      </w:r>
      <w:r>
        <w:rPr>
          <w:rFonts w:hint="eastAsia" w:ascii="Times New Roman" w:hAnsi="Times New Roman"/>
          <w:color w:val="000000"/>
        </w:rPr>
        <w:t>351.38</w:t>
      </w:r>
      <w:r>
        <w:rPr>
          <w:rFonts w:ascii="Times New Roman" w:hAnsi="Times New Roman" w:cs="Times New Roman"/>
          <w:color w:val="000000"/>
        </w:rPr>
        <w:t>万元，占</w:t>
      </w:r>
      <w:r>
        <w:rPr>
          <w:rFonts w:hint="eastAsia" w:ascii="Times New Roman" w:hAnsi="Times New Roman"/>
          <w:color w:val="000000"/>
        </w:rPr>
        <w:t>99.99</w:t>
      </w:r>
      <w:r>
        <w:rPr>
          <w:rFonts w:ascii="Times New Roman" w:hAnsi="Times New Roman" w:cs="Times New Roman"/>
          <w:color w:val="000000"/>
        </w:rPr>
        <w:t>%；事业收入</w:t>
      </w:r>
      <w:r>
        <w:rPr>
          <w:rFonts w:hint="eastAsia" w:ascii="Times New Roman" w:hAnsi="Times New Roman"/>
          <w:color w:val="000000"/>
        </w:rPr>
        <w:t>0</w:t>
      </w:r>
      <w:r>
        <w:rPr>
          <w:rFonts w:ascii="Times New Roman" w:hAnsi="Times New Roman" w:cs="Times New Roman"/>
          <w:color w:val="000000"/>
        </w:rPr>
        <w:t>万元，占</w:t>
      </w:r>
      <w:r>
        <w:rPr>
          <w:rFonts w:hint="eastAsia" w:ascii="Times New Roman" w:hAnsi="Times New Roman"/>
          <w:color w:val="000000"/>
        </w:rPr>
        <w:t>0</w:t>
      </w:r>
      <w:r>
        <w:rPr>
          <w:rFonts w:ascii="Times New Roman" w:hAnsi="Times New Roman" w:cs="Times New Roman"/>
          <w:color w:val="000000"/>
        </w:rPr>
        <w:t>%；经营收入</w:t>
      </w:r>
      <w:r>
        <w:rPr>
          <w:rFonts w:hint="eastAsia" w:ascii="Times New Roman" w:hAnsi="Times New Roman"/>
          <w:color w:val="000000"/>
        </w:rPr>
        <w:t>0</w:t>
      </w:r>
      <w:r>
        <w:rPr>
          <w:rFonts w:ascii="Times New Roman" w:hAnsi="Times New Roman" w:cs="Times New Roman"/>
          <w:color w:val="000000"/>
        </w:rPr>
        <w:t>万元，占</w:t>
      </w:r>
      <w:r>
        <w:rPr>
          <w:rFonts w:hint="eastAsia" w:ascii="Times New Roman" w:hAnsi="Times New Roman"/>
          <w:color w:val="000000"/>
        </w:rPr>
        <w:t>0</w:t>
      </w:r>
      <w:r>
        <w:rPr>
          <w:rFonts w:ascii="Times New Roman" w:hAnsi="Times New Roman" w:cs="Times New Roman"/>
          <w:color w:val="000000"/>
        </w:rPr>
        <w:t>%</w:t>
      </w:r>
      <w:r>
        <w:rPr>
          <w:rFonts w:ascii="Times New Roman" w:hAnsi="Times New Roman"/>
          <w:color w:val="000000"/>
        </w:rPr>
        <w:t>；附属单位上缴收</w:t>
      </w:r>
      <w:r>
        <w:rPr>
          <w:rFonts w:hint="eastAsia" w:ascii="Times New Roman" w:hAnsi="Times New Roman"/>
          <w:color w:val="000000"/>
        </w:rPr>
        <w:t>入0</w:t>
      </w:r>
      <w:r>
        <w:rPr>
          <w:rFonts w:ascii="Times New Roman" w:hAnsi="Times New Roman" w:cs="Times New Roman"/>
          <w:color w:val="000000"/>
        </w:rPr>
        <w:t>万元，占</w:t>
      </w:r>
      <w:r>
        <w:rPr>
          <w:rFonts w:hint="eastAsia" w:ascii="Times New Roman" w:hAnsi="Times New Roman"/>
          <w:color w:val="000000"/>
        </w:rPr>
        <w:t>0</w:t>
      </w:r>
      <w:r>
        <w:rPr>
          <w:rFonts w:ascii="Times New Roman" w:hAnsi="Times New Roman" w:cs="Times New Roman"/>
          <w:color w:val="000000"/>
        </w:rPr>
        <w:t>%；其他收入</w:t>
      </w:r>
      <w:r>
        <w:rPr>
          <w:rFonts w:hint="eastAsia" w:ascii="Times New Roman" w:hAnsi="Times New Roman"/>
          <w:color w:val="000000"/>
        </w:rPr>
        <w:t>0.01</w:t>
      </w:r>
      <w:r>
        <w:rPr>
          <w:rFonts w:ascii="Times New Roman" w:hAnsi="Times New Roman" w:cs="Times New Roman"/>
          <w:color w:val="000000"/>
        </w:rPr>
        <w:t>万元，占</w:t>
      </w:r>
      <w:r>
        <w:rPr>
          <w:rFonts w:hint="eastAsia" w:ascii="Times New Roman" w:hAnsi="Times New Roman"/>
          <w:color w:val="000000"/>
        </w:rPr>
        <w:t>0.01</w:t>
      </w:r>
      <w:r>
        <w:rPr>
          <w:rFonts w:ascii="Times New Roman" w:hAnsi="Times New Roman" w:cs="Times New Roman"/>
          <w:color w:val="000000"/>
        </w:rPr>
        <w:t>%。</w:t>
      </w:r>
      <w:r>
        <w:rPr>
          <w:rFonts w:ascii="ˎ̥" w:hAnsi="ˎ̥"/>
        </w:rPr>
        <w:t>年初结转结余合计</w:t>
      </w:r>
      <w:r>
        <w:rPr>
          <w:rFonts w:hint="eastAsia" w:ascii="ˎ̥" w:hAnsi="ˎ̥"/>
        </w:rPr>
        <w:t>1.25</w:t>
      </w:r>
      <w:r>
        <w:rPr>
          <w:rFonts w:ascii="ˎ̥" w:hAnsi="ˎ̥"/>
        </w:rPr>
        <w:t>万元，其中：项目支出结转和结余0万元</w:t>
      </w:r>
      <w:r>
        <w:rPr>
          <w:rFonts w:ascii="Times New Roman" w:hAnsi="Times New Roman" w:cs="Times New Roman"/>
          <w:color w:val="000000"/>
        </w:rPr>
        <w:t>（饼状图）</w:t>
      </w:r>
    </w:p>
    <w:p>
      <w:pPr>
        <w:spacing w:line="600" w:lineRule="exact"/>
        <w:ind w:firstLine="640" w:firstLineChars="200"/>
        <w:rPr>
          <w:rFonts w:ascii="Times New Roman" w:hAnsi="Times New Roman"/>
          <w:color w:val="000000"/>
        </w:rPr>
      </w:pPr>
      <w:r>
        <w:rPr>
          <w:rFonts w:hint="eastAsia" w:ascii="Times New Roman" w:hAnsi="Times New Roman"/>
          <w:color w:val="000000"/>
        </w:rPr>
        <w:drawing>
          <wp:anchor distT="0" distB="0" distL="114300" distR="114300" simplePos="0" relativeHeight="251655168" behindDoc="0" locked="0" layoutInCell="1" allowOverlap="1">
            <wp:simplePos x="0" y="0"/>
            <wp:positionH relativeFrom="column">
              <wp:posOffset>135255</wp:posOffset>
            </wp:positionH>
            <wp:positionV relativeFrom="paragraph">
              <wp:posOffset>146685</wp:posOffset>
            </wp:positionV>
            <wp:extent cx="5060950" cy="2704465"/>
            <wp:effectExtent l="0" t="0" r="6350" b="63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s="Times New Roman"/>
          <w:color w:val="000000"/>
        </w:rPr>
      </w:pPr>
    </w:p>
    <w:p>
      <w:pPr>
        <w:spacing w:line="600" w:lineRule="exact"/>
        <w:ind w:firstLine="640" w:firstLineChars="200"/>
        <w:rPr>
          <w:rFonts w:ascii="Times New Roman" w:hAnsi="Times New Roman" w:cs="Times New Roman"/>
          <w:color w:val="000000"/>
        </w:rPr>
      </w:pPr>
      <w:r>
        <w:rPr>
          <w:rFonts w:ascii="Times New Roman" w:hAnsi="Times New Roman" w:cs="Times New Roman"/>
          <w:color w:val="000000"/>
        </w:rPr>
        <w:t>2016年</w:t>
      </w:r>
      <w:r>
        <w:rPr>
          <w:rFonts w:hint="eastAsia" w:ascii="Times New Roman" w:hAnsi="Times New Roman"/>
          <w:color w:val="000000" w:themeColor="text1"/>
        </w:rPr>
        <w:t>遂宁市妇女联合会</w:t>
      </w:r>
      <w:r>
        <w:rPr>
          <w:rFonts w:ascii="Times New Roman" w:hAnsi="Times New Roman" w:cs="Times New Roman"/>
          <w:color w:val="000000"/>
        </w:rPr>
        <w:t>本年支出合计</w:t>
      </w:r>
      <w:r>
        <w:rPr>
          <w:rFonts w:hint="eastAsia" w:ascii="Times New Roman" w:hAnsi="Times New Roman"/>
          <w:color w:val="000000"/>
        </w:rPr>
        <w:t>351.82</w:t>
      </w:r>
      <w:r>
        <w:rPr>
          <w:rFonts w:ascii="Times New Roman" w:hAnsi="Times New Roman" w:cs="Times New Roman"/>
          <w:color w:val="000000"/>
        </w:rPr>
        <w:t>万元，</w:t>
      </w:r>
      <w:r>
        <w:rPr>
          <w:rFonts w:hint="eastAsia" w:ascii="Times New Roman" w:hAnsi="Times New Roman" w:cs="Times New Roman"/>
          <w:color w:val="000000" w:themeColor="text1"/>
          <w14:textFill>
            <w14:solidFill>
              <w14:schemeClr w14:val="tx1"/>
            </w14:solidFill>
          </w14:textFill>
        </w:rPr>
        <w:t>比2015年增加103.55万元，主要是</w:t>
      </w:r>
      <w:r>
        <w:rPr>
          <w:rFonts w:hint="eastAsia" w:ascii="仿宋" w:hAnsi="仿宋" w:eastAsia="仿宋" w:cs="仿宋"/>
          <w:color w:val="000000" w:themeColor="text1"/>
          <w14:textFill>
            <w14:solidFill>
              <w14:schemeClr w14:val="tx1"/>
            </w14:solidFill>
          </w14:textFill>
        </w:rPr>
        <w:t>行政运行、社保保障以及项目经费支出增加</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其中：基本支出</w:t>
      </w:r>
      <w:r>
        <w:rPr>
          <w:rFonts w:hint="eastAsia" w:ascii="Times New Roman" w:hAnsi="Times New Roman"/>
          <w:color w:val="000000" w:themeColor="text1"/>
          <w14:textFill>
            <w14:solidFill>
              <w14:schemeClr w14:val="tx1"/>
            </w14:solidFill>
          </w14:textFill>
        </w:rPr>
        <w:t>142.58</w:t>
      </w:r>
      <w:r>
        <w:rPr>
          <w:rFonts w:ascii="Times New Roman" w:hAnsi="Times New Roman" w:cs="Times New Roman"/>
          <w:color w:val="000000" w:themeColor="text1"/>
          <w14:textFill>
            <w14:solidFill>
              <w14:schemeClr w14:val="tx1"/>
            </w14:solidFill>
          </w14:textFill>
        </w:rPr>
        <w:t>万</w:t>
      </w:r>
      <w:r>
        <w:rPr>
          <w:rFonts w:ascii="Times New Roman" w:hAnsi="Times New Roman" w:cs="Times New Roman"/>
          <w:color w:val="000000"/>
        </w:rPr>
        <w:t>元，占</w:t>
      </w:r>
      <w:r>
        <w:rPr>
          <w:rFonts w:hint="eastAsia" w:ascii="Times New Roman" w:hAnsi="Times New Roman"/>
          <w:color w:val="000000"/>
        </w:rPr>
        <w:t>40.53</w:t>
      </w:r>
      <w:r>
        <w:rPr>
          <w:rFonts w:ascii="Times New Roman" w:hAnsi="Times New Roman" w:cs="Times New Roman"/>
          <w:color w:val="000000"/>
        </w:rPr>
        <w:t>%；项目支出</w:t>
      </w:r>
      <w:r>
        <w:rPr>
          <w:rFonts w:hint="eastAsia" w:ascii="Times New Roman" w:hAnsi="Times New Roman"/>
          <w:color w:val="000000"/>
        </w:rPr>
        <w:t>209.23</w:t>
      </w:r>
      <w:r>
        <w:rPr>
          <w:rFonts w:ascii="Times New Roman" w:hAnsi="Times New Roman" w:cs="Times New Roman"/>
          <w:color w:val="000000"/>
        </w:rPr>
        <w:t>万元，占</w:t>
      </w:r>
      <w:r>
        <w:rPr>
          <w:rFonts w:hint="eastAsia" w:ascii="Times New Roman" w:hAnsi="Times New Roman"/>
          <w:color w:val="000000"/>
        </w:rPr>
        <w:t>59.47</w:t>
      </w:r>
      <w:r>
        <w:rPr>
          <w:rFonts w:ascii="Times New Roman" w:hAnsi="Times New Roman" w:cs="Times New Roman"/>
          <w:color w:val="000000"/>
        </w:rPr>
        <w:t>%；上缴上级支出</w:t>
      </w:r>
      <w:r>
        <w:rPr>
          <w:rFonts w:hint="eastAsia" w:ascii="Times New Roman" w:hAnsi="Times New Roman"/>
          <w:color w:val="000000"/>
        </w:rPr>
        <w:t>0</w:t>
      </w:r>
      <w:r>
        <w:rPr>
          <w:rFonts w:ascii="Times New Roman" w:hAnsi="Times New Roman" w:cs="Times New Roman"/>
          <w:color w:val="000000"/>
        </w:rPr>
        <w:t>万元，占</w:t>
      </w:r>
      <w:r>
        <w:rPr>
          <w:rFonts w:hint="eastAsia" w:ascii="Times New Roman" w:hAnsi="Times New Roman"/>
          <w:color w:val="000000"/>
        </w:rPr>
        <w:t>0</w:t>
      </w:r>
      <w:r>
        <w:rPr>
          <w:rFonts w:ascii="Times New Roman" w:hAnsi="Times New Roman" w:cs="Times New Roman"/>
          <w:color w:val="000000"/>
        </w:rPr>
        <w:t>%；经营支出</w:t>
      </w:r>
      <w:r>
        <w:rPr>
          <w:rFonts w:hint="eastAsia" w:ascii="Times New Roman" w:hAnsi="Times New Roman"/>
          <w:color w:val="000000"/>
        </w:rPr>
        <w:t>0</w:t>
      </w:r>
      <w:r>
        <w:rPr>
          <w:rFonts w:ascii="Times New Roman" w:hAnsi="Times New Roman" w:cs="Times New Roman"/>
          <w:color w:val="000000"/>
        </w:rPr>
        <w:t>万元，占</w:t>
      </w:r>
      <w:r>
        <w:rPr>
          <w:rFonts w:hint="eastAsia" w:ascii="Times New Roman" w:hAnsi="Times New Roman"/>
          <w:color w:val="000000"/>
        </w:rPr>
        <w:t>0</w:t>
      </w:r>
      <w:r>
        <w:rPr>
          <w:rFonts w:ascii="Times New Roman" w:hAnsi="Times New Roman" w:cs="Times New Roman"/>
          <w:color w:val="000000"/>
        </w:rPr>
        <w:t>%；对附属单位补助支出</w:t>
      </w:r>
      <w:r>
        <w:rPr>
          <w:rFonts w:hint="eastAsia" w:ascii="Times New Roman" w:hAnsi="Times New Roman"/>
          <w:color w:val="000000"/>
        </w:rPr>
        <w:t>0</w:t>
      </w:r>
      <w:r>
        <w:rPr>
          <w:rFonts w:ascii="Times New Roman" w:hAnsi="Times New Roman" w:cs="Times New Roman"/>
          <w:color w:val="000000"/>
        </w:rPr>
        <w:t>万元，占</w:t>
      </w:r>
      <w:r>
        <w:rPr>
          <w:rFonts w:hint="eastAsia" w:ascii="Times New Roman" w:hAnsi="Times New Roman"/>
          <w:color w:val="000000"/>
        </w:rPr>
        <w:t>0</w:t>
      </w:r>
      <w:r>
        <w:rPr>
          <w:rFonts w:ascii="Times New Roman" w:hAnsi="Times New Roman" w:cs="Times New Roman"/>
          <w:color w:val="000000"/>
        </w:rPr>
        <w:t>%。</w:t>
      </w:r>
      <w:r>
        <w:rPr>
          <w:rFonts w:ascii="ˎ̥" w:hAnsi="ˎ̥"/>
        </w:rPr>
        <w:t>年末结转结余合计</w:t>
      </w:r>
      <w:r>
        <w:rPr>
          <w:rFonts w:hint="eastAsia" w:ascii="ˎ̥" w:hAnsi="ˎ̥"/>
        </w:rPr>
        <w:t>0.83</w:t>
      </w:r>
      <w:r>
        <w:rPr>
          <w:rFonts w:ascii="ˎ̥" w:hAnsi="ˎ̥"/>
        </w:rPr>
        <w:t>万元，其中项目支出结转结余</w:t>
      </w:r>
      <w:r>
        <w:rPr>
          <w:rFonts w:hint="eastAsia" w:ascii="ˎ̥" w:hAnsi="ˎ̥"/>
        </w:rPr>
        <w:t>0</w:t>
      </w:r>
      <w:r>
        <w:rPr>
          <w:rFonts w:ascii="ˎ̥" w:hAnsi="ˎ̥"/>
        </w:rPr>
        <w:t>万元</w:t>
      </w:r>
      <w:r>
        <w:rPr>
          <w:rFonts w:ascii="Times New Roman" w:hAnsi="Times New Roman" w:cs="Times New Roman"/>
          <w:color w:val="000000"/>
        </w:rPr>
        <w:t>（饼状图）</w:t>
      </w:r>
    </w:p>
    <w:p>
      <w:pPr>
        <w:spacing w:line="600" w:lineRule="exact"/>
        <w:ind w:firstLine="640" w:firstLineChars="200"/>
        <w:rPr>
          <w:rFonts w:ascii="Times New Roman" w:hAnsi="Times New Roman"/>
          <w:color w:val="000000"/>
        </w:rPr>
      </w:pPr>
      <w:r>
        <w:rPr>
          <w:rFonts w:hint="eastAsia" w:ascii="Times New Roman" w:hAnsi="Times New Roman"/>
          <w:color w:val="000000"/>
        </w:rPr>
        <w:drawing>
          <wp:anchor distT="0" distB="0" distL="114300" distR="114300" simplePos="0" relativeHeight="251656192" behindDoc="1" locked="0" layoutInCell="1" allowOverlap="1">
            <wp:simplePos x="0" y="0"/>
            <wp:positionH relativeFrom="column">
              <wp:posOffset>410845</wp:posOffset>
            </wp:positionH>
            <wp:positionV relativeFrom="paragraph">
              <wp:posOffset>109220</wp:posOffset>
            </wp:positionV>
            <wp:extent cx="4432935" cy="2467610"/>
            <wp:effectExtent l="0" t="0" r="5715" b="889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r>
        <w:rPr>
          <w:rFonts w:ascii="Times New Roman" w:hAnsi="Times New Roman" w:eastAsia="黑体"/>
          <w:color w:val="000000"/>
        </w:rPr>
        <w:t>四、财政拨款收支决算情况</w:t>
      </w:r>
    </w:p>
    <w:p>
      <w:pPr>
        <w:spacing w:line="600" w:lineRule="exact"/>
        <w:ind w:firstLine="640" w:firstLineChars="200"/>
        <w:rPr>
          <w:rFonts w:ascii="Times New Roman" w:hAnsi="Times New Roman" w:cs="Times New Roman"/>
          <w:color w:val="FF0000"/>
        </w:rPr>
      </w:pPr>
      <w:r>
        <w:rPr>
          <w:rFonts w:hint="eastAsia" w:ascii="Times New Roman" w:hAnsi="Times New Roman"/>
          <w:color w:val="000000"/>
        </w:rPr>
        <w:t>遂宁市妇女联合会</w:t>
      </w:r>
      <w:r>
        <w:rPr>
          <w:rFonts w:ascii="Times New Roman" w:hAnsi="Times New Roman" w:cs="Times New Roman"/>
          <w:color w:val="000000"/>
        </w:rPr>
        <w:t>2016年度财政拨款收支总决算</w:t>
      </w:r>
      <w:r>
        <w:rPr>
          <w:rFonts w:hint="eastAsia" w:ascii="Times New Roman" w:hAnsi="Times New Roman"/>
          <w:color w:val="000000"/>
        </w:rPr>
        <w:t>352.14</w:t>
      </w:r>
      <w:r>
        <w:rPr>
          <w:rFonts w:ascii="Times New Roman" w:hAnsi="Times New Roman" w:cs="Times New Roman"/>
          <w:color w:val="000000"/>
        </w:rPr>
        <w:t>万元。与2015年相比，财政拨款收、支总计各增加</w:t>
      </w:r>
      <w:r>
        <w:rPr>
          <w:rFonts w:hint="eastAsia" w:ascii="Times New Roman" w:hAnsi="Times New Roman"/>
          <w:color w:val="000000" w:themeColor="text1"/>
        </w:rPr>
        <w:t>98.20</w:t>
      </w:r>
      <w:r>
        <w:rPr>
          <w:rFonts w:ascii="Times New Roman" w:hAnsi="Times New Roman" w:cs="Times New Roman"/>
          <w:color w:val="000000"/>
        </w:rPr>
        <w:t>万元，增长</w:t>
      </w:r>
      <w:r>
        <w:rPr>
          <w:rFonts w:hint="eastAsia" w:ascii="Times New Roman" w:hAnsi="Times New Roman"/>
          <w:color w:val="000000" w:themeColor="text1"/>
        </w:rPr>
        <w:t>38.67</w:t>
      </w:r>
      <w:r>
        <w:rPr>
          <w:rFonts w:ascii="Times New Roman" w:hAnsi="Times New Roman" w:cs="Times New Roman"/>
          <w:color w:val="000000"/>
        </w:rPr>
        <w:t>%。</w:t>
      </w:r>
      <w:r>
        <w:rPr>
          <w:rFonts w:hint="eastAsia" w:ascii="Times New Roman" w:hAnsi="Times New Roman" w:cs="Times New Roman"/>
          <w:color w:val="000000" w:themeColor="text1"/>
          <w14:textFill>
            <w14:solidFill>
              <w14:schemeClr w14:val="tx1"/>
            </w14:solidFill>
          </w14:textFill>
        </w:rPr>
        <w:t>主要是</w:t>
      </w:r>
      <w:r>
        <w:rPr>
          <w:rFonts w:hint="eastAsia" w:ascii="仿宋" w:hAnsi="仿宋" w:eastAsia="仿宋" w:cs="仿宋"/>
          <w:color w:val="000000" w:themeColor="text1"/>
          <w14:textFill>
            <w14:solidFill>
              <w14:schemeClr w14:val="tx1"/>
            </w14:solidFill>
          </w14:textFill>
        </w:rPr>
        <w:t>行</w:t>
      </w:r>
      <w:r>
        <w:rPr>
          <w:rFonts w:hint="eastAsia" w:ascii="仿宋" w:hAnsi="仿宋" w:eastAsia="仿宋" w:cs="仿宋"/>
        </w:rPr>
        <w:t>政运行、社保保障以及项目经费支出增加。</w:t>
      </w:r>
      <w:r>
        <w:rPr>
          <w:rFonts w:ascii="Times New Roman" w:hAnsi="Times New Roman" w:cs="Times New Roman"/>
          <w:color w:val="000000"/>
        </w:rPr>
        <w:t>（柱状图）</w:t>
      </w:r>
    </w:p>
    <w:p>
      <w:pPr>
        <w:spacing w:line="600" w:lineRule="exact"/>
        <w:ind w:firstLine="640" w:firstLineChars="200"/>
        <w:rPr>
          <w:rFonts w:ascii="Times New Roman" w:hAnsi="Times New Roman"/>
          <w:color w:val="000000"/>
        </w:rPr>
      </w:pPr>
      <w:r>
        <w:rPr>
          <w:rFonts w:hint="eastAsia" w:ascii="Times New Roman" w:hAnsi="Times New Roman"/>
          <w:color w:val="000000"/>
        </w:rPr>
        <w:drawing>
          <wp:anchor distT="0" distB="0" distL="114300" distR="114300" simplePos="0" relativeHeight="251657216" behindDoc="0" locked="0" layoutInCell="1" allowOverlap="1">
            <wp:simplePos x="0" y="0"/>
            <wp:positionH relativeFrom="column">
              <wp:posOffset>600710</wp:posOffset>
            </wp:positionH>
            <wp:positionV relativeFrom="paragraph">
              <wp:posOffset>23495</wp:posOffset>
            </wp:positionV>
            <wp:extent cx="3909060" cy="2152650"/>
            <wp:effectExtent l="4445" t="4445" r="10795" b="1460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rPr>
          <w:rFonts w:ascii="Times New Roman" w:hAnsi="Times New Roman"/>
          <w:b/>
          <w:i/>
          <w:color w:val="404040"/>
        </w:rPr>
      </w:pPr>
      <w:r>
        <w:rPr>
          <w:rFonts w:ascii="Times New Roman" w:hAnsi="Times New Roman"/>
          <w:b/>
          <w:i/>
          <w:color w:val="404040"/>
        </w:rPr>
        <w:t>（数据来源财决Z01-1表，口径为“总计”数）</w:t>
      </w:r>
    </w:p>
    <w:p>
      <w:pPr>
        <w:spacing w:line="600" w:lineRule="exact"/>
        <w:ind w:firstLine="640" w:firstLineChars="200"/>
        <w:rPr>
          <w:rFonts w:ascii="Times New Roman" w:hAnsi="Times New Roman" w:eastAsia="黑体"/>
          <w:color w:val="000000"/>
        </w:rPr>
      </w:pPr>
    </w:p>
    <w:p>
      <w:pPr>
        <w:spacing w:line="600" w:lineRule="exact"/>
        <w:ind w:firstLine="640" w:firstLineChars="200"/>
        <w:rPr>
          <w:rFonts w:ascii="Times New Roman" w:hAnsi="Times New Roman" w:eastAsia="黑体"/>
          <w:color w:val="000000"/>
        </w:rPr>
      </w:pPr>
      <w:r>
        <w:rPr>
          <w:rFonts w:ascii="Times New Roman" w:hAnsi="Times New Roman" w:eastAsia="黑体"/>
          <w:color w:val="000000"/>
        </w:rPr>
        <w:t>五、一般公共预算财政拨款支出决算情况</w:t>
      </w:r>
    </w:p>
    <w:p>
      <w:pPr>
        <w:spacing w:line="600" w:lineRule="exact"/>
        <w:ind w:firstLine="640" w:firstLineChars="200"/>
        <w:rPr>
          <w:rFonts w:ascii="楷体_GB2312" w:eastAsia="楷体_GB2312"/>
          <w:color w:val="000000"/>
        </w:rPr>
      </w:pPr>
      <w:r>
        <w:rPr>
          <w:rFonts w:hint="eastAsia" w:ascii="楷体_GB2312" w:eastAsia="楷体_GB2312"/>
          <w:color w:val="000000"/>
        </w:rPr>
        <w:t>（一）一般公共预算财政拨款支出决算总体情况</w:t>
      </w:r>
    </w:p>
    <w:p>
      <w:pPr>
        <w:spacing w:line="600" w:lineRule="exact"/>
        <w:ind w:firstLine="640" w:firstLineChars="200"/>
        <w:rPr>
          <w:rFonts w:ascii="Times New Roman" w:hAnsi="Times New Roman" w:cs="Times New Roman"/>
          <w:color w:val="000000"/>
        </w:rPr>
      </w:pPr>
      <w:r>
        <w:rPr>
          <w:rFonts w:hint="eastAsia" w:ascii="Times New Roman" w:hAnsi="Times New Roman"/>
          <w:color w:val="000000"/>
        </w:rPr>
        <w:t>遂宁市妇女联合会</w:t>
      </w:r>
      <w:r>
        <w:rPr>
          <w:rFonts w:ascii="Times New Roman" w:hAnsi="Times New Roman" w:cs="Times New Roman"/>
          <w:color w:val="000000"/>
        </w:rPr>
        <w:t>2016年度一般公共预算财政拨款支出</w:t>
      </w:r>
      <w:r>
        <w:rPr>
          <w:rFonts w:hint="eastAsia" w:ascii="Times New Roman" w:hAnsi="Times New Roman"/>
          <w:color w:val="000000"/>
        </w:rPr>
        <w:t>351.65</w:t>
      </w:r>
      <w:r>
        <w:rPr>
          <w:rFonts w:ascii="Times New Roman" w:hAnsi="Times New Roman" w:cs="Times New Roman"/>
          <w:color w:val="000000"/>
        </w:rPr>
        <w:t>万元，占本年支出合计的</w:t>
      </w:r>
      <w:r>
        <w:rPr>
          <w:rFonts w:hint="eastAsia" w:ascii="Times New Roman" w:hAnsi="Times New Roman"/>
          <w:color w:val="000000"/>
        </w:rPr>
        <w:t>99.95</w:t>
      </w:r>
      <w:r>
        <w:rPr>
          <w:rFonts w:ascii="Times New Roman" w:hAnsi="Times New Roman" w:cs="Times New Roman"/>
          <w:color w:val="000000"/>
        </w:rPr>
        <w:t>%。与2015年相比，一般公共预算财政拨款增加</w:t>
      </w:r>
      <w:r>
        <w:rPr>
          <w:rFonts w:hint="eastAsia" w:ascii="Times New Roman" w:hAnsi="Times New Roman"/>
          <w:color w:val="000000" w:themeColor="text1"/>
        </w:rPr>
        <w:t>115.66</w:t>
      </w:r>
      <w:r>
        <w:rPr>
          <w:rFonts w:ascii="Times New Roman" w:hAnsi="Times New Roman" w:cs="Times New Roman"/>
          <w:color w:val="000000"/>
        </w:rPr>
        <w:t>万元，增长</w:t>
      </w:r>
      <w:r>
        <w:rPr>
          <w:rFonts w:hint="eastAsia" w:ascii="Times New Roman" w:hAnsi="Times New Roman"/>
          <w:color w:val="000000" w:themeColor="text1"/>
        </w:rPr>
        <w:t>49.01</w:t>
      </w:r>
      <w:r>
        <w:rPr>
          <w:rFonts w:ascii="Times New Roman" w:hAnsi="Times New Roman" w:cs="Times New Roman"/>
          <w:color w:val="000000"/>
        </w:rPr>
        <w:t>%。（柱状图）</w:t>
      </w:r>
    </w:p>
    <w:p>
      <w:pPr>
        <w:spacing w:line="600" w:lineRule="exact"/>
        <w:ind w:firstLine="640" w:firstLineChars="200"/>
        <w:rPr>
          <w:rFonts w:ascii="Times New Roman" w:hAnsi="Times New Roman"/>
          <w:color w:val="000000"/>
        </w:rPr>
      </w:pPr>
      <w:r>
        <w:rPr>
          <w:rFonts w:hint="eastAsia" w:ascii="Times New Roman" w:hAnsi="Times New Roman"/>
          <w:color w:val="000000"/>
        </w:rPr>
        <w:drawing>
          <wp:anchor distT="0" distB="0" distL="114300" distR="114300" simplePos="0" relativeHeight="251659264" behindDoc="1" locked="0" layoutInCell="1" allowOverlap="1">
            <wp:simplePos x="0" y="0"/>
            <wp:positionH relativeFrom="column">
              <wp:posOffset>842645</wp:posOffset>
            </wp:positionH>
            <wp:positionV relativeFrom="paragraph">
              <wp:posOffset>90170</wp:posOffset>
            </wp:positionV>
            <wp:extent cx="3547110" cy="2086610"/>
            <wp:effectExtent l="0" t="0" r="15240" b="889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rPr>
          <w:rFonts w:ascii="Times New Roman" w:hAnsi="Times New Roman"/>
          <w:color w:val="000000"/>
        </w:rPr>
      </w:pPr>
    </w:p>
    <w:p>
      <w:pPr>
        <w:spacing w:line="600" w:lineRule="exact"/>
        <w:ind w:firstLine="640" w:firstLineChars="200"/>
        <w:rPr>
          <w:rFonts w:ascii="楷体_GB2312" w:eastAsia="楷体_GB2312"/>
          <w:color w:val="000000"/>
        </w:rPr>
      </w:pPr>
      <w:r>
        <w:rPr>
          <w:rFonts w:hint="eastAsia" w:ascii="楷体_GB2312" w:eastAsia="楷体_GB2312"/>
          <w:color w:val="000000"/>
        </w:rPr>
        <w:t>（二）一般公共预算财政拨款支出决算结构情况</w:t>
      </w:r>
    </w:p>
    <w:p>
      <w:pPr>
        <w:spacing w:line="600" w:lineRule="exact"/>
        <w:ind w:firstLine="640" w:firstLineChars="200"/>
        <w:rPr>
          <w:rFonts w:ascii="Times New Roman" w:hAnsi="Times New Roman" w:cs="Times New Roman"/>
          <w:color w:val="000000"/>
        </w:rPr>
      </w:pPr>
      <w:r>
        <w:rPr>
          <w:rFonts w:hint="eastAsia" w:ascii="Times New Roman" w:hAnsi="Times New Roman" w:cs="Times New Roman"/>
          <w:color w:val="000000"/>
        </w:rPr>
        <w:t>遂宁市妇女联合会</w:t>
      </w:r>
      <w:r>
        <w:rPr>
          <w:rFonts w:ascii="Times New Roman" w:hAnsi="Times New Roman" w:cs="Times New Roman"/>
          <w:color w:val="000000"/>
        </w:rPr>
        <w:t>2016年一般公共预算财政拨款支出</w:t>
      </w:r>
      <w:r>
        <w:rPr>
          <w:rFonts w:hint="eastAsia" w:ascii="Times New Roman" w:hAnsi="Times New Roman"/>
          <w:color w:val="000000"/>
        </w:rPr>
        <w:t>351.65</w:t>
      </w:r>
      <w:r>
        <w:rPr>
          <w:rFonts w:ascii="Times New Roman" w:hAnsi="Times New Roman" w:cs="Times New Roman"/>
          <w:color w:val="000000"/>
        </w:rPr>
        <w:t>万元，主要用于以下方面:一般公共服务支出</w:t>
      </w:r>
      <w:r>
        <w:rPr>
          <w:rFonts w:hint="eastAsia" w:ascii="Times New Roman" w:hAnsi="Times New Roman"/>
          <w:color w:val="000000"/>
        </w:rPr>
        <w:t>337.11</w:t>
      </w:r>
      <w:r>
        <w:rPr>
          <w:rFonts w:ascii="Times New Roman" w:hAnsi="Times New Roman" w:cs="Times New Roman"/>
          <w:color w:val="000000"/>
        </w:rPr>
        <w:t>万元，占</w:t>
      </w:r>
      <w:r>
        <w:rPr>
          <w:rFonts w:hint="eastAsia" w:ascii="Times New Roman" w:hAnsi="Times New Roman"/>
          <w:color w:val="000000"/>
        </w:rPr>
        <w:t>95.87</w:t>
      </w:r>
      <w:r>
        <w:rPr>
          <w:rFonts w:ascii="Times New Roman" w:hAnsi="Times New Roman" w:cs="Times New Roman"/>
          <w:color w:val="000000"/>
        </w:rPr>
        <w:t>%；教育支出</w:t>
      </w:r>
      <w:r>
        <w:rPr>
          <w:rFonts w:hint="eastAsia" w:ascii="Times New Roman" w:hAnsi="Times New Roman"/>
          <w:color w:val="000000"/>
        </w:rPr>
        <w:t>0</w:t>
      </w:r>
      <w:r>
        <w:rPr>
          <w:rFonts w:ascii="Times New Roman" w:hAnsi="Times New Roman" w:cs="Times New Roman"/>
          <w:color w:val="000000"/>
        </w:rPr>
        <w:t>万元，占</w:t>
      </w:r>
      <w:r>
        <w:rPr>
          <w:rFonts w:hint="eastAsia" w:ascii="Times New Roman" w:hAnsi="Times New Roman"/>
          <w:color w:val="000000"/>
        </w:rPr>
        <w:t>0</w:t>
      </w:r>
      <w:r>
        <w:rPr>
          <w:rFonts w:ascii="Times New Roman" w:hAnsi="Times New Roman" w:cs="Times New Roman"/>
          <w:color w:val="000000"/>
        </w:rPr>
        <w:t>%；社会保障和就业支出</w:t>
      </w:r>
      <w:r>
        <w:rPr>
          <w:rFonts w:hint="eastAsia" w:ascii="Times New Roman" w:hAnsi="Times New Roman"/>
          <w:color w:val="000000"/>
        </w:rPr>
        <w:t>0.58</w:t>
      </w:r>
      <w:r>
        <w:rPr>
          <w:rFonts w:ascii="Times New Roman" w:hAnsi="Times New Roman" w:cs="Times New Roman"/>
          <w:color w:val="000000"/>
        </w:rPr>
        <w:t>万元，占</w:t>
      </w:r>
      <w:r>
        <w:rPr>
          <w:rFonts w:hint="eastAsia" w:ascii="Times New Roman" w:hAnsi="Times New Roman"/>
          <w:color w:val="000000"/>
        </w:rPr>
        <w:t>0.16</w:t>
      </w:r>
      <w:r>
        <w:rPr>
          <w:rFonts w:ascii="Times New Roman" w:hAnsi="Times New Roman" w:cs="Times New Roman"/>
          <w:color w:val="000000"/>
        </w:rPr>
        <w:t>%；</w:t>
      </w:r>
      <w:r>
        <w:rPr>
          <w:rFonts w:ascii="Times New Roman" w:hAnsi="Times New Roman" w:cs="Times New Roman"/>
          <w:color w:val="000000" w:themeColor="text1"/>
          <w14:textFill>
            <w14:solidFill>
              <w14:schemeClr w14:val="tx1"/>
            </w14:solidFill>
          </w14:textFill>
        </w:rPr>
        <w:t>医疗卫生支出</w:t>
      </w:r>
      <w:r>
        <w:rPr>
          <w:rFonts w:hint="eastAsia" w:ascii="Times New Roman" w:hAnsi="Times New Roman"/>
          <w:color w:val="000000" w:themeColor="text1"/>
          <w14:textFill>
            <w14:solidFill>
              <w14:schemeClr w14:val="tx1"/>
            </w14:solidFill>
          </w14:textFill>
        </w:rPr>
        <w:t>6.48</w:t>
      </w:r>
      <w:r>
        <w:rPr>
          <w:rFonts w:ascii="Times New Roman" w:hAnsi="Times New Roman" w:cs="Times New Roman"/>
          <w:color w:val="000000" w:themeColor="text1"/>
          <w14:textFill>
            <w14:solidFill>
              <w14:schemeClr w14:val="tx1"/>
            </w14:solidFill>
          </w14:textFill>
        </w:rPr>
        <w:t>万元，</w:t>
      </w:r>
      <w:r>
        <w:rPr>
          <w:rFonts w:ascii="Times New Roman" w:hAnsi="Times New Roman" w:cs="Times New Roman"/>
          <w:color w:val="000000"/>
        </w:rPr>
        <w:t>占</w:t>
      </w:r>
      <w:r>
        <w:rPr>
          <w:rFonts w:hint="eastAsia" w:ascii="Times New Roman" w:hAnsi="Times New Roman"/>
          <w:color w:val="000000"/>
        </w:rPr>
        <w:t>1.84</w:t>
      </w:r>
      <w:r>
        <w:rPr>
          <w:rFonts w:ascii="Times New Roman" w:hAnsi="Times New Roman" w:cs="Times New Roman"/>
          <w:color w:val="000000"/>
        </w:rPr>
        <w:t>%；住房保障支出</w:t>
      </w:r>
      <w:r>
        <w:rPr>
          <w:rFonts w:hint="eastAsia" w:ascii="Times New Roman" w:hAnsi="Times New Roman"/>
          <w:color w:val="000000"/>
        </w:rPr>
        <w:t>7.49</w:t>
      </w:r>
      <w:r>
        <w:rPr>
          <w:rFonts w:ascii="Times New Roman" w:hAnsi="Times New Roman" w:cs="Times New Roman"/>
          <w:color w:val="000000"/>
        </w:rPr>
        <w:t>万元，占</w:t>
      </w:r>
      <w:r>
        <w:rPr>
          <w:rFonts w:hint="eastAsia" w:ascii="Times New Roman" w:hAnsi="Times New Roman"/>
          <w:color w:val="000000"/>
        </w:rPr>
        <w:t>2.13</w:t>
      </w:r>
      <w:r>
        <w:rPr>
          <w:rFonts w:ascii="Times New Roman" w:hAnsi="Times New Roman" w:cs="Times New Roman"/>
          <w:color w:val="000000"/>
        </w:rPr>
        <w:t>%；…。（饼状图）</w:t>
      </w:r>
    </w:p>
    <w:p>
      <w:pPr>
        <w:spacing w:line="600" w:lineRule="exact"/>
        <w:ind w:firstLine="640" w:firstLineChars="200"/>
        <w:rPr>
          <w:rFonts w:ascii="Times New Roman" w:hAnsi="Times New Roman"/>
          <w:color w:val="000000"/>
        </w:rPr>
      </w:pPr>
      <w:r>
        <w:rPr>
          <w:rFonts w:hint="eastAsia" w:ascii="Times New Roman" w:hAnsi="Times New Roman"/>
          <w:color w:val="000000"/>
        </w:rPr>
        <w:drawing>
          <wp:anchor distT="0" distB="0" distL="114300" distR="114300" simplePos="0" relativeHeight="251658240" behindDoc="0" locked="0" layoutInCell="1" allowOverlap="1">
            <wp:simplePos x="0" y="0"/>
            <wp:positionH relativeFrom="column">
              <wp:posOffset>410845</wp:posOffset>
            </wp:positionH>
            <wp:positionV relativeFrom="paragraph">
              <wp:posOffset>13970</wp:posOffset>
            </wp:positionV>
            <wp:extent cx="4432300" cy="2191385"/>
            <wp:effectExtent l="0" t="0" r="635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firstLineChars="200"/>
        <w:rPr>
          <w:rFonts w:ascii="Times New Roman" w:hAnsi="Times New Roman"/>
          <w:color w:val="000000"/>
        </w:rPr>
      </w:pPr>
    </w:p>
    <w:p>
      <w:pPr>
        <w:spacing w:line="600" w:lineRule="exact"/>
        <w:ind w:firstLine="640"/>
        <w:rPr>
          <w:rFonts w:ascii="Times New Roman" w:hAnsi="Times New Roman"/>
          <w:i/>
          <w:color w:val="404040"/>
        </w:rPr>
      </w:pPr>
      <w:r>
        <w:rPr>
          <w:rFonts w:ascii="Times New Roman" w:hAnsi="Times New Roman"/>
          <w:b/>
          <w:i/>
          <w:color w:val="404040"/>
        </w:rPr>
        <w:t>（罗列全部功能分类科目，至类级）</w:t>
      </w:r>
    </w:p>
    <w:p>
      <w:pPr>
        <w:spacing w:line="600" w:lineRule="exact"/>
        <w:ind w:firstLine="640" w:firstLineChars="200"/>
        <w:rPr>
          <w:rFonts w:ascii="楷体_GB2312" w:eastAsia="楷体_GB2312"/>
          <w:color w:val="000000"/>
        </w:rPr>
      </w:pPr>
      <w:r>
        <w:rPr>
          <w:rFonts w:hint="eastAsia" w:ascii="楷体_GB2312" w:eastAsia="楷体_GB2312"/>
          <w:color w:val="000000"/>
        </w:rPr>
        <w:t>（三）一般公共预算财政拨款支出决算具体情况</w:t>
      </w:r>
    </w:p>
    <w:p>
      <w:pPr>
        <w:spacing w:line="600" w:lineRule="exact"/>
        <w:ind w:firstLine="643" w:firstLineChars="200"/>
        <w:rPr>
          <w:rFonts w:ascii="Times New Roman" w:hAnsi="Times New Roman" w:cs="Times New Roman"/>
          <w:color w:val="000000"/>
        </w:rPr>
      </w:pPr>
      <w:r>
        <w:rPr>
          <w:rStyle w:val="6"/>
          <w:rFonts w:ascii="Times New Roman" w:hAnsi="Times New Roman" w:cs="Times New Roman"/>
          <w:color w:val="000000"/>
        </w:rPr>
        <w:t xml:space="preserve">1. </w:t>
      </w:r>
      <w:r>
        <w:rPr>
          <w:rStyle w:val="6"/>
          <w:rFonts w:ascii="Times New Roman" w:hAnsi="Times New Roman"/>
          <w:color w:val="000000"/>
        </w:rPr>
        <w:t>一般公共服务（</w:t>
      </w:r>
      <w:r>
        <w:rPr>
          <w:rStyle w:val="6"/>
          <w:rFonts w:hint="eastAsia" w:ascii="Times New Roman" w:hAnsi="Times New Roman"/>
          <w:color w:val="000000"/>
        </w:rPr>
        <w:t>201</w:t>
      </w:r>
      <w:r>
        <w:rPr>
          <w:rStyle w:val="6"/>
          <w:rFonts w:ascii="Times New Roman" w:hAnsi="Times New Roman" w:cs="Times New Roman"/>
          <w:color w:val="000000"/>
        </w:rPr>
        <w:t>）</w:t>
      </w:r>
      <w:r>
        <w:rPr>
          <w:rStyle w:val="6"/>
          <w:rFonts w:hint="eastAsia" w:ascii="Times New Roman" w:hAnsi="Times New Roman"/>
          <w:color w:val="000000"/>
        </w:rPr>
        <w:t>群众团体事务</w:t>
      </w:r>
      <w:r>
        <w:rPr>
          <w:rStyle w:val="6"/>
          <w:rFonts w:ascii="Times New Roman" w:hAnsi="Times New Roman"/>
          <w:color w:val="000000"/>
        </w:rPr>
        <w:t>（</w:t>
      </w:r>
      <w:r>
        <w:rPr>
          <w:rStyle w:val="6"/>
          <w:rFonts w:hint="eastAsia" w:ascii="Times New Roman" w:hAnsi="Times New Roman"/>
          <w:color w:val="000000"/>
        </w:rPr>
        <w:t>29</w:t>
      </w:r>
      <w:r>
        <w:rPr>
          <w:rStyle w:val="6"/>
          <w:rFonts w:ascii="Times New Roman" w:hAnsi="Times New Roman" w:cs="Times New Roman"/>
          <w:color w:val="000000"/>
        </w:rPr>
        <w:t>）</w:t>
      </w:r>
      <w:r>
        <w:rPr>
          <w:rStyle w:val="6"/>
          <w:rFonts w:hint="eastAsia" w:ascii="Times New Roman" w:hAnsi="Times New Roman"/>
          <w:color w:val="000000"/>
        </w:rPr>
        <w:t>行政运行</w:t>
      </w:r>
      <w:r>
        <w:rPr>
          <w:rStyle w:val="6"/>
          <w:rFonts w:ascii="Times New Roman" w:hAnsi="Times New Roman"/>
          <w:color w:val="000000"/>
        </w:rPr>
        <w:t>（</w:t>
      </w:r>
      <w:r>
        <w:rPr>
          <w:rStyle w:val="6"/>
          <w:rFonts w:hint="eastAsia" w:ascii="Times New Roman" w:hAnsi="Times New Roman"/>
          <w:color w:val="000000"/>
        </w:rPr>
        <w:t>01</w:t>
      </w:r>
      <w:r>
        <w:rPr>
          <w:rStyle w:val="6"/>
          <w:rFonts w:ascii="Times New Roman" w:hAnsi="Times New Roman" w:cs="Times New Roman"/>
          <w:color w:val="000000"/>
        </w:rPr>
        <w:t>）:</w:t>
      </w:r>
      <w:r>
        <w:rPr>
          <w:rFonts w:ascii="Times New Roman" w:hAnsi="Times New Roman" w:cs="Times New Roman"/>
          <w:color w:val="000000"/>
        </w:rPr>
        <w:t>2016年决算数为</w:t>
      </w:r>
      <w:r>
        <w:rPr>
          <w:rFonts w:hint="eastAsia" w:ascii="Times New Roman" w:hAnsi="Times New Roman"/>
          <w:color w:val="000000"/>
        </w:rPr>
        <w:t>127.67</w:t>
      </w:r>
      <w:r>
        <w:rPr>
          <w:rFonts w:ascii="Times New Roman" w:hAnsi="Times New Roman" w:cs="Times New Roman"/>
          <w:color w:val="000000"/>
        </w:rPr>
        <w:t>万元，完成预算</w:t>
      </w:r>
      <w:r>
        <w:rPr>
          <w:rFonts w:hint="eastAsia" w:ascii="Times New Roman" w:hAnsi="Times New Roman"/>
          <w:color w:val="000000"/>
        </w:rPr>
        <w:t>100</w:t>
      </w:r>
      <w:r>
        <w:rPr>
          <w:rFonts w:ascii="Times New Roman" w:hAnsi="Times New Roman" w:cs="Times New Roman"/>
          <w:color w:val="000000"/>
        </w:rPr>
        <w:t>%</w:t>
      </w:r>
      <w:r>
        <w:rPr>
          <w:rFonts w:ascii="Times New Roman" w:hAnsi="Times New Roman"/>
          <w:color w:val="000000"/>
        </w:rPr>
        <w:t>，决算数</w:t>
      </w:r>
      <w:r>
        <w:rPr>
          <w:rFonts w:hint="eastAsia" w:ascii="Times New Roman" w:hAnsi="Times New Roman"/>
          <w:color w:val="000000"/>
        </w:rPr>
        <w:t>等于</w:t>
      </w:r>
      <w:r>
        <w:rPr>
          <w:rFonts w:ascii="Times New Roman" w:hAnsi="Times New Roman" w:cs="Times New Roman"/>
          <w:color w:val="000000"/>
        </w:rPr>
        <w:t>预算数。</w:t>
      </w:r>
    </w:p>
    <w:p>
      <w:pPr>
        <w:spacing w:line="600" w:lineRule="exact"/>
        <w:ind w:firstLine="643" w:firstLineChars="200"/>
        <w:rPr>
          <w:rStyle w:val="6"/>
          <w:rFonts w:ascii="Times New Roman" w:hAnsi="Times New Roman"/>
          <w:color w:val="000000"/>
        </w:rPr>
      </w:pPr>
      <w:r>
        <w:rPr>
          <w:rStyle w:val="6"/>
          <w:rFonts w:hint="eastAsia" w:ascii="Times New Roman" w:hAnsi="Times New Roman"/>
          <w:color w:val="000000"/>
        </w:rPr>
        <w:t>2.一般公共服务（201）群众团体事务（29）一般行政管理事务（02）：</w:t>
      </w:r>
      <w:r>
        <w:rPr>
          <w:rStyle w:val="6"/>
          <w:rFonts w:hint="eastAsia" w:ascii="Times New Roman" w:hAnsi="Times New Roman"/>
          <w:b w:val="0"/>
          <w:color w:val="000000"/>
        </w:rPr>
        <w:t>2016年决算数为45.24万元，完成预算100%，决算数等于预算数。</w:t>
      </w:r>
    </w:p>
    <w:p>
      <w:pPr>
        <w:spacing w:line="600" w:lineRule="exact"/>
        <w:ind w:firstLine="643" w:firstLineChars="200"/>
        <w:rPr>
          <w:rStyle w:val="6"/>
          <w:rFonts w:ascii="Times New Roman" w:hAnsi="Times New Roman"/>
          <w:b w:val="0"/>
          <w:color w:val="000000"/>
        </w:rPr>
      </w:pPr>
      <w:r>
        <w:rPr>
          <w:rStyle w:val="6"/>
          <w:rFonts w:hint="eastAsia" w:ascii="Times New Roman" w:hAnsi="Times New Roman"/>
          <w:color w:val="000000"/>
        </w:rPr>
        <w:t>3. 一般公共服务（201）群众团体事务（29）其他群众团体事务支出（99）</w:t>
      </w:r>
      <w:r>
        <w:rPr>
          <w:rStyle w:val="6"/>
          <w:rFonts w:hint="eastAsia" w:ascii="Times New Roman" w:hAnsi="Times New Roman"/>
          <w:b w:val="0"/>
          <w:color w:val="000000"/>
        </w:rPr>
        <w:t>:2016年决算数为164.00万元，完成预算100%，决算数等于预算数。</w:t>
      </w:r>
    </w:p>
    <w:p>
      <w:pPr>
        <w:spacing w:line="600" w:lineRule="exact"/>
        <w:ind w:firstLine="643" w:firstLineChars="200"/>
        <w:rPr>
          <w:rStyle w:val="6"/>
          <w:rFonts w:ascii="Times New Roman" w:hAnsi="Times New Roman"/>
          <w:b w:val="0"/>
          <w:color w:val="000000"/>
        </w:rPr>
      </w:pPr>
      <w:r>
        <w:rPr>
          <w:rStyle w:val="6"/>
          <w:rFonts w:hint="eastAsia" w:ascii="Times New Roman" w:hAnsi="Times New Roman"/>
          <w:color w:val="000000"/>
        </w:rPr>
        <w:t>4. 一般公共服务（201）党委办公室（厅）及相关机构事务（31）行政运行（01）</w:t>
      </w:r>
      <w:r>
        <w:rPr>
          <w:rStyle w:val="6"/>
          <w:rFonts w:hint="eastAsia" w:ascii="Times New Roman" w:hAnsi="Times New Roman"/>
          <w:b w:val="0"/>
          <w:color w:val="000000"/>
        </w:rPr>
        <w:t>:2016年决算数为0.20万元，完成预算100%，决算数等于预算数。</w:t>
      </w:r>
    </w:p>
    <w:p>
      <w:pPr>
        <w:spacing w:line="600" w:lineRule="exact"/>
        <w:ind w:firstLine="643" w:firstLineChars="200"/>
        <w:rPr>
          <w:rFonts w:ascii="Times New Roman" w:hAnsi="Times New Roman" w:cs="Times New Roman"/>
          <w:color w:val="000000"/>
        </w:rPr>
      </w:pPr>
      <w:r>
        <w:rPr>
          <w:rStyle w:val="6"/>
          <w:rFonts w:hint="eastAsia" w:ascii="Times New Roman" w:hAnsi="Times New Roman"/>
          <w:color w:val="000000"/>
        </w:rPr>
        <w:t>5</w:t>
      </w:r>
      <w:r>
        <w:rPr>
          <w:rStyle w:val="6"/>
          <w:rFonts w:ascii="Times New Roman" w:hAnsi="Times New Roman" w:cs="Times New Roman"/>
          <w:color w:val="000000"/>
        </w:rPr>
        <w:t>. 教育（类）***（款）***（项）:</w:t>
      </w:r>
      <w:r>
        <w:rPr>
          <w:rFonts w:ascii="Times New Roman" w:hAnsi="Times New Roman" w:cs="Times New Roman"/>
          <w:color w:val="000000"/>
        </w:rPr>
        <w:t>2016年决算数为</w:t>
      </w:r>
      <w:r>
        <w:rPr>
          <w:rFonts w:hint="eastAsia" w:ascii="Times New Roman" w:hAnsi="Times New Roman"/>
          <w:color w:val="000000"/>
        </w:rPr>
        <w:t>0</w:t>
      </w:r>
      <w:r>
        <w:rPr>
          <w:rFonts w:ascii="Times New Roman" w:hAnsi="Times New Roman" w:cs="Times New Roman"/>
          <w:color w:val="000000"/>
        </w:rPr>
        <w:t>万元，完成预算</w:t>
      </w:r>
      <w:r>
        <w:rPr>
          <w:rFonts w:hint="eastAsia" w:ascii="Times New Roman" w:hAnsi="Times New Roman"/>
          <w:color w:val="000000"/>
        </w:rPr>
        <w:t>0</w:t>
      </w:r>
      <w:r>
        <w:rPr>
          <w:rFonts w:ascii="Times New Roman" w:hAnsi="Times New Roman" w:cs="Times New Roman"/>
          <w:color w:val="000000"/>
        </w:rPr>
        <w:t>%。</w:t>
      </w:r>
    </w:p>
    <w:p>
      <w:pPr>
        <w:spacing w:line="600" w:lineRule="exact"/>
        <w:ind w:firstLine="643" w:firstLineChars="200"/>
        <w:rPr>
          <w:rFonts w:ascii="Times New Roman" w:hAnsi="Times New Roman" w:cs="Times New Roman"/>
          <w:color w:val="000000"/>
        </w:rPr>
      </w:pPr>
      <w:r>
        <w:rPr>
          <w:rStyle w:val="6"/>
          <w:rFonts w:hint="eastAsia" w:ascii="Times New Roman" w:hAnsi="Times New Roman"/>
          <w:color w:val="000000"/>
        </w:rPr>
        <w:t>6</w:t>
      </w:r>
      <w:r>
        <w:rPr>
          <w:rStyle w:val="6"/>
          <w:rFonts w:ascii="Times New Roman" w:hAnsi="Times New Roman" w:cs="Times New Roman"/>
          <w:color w:val="000000"/>
        </w:rPr>
        <w:t>. 科学技术（类）***（款）***（项）:</w:t>
      </w:r>
      <w:r>
        <w:rPr>
          <w:rFonts w:ascii="Times New Roman" w:hAnsi="Times New Roman" w:cs="Times New Roman"/>
          <w:color w:val="000000"/>
        </w:rPr>
        <w:t>2016年决算数为</w:t>
      </w:r>
      <w:r>
        <w:rPr>
          <w:rFonts w:hint="eastAsia" w:ascii="Times New Roman" w:hAnsi="Times New Roman"/>
          <w:color w:val="000000"/>
        </w:rPr>
        <w:t>0</w:t>
      </w:r>
      <w:r>
        <w:rPr>
          <w:rFonts w:ascii="Times New Roman" w:hAnsi="Times New Roman" w:cs="Times New Roman"/>
          <w:color w:val="000000"/>
        </w:rPr>
        <w:t>万元，完成预算</w:t>
      </w:r>
      <w:r>
        <w:rPr>
          <w:rFonts w:hint="eastAsia" w:ascii="Times New Roman" w:hAnsi="Times New Roman"/>
          <w:color w:val="000000"/>
        </w:rPr>
        <w:t>0</w:t>
      </w:r>
      <w:r>
        <w:rPr>
          <w:rFonts w:ascii="Times New Roman" w:hAnsi="Times New Roman" w:cs="Times New Roman"/>
          <w:color w:val="000000"/>
        </w:rPr>
        <w:t>%。</w:t>
      </w:r>
    </w:p>
    <w:p>
      <w:pPr>
        <w:spacing w:line="600" w:lineRule="exact"/>
        <w:ind w:firstLine="643" w:firstLineChars="200"/>
        <w:rPr>
          <w:rFonts w:ascii="Times New Roman" w:hAnsi="Times New Roman" w:cs="Times New Roman"/>
          <w:color w:val="000000"/>
        </w:rPr>
      </w:pPr>
      <w:r>
        <w:rPr>
          <w:rStyle w:val="6"/>
          <w:rFonts w:hint="eastAsia" w:ascii="Times New Roman" w:hAnsi="Times New Roman"/>
          <w:color w:val="000000"/>
        </w:rPr>
        <w:t>7</w:t>
      </w:r>
      <w:r>
        <w:rPr>
          <w:rStyle w:val="6"/>
          <w:rFonts w:ascii="Times New Roman" w:hAnsi="Times New Roman" w:cs="Times New Roman"/>
          <w:color w:val="000000"/>
        </w:rPr>
        <w:t>. 文化体育与传媒（类）***（款）***（项）:</w:t>
      </w:r>
      <w:r>
        <w:rPr>
          <w:rFonts w:ascii="Times New Roman" w:hAnsi="Times New Roman" w:cs="Times New Roman"/>
          <w:color w:val="000000"/>
        </w:rPr>
        <w:t>2016年决算数为</w:t>
      </w:r>
      <w:r>
        <w:rPr>
          <w:rFonts w:hint="eastAsia" w:ascii="Times New Roman" w:hAnsi="Times New Roman"/>
          <w:color w:val="000000"/>
        </w:rPr>
        <w:t>0</w:t>
      </w:r>
      <w:r>
        <w:rPr>
          <w:rFonts w:ascii="Times New Roman" w:hAnsi="Times New Roman" w:cs="Times New Roman"/>
          <w:color w:val="000000"/>
        </w:rPr>
        <w:t>万元，完成预算</w:t>
      </w:r>
      <w:r>
        <w:rPr>
          <w:rFonts w:hint="eastAsia" w:ascii="Times New Roman" w:hAnsi="Times New Roman"/>
          <w:color w:val="000000"/>
        </w:rPr>
        <w:t>0</w:t>
      </w:r>
      <w:r>
        <w:rPr>
          <w:rFonts w:ascii="Times New Roman" w:hAnsi="Times New Roman" w:cs="Times New Roman"/>
          <w:color w:val="000000"/>
        </w:rPr>
        <w:t>%。</w:t>
      </w:r>
    </w:p>
    <w:p>
      <w:pPr>
        <w:spacing w:line="600" w:lineRule="exact"/>
        <w:ind w:firstLine="643" w:firstLineChars="200"/>
        <w:rPr>
          <w:rFonts w:ascii="Times New Roman" w:hAnsi="Times New Roman" w:cs="Times New Roman"/>
          <w:color w:val="000000"/>
        </w:rPr>
      </w:pPr>
      <w:r>
        <w:rPr>
          <w:rStyle w:val="6"/>
          <w:rFonts w:hint="eastAsia" w:ascii="Times New Roman" w:hAnsi="Times New Roman"/>
          <w:color w:val="000000"/>
        </w:rPr>
        <w:t>8</w:t>
      </w:r>
      <w:r>
        <w:rPr>
          <w:rStyle w:val="6"/>
          <w:rFonts w:ascii="Times New Roman" w:hAnsi="Times New Roman" w:cs="Times New Roman"/>
          <w:color w:val="000000"/>
        </w:rPr>
        <w:t xml:space="preserve">. </w:t>
      </w:r>
      <w:r>
        <w:rPr>
          <w:rStyle w:val="6"/>
          <w:rFonts w:ascii="Times New Roman" w:hAnsi="Times New Roman"/>
          <w:color w:val="000000"/>
        </w:rPr>
        <w:t>社会保障和就业（</w:t>
      </w:r>
      <w:r>
        <w:rPr>
          <w:rStyle w:val="6"/>
          <w:rFonts w:hint="eastAsia" w:ascii="Times New Roman" w:hAnsi="Times New Roman"/>
          <w:color w:val="000000"/>
        </w:rPr>
        <w:t>208</w:t>
      </w:r>
      <w:r>
        <w:rPr>
          <w:rStyle w:val="6"/>
          <w:rFonts w:ascii="Times New Roman" w:hAnsi="Times New Roman" w:cs="Times New Roman"/>
          <w:color w:val="000000"/>
        </w:rPr>
        <w:t>）</w:t>
      </w:r>
      <w:r>
        <w:rPr>
          <w:rStyle w:val="6"/>
          <w:rFonts w:hint="eastAsia" w:ascii="Times New Roman" w:hAnsi="Times New Roman"/>
          <w:color w:val="000000"/>
        </w:rPr>
        <w:t>行政事业单位离退休</w:t>
      </w:r>
      <w:r>
        <w:rPr>
          <w:rStyle w:val="6"/>
          <w:rFonts w:ascii="Times New Roman" w:hAnsi="Times New Roman"/>
          <w:color w:val="000000"/>
        </w:rPr>
        <w:t>（</w:t>
      </w:r>
      <w:r>
        <w:rPr>
          <w:rStyle w:val="6"/>
          <w:rFonts w:hint="eastAsia" w:ascii="Times New Roman" w:hAnsi="Times New Roman"/>
          <w:color w:val="000000"/>
        </w:rPr>
        <w:t>05</w:t>
      </w:r>
      <w:r>
        <w:rPr>
          <w:rStyle w:val="6"/>
          <w:rFonts w:ascii="Times New Roman" w:hAnsi="Times New Roman" w:cs="Times New Roman"/>
          <w:color w:val="000000"/>
        </w:rPr>
        <w:t>）</w:t>
      </w:r>
      <w:r>
        <w:rPr>
          <w:rStyle w:val="6"/>
          <w:rFonts w:hint="eastAsia" w:ascii="Times New Roman" w:hAnsi="Times New Roman"/>
          <w:color w:val="000000"/>
        </w:rPr>
        <w:t>未归口管理的行政单位离退休</w:t>
      </w:r>
      <w:r>
        <w:rPr>
          <w:rStyle w:val="6"/>
          <w:rFonts w:ascii="Times New Roman" w:hAnsi="Times New Roman"/>
          <w:color w:val="000000"/>
        </w:rPr>
        <w:t>（</w:t>
      </w:r>
      <w:r>
        <w:rPr>
          <w:rStyle w:val="6"/>
          <w:rFonts w:hint="eastAsia" w:ascii="Times New Roman" w:hAnsi="Times New Roman"/>
          <w:color w:val="000000"/>
        </w:rPr>
        <w:t>04</w:t>
      </w:r>
      <w:r>
        <w:rPr>
          <w:rStyle w:val="6"/>
          <w:rFonts w:ascii="Times New Roman" w:hAnsi="Times New Roman" w:cs="Times New Roman"/>
          <w:color w:val="000000"/>
        </w:rPr>
        <w:t>）:</w:t>
      </w:r>
      <w:r>
        <w:rPr>
          <w:rFonts w:ascii="Times New Roman" w:hAnsi="Times New Roman" w:cs="Times New Roman"/>
          <w:color w:val="000000"/>
        </w:rPr>
        <w:t>2016年决算数为</w:t>
      </w:r>
      <w:r>
        <w:rPr>
          <w:rFonts w:hint="eastAsia" w:ascii="Times New Roman" w:hAnsi="Times New Roman"/>
          <w:color w:val="000000"/>
        </w:rPr>
        <w:t>0.32万</w:t>
      </w:r>
      <w:r>
        <w:rPr>
          <w:rFonts w:ascii="Times New Roman" w:hAnsi="Times New Roman" w:cs="Times New Roman"/>
          <w:color w:val="000000"/>
        </w:rPr>
        <w:t>元，完成预算</w:t>
      </w:r>
      <w:r>
        <w:rPr>
          <w:rFonts w:hint="eastAsia" w:ascii="Times New Roman" w:hAnsi="Times New Roman"/>
          <w:color w:val="000000"/>
        </w:rPr>
        <w:t>100</w:t>
      </w:r>
      <w:r>
        <w:rPr>
          <w:rFonts w:ascii="Times New Roman" w:hAnsi="Times New Roman" w:cs="Times New Roman"/>
          <w:color w:val="000000"/>
        </w:rPr>
        <w:t>%</w:t>
      </w:r>
      <w:r>
        <w:rPr>
          <w:rFonts w:ascii="Times New Roman" w:hAnsi="Times New Roman"/>
          <w:color w:val="000000"/>
        </w:rPr>
        <w:t>，决算数</w:t>
      </w:r>
      <w:r>
        <w:rPr>
          <w:rFonts w:hint="eastAsia" w:ascii="Times New Roman" w:hAnsi="Times New Roman"/>
          <w:color w:val="000000"/>
        </w:rPr>
        <w:t>等于</w:t>
      </w:r>
      <w:r>
        <w:rPr>
          <w:rFonts w:ascii="Times New Roman" w:hAnsi="Times New Roman" w:cs="Times New Roman"/>
          <w:color w:val="000000"/>
        </w:rPr>
        <w:t>预算数。</w:t>
      </w:r>
    </w:p>
    <w:p>
      <w:pPr>
        <w:spacing w:line="600" w:lineRule="exact"/>
        <w:ind w:firstLine="643" w:firstLineChars="200"/>
        <w:rPr>
          <w:rStyle w:val="6"/>
          <w:rFonts w:ascii="Times New Roman" w:hAnsi="Times New Roman"/>
          <w:b w:val="0"/>
          <w:bCs w:val="0"/>
          <w:color w:val="000000"/>
        </w:rPr>
      </w:pPr>
      <w:r>
        <w:rPr>
          <w:rStyle w:val="6"/>
          <w:rFonts w:hint="eastAsia" w:ascii="Times New Roman" w:hAnsi="Times New Roman"/>
          <w:color w:val="000000"/>
        </w:rPr>
        <w:t>9.</w:t>
      </w:r>
      <w:r>
        <w:rPr>
          <w:rStyle w:val="6"/>
          <w:rFonts w:ascii="Times New Roman" w:hAnsi="Times New Roman"/>
          <w:color w:val="000000"/>
        </w:rPr>
        <w:t xml:space="preserve"> 社会保障和就业（</w:t>
      </w:r>
      <w:r>
        <w:rPr>
          <w:rStyle w:val="6"/>
          <w:rFonts w:hint="eastAsia" w:ascii="Times New Roman" w:hAnsi="Times New Roman"/>
          <w:color w:val="000000"/>
        </w:rPr>
        <w:t>208</w:t>
      </w:r>
      <w:r>
        <w:rPr>
          <w:rStyle w:val="6"/>
          <w:rFonts w:ascii="Times New Roman" w:hAnsi="Times New Roman" w:cs="Times New Roman"/>
          <w:color w:val="000000"/>
        </w:rPr>
        <w:t>）</w:t>
      </w:r>
      <w:r>
        <w:rPr>
          <w:rStyle w:val="6"/>
          <w:rFonts w:hint="eastAsia" w:ascii="Times New Roman" w:hAnsi="Times New Roman"/>
          <w:color w:val="000000"/>
        </w:rPr>
        <w:t>抚恤（08）死亡抚恤（01）</w:t>
      </w:r>
      <w:r>
        <w:rPr>
          <w:rStyle w:val="6"/>
          <w:rFonts w:hint="eastAsia" w:ascii="Times New Roman" w:hAnsi="Times New Roman"/>
          <w:b w:val="0"/>
          <w:color w:val="000000"/>
        </w:rPr>
        <w:t>:2016年决算数为0.26万元，</w:t>
      </w:r>
      <w:r>
        <w:rPr>
          <w:rFonts w:ascii="Times New Roman" w:hAnsi="Times New Roman" w:cs="Times New Roman"/>
          <w:color w:val="000000"/>
        </w:rPr>
        <w:t>完成预算</w:t>
      </w:r>
      <w:r>
        <w:rPr>
          <w:rFonts w:hint="eastAsia" w:ascii="Times New Roman" w:hAnsi="Times New Roman"/>
          <w:color w:val="000000"/>
        </w:rPr>
        <w:t>100</w:t>
      </w:r>
      <w:r>
        <w:rPr>
          <w:rFonts w:ascii="Times New Roman" w:hAnsi="Times New Roman" w:cs="Times New Roman"/>
          <w:color w:val="000000"/>
        </w:rPr>
        <w:t>%</w:t>
      </w:r>
      <w:r>
        <w:rPr>
          <w:rFonts w:ascii="Times New Roman" w:hAnsi="Times New Roman"/>
          <w:color w:val="000000"/>
        </w:rPr>
        <w:t>，决算数</w:t>
      </w:r>
      <w:r>
        <w:rPr>
          <w:rFonts w:hint="eastAsia" w:ascii="Times New Roman" w:hAnsi="Times New Roman"/>
          <w:color w:val="000000"/>
        </w:rPr>
        <w:t>等于</w:t>
      </w:r>
      <w:r>
        <w:rPr>
          <w:rFonts w:ascii="Times New Roman" w:hAnsi="Times New Roman" w:cs="Times New Roman"/>
          <w:color w:val="000000"/>
        </w:rPr>
        <w:t>预算数。</w:t>
      </w:r>
    </w:p>
    <w:p>
      <w:pPr>
        <w:spacing w:line="600" w:lineRule="exact"/>
        <w:ind w:firstLine="643" w:firstLineChars="200"/>
        <w:rPr>
          <w:rFonts w:ascii="Times New Roman" w:hAnsi="Times New Roman"/>
          <w:color w:val="000000"/>
        </w:rPr>
      </w:pPr>
      <w:r>
        <w:rPr>
          <w:rStyle w:val="6"/>
          <w:rFonts w:hint="eastAsia" w:ascii="Times New Roman" w:hAnsi="Times New Roman"/>
          <w:color w:val="000000"/>
        </w:rPr>
        <w:t>10</w:t>
      </w:r>
      <w:r>
        <w:rPr>
          <w:rStyle w:val="6"/>
          <w:rFonts w:ascii="Times New Roman" w:hAnsi="Times New Roman" w:cs="Times New Roman"/>
          <w:color w:val="000000"/>
        </w:rPr>
        <w:t xml:space="preserve">. </w:t>
      </w:r>
      <w:r>
        <w:rPr>
          <w:rStyle w:val="6"/>
          <w:rFonts w:ascii="Times New Roman" w:hAnsi="Times New Roman"/>
          <w:color w:val="000000"/>
        </w:rPr>
        <w:t>医疗卫生与计划生育（</w:t>
      </w:r>
      <w:r>
        <w:rPr>
          <w:rStyle w:val="6"/>
          <w:rFonts w:hint="eastAsia" w:ascii="Times New Roman" w:hAnsi="Times New Roman"/>
          <w:color w:val="000000"/>
        </w:rPr>
        <w:t>210</w:t>
      </w:r>
      <w:r>
        <w:rPr>
          <w:rStyle w:val="6"/>
          <w:rFonts w:ascii="Times New Roman" w:hAnsi="Times New Roman" w:cs="Times New Roman"/>
          <w:color w:val="000000"/>
        </w:rPr>
        <w:t>）</w:t>
      </w:r>
      <w:r>
        <w:rPr>
          <w:rStyle w:val="6"/>
          <w:rFonts w:hint="eastAsia" w:ascii="Times New Roman" w:hAnsi="Times New Roman"/>
          <w:color w:val="000000"/>
        </w:rPr>
        <w:t>医疗保障</w:t>
      </w:r>
      <w:r>
        <w:rPr>
          <w:rStyle w:val="6"/>
          <w:rFonts w:ascii="Times New Roman" w:hAnsi="Times New Roman"/>
          <w:color w:val="000000"/>
        </w:rPr>
        <w:t>（</w:t>
      </w:r>
      <w:r>
        <w:rPr>
          <w:rStyle w:val="6"/>
          <w:rFonts w:hint="eastAsia" w:ascii="Times New Roman" w:hAnsi="Times New Roman"/>
          <w:color w:val="000000"/>
        </w:rPr>
        <w:t>05</w:t>
      </w:r>
      <w:r>
        <w:rPr>
          <w:rStyle w:val="6"/>
          <w:rFonts w:ascii="Times New Roman" w:hAnsi="Times New Roman" w:cs="Times New Roman"/>
          <w:color w:val="000000"/>
        </w:rPr>
        <w:t>）</w:t>
      </w:r>
      <w:r>
        <w:rPr>
          <w:rStyle w:val="6"/>
          <w:rFonts w:hint="eastAsia" w:ascii="Times New Roman" w:hAnsi="Times New Roman"/>
          <w:color w:val="000000"/>
        </w:rPr>
        <w:t>行政单位医疗</w:t>
      </w:r>
      <w:r>
        <w:rPr>
          <w:rStyle w:val="6"/>
          <w:rFonts w:ascii="Times New Roman" w:hAnsi="Times New Roman"/>
          <w:color w:val="000000"/>
        </w:rPr>
        <w:t>（</w:t>
      </w:r>
      <w:r>
        <w:rPr>
          <w:rStyle w:val="6"/>
          <w:rFonts w:hint="eastAsia" w:ascii="Times New Roman" w:hAnsi="Times New Roman"/>
          <w:color w:val="000000"/>
        </w:rPr>
        <w:t>01</w:t>
      </w:r>
      <w:r>
        <w:rPr>
          <w:rStyle w:val="6"/>
          <w:rFonts w:ascii="Times New Roman" w:hAnsi="Times New Roman" w:cs="Times New Roman"/>
          <w:color w:val="000000"/>
        </w:rPr>
        <w:t>）:</w:t>
      </w:r>
      <w:r>
        <w:rPr>
          <w:rFonts w:ascii="Times New Roman" w:hAnsi="Times New Roman" w:cs="Times New Roman"/>
          <w:color w:val="000000"/>
        </w:rPr>
        <w:t>2016年决算数为</w:t>
      </w:r>
      <w:r>
        <w:rPr>
          <w:rFonts w:hint="eastAsia" w:ascii="Times New Roman" w:hAnsi="Times New Roman"/>
          <w:color w:val="000000"/>
        </w:rPr>
        <w:t>6.48</w:t>
      </w:r>
      <w:r>
        <w:rPr>
          <w:rFonts w:ascii="Times New Roman" w:hAnsi="Times New Roman" w:cs="Times New Roman"/>
          <w:color w:val="000000"/>
        </w:rPr>
        <w:t>万元，完成预算</w:t>
      </w:r>
      <w:r>
        <w:rPr>
          <w:rFonts w:hint="eastAsia" w:ascii="Times New Roman" w:hAnsi="Times New Roman"/>
          <w:color w:val="000000"/>
        </w:rPr>
        <w:t>100</w:t>
      </w:r>
      <w:r>
        <w:rPr>
          <w:rFonts w:ascii="Times New Roman" w:hAnsi="Times New Roman" w:cs="Times New Roman"/>
          <w:color w:val="000000"/>
        </w:rPr>
        <w:t>%</w:t>
      </w:r>
      <w:r>
        <w:rPr>
          <w:rFonts w:ascii="Times New Roman" w:hAnsi="Times New Roman"/>
          <w:color w:val="000000"/>
        </w:rPr>
        <w:t>，决算数</w:t>
      </w:r>
      <w:r>
        <w:rPr>
          <w:rFonts w:hint="eastAsia" w:ascii="Times New Roman" w:hAnsi="Times New Roman"/>
          <w:color w:val="000000"/>
        </w:rPr>
        <w:t>等于</w:t>
      </w:r>
      <w:r>
        <w:rPr>
          <w:rFonts w:ascii="Times New Roman" w:hAnsi="Times New Roman" w:cs="Times New Roman"/>
          <w:color w:val="000000"/>
        </w:rPr>
        <w:t>预算数</w:t>
      </w:r>
      <w:r>
        <w:rPr>
          <w:rFonts w:hint="eastAsia" w:ascii="Times New Roman" w:hAnsi="Times New Roman"/>
          <w:color w:val="000000"/>
        </w:rPr>
        <w:t>。</w:t>
      </w:r>
    </w:p>
    <w:p>
      <w:pPr>
        <w:spacing w:line="600" w:lineRule="exact"/>
        <w:ind w:firstLine="643" w:firstLineChars="200"/>
        <w:rPr>
          <w:rFonts w:ascii="Times New Roman" w:hAnsi="Times New Roman" w:cs="Times New Roman"/>
          <w:color w:val="000000"/>
        </w:rPr>
      </w:pPr>
      <w:r>
        <w:rPr>
          <w:rFonts w:hint="eastAsia" w:ascii="Times New Roman" w:hAnsi="Times New Roman"/>
          <w:b/>
          <w:color w:val="000000"/>
        </w:rPr>
        <w:t>11.住房保障（221）住房改革支出（02）住房公积金（01）：</w:t>
      </w:r>
      <w:r>
        <w:rPr>
          <w:rFonts w:ascii="Times New Roman" w:hAnsi="Times New Roman" w:cs="Times New Roman"/>
          <w:color w:val="000000"/>
        </w:rPr>
        <w:t>2016年决算数为</w:t>
      </w:r>
      <w:r>
        <w:rPr>
          <w:rFonts w:hint="eastAsia" w:ascii="Times New Roman" w:hAnsi="Times New Roman"/>
          <w:color w:val="000000"/>
        </w:rPr>
        <w:t>7.49万元，</w:t>
      </w:r>
      <w:r>
        <w:rPr>
          <w:rFonts w:ascii="Times New Roman" w:hAnsi="Times New Roman" w:cs="Times New Roman"/>
          <w:color w:val="000000"/>
        </w:rPr>
        <w:t>完成预算</w:t>
      </w:r>
      <w:r>
        <w:rPr>
          <w:rFonts w:hint="eastAsia" w:ascii="Times New Roman" w:hAnsi="Times New Roman"/>
          <w:color w:val="000000"/>
        </w:rPr>
        <w:t>100</w:t>
      </w:r>
      <w:r>
        <w:rPr>
          <w:rFonts w:ascii="Times New Roman" w:hAnsi="Times New Roman" w:cs="Times New Roman"/>
          <w:color w:val="000000"/>
        </w:rPr>
        <w:t>%</w:t>
      </w:r>
      <w:r>
        <w:rPr>
          <w:rFonts w:ascii="Times New Roman" w:hAnsi="Times New Roman"/>
          <w:color w:val="000000"/>
        </w:rPr>
        <w:t>，决算数</w:t>
      </w:r>
      <w:r>
        <w:rPr>
          <w:rFonts w:hint="eastAsia" w:ascii="Times New Roman" w:hAnsi="Times New Roman"/>
          <w:color w:val="000000"/>
        </w:rPr>
        <w:t>等于</w:t>
      </w:r>
      <w:r>
        <w:rPr>
          <w:rFonts w:ascii="Times New Roman" w:hAnsi="Times New Roman" w:cs="Times New Roman"/>
          <w:color w:val="000000"/>
        </w:rPr>
        <w:t>预算数</w:t>
      </w:r>
      <w:r>
        <w:rPr>
          <w:rFonts w:hint="eastAsia" w:ascii="Times New Roman" w:hAnsi="Times New Roman"/>
          <w:color w:val="000000"/>
        </w:rPr>
        <w:t>。</w:t>
      </w:r>
    </w:p>
    <w:p>
      <w:pPr>
        <w:spacing w:line="600" w:lineRule="exact"/>
        <w:ind w:firstLine="640"/>
        <w:rPr>
          <w:rFonts w:ascii="Times New Roman" w:hAnsi="Times New Roman"/>
          <w:b/>
          <w:i/>
          <w:color w:val="404040"/>
        </w:rPr>
      </w:pPr>
      <w:r>
        <w:rPr>
          <w:rFonts w:ascii="Times New Roman" w:hAnsi="Times New Roman"/>
          <w:b/>
          <w:i/>
          <w:color w:val="404040"/>
        </w:rPr>
        <w:t>（数据来源财决08表，罗列全部功能分类科目，至项级。上述“预算”口径为调整预算数。增减变动原因为决算数&lt;项级&gt;和调整预算数&lt;项级&gt;比较，与预算数持平可以不写原因。）</w:t>
      </w:r>
    </w:p>
    <w:p>
      <w:pPr>
        <w:spacing w:line="600" w:lineRule="exact"/>
        <w:ind w:firstLine="640"/>
        <w:rPr>
          <w:rFonts w:ascii="Times New Roman" w:hAnsi="Times New Roman" w:eastAsia="黑体"/>
          <w:color w:val="000000"/>
        </w:rPr>
      </w:pPr>
      <w:r>
        <w:rPr>
          <w:rFonts w:ascii="Times New Roman" w:hAnsi="Times New Roman" w:eastAsia="黑体"/>
          <w:color w:val="000000"/>
        </w:rPr>
        <w:t>六、一般公共预算财政拨款基本支出决算情况</w:t>
      </w:r>
    </w:p>
    <w:p>
      <w:pPr>
        <w:spacing w:line="600" w:lineRule="exact"/>
        <w:ind w:firstLine="645"/>
        <w:rPr>
          <w:rFonts w:ascii="Times New Roman" w:hAnsi="Times New Roman" w:cs="Times New Roman"/>
          <w:color w:val="000000"/>
        </w:rPr>
      </w:pPr>
      <w:r>
        <w:rPr>
          <w:rFonts w:hint="eastAsia" w:ascii="Times New Roman" w:hAnsi="Times New Roman"/>
          <w:color w:val="000000"/>
        </w:rPr>
        <w:t>遂宁市妇女联合会</w:t>
      </w:r>
      <w:r>
        <w:rPr>
          <w:rFonts w:ascii="Times New Roman" w:hAnsi="Times New Roman" w:cs="Times New Roman"/>
          <w:color w:val="000000"/>
        </w:rPr>
        <w:t>2016年一般公共预算财政拨款基本支出</w:t>
      </w:r>
      <w:r>
        <w:rPr>
          <w:rFonts w:hint="eastAsia" w:ascii="Times New Roman" w:hAnsi="Times New Roman"/>
          <w:color w:val="000000"/>
        </w:rPr>
        <w:t>142.41</w:t>
      </w:r>
      <w:r>
        <w:rPr>
          <w:rFonts w:ascii="Times New Roman" w:hAnsi="Times New Roman" w:cs="Times New Roman"/>
          <w:color w:val="000000"/>
        </w:rPr>
        <w:t>万元，其中：</w:t>
      </w:r>
    </w:p>
    <w:p>
      <w:pPr>
        <w:spacing w:line="600" w:lineRule="exact"/>
        <w:ind w:firstLine="645"/>
        <w:rPr>
          <w:rFonts w:ascii="Times New Roman" w:hAnsi="Times New Roman" w:cs="Times New Roman"/>
          <w:color w:val="000000"/>
        </w:rPr>
      </w:pPr>
      <w:r>
        <w:rPr>
          <w:rFonts w:ascii="Times New Roman" w:hAnsi="Times New Roman" w:cs="Times New Roman"/>
          <w:color w:val="000000"/>
        </w:rPr>
        <w:t>人员经费</w:t>
      </w:r>
      <w:r>
        <w:rPr>
          <w:rFonts w:hint="eastAsia" w:ascii="Times New Roman" w:hAnsi="Times New Roman"/>
          <w:color w:val="000000"/>
        </w:rPr>
        <w:t>121.47</w:t>
      </w:r>
      <w:r>
        <w:rPr>
          <w:rFonts w:ascii="Times New Roman" w:hAnsi="Times New Roman" w:cs="Times New Roman"/>
          <w:color w:val="000000"/>
        </w:rPr>
        <w:t>万元，主要包括：基本工资、津贴补贴、奖金、机关事业单位基本养老保险缴费、其他社会保障缴费、其他工资福利支出、抚恤金、住房公积金、其他对个人和家庭的补助支出。</w:t>
      </w:r>
      <w:r>
        <w:rPr>
          <w:rFonts w:ascii="Times New Roman" w:hAnsi="Times New Roman" w:cs="Times New Roman"/>
          <w:color w:val="000000"/>
        </w:rPr>
        <w:br w:type="textWrapping"/>
      </w:r>
      <w:r>
        <w:rPr>
          <w:rFonts w:ascii="Times New Roman" w:hAnsi="Times New Roman" w:cs="Times New Roman"/>
          <w:color w:val="000000"/>
        </w:rPr>
        <w:t>　　公用经费</w:t>
      </w:r>
      <w:r>
        <w:rPr>
          <w:rFonts w:hint="eastAsia" w:ascii="Times New Roman" w:hAnsi="Times New Roman"/>
          <w:color w:val="000000"/>
        </w:rPr>
        <w:t>20.95</w:t>
      </w:r>
      <w:r>
        <w:rPr>
          <w:rFonts w:ascii="Times New Roman" w:hAnsi="Times New Roman" w:cs="Times New Roman"/>
          <w:color w:val="000000"/>
        </w:rPr>
        <w:t>万元，主要包括：办公费、手续费、邮电费、差旅费、培训费、公务接待费、劳务费、工会经费、福利费、其他交通费、其他商品和服务支出。</w:t>
      </w:r>
    </w:p>
    <w:p>
      <w:pPr>
        <w:spacing w:line="600" w:lineRule="exact"/>
        <w:ind w:firstLine="640"/>
        <w:rPr>
          <w:rFonts w:ascii="Times New Roman" w:hAnsi="Times New Roman"/>
          <w:b/>
          <w:i/>
          <w:color w:val="404040"/>
        </w:rPr>
      </w:pPr>
      <w:r>
        <w:rPr>
          <w:rFonts w:ascii="Times New Roman" w:hAnsi="Times New Roman"/>
          <w:b/>
          <w:i/>
          <w:color w:val="404040"/>
        </w:rPr>
        <w:t>（数据来源数据来源财决08-1表，罗列全部经济分类科目）</w:t>
      </w:r>
    </w:p>
    <w:p>
      <w:pPr>
        <w:spacing w:line="600" w:lineRule="exact"/>
        <w:ind w:firstLine="640"/>
        <w:rPr>
          <w:rFonts w:ascii="Times New Roman" w:hAnsi="Times New Roman" w:eastAsia="黑体"/>
          <w:color w:val="000000"/>
        </w:rPr>
      </w:pPr>
      <w:r>
        <w:rPr>
          <w:rFonts w:ascii="Times New Roman" w:hAnsi="Times New Roman" w:eastAsia="黑体"/>
          <w:color w:val="000000"/>
        </w:rPr>
        <w:t>七、“三公”经费财政拨款支出决算情况</w:t>
      </w:r>
    </w:p>
    <w:p>
      <w:pPr>
        <w:spacing w:line="600" w:lineRule="exact"/>
        <w:ind w:firstLine="640"/>
        <w:rPr>
          <w:rFonts w:ascii="楷体_GB2312" w:eastAsia="楷体_GB2312"/>
          <w:color w:val="000000"/>
        </w:rPr>
      </w:pPr>
      <w:r>
        <w:rPr>
          <w:rFonts w:hint="eastAsia" w:ascii="楷体_GB2312" w:eastAsia="楷体_GB2312"/>
          <w:color w:val="000000"/>
        </w:rPr>
        <w:t>（一）“三公”经费财政拨款支出决算总体情况说明</w:t>
      </w:r>
    </w:p>
    <w:p>
      <w:pPr>
        <w:spacing w:line="600" w:lineRule="exact"/>
        <w:ind w:firstLine="640"/>
        <w:rPr>
          <w:rFonts w:ascii="Times New Roman" w:hAnsi="Times New Roman" w:cs="Times New Roman"/>
          <w:color w:val="333333"/>
        </w:rPr>
      </w:pPr>
      <w:r>
        <w:rPr>
          <w:rFonts w:ascii="Times New Roman" w:hAnsi="Times New Roman" w:cs="Times New Roman"/>
          <w:color w:val="333333"/>
        </w:rPr>
        <w:t>2016年度“三公”经费财政拨款支出决算为</w:t>
      </w:r>
      <w:r>
        <w:rPr>
          <w:rFonts w:hint="eastAsia" w:ascii="Times New Roman" w:hAnsi="Times New Roman"/>
          <w:color w:val="333333"/>
        </w:rPr>
        <w:t>7.85</w:t>
      </w:r>
      <w:r>
        <w:rPr>
          <w:rFonts w:ascii="Times New Roman" w:hAnsi="Times New Roman" w:cs="Times New Roman"/>
          <w:color w:val="333333"/>
        </w:rPr>
        <w:t>万元，完成预算</w:t>
      </w:r>
      <w:r>
        <w:rPr>
          <w:rFonts w:hint="eastAsia" w:ascii="Times New Roman" w:hAnsi="Times New Roman"/>
          <w:color w:val="333333"/>
        </w:rPr>
        <w:t>58.57</w:t>
      </w:r>
      <w:r>
        <w:rPr>
          <w:rFonts w:ascii="Times New Roman" w:hAnsi="Times New Roman" w:cs="Times New Roman"/>
          <w:color w:val="333333"/>
        </w:rPr>
        <w:t>%，其中：因公出国（境）费支出决算为</w:t>
      </w:r>
      <w:r>
        <w:rPr>
          <w:rFonts w:hint="eastAsia" w:ascii="Times New Roman" w:hAnsi="Times New Roman"/>
          <w:color w:val="333333"/>
        </w:rPr>
        <w:t>0</w:t>
      </w:r>
      <w:r>
        <w:rPr>
          <w:rFonts w:ascii="Times New Roman" w:hAnsi="Times New Roman" w:cs="Times New Roman"/>
          <w:color w:val="333333"/>
        </w:rPr>
        <w:t>万元，完成预算</w:t>
      </w:r>
      <w:r>
        <w:rPr>
          <w:rFonts w:hint="eastAsia" w:ascii="Times New Roman" w:hAnsi="Times New Roman"/>
          <w:color w:val="333333"/>
        </w:rPr>
        <w:t>0</w:t>
      </w:r>
      <w:r>
        <w:rPr>
          <w:rFonts w:ascii="Times New Roman" w:hAnsi="Times New Roman" w:cs="Times New Roman"/>
          <w:color w:val="333333"/>
        </w:rPr>
        <w:t>%；公务用车购置及运行维护费支出决算为</w:t>
      </w:r>
      <w:r>
        <w:rPr>
          <w:rFonts w:hint="eastAsia" w:ascii="Times New Roman" w:hAnsi="Times New Roman"/>
          <w:color w:val="333333"/>
        </w:rPr>
        <w:t>5.27</w:t>
      </w:r>
      <w:r>
        <w:rPr>
          <w:rFonts w:ascii="Times New Roman" w:hAnsi="Times New Roman" w:cs="Times New Roman"/>
          <w:color w:val="333333"/>
        </w:rPr>
        <w:t>万元，完成预算</w:t>
      </w:r>
      <w:r>
        <w:rPr>
          <w:rFonts w:hint="eastAsia" w:ascii="Times New Roman" w:hAnsi="Times New Roman"/>
          <w:color w:val="333333"/>
        </w:rPr>
        <w:t>65.88</w:t>
      </w:r>
      <w:r>
        <w:rPr>
          <w:rFonts w:ascii="Times New Roman" w:hAnsi="Times New Roman" w:cs="Times New Roman"/>
          <w:color w:val="333333"/>
        </w:rPr>
        <w:t>%；公务接待费支出决算为</w:t>
      </w:r>
      <w:r>
        <w:rPr>
          <w:rFonts w:hint="eastAsia" w:ascii="Times New Roman" w:hAnsi="Times New Roman"/>
          <w:color w:val="333333"/>
        </w:rPr>
        <w:t>2.58</w:t>
      </w:r>
      <w:r>
        <w:rPr>
          <w:rFonts w:ascii="Times New Roman" w:hAnsi="Times New Roman" w:cs="Times New Roman"/>
          <w:color w:val="333333"/>
        </w:rPr>
        <w:t>万元，完成预算</w:t>
      </w:r>
      <w:r>
        <w:rPr>
          <w:rFonts w:hint="eastAsia" w:ascii="Times New Roman" w:hAnsi="Times New Roman"/>
          <w:color w:val="333333"/>
        </w:rPr>
        <w:t>47.74</w:t>
      </w:r>
      <w:r>
        <w:rPr>
          <w:rFonts w:ascii="Times New Roman" w:hAnsi="Times New Roman" w:cs="Times New Roman"/>
          <w:color w:val="333333"/>
        </w:rPr>
        <w:t>%。2016年度“三公”经费支出决算数小于预算数的主要原因是</w:t>
      </w:r>
      <w:r>
        <w:rPr>
          <w:rFonts w:hint="eastAsia" w:ascii="Times New Roman" w:hAnsi="Times New Roman" w:cs="Times New Roman"/>
          <w:color w:val="333333"/>
        </w:rPr>
        <w:t>公务用车运行经费减少；公务接待经费减少，公务接待事宜减少并且</w:t>
      </w:r>
      <w:r>
        <w:rPr>
          <w:rFonts w:hint="eastAsia" w:ascii="Times New Roman" w:hAnsi="Times New Roman"/>
          <w:color w:val="333333"/>
        </w:rPr>
        <w:t>严格执行中央八项规定，厉行节约</w:t>
      </w:r>
      <w:r>
        <w:rPr>
          <w:rFonts w:ascii="Times New Roman" w:hAnsi="Times New Roman" w:cs="Times New Roman"/>
          <w:color w:val="333333"/>
        </w:rPr>
        <w:t>。</w:t>
      </w:r>
    </w:p>
    <w:p>
      <w:pPr>
        <w:spacing w:line="600" w:lineRule="exact"/>
        <w:ind w:firstLine="640"/>
        <w:rPr>
          <w:rFonts w:ascii="Times New Roman" w:hAnsi="Times New Roman"/>
          <w:b/>
          <w:i/>
          <w:color w:val="404040"/>
        </w:rPr>
      </w:pPr>
      <w:r>
        <w:rPr>
          <w:rFonts w:ascii="Times New Roman" w:hAnsi="Times New Roman"/>
          <w:b/>
          <w:i/>
          <w:color w:val="404040"/>
        </w:rPr>
        <w:t>（上述“预算”口径为调整预算数。）</w:t>
      </w:r>
    </w:p>
    <w:p>
      <w:pPr>
        <w:spacing w:line="600" w:lineRule="exact"/>
        <w:ind w:firstLine="640"/>
        <w:rPr>
          <w:rFonts w:ascii="Times New Roman" w:hAnsi="Times New Roman" w:cs="Times New Roman"/>
          <w:color w:val="333333"/>
        </w:rPr>
      </w:pPr>
      <w:r>
        <w:rPr>
          <w:rFonts w:ascii="Times New Roman" w:hAnsi="Times New Roman" w:cs="Times New Roman"/>
          <w:color w:val="333333"/>
        </w:rPr>
        <w:t>2016年度“三公”经费财政拨款支出决算数比2015年</w:t>
      </w:r>
      <w:r>
        <w:rPr>
          <w:rFonts w:ascii="Times New Roman" w:hAnsi="Times New Roman" w:cs="Times New Roman"/>
          <w:color w:val="000000"/>
        </w:rPr>
        <w:t>减少</w:t>
      </w:r>
      <w:r>
        <w:rPr>
          <w:rFonts w:hint="eastAsia" w:ascii="Times New Roman" w:hAnsi="Times New Roman"/>
          <w:color w:val="333333"/>
        </w:rPr>
        <w:t>7.21</w:t>
      </w:r>
      <w:r>
        <w:rPr>
          <w:rFonts w:ascii="Times New Roman" w:hAnsi="Times New Roman" w:cs="Times New Roman"/>
          <w:color w:val="333333"/>
        </w:rPr>
        <w:t>万元，</w:t>
      </w:r>
      <w:r>
        <w:rPr>
          <w:rFonts w:ascii="Times New Roman" w:hAnsi="Times New Roman" w:cs="Times New Roman"/>
          <w:color w:val="000000"/>
        </w:rPr>
        <w:t>下降</w:t>
      </w:r>
      <w:r>
        <w:rPr>
          <w:rFonts w:hint="eastAsia" w:ascii="Times New Roman" w:hAnsi="Times New Roman"/>
          <w:color w:val="000000"/>
        </w:rPr>
        <w:t>47.88</w:t>
      </w:r>
      <w:r>
        <w:rPr>
          <w:rFonts w:ascii="Times New Roman" w:hAnsi="Times New Roman" w:cs="Times New Roman"/>
          <w:color w:val="000000"/>
        </w:rPr>
        <w:t>%，其中：</w:t>
      </w:r>
      <w:r>
        <w:rPr>
          <w:rFonts w:ascii="Times New Roman" w:hAnsi="Times New Roman" w:cs="Times New Roman"/>
          <w:color w:val="333333"/>
        </w:rPr>
        <w:t>公务用车购置及运行维护费支出决算</w:t>
      </w:r>
      <w:r>
        <w:rPr>
          <w:rFonts w:ascii="Times New Roman" w:hAnsi="Times New Roman" w:cs="Times New Roman"/>
          <w:color w:val="000000"/>
        </w:rPr>
        <w:t>减少</w:t>
      </w:r>
      <w:r>
        <w:rPr>
          <w:rFonts w:hint="eastAsia" w:ascii="Times New Roman" w:hAnsi="Times New Roman"/>
          <w:color w:val="333333"/>
        </w:rPr>
        <w:t>3.79</w:t>
      </w:r>
      <w:r>
        <w:rPr>
          <w:rFonts w:ascii="Times New Roman" w:hAnsi="Times New Roman" w:cs="Times New Roman"/>
          <w:color w:val="333333"/>
        </w:rPr>
        <w:t>万元，</w:t>
      </w:r>
      <w:r>
        <w:rPr>
          <w:rFonts w:ascii="Times New Roman" w:hAnsi="Times New Roman" w:cs="Times New Roman"/>
          <w:color w:val="000000"/>
        </w:rPr>
        <w:t>下降</w:t>
      </w:r>
      <w:r>
        <w:rPr>
          <w:rFonts w:hint="eastAsia" w:ascii="Times New Roman" w:hAnsi="Times New Roman"/>
          <w:color w:val="000000"/>
        </w:rPr>
        <w:t>41.83</w:t>
      </w:r>
      <w:r>
        <w:rPr>
          <w:rFonts w:ascii="Times New Roman" w:hAnsi="Times New Roman" w:cs="Times New Roman"/>
          <w:color w:val="000000"/>
        </w:rPr>
        <w:t>%</w:t>
      </w:r>
      <w:r>
        <w:rPr>
          <w:rFonts w:ascii="Times New Roman" w:hAnsi="Times New Roman" w:cs="Times New Roman"/>
          <w:color w:val="333333"/>
        </w:rPr>
        <w:t>；公务接待费支出决算</w:t>
      </w:r>
      <w:r>
        <w:rPr>
          <w:rFonts w:ascii="Times New Roman" w:hAnsi="Times New Roman" w:cs="Times New Roman"/>
          <w:color w:val="000000"/>
        </w:rPr>
        <w:t>减少</w:t>
      </w:r>
      <w:r>
        <w:rPr>
          <w:rFonts w:hint="eastAsia" w:ascii="Times New Roman" w:hAnsi="Times New Roman"/>
          <w:color w:val="333333"/>
        </w:rPr>
        <w:t>3.42</w:t>
      </w:r>
      <w:r>
        <w:rPr>
          <w:rFonts w:ascii="Times New Roman" w:hAnsi="Times New Roman" w:cs="Times New Roman"/>
          <w:color w:val="333333"/>
        </w:rPr>
        <w:t>万元，</w:t>
      </w:r>
      <w:r>
        <w:rPr>
          <w:rFonts w:ascii="Times New Roman" w:hAnsi="Times New Roman" w:cs="Times New Roman"/>
          <w:color w:val="000000"/>
        </w:rPr>
        <w:t>下降</w:t>
      </w:r>
      <w:r>
        <w:rPr>
          <w:rFonts w:hint="eastAsia" w:ascii="Times New Roman" w:hAnsi="Times New Roman"/>
          <w:color w:val="000000"/>
        </w:rPr>
        <w:t>57</w:t>
      </w:r>
      <w:r>
        <w:rPr>
          <w:rFonts w:ascii="Times New Roman" w:hAnsi="Times New Roman" w:cs="Times New Roman"/>
          <w:color w:val="000000"/>
        </w:rPr>
        <w:t>%</w:t>
      </w:r>
      <w:r>
        <w:rPr>
          <w:rFonts w:ascii="Times New Roman" w:hAnsi="Times New Roman"/>
          <w:color w:val="333333"/>
        </w:rPr>
        <w:t>。</w:t>
      </w:r>
      <w:r>
        <w:rPr>
          <w:rFonts w:hint="eastAsia" w:ascii="Times New Roman" w:hAnsi="Times New Roman"/>
          <w:color w:val="333333"/>
        </w:rPr>
        <w:t>增减</w:t>
      </w:r>
      <w:r>
        <w:rPr>
          <w:rFonts w:ascii="Times New Roman" w:hAnsi="Times New Roman" w:cs="Times New Roman"/>
          <w:color w:val="333333"/>
        </w:rPr>
        <w:t>变动的主要原因</w:t>
      </w:r>
      <w:r>
        <w:rPr>
          <w:rFonts w:hint="eastAsia" w:ascii="Times New Roman" w:hAnsi="Times New Roman"/>
          <w:color w:val="333333"/>
        </w:rPr>
        <w:t>公车改革，公车运行经费减少，厉行节约，接待事宜减少</w:t>
      </w:r>
      <w:r>
        <w:rPr>
          <w:rFonts w:hint="eastAsia" w:ascii="Times New Roman" w:hAnsi="Times New Roman"/>
          <w:color w:val="333333"/>
        </w:rPr>
        <w:tab/>
      </w:r>
      <w:r>
        <w:rPr>
          <w:rFonts w:ascii="Times New Roman" w:hAnsi="Times New Roman" w:cs="Times New Roman"/>
          <w:color w:val="333333"/>
        </w:rPr>
        <w:t>。</w:t>
      </w:r>
    </w:p>
    <w:p>
      <w:pPr>
        <w:spacing w:line="600" w:lineRule="exact"/>
        <w:ind w:firstLine="640"/>
        <w:rPr>
          <w:rFonts w:ascii="楷体_GB2312" w:eastAsia="楷体_GB2312"/>
          <w:b/>
          <w:color w:val="333333"/>
        </w:rPr>
      </w:pPr>
      <w:r>
        <w:rPr>
          <w:rFonts w:hint="eastAsia" w:ascii="楷体_GB2312" w:eastAsia="楷体_GB2312"/>
          <w:b/>
          <w:color w:val="333333"/>
        </w:rPr>
        <w:t>（二）“三公”经费财政拨款支出决算具体情况说明</w:t>
      </w:r>
    </w:p>
    <w:p>
      <w:pPr>
        <w:spacing w:line="600" w:lineRule="exact"/>
        <w:ind w:firstLine="640"/>
        <w:rPr>
          <w:rFonts w:ascii="Times New Roman" w:hAnsi="Times New Roman" w:cs="Times New Roman"/>
          <w:color w:val="333333"/>
        </w:rPr>
      </w:pPr>
      <w:r>
        <w:rPr>
          <w:rFonts w:ascii="Times New Roman" w:hAnsi="Times New Roman" w:cs="Times New Roman"/>
          <w:color w:val="333333"/>
        </w:rPr>
        <w:t>2016年度“三公”经费财政拨款支出决算中，因公出国（境）费支出决算</w:t>
      </w:r>
      <w:r>
        <w:rPr>
          <w:rFonts w:hint="eastAsia" w:ascii="Times New Roman" w:hAnsi="Times New Roman"/>
          <w:color w:val="333333"/>
        </w:rPr>
        <w:t>0</w:t>
      </w:r>
      <w:r>
        <w:rPr>
          <w:rFonts w:ascii="Times New Roman" w:hAnsi="Times New Roman" w:cs="Times New Roman"/>
          <w:color w:val="333333"/>
        </w:rPr>
        <w:t>万元，</w:t>
      </w:r>
      <w:r>
        <w:rPr>
          <w:rFonts w:ascii="Times New Roman" w:hAnsi="Times New Roman" w:cs="Times New Roman"/>
          <w:color w:val="000000"/>
        </w:rPr>
        <w:t>占</w:t>
      </w:r>
      <w:r>
        <w:rPr>
          <w:rFonts w:hint="eastAsia" w:ascii="Times New Roman" w:hAnsi="Times New Roman"/>
          <w:color w:val="000000"/>
        </w:rPr>
        <w:t>0</w:t>
      </w:r>
      <w:r>
        <w:rPr>
          <w:rFonts w:ascii="Times New Roman" w:hAnsi="Times New Roman" w:cs="Times New Roman"/>
          <w:color w:val="000000"/>
        </w:rPr>
        <w:t>%</w:t>
      </w:r>
      <w:r>
        <w:rPr>
          <w:rFonts w:ascii="Times New Roman" w:hAnsi="Times New Roman" w:cs="Times New Roman"/>
          <w:color w:val="333333"/>
        </w:rPr>
        <w:t>；公务用车购置及运行维护费支出决算</w:t>
      </w:r>
      <w:r>
        <w:rPr>
          <w:rFonts w:hint="eastAsia" w:ascii="Times New Roman" w:hAnsi="Times New Roman"/>
          <w:color w:val="333333"/>
        </w:rPr>
        <w:t>5.27</w:t>
      </w:r>
      <w:r>
        <w:rPr>
          <w:rFonts w:ascii="Times New Roman" w:hAnsi="Times New Roman" w:cs="Times New Roman"/>
          <w:color w:val="333333"/>
        </w:rPr>
        <w:t>万元，</w:t>
      </w:r>
      <w:r>
        <w:rPr>
          <w:rFonts w:ascii="Times New Roman" w:hAnsi="Times New Roman" w:cs="Times New Roman"/>
          <w:color w:val="000000"/>
        </w:rPr>
        <w:t>占</w:t>
      </w:r>
      <w:r>
        <w:rPr>
          <w:rFonts w:hint="eastAsia" w:ascii="Times New Roman" w:hAnsi="Times New Roman"/>
          <w:color w:val="000000"/>
        </w:rPr>
        <w:t>67.13</w:t>
      </w:r>
      <w:r>
        <w:rPr>
          <w:rFonts w:ascii="Times New Roman" w:hAnsi="Times New Roman" w:cs="Times New Roman"/>
          <w:color w:val="000000"/>
        </w:rPr>
        <w:t>%</w:t>
      </w:r>
      <w:r>
        <w:rPr>
          <w:rFonts w:ascii="Times New Roman" w:hAnsi="Times New Roman" w:cs="Times New Roman"/>
          <w:color w:val="333333"/>
        </w:rPr>
        <w:t>；公务接待费支出决算</w:t>
      </w:r>
      <w:r>
        <w:rPr>
          <w:rFonts w:hint="eastAsia" w:ascii="Times New Roman" w:hAnsi="Times New Roman"/>
          <w:color w:val="333333"/>
        </w:rPr>
        <w:t>2.58</w:t>
      </w:r>
      <w:r>
        <w:rPr>
          <w:rFonts w:ascii="Times New Roman" w:hAnsi="Times New Roman" w:cs="Times New Roman"/>
          <w:color w:val="333333"/>
        </w:rPr>
        <w:t>万元，</w:t>
      </w:r>
      <w:r>
        <w:rPr>
          <w:rFonts w:ascii="Times New Roman" w:hAnsi="Times New Roman" w:cs="Times New Roman"/>
          <w:color w:val="000000"/>
        </w:rPr>
        <w:t>占</w:t>
      </w:r>
      <w:r>
        <w:rPr>
          <w:rFonts w:hint="eastAsia" w:ascii="Times New Roman" w:hAnsi="Times New Roman"/>
          <w:color w:val="000000"/>
        </w:rPr>
        <w:t>32.87</w:t>
      </w:r>
      <w:r>
        <w:rPr>
          <w:rFonts w:ascii="Times New Roman" w:hAnsi="Times New Roman" w:cs="Times New Roman"/>
          <w:color w:val="000000"/>
        </w:rPr>
        <w:t>%。具体情况如下：</w:t>
      </w:r>
    </w:p>
    <w:p>
      <w:pPr>
        <w:spacing w:line="600" w:lineRule="exact"/>
        <w:ind w:firstLine="640"/>
        <w:rPr>
          <w:rFonts w:ascii="Times New Roman" w:hAnsi="Times New Roman" w:cs="Times New Roman"/>
          <w:color w:val="000000"/>
        </w:rPr>
      </w:pPr>
      <w:r>
        <w:rPr>
          <w:rFonts w:ascii="Times New Roman" w:hAnsi="Times New Roman" w:cs="Times New Roman"/>
          <w:color w:val="000000"/>
        </w:rPr>
        <w:t>（饼状图）</w:t>
      </w:r>
    </w:p>
    <w:p>
      <w:pPr>
        <w:spacing w:line="600" w:lineRule="exact"/>
        <w:ind w:firstLine="640"/>
        <w:rPr>
          <w:rFonts w:ascii="Times New Roman" w:hAnsi="Times New Roman"/>
          <w:color w:val="000000"/>
        </w:rPr>
      </w:pPr>
    </w:p>
    <w:p>
      <w:pPr>
        <w:spacing w:line="600" w:lineRule="exact"/>
        <w:ind w:firstLine="640"/>
        <w:rPr>
          <w:rFonts w:ascii="Times New Roman" w:hAnsi="Times New Roman"/>
          <w:color w:val="000000"/>
        </w:rPr>
      </w:pPr>
    </w:p>
    <w:p>
      <w:pPr>
        <w:spacing w:line="600" w:lineRule="exact"/>
        <w:ind w:firstLine="640"/>
        <w:rPr>
          <w:rFonts w:ascii="Times New Roman" w:hAnsi="Times New Roman"/>
          <w:color w:val="000000"/>
        </w:rPr>
      </w:pPr>
    </w:p>
    <w:p>
      <w:pPr>
        <w:spacing w:line="600" w:lineRule="exact"/>
        <w:ind w:firstLine="640"/>
        <w:rPr>
          <w:rFonts w:ascii="Times New Roman" w:hAnsi="Times New Roman"/>
          <w:color w:val="000000"/>
        </w:rPr>
      </w:pPr>
    </w:p>
    <w:p>
      <w:pPr>
        <w:spacing w:line="600" w:lineRule="exact"/>
        <w:ind w:firstLine="640"/>
        <w:rPr>
          <w:rFonts w:ascii="Times New Roman" w:hAnsi="Times New Roman"/>
          <w:color w:val="000000"/>
        </w:rPr>
      </w:pPr>
    </w:p>
    <w:p>
      <w:pPr>
        <w:spacing w:line="600" w:lineRule="exact"/>
        <w:ind w:firstLine="640"/>
        <w:rPr>
          <w:rFonts w:ascii="Times New Roman" w:hAnsi="Times New Roman"/>
          <w:b/>
          <w:color w:val="000000"/>
        </w:rPr>
      </w:pPr>
      <w:r>
        <w:rPr>
          <w:rFonts w:hint="eastAsia" w:ascii="Times New Roman" w:hAnsi="Times New Roman"/>
          <w:color w:val="000000"/>
        </w:rPr>
        <w:drawing>
          <wp:anchor distT="0" distB="0" distL="114300" distR="114300" simplePos="0" relativeHeight="251660288" behindDoc="0" locked="0" layoutInCell="1" allowOverlap="1">
            <wp:simplePos x="0" y="0"/>
            <wp:positionH relativeFrom="column">
              <wp:posOffset>410845</wp:posOffset>
            </wp:positionH>
            <wp:positionV relativeFrom="paragraph">
              <wp:posOffset>-1861820</wp:posOffset>
            </wp:positionV>
            <wp:extent cx="4090670" cy="2152650"/>
            <wp:effectExtent l="0" t="0" r="508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Times New Roman" w:hAnsi="Times New Roman"/>
          <w:b/>
          <w:color w:val="000000"/>
        </w:rPr>
      </w:pPr>
      <w:r>
        <w:rPr>
          <w:rFonts w:ascii="Times New Roman" w:hAnsi="Times New Roman"/>
          <w:b/>
          <w:color w:val="000000"/>
        </w:rPr>
        <w:t>1. 因公出国（境）经费</w:t>
      </w:r>
    </w:p>
    <w:p>
      <w:pPr>
        <w:spacing w:line="600" w:lineRule="exact"/>
        <w:ind w:firstLine="640"/>
        <w:rPr>
          <w:rFonts w:ascii="Times New Roman" w:hAnsi="Times New Roman"/>
          <w:color w:val="000000"/>
        </w:rPr>
      </w:pPr>
      <w:r>
        <w:rPr>
          <w:rFonts w:ascii="Times New Roman" w:hAnsi="Times New Roman"/>
          <w:color w:val="000000"/>
        </w:rPr>
        <w:t>2016年因公出国（境）费</w:t>
      </w:r>
      <w:r>
        <w:rPr>
          <w:rFonts w:hint="eastAsia" w:ascii="Times New Roman" w:hAnsi="Times New Roman"/>
          <w:color w:val="000000"/>
        </w:rPr>
        <w:t>0</w:t>
      </w:r>
      <w:r>
        <w:rPr>
          <w:rFonts w:ascii="Times New Roman" w:hAnsi="Times New Roman"/>
          <w:color w:val="000000"/>
        </w:rPr>
        <w:t>万元。全年安排因公出国（境）团组</w:t>
      </w:r>
      <w:r>
        <w:rPr>
          <w:rFonts w:hint="eastAsia" w:ascii="Times New Roman" w:hAnsi="Times New Roman"/>
          <w:color w:val="000000"/>
        </w:rPr>
        <w:t>0</w:t>
      </w:r>
      <w:r>
        <w:rPr>
          <w:rFonts w:ascii="Times New Roman" w:hAnsi="Times New Roman"/>
          <w:color w:val="000000"/>
        </w:rPr>
        <w:t>次，出国（境）</w:t>
      </w:r>
      <w:r>
        <w:rPr>
          <w:rFonts w:hint="eastAsia" w:ascii="Times New Roman" w:hAnsi="Times New Roman"/>
          <w:color w:val="000000"/>
        </w:rPr>
        <w:t>0</w:t>
      </w:r>
      <w:r>
        <w:rPr>
          <w:rFonts w:ascii="Times New Roman" w:hAnsi="Times New Roman"/>
          <w:color w:val="000000"/>
        </w:rPr>
        <w:t>人。</w:t>
      </w:r>
      <w:r>
        <w:rPr>
          <w:rFonts w:hint="eastAsia" w:ascii="Times New Roman" w:hAnsi="Times New Roman"/>
          <w:color w:val="000000"/>
        </w:rPr>
        <w:t>无</w:t>
      </w:r>
      <w:r>
        <w:rPr>
          <w:rFonts w:ascii="Times New Roman" w:hAnsi="Times New Roman"/>
          <w:color w:val="000000"/>
        </w:rPr>
        <w:t>开支内容。</w:t>
      </w:r>
    </w:p>
    <w:p>
      <w:pPr>
        <w:spacing w:line="600" w:lineRule="exact"/>
        <w:ind w:firstLine="643" w:firstLineChars="200"/>
        <w:rPr>
          <w:rFonts w:ascii="Times New Roman" w:hAnsi="Times New Roman"/>
          <w:b/>
          <w:color w:val="000000"/>
        </w:rPr>
      </w:pPr>
      <w:r>
        <w:rPr>
          <w:rFonts w:ascii="Times New Roman" w:hAnsi="Times New Roman"/>
          <w:b/>
          <w:color w:val="000000"/>
        </w:rPr>
        <w:t>2. 公务用车购置及运行维护费</w:t>
      </w:r>
    </w:p>
    <w:p>
      <w:pPr>
        <w:spacing w:line="600" w:lineRule="exact"/>
        <w:ind w:firstLine="640"/>
        <w:rPr>
          <w:rFonts w:ascii="Times New Roman" w:hAnsi="Times New Roman" w:cs="Times New Roman"/>
          <w:color w:val="000000"/>
        </w:rPr>
      </w:pPr>
      <w:r>
        <w:rPr>
          <w:rFonts w:ascii="Times New Roman" w:hAnsi="Times New Roman" w:cs="Times New Roman"/>
          <w:color w:val="000000"/>
        </w:rPr>
        <w:t>2016年公务用车购置及运行维护费</w:t>
      </w:r>
      <w:r>
        <w:rPr>
          <w:rFonts w:hint="eastAsia" w:ascii="Times New Roman" w:hAnsi="Times New Roman"/>
          <w:color w:val="000000"/>
        </w:rPr>
        <w:t>5.27</w:t>
      </w:r>
      <w:r>
        <w:rPr>
          <w:rFonts w:ascii="Times New Roman" w:hAnsi="Times New Roman" w:cs="Times New Roman"/>
          <w:color w:val="000000"/>
        </w:rPr>
        <w:t>万元,其中：</w:t>
      </w:r>
    </w:p>
    <w:p>
      <w:pPr>
        <w:spacing w:line="600" w:lineRule="exact"/>
        <w:ind w:firstLine="640"/>
        <w:rPr>
          <w:rFonts w:ascii="Times New Roman" w:hAnsi="Times New Roman" w:cs="Times New Roman"/>
          <w:color w:val="000000"/>
        </w:rPr>
      </w:pPr>
      <w:r>
        <w:rPr>
          <w:rFonts w:ascii="Times New Roman" w:hAnsi="Times New Roman" w:cs="Times New Roman"/>
          <w:color w:val="000000"/>
        </w:rPr>
        <w:t>公务用车购置支出</w:t>
      </w:r>
      <w:r>
        <w:rPr>
          <w:rFonts w:hint="eastAsia" w:ascii="Times New Roman" w:hAnsi="Times New Roman"/>
          <w:color w:val="000000"/>
        </w:rPr>
        <w:t>0</w:t>
      </w:r>
      <w:r>
        <w:rPr>
          <w:rFonts w:ascii="Times New Roman" w:hAnsi="Times New Roman" w:cs="Times New Roman"/>
          <w:color w:val="000000"/>
        </w:rPr>
        <w:t>万元。全年按规定更新购置公务用车</w:t>
      </w:r>
      <w:r>
        <w:rPr>
          <w:rFonts w:hint="eastAsia" w:ascii="Times New Roman" w:hAnsi="Times New Roman"/>
          <w:color w:val="000000"/>
        </w:rPr>
        <w:t>0</w:t>
      </w:r>
      <w:r>
        <w:rPr>
          <w:rFonts w:ascii="Times New Roman" w:hAnsi="Times New Roman"/>
          <w:color w:val="000000"/>
        </w:rPr>
        <w:t>辆</w:t>
      </w:r>
      <w:r>
        <w:rPr>
          <w:rFonts w:hint="eastAsia" w:ascii="Times New Roman" w:hAnsi="Times New Roman"/>
          <w:color w:val="000000"/>
        </w:rPr>
        <w:t>。</w:t>
      </w:r>
      <w:r>
        <w:rPr>
          <w:rFonts w:ascii="Times New Roman" w:hAnsi="Times New Roman" w:cs="Times New Roman"/>
          <w:color w:val="000000"/>
        </w:rPr>
        <w:t>截至2016年12月底，单位共有公务用车</w:t>
      </w:r>
      <w:r>
        <w:rPr>
          <w:rFonts w:hint="eastAsia" w:ascii="Times New Roman" w:hAnsi="Times New Roman"/>
          <w:color w:val="000000"/>
        </w:rPr>
        <w:t>1</w:t>
      </w:r>
      <w:r>
        <w:rPr>
          <w:rFonts w:ascii="Times New Roman" w:hAnsi="Times New Roman" w:cs="Times New Roman"/>
          <w:color w:val="000000"/>
        </w:rPr>
        <w:t>辆，其中：轿车</w:t>
      </w:r>
      <w:r>
        <w:rPr>
          <w:rFonts w:hint="eastAsia" w:ascii="Times New Roman" w:hAnsi="Times New Roman"/>
          <w:color w:val="000000"/>
        </w:rPr>
        <w:t>1</w:t>
      </w:r>
      <w:r>
        <w:rPr>
          <w:rFonts w:ascii="Times New Roman" w:hAnsi="Times New Roman" w:cs="Times New Roman"/>
          <w:color w:val="000000"/>
        </w:rPr>
        <w:t>辆。</w:t>
      </w:r>
    </w:p>
    <w:p>
      <w:pPr>
        <w:spacing w:line="600" w:lineRule="exact"/>
        <w:ind w:firstLine="640"/>
        <w:rPr>
          <w:rFonts w:ascii="Times New Roman" w:hAnsi="Times New Roman" w:cs="Times New Roman"/>
          <w:color w:val="000000"/>
        </w:rPr>
      </w:pPr>
      <w:r>
        <w:rPr>
          <w:rFonts w:ascii="Times New Roman" w:hAnsi="Times New Roman" w:cs="Times New Roman"/>
          <w:color w:val="000000"/>
        </w:rPr>
        <w:t>公务用车运行维护费支出</w:t>
      </w:r>
      <w:r>
        <w:rPr>
          <w:rFonts w:hint="eastAsia" w:ascii="Times New Roman" w:hAnsi="Times New Roman"/>
          <w:color w:val="000000"/>
        </w:rPr>
        <w:t>5.27</w:t>
      </w:r>
      <w:r>
        <w:rPr>
          <w:rFonts w:ascii="Times New Roman" w:hAnsi="Times New Roman" w:cs="Times New Roman"/>
          <w:color w:val="000000"/>
        </w:rPr>
        <w:t>万元。</w:t>
      </w:r>
      <w:r>
        <w:rPr>
          <w:rFonts w:hint="eastAsia" w:ascii="仿宋_GB2312"/>
        </w:rPr>
        <w:t>用于妇女创业就业、妇女儿童发展纲要、巾帼建功等工作等所需的公务用车燃料费、维修费、过路过桥费、保险费支出。</w:t>
      </w:r>
    </w:p>
    <w:p>
      <w:pPr>
        <w:spacing w:line="600" w:lineRule="exact"/>
        <w:ind w:firstLine="643" w:firstLineChars="200"/>
        <w:rPr>
          <w:rFonts w:ascii="Times New Roman" w:hAnsi="Times New Roman" w:eastAsia="楷体_GB2312"/>
          <w:b/>
          <w:color w:val="000000"/>
        </w:rPr>
      </w:pPr>
      <w:r>
        <w:rPr>
          <w:rFonts w:ascii="Times New Roman" w:hAnsi="Times New Roman"/>
          <w:b/>
          <w:color w:val="000000"/>
        </w:rPr>
        <w:t>3. 公务接待费</w:t>
      </w:r>
    </w:p>
    <w:p>
      <w:pPr>
        <w:spacing w:line="600" w:lineRule="exact"/>
        <w:ind w:firstLine="640"/>
        <w:rPr>
          <w:rFonts w:ascii="Times New Roman" w:hAnsi="Times New Roman"/>
          <w:color w:val="000000"/>
        </w:rPr>
      </w:pPr>
      <w:r>
        <w:rPr>
          <w:rFonts w:ascii="Times New Roman" w:hAnsi="Times New Roman" w:cs="Times New Roman"/>
          <w:color w:val="000000"/>
        </w:rPr>
        <w:t>2016年公务接待费</w:t>
      </w:r>
      <w:r>
        <w:rPr>
          <w:rFonts w:hint="eastAsia" w:ascii="Times New Roman" w:hAnsi="Times New Roman"/>
          <w:color w:val="000000"/>
        </w:rPr>
        <w:t>2.58</w:t>
      </w:r>
      <w:r>
        <w:rPr>
          <w:rFonts w:ascii="Times New Roman" w:hAnsi="Times New Roman" w:cs="Times New Roman"/>
          <w:color w:val="000000"/>
        </w:rPr>
        <w:t>万元。主要用于执行公务、开展业务活动开支的交通费、住宿费、用餐费等。国内公务接待</w:t>
      </w:r>
      <w:r>
        <w:rPr>
          <w:rFonts w:hint="eastAsia" w:ascii="Times New Roman" w:hAnsi="Times New Roman"/>
          <w:color w:val="000000"/>
        </w:rPr>
        <w:t>11</w:t>
      </w:r>
      <w:r>
        <w:rPr>
          <w:rFonts w:ascii="Times New Roman" w:hAnsi="Times New Roman" w:cs="Times New Roman"/>
          <w:color w:val="000000"/>
        </w:rPr>
        <w:t>批次，</w:t>
      </w:r>
      <w:r>
        <w:rPr>
          <w:rFonts w:hint="eastAsia" w:ascii="Times New Roman" w:hAnsi="Times New Roman"/>
          <w:color w:val="000000"/>
        </w:rPr>
        <w:t>215</w:t>
      </w:r>
      <w:r>
        <w:rPr>
          <w:rFonts w:ascii="Times New Roman" w:hAnsi="Times New Roman" w:cs="Times New Roman"/>
          <w:color w:val="000000"/>
        </w:rPr>
        <w:t>人，共计支出</w:t>
      </w:r>
      <w:r>
        <w:rPr>
          <w:rFonts w:hint="eastAsia" w:ascii="Times New Roman" w:hAnsi="Times New Roman"/>
          <w:color w:val="000000"/>
        </w:rPr>
        <w:t>2.58</w:t>
      </w:r>
      <w:r>
        <w:rPr>
          <w:rFonts w:ascii="Times New Roman" w:hAnsi="Times New Roman" w:cs="Times New Roman"/>
          <w:color w:val="000000"/>
        </w:rPr>
        <w:t>万元，具体内容包括：</w:t>
      </w:r>
    </w:p>
    <w:tbl>
      <w:tblPr>
        <w:tblStyle w:val="8"/>
        <w:tblW w:w="6599" w:type="dxa"/>
        <w:tblInd w:w="93" w:type="dxa"/>
        <w:tblLayout w:type="fixed"/>
        <w:tblCellMar>
          <w:top w:w="0" w:type="dxa"/>
          <w:left w:w="108" w:type="dxa"/>
          <w:bottom w:w="0" w:type="dxa"/>
          <w:right w:w="108" w:type="dxa"/>
        </w:tblCellMar>
      </w:tblPr>
      <w:tblGrid>
        <w:gridCol w:w="5604"/>
        <w:gridCol w:w="995"/>
      </w:tblGrid>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b/>
                <w:kern w:val="0"/>
                <w:sz w:val="20"/>
                <w:szCs w:val="20"/>
              </w:rPr>
            </w:pPr>
            <w:bookmarkStart w:id="0" w:name="RANGE!A1:B21"/>
            <w:r>
              <w:rPr>
                <w:rFonts w:hint="eastAsia" w:ascii="宋体" w:hAnsi="宋体" w:eastAsia="宋体" w:cs="Arial"/>
                <w:b/>
                <w:kern w:val="0"/>
                <w:sz w:val="20"/>
                <w:szCs w:val="20"/>
              </w:rPr>
              <w:t>接待事项</w:t>
            </w:r>
            <w:bookmarkEnd w:id="0"/>
          </w:p>
        </w:tc>
        <w:tc>
          <w:tcPr>
            <w:tcW w:w="995" w:type="dxa"/>
            <w:tcBorders>
              <w:top w:val="nil"/>
              <w:left w:val="nil"/>
              <w:bottom w:val="nil"/>
              <w:right w:val="nil"/>
            </w:tcBorders>
            <w:shd w:val="clear" w:color="auto" w:fill="auto"/>
            <w:vAlign w:val="center"/>
          </w:tcPr>
          <w:p>
            <w:pPr>
              <w:widowControl/>
              <w:jc w:val="left"/>
              <w:rPr>
                <w:rFonts w:ascii="宋体" w:hAnsi="宋体" w:eastAsia="宋体" w:cs="Arial"/>
                <w:b/>
                <w:kern w:val="0"/>
                <w:sz w:val="20"/>
                <w:szCs w:val="20"/>
              </w:rPr>
            </w:pPr>
            <w:r>
              <w:rPr>
                <w:rFonts w:hint="eastAsia" w:ascii="宋体" w:hAnsi="宋体" w:eastAsia="宋体" w:cs="Arial"/>
                <w:b/>
                <w:kern w:val="0"/>
                <w:sz w:val="20"/>
                <w:szCs w:val="20"/>
              </w:rPr>
              <w:t>金额</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hint="eastAsia" w:ascii="宋体" w:hAnsi="宋体" w:eastAsia="宋体" w:cs="Arial"/>
                <w:kern w:val="0"/>
                <w:sz w:val="20"/>
                <w:szCs w:val="20"/>
              </w:rPr>
              <w:t>召开家庭教育</w:t>
            </w:r>
            <w:r>
              <w:rPr>
                <w:rFonts w:ascii="Arial" w:hAnsi="Arial" w:eastAsia="宋体" w:cs="Arial"/>
                <w:kern w:val="0"/>
                <w:sz w:val="20"/>
                <w:szCs w:val="20"/>
              </w:rPr>
              <w:t>“</w:t>
            </w:r>
            <w:r>
              <w:rPr>
                <w:rFonts w:hint="eastAsia" w:ascii="宋体" w:hAnsi="宋体" w:eastAsia="宋体" w:cs="Arial"/>
                <w:kern w:val="0"/>
                <w:sz w:val="20"/>
                <w:szCs w:val="20"/>
              </w:rPr>
              <w:t>十二</w:t>
            </w:r>
            <w:r>
              <w:rPr>
                <w:rFonts w:ascii="Arial" w:hAnsi="Arial" w:eastAsia="宋体" w:cs="Arial"/>
                <w:kern w:val="0"/>
                <w:sz w:val="20"/>
                <w:szCs w:val="20"/>
              </w:rPr>
              <w:t>·</w:t>
            </w:r>
            <w:r>
              <w:rPr>
                <w:rFonts w:hint="eastAsia" w:ascii="宋体" w:hAnsi="宋体" w:eastAsia="宋体" w:cs="Arial"/>
                <w:kern w:val="0"/>
                <w:sz w:val="20"/>
                <w:szCs w:val="20"/>
              </w:rPr>
              <w:t>五</w:t>
            </w:r>
            <w:r>
              <w:rPr>
                <w:rFonts w:ascii="Arial" w:hAnsi="Arial" w:eastAsia="宋体" w:cs="Arial"/>
                <w:kern w:val="0"/>
                <w:sz w:val="20"/>
                <w:szCs w:val="20"/>
              </w:rPr>
              <w:t>”</w:t>
            </w:r>
            <w:r>
              <w:rPr>
                <w:rFonts w:hint="eastAsia" w:ascii="宋体" w:hAnsi="宋体" w:eastAsia="宋体" w:cs="Arial"/>
                <w:kern w:val="0"/>
                <w:sz w:val="20"/>
                <w:szCs w:val="20"/>
              </w:rPr>
              <w:t>规划终期评估座谈会会议用餐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2,432.00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2015.12-2016.3接待专家、教授及眉山市妇联共计10人住宿费</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2,594.00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2015.12-2016.3接待专家、教授及眉山市妇联共计27人餐费</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4,260.00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接待阿坝州妇联到我市学习考察手工编织工作</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1,014.00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接待阿坝州妇联来遂考察学习工作用餐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2,320.00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召开省妇联调研遂宁市妇联组织改革工作座谈会工作用餐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2,043.00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接待省妇联工作用餐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xml:space="preserve">5920.00 </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接待崇州市妇联</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1,196.00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接待省妇联黄莉率队到遂宁调研</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1,068.00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接待省妇联社会保障界别组到遂宁调研餐饮费</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2,933.00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hint="eastAsia" w:ascii="宋体" w:hAnsi="宋体" w:eastAsia="宋体" w:cs="Arial"/>
                <w:kern w:val="0"/>
                <w:sz w:val="20"/>
                <w:szCs w:val="20"/>
              </w:rPr>
              <w:t>召开家庭教育</w:t>
            </w:r>
            <w:r>
              <w:rPr>
                <w:rFonts w:ascii="Arial" w:hAnsi="Arial" w:eastAsia="宋体" w:cs="Arial"/>
                <w:kern w:val="0"/>
                <w:sz w:val="20"/>
                <w:szCs w:val="20"/>
              </w:rPr>
              <w:t>“</w:t>
            </w:r>
            <w:r>
              <w:rPr>
                <w:rFonts w:hint="eastAsia" w:ascii="宋体" w:hAnsi="宋体" w:eastAsia="宋体" w:cs="Arial"/>
                <w:kern w:val="0"/>
                <w:sz w:val="20"/>
                <w:szCs w:val="20"/>
              </w:rPr>
              <w:t>十二</w:t>
            </w:r>
            <w:r>
              <w:rPr>
                <w:rFonts w:ascii="Arial" w:hAnsi="Arial" w:eastAsia="宋体" w:cs="Arial"/>
                <w:kern w:val="0"/>
                <w:sz w:val="20"/>
                <w:szCs w:val="20"/>
              </w:rPr>
              <w:t>·</w:t>
            </w:r>
            <w:r>
              <w:rPr>
                <w:rFonts w:hint="eastAsia" w:ascii="宋体" w:hAnsi="宋体" w:eastAsia="宋体" w:cs="Arial"/>
                <w:kern w:val="0"/>
                <w:sz w:val="20"/>
                <w:szCs w:val="20"/>
              </w:rPr>
              <w:t>五</w:t>
            </w:r>
            <w:r>
              <w:rPr>
                <w:rFonts w:ascii="Arial" w:hAnsi="Arial" w:eastAsia="宋体" w:cs="Arial"/>
                <w:kern w:val="0"/>
                <w:sz w:val="20"/>
                <w:szCs w:val="20"/>
              </w:rPr>
              <w:t>”</w:t>
            </w:r>
            <w:r>
              <w:rPr>
                <w:rFonts w:hint="eastAsia" w:ascii="宋体" w:hAnsi="宋体" w:eastAsia="宋体" w:cs="Arial"/>
                <w:kern w:val="0"/>
                <w:sz w:val="20"/>
                <w:szCs w:val="20"/>
              </w:rPr>
              <w:t>规划终期评估座谈会会议用餐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2,432.00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2015.12-2016.3接待专家、教授及眉山市妇联共计10人住宿费</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2,594.00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2015.12-2016.3接待专家、教授及眉山市妇联共计27人餐费</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4,260.00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接待阿坝州妇联到我市学习考察手工编织工作</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1,014.00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接待阿坝州妇联来遂考察学习工作用餐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2,320.00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召开省妇联调研遂宁市妇联组织改革工作座谈会工作用餐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2,043.00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接待省妇联工作用餐</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xml:space="preserve">5920.00 </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接待崇州市妇联</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1,196.00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接待省妇联黄莉率队到遂宁调研</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1,068.00</w:t>
            </w:r>
          </w:p>
        </w:tc>
      </w:tr>
      <w:tr>
        <w:tblPrEx>
          <w:tblLayout w:type="fixed"/>
          <w:tblCellMar>
            <w:top w:w="0" w:type="dxa"/>
            <w:left w:w="108" w:type="dxa"/>
            <w:bottom w:w="0" w:type="dxa"/>
            <w:right w:w="108" w:type="dxa"/>
          </w:tblCellMar>
        </w:tblPrEx>
        <w:trPr>
          <w:trHeight w:val="255" w:hRule="atLeast"/>
        </w:trPr>
        <w:tc>
          <w:tcPr>
            <w:tcW w:w="5604"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接待省妇联社会保障界别组到遂宁调研餐饮费</w:t>
            </w:r>
          </w:p>
        </w:tc>
        <w:tc>
          <w:tcPr>
            <w:tcW w:w="995" w:type="dxa"/>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2,933.00</w:t>
            </w:r>
          </w:p>
        </w:tc>
      </w:tr>
    </w:tbl>
    <w:p>
      <w:pPr>
        <w:spacing w:line="600" w:lineRule="exact"/>
        <w:rPr>
          <w:rFonts w:ascii="Times New Roman" w:hAnsi="Times New Roman"/>
          <w:color w:val="000000"/>
        </w:rPr>
      </w:pPr>
    </w:p>
    <w:p>
      <w:pPr>
        <w:spacing w:line="600" w:lineRule="exact"/>
        <w:ind w:firstLine="640"/>
        <w:rPr>
          <w:rFonts w:ascii="Times New Roman" w:hAnsi="Times New Roman" w:cs="Times New Roman"/>
          <w:color w:val="000000"/>
        </w:rPr>
      </w:pPr>
      <w:r>
        <w:rPr>
          <w:rFonts w:ascii="Times New Roman" w:hAnsi="Times New Roman" w:cs="Times New Roman"/>
          <w:color w:val="000000"/>
        </w:rPr>
        <w:t>其中：外事接待</w:t>
      </w:r>
      <w:r>
        <w:rPr>
          <w:rFonts w:hint="eastAsia" w:ascii="Times New Roman" w:hAnsi="Times New Roman"/>
          <w:color w:val="000000"/>
        </w:rPr>
        <w:t>0</w:t>
      </w:r>
      <w:r>
        <w:rPr>
          <w:rFonts w:ascii="Times New Roman" w:hAnsi="Times New Roman" w:cs="Times New Roman"/>
          <w:color w:val="000000"/>
        </w:rPr>
        <w:t>批次，</w:t>
      </w:r>
      <w:r>
        <w:rPr>
          <w:rFonts w:hint="eastAsia" w:ascii="Times New Roman" w:hAnsi="Times New Roman"/>
          <w:color w:val="000000"/>
        </w:rPr>
        <w:t>0</w:t>
      </w:r>
      <w:r>
        <w:rPr>
          <w:rFonts w:ascii="Times New Roman" w:hAnsi="Times New Roman" w:cs="Times New Roman"/>
          <w:color w:val="000000"/>
        </w:rPr>
        <w:t>人，共计支出</w:t>
      </w:r>
      <w:r>
        <w:rPr>
          <w:rFonts w:hint="eastAsia" w:ascii="Times New Roman" w:hAnsi="Times New Roman"/>
          <w:color w:val="000000"/>
        </w:rPr>
        <w:t>0</w:t>
      </w:r>
      <w:r>
        <w:rPr>
          <w:rFonts w:ascii="Times New Roman" w:hAnsi="Times New Roman" w:cs="Times New Roman"/>
          <w:color w:val="000000"/>
        </w:rPr>
        <w:t>万元。</w:t>
      </w:r>
    </w:p>
    <w:p>
      <w:pPr>
        <w:spacing w:line="600" w:lineRule="exact"/>
        <w:ind w:firstLine="640"/>
        <w:rPr>
          <w:rFonts w:ascii="Times New Roman" w:hAnsi="Times New Roman" w:eastAsia="黑体" w:cs="Times New Roman"/>
          <w:color w:val="000000"/>
        </w:rPr>
      </w:pPr>
      <w:r>
        <w:rPr>
          <w:rFonts w:ascii="Times New Roman" w:hAnsi="Times New Roman" w:eastAsia="黑体" w:cs="Times New Roman"/>
          <w:color w:val="000000"/>
        </w:rPr>
        <w:t>八、政府性基金预算财政拨款支出决算情况</w:t>
      </w:r>
    </w:p>
    <w:p>
      <w:pPr>
        <w:spacing w:line="600" w:lineRule="exact"/>
        <w:ind w:firstLine="640"/>
        <w:rPr>
          <w:rFonts w:ascii="Times New Roman" w:hAnsi="Times New Roman" w:cs="Times New Roman"/>
          <w:color w:val="000000"/>
        </w:rPr>
      </w:pPr>
      <w:r>
        <w:rPr>
          <w:rFonts w:hint="eastAsia" w:ascii="Times New Roman" w:hAnsi="Times New Roman"/>
          <w:color w:val="000000"/>
        </w:rPr>
        <w:t>遂宁市妇女联合会</w:t>
      </w:r>
      <w:r>
        <w:rPr>
          <w:rFonts w:ascii="Times New Roman" w:hAnsi="Times New Roman" w:cs="Times New Roman"/>
          <w:color w:val="000000"/>
        </w:rPr>
        <w:t>2016年使用政府性基金预算财政拨款支出</w:t>
      </w:r>
      <w:r>
        <w:rPr>
          <w:rFonts w:hint="eastAsia" w:ascii="Times New Roman" w:hAnsi="Times New Roman"/>
          <w:color w:val="000000"/>
        </w:rPr>
        <w:t>0</w:t>
      </w:r>
      <w:r>
        <w:rPr>
          <w:rFonts w:ascii="Times New Roman" w:hAnsi="Times New Roman" w:cs="Times New Roman"/>
          <w:color w:val="000000"/>
        </w:rPr>
        <w:t>万元。</w:t>
      </w:r>
    </w:p>
    <w:p>
      <w:pPr>
        <w:spacing w:line="600" w:lineRule="exact"/>
        <w:ind w:firstLine="640" w:firstLineChars="200"/>
        <w:rPr>
          <w:rFonts w:ascii="Times New Roman" w:hAnsi="Times New Roman" w:eastAsia="黑体" w:cs="Times New Roman"/>
          <w:color w:val="000000"/>
        </w:rPr>
      </w:pPr>
      <w:r>
        <w:rPr>
          <w:rFonts w:ascii="Times New Roman" w:hAnsi="Times New Roman" w:eastAsia="黑体" w:cs="Times New Roman"/>
          <w:color w:val="000000"/>
        </w:rPr>
        <w:t>九、其他重要事项的情况说明</w:t>
      </w:r>
    </w:p>
    <w:p>
      <w:pPr>
        <w:spacing w:line="600" w:lineRule="exact"/>
        <w:ind w:firstLine="643" w:firstLineChars="200"/>
        <w:rPr>
          <w:rFonts w:ascii="楷体_GB2312" w:eastAsia="楷体_GB2312"/>
          <w:color w:val="000000"/>
        </w:rPr>
      </w:pPr>
      <w:r>
        <w:rPr>
          <w:rFonts w:hint="eastAsia" w:ascii="楷体_GB2312" w:eastAsia="楷体_GB2312"/>
          <w:b/>
          <w:color w:val="000000"/>
        </w:rPr>
        <w:t>（一）机关运行经费支出情况</w:t>
      </w:r>
    </w:p>
    <w:p>
      <w:pPr>
        <w:spacing w:line="600" w:lineRule="exact"/>
        <w:ind w:firstLine="640" w:firstLineChars="200"/>
        <w:rPr>
          <w:rFonts w:ascii="Times New Roman" w:hAnsi="Times New Roman" w:cs="Times New Roman"/>
          <w:color w:val="000000"/>
        </w:rPr>
      </w:pPr>
      <w:r>
        <w:rPr>
          <w:rFonts w:ascii="Times New Roman" w:hAnsi="Times New Roman" w:cs="Times New Roman"/>
          <w:color w:val="000000"/>
        </w:rPr>
        <w:t>2016年度，</w:t>
      </w:r>
      <w:r>
        <w:rPr>
          <w:rFonts w:hint="eastAsia" w:ascii="Times New Roman" w:hAnsi="Times New Roman" w:cs="Times New Roman"/>
          <w:color w:val="000000"/>
        </w:rPr>
        <w:t>遂宁市妇女联合会</w:t>
      </w:r>
      <w:r>
        <w:rPr>
          <w:rFonts w:ascii="Times New Roman" w:hAnsi="Times New Roman" w:cs="Times New Roman"/>
          <w:color w:val="000000"/>
        </w:rPr>
        <w:t>机关运行经费支出</w:t>
      </w:r>
      <w:r>
        <w:rPr>
          <w:rFonts w:hint="eastAsia" w:ascii="Times New Roman" w:hAnsi="Times New Roman"/>
          <w:color w:val="000000"/>
        </w:rPr>
        <w:t>20.95</w:t>
      </w:r>
      <w:r>
        <w:rPr>
          <w:rFonts w:ascii="Times New Roman" w:hAnsi="Times New Roman" w:cs="Times New Roman"/>
          <w:color w:val="000000"/>
        </w:rPr>
        <w:t>万元，比2015</w:t>
      </w:r>
      <w:r>
        <w:rPr>
          <w:rFonts w:ascii="Times New Roman" w:hAnsi="Times New Roman"/>
          <w:color w:val="000000"/>
        </w:rPr>
        <w:t>年</w:t>
      </w:r>
      <w:r>
        <w:rPr>
          <w:rFonts w:ascii="Times New Roman" w:hAnsi="Times New Roman" w:cs="Times New Roman"/>
          <w:color w:val="000000"/>
        </w:rPr>
        <w:t>减少</w:t>
      </w:r>
      <w:r>
        <w:rPr>
          <w:rFonts w:hint="eastAsia" w:ascii="Times New Roman" w:hAnsi="Times New Roman"/>
          <w:color w:val="000000"/>
        </w:rPr>
        <w:t>0.79</w:t>
      </w:r>
      <w:r>
        <w:rPr>
          <w:rFonts w:ascii="Times New Roman" w:hAnsi="Times New Roman"/>
          <w:color w:val="000000"/>
        </w:rPr>
        <w:t>万元，</w:t>
      </w:r>
      <w:r>
        <w:rPr>
          <w:rFonts w:ascii="Times New Roman" w:hAnsi="Times New Roman" w:cs="Times New Roman"/>
          <w:color w:val="000000"/>
        </w:rPr>
        <w:t>下降</w:t>
      </w:r>
      <w:r>
        <w:rPr>
          <w:rFonts w:hint="eastAsia" w:ascii="Times New Roman" w:hAnsi="Times New Roman"/>
          <w:color w:val="000000"/>
        </w:rPr>
        <w:t>3.63</w:t>
      </w:r>
      <w:r>
        <w:rPr>
          <w:rFonts w:ascii="Times New Roman" w:hAnsi="Times New Roman" w:cs="Times New Roman"/>
          <w:color w:val="000000"/>
        </w:rPr>
        <w:t>%。</w:t>
      </w:r>
    </w:p>
    <w:p>
      <w:pPr>
        <w:spacing w:line="600" w:lineRule="exact"/>
        <w:ind w:firstLine="640"/>
        <w:rPr>
          <w:rFonts w:ascii="Times New Roman" w:hAnsi="Times New Roman"/>
          <w:b/>
          <w:color w:val="000000"/>
        </w:rPr>
      </w:pPr>
      <w:r>
        <w:rPr>
          <w:rFonts w:ascii="Times New Roman" w:hAnsi="Times New Roman"/>
          <w:b/>
          <w:i/>
          <w:color w:val="404040"/>
        </w:rPr>
        <w:t>（数据来源财决CS05表）</w:t>
      </w:r>
    </w:p>
    <w:p>
      <w:pPr>
        <w:autoSpaceDE w:val="0"/>
        <w:autoSpaceDN w:val="0"/>
        <w:adjustRightInd w:val="0"/>
        <w:spacing w:line="600" w:lineRule="exact"/>
        <w:ind w:firstLine="643" w:firstLineChars="200"/>
        <w:jc w:val="left"/>
        <w:rPr>
          <w:rFonts w:ascii="楷体_GB2312" w:eastAsia="楷体_GB2312"/>
          <w:b/>
          <w:color w:val="000000"/>
        </w:rPr>
      </w:pPr>
      <w:r>
        <w:rPr>
          <w:rFonts w:hint="eastAsia" w:ascii="楷体_GB2312" w:eastAsia="楷体_GB2312"/>
          <w:b/>
          <w:color w:val="000000"/>
        </w:rPr>
        <w:t>（二）政府采购支出情况</w:t>
      </w:r>
    </w:p>
    <w:p>
      <w:pPr>
        <w:spacing w:line="600" w:lineRule="exact"/>
        <w:ind w:firstLine="640" w:firstLineChars="200"/>
        <w:rPr>
          <w:rFonts w:ascii="Times New Roman" w:hAnsi="Times New Roman" w:cs="Times New Roman"/>
          <w:color w:val="000000"/>
        </w:rPr>
      </w:pPr>
      <w:r>
        <w:rPr>
          <w:rFonts w:ascii="Times New Roman" w:hAnsi="Times New Roman" w:cs="Times New Roman"/>
          <w:color w:val="000000"/>
        </w:rPr>
        <w:t>2016年度，</w:t>
      </w:r>
      <w:r>
        <w:rPr>
          <w:rFonts w:hint="eastAsia" w:ascii="Times New Roman" w:hAnsi="Times New Roman"/>
          <w:color w:val="000000"/>
        </w:rPr>
        <w:t>遂宁市妇女联合会</w:t>
      </w:r>
      <w:r>
        <w:rPr>
          <w:rFonts w:ascii="Times New Roman" w:hAnsi="Times New Roman" w:cs="Times New Roman"/>
          <w:color w:val="000000"/>
        </w:rPr>
        <w:t>政府采购支出总额</w:t>
      </w:r>
      <w:r>
        <w:rPr>
          <w:rFonts w:hint="eastAsia" w:ascii="Times New Roman" w:hAnsi="Times New Roman"/>
          <w:color w:val="000000"/>
        </w:rPr>
        <w:t>0</w:t>
      </w:r>
      <w:r>
        <w:rPr>
          <w:rFonts w:ascii="Times New Roman" w:hAnsi="Times New Roman"/>
          <w:color w:val="000000"/>
        </w:rPr>
        <w:t>万元</w:t>
      </w:r>
      <w:r>
        <w:rPr>
          <w:rFonts w:ascii="Times New Roman" w:hAnsi="Times New Roman" w:cs="Times New Roman"/>
          <w:color w:val="000000"/>
        </w:rPr>
        <w:t>。</w:t>
      </w:r>
    </w:p>
    <w:p>
      <w:pPr>
        <w:spacing w:line="600" w:lineRule="exact"/>
        <w:ind w:firstLine="640"/>
        <w:rPr>
          <w:rFonts w:ascii="Times New Roman" w:hAnsi="Times New Roman"/>
          <w:b/>
          <w:i/>
          <w:color w:val="404040"/>
        </w:rPr>
      </w:pPr>
      <w:r>
        <w:rPr>
          <w:rFonts w:ascii="Times New Roman" w:hAnsi="Times New Roman"/>
          <w:b/>
          <w:i/>
          <w:color w:val="404040"/>
        </w:rPr>
        <w:t>（数据来源财决CS06表）</w:t>
      </w:r>
    </w:p>
    <w:p>
      <w:pPr>
        <w:autoSpaceDE w:val="0"/>
        <w:autoSpaceDN w:val="0"/>
        <w:adjustRightInd w:val="0"/>
        <w:spacing w:line="600" w:lineRule="exact"/>
        <w:ind w:firstLine="643" w:firstLineChars="200"/>
        <w:jc w:val="left"/>
        <w:rPr>
          <w:rFonts w:ascii="楷体_GB2312" w:eastAsia="楷体_GB2312"/>
          <w:b/>
          <w:color w:val="000000"/>
        </w:rPr>
      </w:pPr>
      <w:r>
        <w:rPr>
          <w:rFonts w:hint="eastAsia" w:ascii="楷体_GB2312" w:eastAsia="楷体_GB2312"/>
          <w:b/>
          <w:color w:val="000000"/>
        </w:rPr>
        <w:t>（三）国有资产占有使用情况</w:t>
      </w:r>
    </w:p>
    <w:p>
      <w:pPr>
        <w:autoSpaceDE w:val="0"/>
        <w:autoSpaceDN w:val="0"/>
        <w:adjustRightInd w:val="0"/>
        <w:spacing w:line="600" w:lineRule="exact"/>
        <w:ind w:firstLine="640" w:firstLineChars="200"/>
        <w:jc w:val="left"/>
        <w:rPr>
          <w:rFonts w:ascii="Times New Roman" w:hAnsi="Times New Roman" w:cs="Times New Roman"/>
          <w:color w:val="000000"/>
        </w:rPr>
      </w:pPr>
      <w:r>
        <w:rPr>
          <w:rFonts w:ascii="Times New Roman" w:hAnsi="Times New Roman" w:cs="Times New Roman"/>
          <w:color w:val="000000"/>
        </w:rPr>
        <w:t>截至2016年12月31日，</w:t>
      </w:r>
      <w:r>
        <w:rPr>
          <w:rFonts w:hint="eastAsia" w:ascii="Times New Roman" w:hAnsi="Times New Roman"/>
          <w:color w:val="000000"/>
        </w:rPr>
        <w:t>遂宁市妇女联合会</w:t>
      </w:r>
      <w:r>
        <w:rPr>
          <w:rFonts w:ascii="Times New Roman" w:hAnsi="Times New Roman" w:cs="Times New Roman"/>
          <w:color w:val="000000"/>
        </w:rPr>
        <w:t>公有车辆</w:t>
      </w:r>
      <w:r>
        <w:rPr>
          <w:rFonts w:hint="eastAsia" w:ascii="Times New Roman" w:hAnsi="Times New Roman"/>
          <w:color w:val="000000"/>
        </w:rPr>
        <w:t>1</w:t>
      </w:r>
      <w:r>
        <w:rPr>
          <w:rFonts w:ascii="Times New Roman" w:hAnsi="Times New Roman" w:cs="Times New Roman"/>
          <w:color w:val="000000"/>
        </w:rPr>
        <w:t>辆，其中：省部级领导干部用车</w:t>
      </w:r>
      <w:r>
        <w:rPr>
          <w:rFonts w:hint="eastAsia" w:ascii="Times New Roman" w:hAnsi="Times New Roman"/>
          <w:color w:val="000000"/>
        </w:rPr>
        <w:t>0</w:t>
      </w:r>
      <w:r>
        <w:rPr>
          <w:rFonts w:ascii="Times New Roman" w:hAnsi="Times New Roman" w:cs="Times New Roman"/>
          <w:color w:val="000000"/>
        </w:rPr>
        <w:t>辆、一般公务用车</w:t>
      </w:r>
      <w:r>
        <w:rPr>
          <w:rFonts w:hint="eastAsia" w:ascii="Times New Roman" w:hAnsi="Times New Roman"/>
          <w:color w:val="000000"/>
        </w:rPr>
        <w:t>1</w:t>
      </w:r>
      <w:r>
        <w:rPr>
          <w:rFonts w:ascii="Times New Roman" w:hAnsi="Times New Roman" w:cs="Times New Roman"/>
          <w:color w:val="000000"/>
        </w:rPr>
        <w:t>辆；单价50万元以上通用设备</w:t>
      </w:r>
      <w:r>
        <w:rPr>
          <w:rFonts w:hint="eastAsia" w:ascii="Times New Roman" w:hAnsi="Times New Roman"/>
          <w:color w:val="000000"/>
        </w:rPr>
        <w:t>0</w:t>
      </w:r>
      <w:r>
        <w:rPr>
          <w:rFonts w:ascii="Times New Roman" w:hAnsi="Times New Roman" w:cs="Times New Roman"/>
          <w:color w:val="000000"/>
        </w:rPr>
        <w:t>台（套），单价100万元以上专用设备</w:t>
      </w:r>
      <w:r>
        <w:rPr>
          <w:rFonts w:hint="eastAsia" w:ascii="Times New Roman" w:hAnsi="Times New Roman"/>
          <w:color w:val="000000"/>
        </w:rPr>
        <w:t>0</w:t>
      </w:r>
      <w:r>
        <w:rPr>
          <w:rFonts w:ascii="Times New Roman" w:hAnsi="Times New Roman" w:cs="Times New Roman"/>
          <w:color w:val="000000"/>
        </w:rPr>
        <w:t>台（套）。</w:t>
      </w:r>
    </w:p>
    <w:p>
      <w:pPr>
        <w:spacing w:line="600" w:lineRule="exact"/>
        <w:ind w:firstLine="640"/>
        <w:rPr>
          <w:rFonts w:ascii="Times New Roman" w:hAnsi="Times New Roman"/>
          <w:b/>
          <w:color w:val="000000"/>
        </w:rPr>
      </w:pPr>
      <w:r>
        <w:rPr>
          <w:rFonts w:ascii="Times New Roman" w:hAnsi="Times New Roman"/>
          <w:b/>
          <w:i/>
          <w:color w:val="404040"/>
        </w:rPr>
        <w:t>（数据来源财决CS05表）</w:t>
      </w:r>
    </w:p>
    <w:p>
      <w:pPr>
        <w:autoSpaceDE w:val="0"/>
        <w:autoSpaceDN w:val="0"/>
        <w:adjustRightInd w:val="0"/>
        <w:spacing w:line="600" w:lineRule="exact"/>
        <w:ind w:firstLine="643" w:firstLineChars="200"/>
        <w:jc w:val="left"/>
        <w:rPr>
          <w:rFonts w:ascii="楷体_GB2312" w:eastAsia="楷体_GB2312"/>
          <w:b/>
          <w:color w:val="000000"/>
        </w:rPr>
      </w:pPr>
      <w:r>
        <w:rPr>
          <w:rFonts w:hint="eastAsia" w:ascii="楷体_GB2312" w:eastAsia="楷体_GB2312"/>
          <w:b/>
          <w:color w:val="000000"/>
        </w:rPr>
        <w:t>（四）预算绩效情况</w:t>
      </w:r>
    </w:p>
    <w:p>
      <w:pPr>
        <w:spacing w:line="600" w:lineRule="atLeast"/>
        <w:ind w:firstLine="640" w:firstLineChars="200"/>
        <w:rPr>
          <w:rFonts w:ascii="Times New Roman" w:hAnsi="Times New Roman"/>
          <w:color w:val="000000" w:themeColor="text1"/>
        </w:rPr>
      </w:pPr>
      <w:r>
        <w:rPr>
          <w:rFonts w:ascii="Times New Roman" w:hAnsi="Times New Roman"/>
          <w:color w:val="000000" w:themeColor="text1"/>
        </w:rPr>
        <w:t>按照预算绩效管理要求，本部门对2016年一般公共预算项目支出开展了绩效目标管理，共编制绩效目标</w:t>
      </w:r>
      <w:r>
        <w:rPr>
          <w:rFonts w:hint="eastAsia" w:ascii="Times New Roman" w:hAnsi="Times New Roman"/>
          <w:color w:val="000000" w:themeColor="text1"/>
        </w:rPr>
        <w:t>6</w:t>
      </w:r>
      <w:r>
        <w:rPr>
          <w:rFonts w:ascii="Times New Roman" w:hAnsi="Times New Roman"/>
          <w:color w:val="000000" w:themeColor="text1"/>
        </w:rPr>
        <w:t>个，涉及财政资金</w:t>
      </w:r>
      <w:r>
        <w:rPr>
          <w:rFonts w:hint="eastAsia" w:ascii="Times New Roman" w:hAnsi="Times New Roman"/>
          <w:color w:val="000000" w:themeColor="text1"/>
        </w:rPr>
        <w:t>131.00</w:t>
      </w:r>
      <w:r>
        <w:rPr>
          <w:rFonts w:ascii="Times New Roman" w:hAnsi="Times New Roman"/>
          <w:color w:val="000000" w:themeColor="text1"/>
        </w:rPr>
        <w:t>万元，覆盖率达到</w:t>
      </w:r>
      <w:r>
        <w:rPr>
          <w:rFonts w:hint="eastAsia" w:ascii="Times New Roman" w:hAnsi="Times New Roman"/>
          <w:color w:val="000000" w:themeColor="text1"/>
        </w:rPr>
        <w:t>80</w:t>
      </w:r>
      <w:r>
        <w:rPr>
          <w:rFonts w:ascii="Times New Roman" w:hAnsi="Times New Roman"/>
          <w:color w:val="000000" w:themeColor="text1"/>
        </w:rPr>
        <w:t>%。</w:t>
      </w:r>
    </w:p>
    <w:p>
      <w:pPr>
        <w:spacing w:line="600" w:lineRule="atLeast"/>
        <w:ind w:firstLine="640" w:firstLineChars="200"/>
        <w:rPr>
          <w:rFonts w:ascii="Times New Roman" w:hAnsi="Times New Roman"/>
        </w:rPr>
      </w:pPr>
      <w:r>
        <w:rPr>
          <w:rFonts w:ascii="Times New Roman" w:hAnsi="Times New Roman"/>
        </w:rPr>
        <w:t>附：表1：收入支出决算总表</w:t>
      </w:r>
    </w:p>
    <w:p>
      <w:pPr>
        <w:spacing w:line="600" w:lineRule="atLeast"/>
        <w:ind w:firstLine="1273" w:firstLineChars="398"/>
        <w:rPr>
          <w:rFonts w:ascii="Times New Roman" w:hAnsi="Times New Roman"/>
        </w:rPr>
      </w:pPr>
      <w:r>
        <w:rPr>
          <w:rFonts w:ascii="Times New Roman" w:hAnsi="Times New Roman"/>
        </w:rPr>
        <w:t>表1-1：收入总表</w:t>
      </w:r>
    </w:p>
    <w:p>
      <w:pPr>
        <w:spacing w:line="600" w:lineRule="atLeast"/>
        <w:ind w:firstLine="1276" w:firstLineChars="399"/>
        <w:rPr>
          <w:rFonts w:ascii="Times New Roman" w:hAnsi="Times New Roman"/>
        </w:rPr>
      </w:pPr>
      <w:r>
        <w:rPr>
          <w:rFonts w:ascii="Times New Roman" w:hAnsi="Times New Roman"/>
        </w:rPr>
        <w:t>表1-2：支出总表</w:t>
      </w:r>
    </w:p>
    <w:p>
      <w:pPr>
        <w:spacing w:line="600" w:lineRule="atLeast"/>
        <w:ind w:firstLine="1276" w:firstLineChars="399"/>
        <w:rPr>
          <w:rFonts w:ascii="Times New Roman" w:hAnsi="Times New Roman"/>
        </w:rPr>
      </w:pPr>
      <w:r>
        <w:rPr>
          <w:rFonts w:ascii="Times New Roman" w:hAnsi="Times New Roman"/>
        </w:rPr>
        <w:t>表2：财政拨款收入支出决算表</w:t>
      </w:r>
    </w:p>
    <w:p>
      <w:pPr>
        <w:spacing w:line="600" w:lineRule="atLeast"/>
        <w:ind w:firstLine="1276" w:firstLineChars="399"/>
        <w:rPr>
          <w:rFonts w:ascii="Times New Roman" w:hAnsi="Times New Roman"/>
        </w:rPr>
      </w:pPr>
      <w:r>
        <w:rPr>
          <w:rFonts w:ascii="Times New Roman" w:hAnsi="Times New Roman"/>
        </w:rPr>
        <w:t>表3：一般公共预算财政拨款支出决算表</w:t>
      </w:r>
    </w:p>
    <w:p>
      <w:pPr>
        <w:spacing w:line="600" w:lineRule="atLeast"/>
        <w:ind w:firstLine="1276" w:firstLineChars="399"/>
        <w:rPr>
          <w:rFonts w:ascii="Times New Roman" w:hAnsi="Times New Roman"/>
        </w:rPr>
      </w:pPr>
      <w:r>
        <w:rPr>
          <w:rFonts w:ascii="Times New Roman" w:hAnsi="Times New Roman"/>
        </w:rPr>
        <w:t>表3-1：一般公共预算财政拨款支出决算明细表</w:t>
      </w:r>
    </w:p>
    <w:p>
      <w:pPr>
        <w:spacing w:line="600" w:lineRule="atLeast"/>
        <w:ind w:firstLine="1276" w:firstLineChars="399"/>
        <w:rPr>
          <w:rFonts w:ascii="Times New Roman" w:hAnsi="Times New Roman"/>
        </w:rPr>
      </w:pPr>
      <w:r>
        <w:rPr>
          <w:rFonts w:ascii="Times New Roman" w:hAnsi="Times New Roman"/>
        </w:rPr>
        <w:t>表3-2：一般公共预算财政拨款基本支出决算表</w:t>
      </w:r>
    </w:p>
    <w:p>
      <w:pPr>
        <w:spacing w:line="600" w:lineRule="atLeast"/>
        <w:ind w:firstLine="1276" w:firstLineChars="399"/>
        <w:rPr>
          <w:rFonts w:ascii="Times New Roman" w:hAnsi="Times New Roman"/>
        </w:rPr>
      </w:pPr>
      <w:r>
        <w:rPr>
          <w:rFonts w:ascii="Times New Roman" w:hAnsi="Times New Roman"/>
        </w:rPr>
        <w:t>表3-3：一般公共预算财政拨款项目支出决算表</w:t>
      </w:r>
    </w:p>
    <w:p>
      <w:pPr>
        <w:spacing w:line="600" w:lineRule="atLeast"/>
        <w:ind w:firstLine="1276" w:firstLineChars="399"/>
        <w:rPr>
          <w:rFonts w:ascii="Times New Roman" w:hAnsi="Times New Roman"/>
        </w:rPr>
      </w:pPr>
      <w:r>
        <w:rPr>
          <w:rFonts w:ascii="Times New Roman" w:hAnsi="Times New Roman"/>
        </w:rPr>
        <w:t>表3-4：一般公共预算财政拨款“三公”经费支出决算表</w:t>
      </w:r>
    </w:p>
    <w:p>
      <w:pPr>
        <w:spacing w:line="600" w:lineRule="atLeast"/>
        <w:ind w:firstLine="1276" w:firstLineChars="399"/>
        <w:rPr>
          <w:rFonts w:ascii="Times New Roman" w:hAnsi="Times New Roman"/>
        </w:rPr>
      </w:pPr>
      <w:r>
        <w:rPr>
          <w:rFonts w:ascii="Times New Roman" w:hAnsi="Times New Roman"/>
        </w:rPr>
        <w:t>表4：政府性基金预算财政拨款收入支出决算表</w:t>
      </w:r>
    </w:p>
    <w:p>
      <w:pPr>
        <w:spacing w:line="600" w:lineRule="atLeast"/>
        <w:ind w:firstLine="1276" w:firstLineChars="399"/>
        <w:rPr>
          <w:rFonts w:ascii="Times New Roman" w:hAnsi="Times New Roman"/>
        </w:rPr>
      </w:pPr>
      <w:r>
        <w:rPr>
          <w:rFonts w:ascii="Times New Roman" w:hAnsi="Times New Roman"/>
        </w:rPr>
        <w:t>表4-1：政府性基金预算财政拨款“三公”经费支出决算表</w:t>
      </w:r>
    </w:p>
    <w:p>
      <w:pPr>
        <w:spacing w:line="600" w:lineRule="atLeast"/>
        <w:ind w:firstLine="1259"/>
        <w:rPr>
          <w:rFonts w:ascii="Times New Roman" w:hAnsi="Times New Roman"/>
        </w:rPr>
      </w:pPr>
      <w:r>
        <w:rPr>
          <w:rFonts w:ascii="Times New Roman" w:hAnsi="Times New Roman"/>
        </w:rPr>
        <w:t>表5：国有资本经营预算支出决算表</w:t>
      </w:r>
    </w:p>
    <w:p>
      <w:pPr>
        <w:autoSpaceDE w:val="0"/>
        <w:autoSpaceDN w:val="0"/>
        <w:adjustRightInd w:val="0"/>
        <w:spacing w:line="600" w:lineRule="exact"/>
        <w:ind w:firstLine="640" w:firstLineChars="200"/>
        <w:jc w:val="left"/>
        <w:rPr>
          <w:rFonts w:ascii="Times New Roman" w:hAnsi="Times New Roman" w:eastAsia="黑体"/>
          <w:color w:val="000000"/>
        </w:rPr>
      </w:pPr>
    </w:p>
    <w:p>
      <w:pPr>
        <w:autoSpaceDE w:val="0"/>
        <w:autoSpaceDN w:val="0"/>
        <w:adjustRightInd w:val="0"/>
        <w:spacing w:line="600" w:lineRule="exact"/>
        <w:ind w:firstLine="640" w:firstLineChars="200"/>
        <w:jc w:val="left"/>
        <w:rPr>
          <w:rFonts w:ascii="Times New Roman" w:hAnsi="Times New Roman" w:eastAsia="黑体"/>
          <w:color w:val="000000"/>
        </w:rPr>
      </w:pPr>
      <w:r>
        <w:rPr>
          <w:rFonts w:ascii="Times New Roman" w:hAnsi="Times New Roman" w:eastAsia="黑体"/>
          <w:color w:val="000000"/>
        </w:rPr>
        <w:t>十、名词解释</w:t>
      </w:r>
    </w:p>
    <w:p>
      <w:pPr>
        <w:pStyle w:val="1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 xml:space="preserve">1. 财政拨款收入：指市级财政当年拨付的资金。 </w:t>
      </w:r>
    </w:p>
    <w:p>
      <w:pPr>
        <w:pStyle w:val="1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2. 事业收入：指事业单位开展专业业务活动及辅助活动所取得的收入。如…（二级预算单位事业收入情况）等。</w:t>
      </w:r>
    </w:p>
    <w:p>
      <w:pPr>
        <w:pStyle w:val="1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3. 经营收入：指事业单位在专业业务活动及其辅助活动之外开展非独立核算经营活动取得的收入。如…（二级预算单位经营收入情况）等。</w:t>
      </w:r>
    </w:p>
    <w:p>
      <w:pPr>
        <w:pStyle w:val="1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4. 其他收入：指除上述“财政拨款收入”、“事业收入”、“经营收入”等以外的收入。主要</w:t>
      </w:r>
      <w:r>
        <w:rPr>
          <w:rFonts w:hint="eastAsia" w:ascii="Times New Roman" w:eastAsia="仿宋_GB2312" w:cs="Times New Roman"/>
          <w:sz w:val="32"/>
          <w:szCs w:val="32"/>
        </w:rPr>
        <w:t>利息收入</w:t>
      </w:r>
      <w:r>
        <w:rPr>
          <w:rFonts w:ascii="Times New Roman" w:eastAsia="仿宋_GB2312" w:cs="Times New Roman"/>
          <w:sz w:val="32"/>
          <w:szCs w:val="32"/>
        </w:rPr>
        <w:t xml:space="preserve">等。 </w:t>
      </w:r>
    </w:p>
    <w:p>
      <w:pPr>
        <w:pStyle w:val="1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 xml:space="preserve">5. 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 xml:space="preserve">6. 年初结转和结余：指以前年度尚未完成、结转到本年按有关规定继续使用的资金。 </w:t>
      </w:r>
    </w:p>
    <w:p>
      <w:pPr>
        <w:ind w:firstLine="640" w:firstLineChars="200"/>
        <w:rPr>
          <w:rFonts w:ascii="Times New Roman" w:hAnsi="Times New Roman"/>
          <w:color w:val="000000"/>
        </w:rPr>
      </w:pPr>
      <w:r>
        <w:rPr>
          <w:rFonts w:ascii="Times New Roman" w:hAnsi="Times New Roman"/>
          <w:color w:val="000000"/>
        </w:rPr>
        <w:t>7. 一般公共服务（类）</w:t>
      </w:r>
      <w:r>
        <w:rPr>
          <w:rFonts w:hint="eastAsia" w:ascii="Times New Roman" w:hAnsi="Times New Roman"/>
          <w:color w:val="000000"/>
        </w:rPr>
        <w:t>商贸事务</w:t>
      </w:r>
      <w:r>
        <w:rPr>
          <w:rFonts w:ascii="Times New Roman" w:hAnsi="Times New Roman"/>
          <w:color w:val="000000"/>
        </w:rPr>
        <w:t>（款</w:t>
      </w:r>
      <w:r>
        <w:rPr>
          <w:rFonts w:hint="eastAsia" w:ascii="Times New Roman" w:hAnsi="Times New Roman"/>
          <w:color w:val="000000"/>
        </w:rPr>
        <w:t>）招商引资</w:t>
      </w:r>
      <w:r>
        <w:rPr>
          <w:rFonts w:ascii="Times New Roman" w:hAnsi="Times New Roman"/>
          <w:color w:val="000000"/>
        </w:rPr>
        <w:t>（项）：指</w:t>
      </w:r>
      <w:r>
        <w:rPr>
          <w:rFonts w:hint="eastAsia" w:ascii="Times New Roman" w:hAnsi="Times New Roman"/>
          <w:color w:val="000000"/>
        </w:rPr>
        <w:t>用于招商引资、优化经济环境等方面的支出</w:t>
      </w:r>
      <w:r>
        <w:rPr>
          <w:rFonts w:ascii="Times New Roman" w:hAnsi="Times New Roman"/>
          <w:color w:val="000000"/>
        </w:rPr>
        <w:t>。</w:t>
      </w:r>
    </w:p>
    <w:p>
      <w:pPr>
        <w:ind w:firstLine="640" w:firstLineChars="200"/>
        <w:rPr>
          <w:rFonts w:ascii="Times New Roman" w:hAnsi="Times New Roman"/>
          <w:color w:val="000000"/>
        </w:rPr>
      </w:pPr>
      <w:r>
        <w:rPr>
          <w:rFonts w:ascii="Times New Roman" w:hAnsi="Times New Roman"/>
          <w:color w:val="000000"/>
        </w:rPr>
        <w:t>8. 一般公共服务（类）</w:t>
      </w:r>
      <w:r>
        <w:rPr>
          <w:rFonts w:hint="eastAsia" w:ascii="Times New Roman" w:hAnsi="Times New Roman"/>
          <w:color w:val="000000"/>
        </w:rPr>
        <w:t>港澳台侨事务</w:t>
      </w:r>
      <w:r>
        <w:rPr>
          <w:rFonts w:ascii="Times New Roman" w:hAnsi="Times New Roman"/>
          <w:color w:val="000000"/>
        </w:rPr>
        <w:t>（款</w:t>
      </w:r>
      <w:r>
        <w:rPr>
          <w:rFonts w:hint="eastAsia" w:ascii="Times New Roman" w:hAnsi="Times New Roman"/>
          <w:color w:val="000000"/>
        </w:rPr>
        <w:t>）行政运行</w:t>
      </w:r>
      <w:r>
        <w:rPr>
          <w:rFonts w:ascii="Times New Roman" w:hAnsi="Times New Roman"/>
          <w:color w:val="000000"/>
        </w:rPr>
        <w:t>（项）</w:t>
      </w:r>
      <w:r>
        <w:rPr>
          <w:rFonts w:hint="eastAsia" w:ascii="Times New Roman" w:hAnsi="Times New Roman"/>
          <w:color w:val="000000"/>
        </w:rPr>
        <w:t>：</w:t>
      </w:r>
      <w:r>
        <w:rPr>
          <w:rFonts w:ascii="Times New Roman" w:hAnsi="Times New Roman"/>
          <w:color w:val="000000"/>
        </w:rPr>
        <w:t>指</w:t>
      </w:r>
      <w:r>
        <w:rPr>
          <w:rFonts w:hint="eastAsia" w:ascii="Times New Roman" w:hAnsi="Times New Roman"/>
          <w:color w:val="000000"/>
        </w:rPr>
        <w:t>行政单位（包括实行公务员管理的事业单位）的基本支出</w:t>
      </w:r>
      <w:r>
        <w:rPr>
          <w:rFonts w:ascii="Times New Roman" w:hAnsi="Times New Roman"/>
          <w:color w:val="000000"/>
        </w:rPr>
        <w:t>。</w:t>
      </w:r>
    </w:p>
    <w:p>
      <w:pPr>
        <w:ind w:firstLine="640" w:firstLineChars="200"/>
        <w:rPr>
          <w:rFonts w:ascii="Times New Roman" w:hAnsi="Times New Roman"/>
          <w:color w:val="000000"/>
        </w:rPr>
      </w:pPr>
      <w:r>
        <w:rPr>
          <w:rFonts w:ascii="Times New Roman" w:hAnsi="Times New Roman"/>
          <w:color w:val="000000"/>
        </w:rPr>
        <w:t>9. 一般公共服务（类）</w:t>
      </w:r>
      <w:r>
        <w:rPr>
          <w:rFonts w:hint="eastAsia" w:ascii="Times New Roman" w:hAnsi="Times New Roman"/>
          <w:color w:val="000000"/>
        </w:rPr>
        <w:t>港澳台侨事务</w:t>
      </w:r>
      <w:r>
        <w:rPr>
          <w:rFonts w:ascii="Times New Roman" w:hAnsi="Times New Roman"/>
          <w:color w:val="000000"/>
        </w:rPr>
        <w:t>（款</w:t>
      </w:r>
      <w:r>
        <w:rPr>
          <w:rFonts w:hint="eastAsia" w:ascii="Times New Roman" w:hAnsi="Times New Roman"/>
          <w:color w:val="000000"/>
        </w:rPr>
        <w:t>）一般行政管理事务</w:t>
      </w:r>
      <w:r>
        <w:rPr>
          <w:rFonts w:ascii="Times New Roman" w:hAnsi="Times New Roman"/>
          <w:color w:val="000000"/>
        </w:rPr>
        <w:t>（项）：指</w:t>
      </w:r>
      <w:r>
        <w:rPr>
          <w:rFonts w:hint="eastAsia" w:ascii="Times New Roman" w:hAnsi="Times New Roman"/>
          <w:color w:val="000000"/>
        </w:rPr>
        <w:t>行政单位（包括实行公务员管理的事业单位）未单独设置项级科目的其他项目支出</w:t>
      </w:r>
      <w:r>
        <w:rPr>
          <w:rFonts w:ascii="Times New Roman" w:hAnsi="Times New Roman"/>
          <w:color w:val="000000"/>
        </w:rPr>
        <w:t>。</w:t>
      </w:r>
    </w:p>
    <w:p>
      <w:pPr>
        <w:ind w:firstLine="640" w:firstLineChars="200"/>
        <w:rPr>
          <w:rFonts w:ascii="Times New Roman" w:hAnsi="Times New Roman"/>
          <w:color w:val="000000"/>
        </w:rPr>
      </w:pPr>
      <w:r>
        <w:rPr>
          <w:rFonts w:ascii="Times New Roman" w:hAnsi="Times New Roman"/>
          <w:color w:val="000000"/>
        </w:rPr>
        <w:t>10. 一般公共服务（类）</w:t>
      </w:r>
      <w:r>
        <w:rPr>
          <w:rFonts w:hint="eastAsia" w:ascii="Times New Roman" w:hAnsi="Times New Roman"/>
          <w:color w:val="000000"/>
        </w:rPr>
        <w:t>港澳台侨事务</w:t>
      </w:r>
      <w:r>
        <w:rPr>
          <w:rFonts w:ascii="Times New Roman" w:hAnsi="Times New Roman"/>
          <w:color w:val="000000"/>
        </w:rPr>
        <w:t>（款</w:t>
      </w:r>
      <w:r>
        <w:rPr>
          <w:rFonts w:hint="eastAsia" w:ascii="Times New Roman" w:hAnsi="Times New Roman"/>
          <w:color w:val="000000"/>
        </w:rPr>
        <w:t>）台湾事务</w:t>
      </w:r>
      <w:r>
        <w:rPr>
          <w:rFonts w:ascii="Times New Roman" w:hAnsi="Times New Roman"/>
          <w:color w:val="000000"/>
        </w:rPr>
        <w:t>（项）：指</w:t>
      </w:r>
      <w:r>
        <w:rPr>
          <w:rFonts w:hint="eastAsia" w:ascii="Times New Roman" w:hAnsi="Times New Roman"/>
          <w:color w:val="000000"/>
        </w:rPr>
        <w:t>用于台湾事务方面的支出</w:t>
      </w:r>
      <w:r>
        <w:rPr>
          <w:rFonts w:ascii="Times New Roman" w:hAnsi="Times New Roman"/>
          <w:color w:val="000000"/>
        </w:rPr>
        <w:t>。</w:t>
      </w:r>
    </w:p>
    <w:p>
      <w:pPr>
        <w:ind w:firstLine="640" w:firstLineChars="200"/>
        <w:rPr>
          <w:rFonts w:ascii="Times New Roman" w:hAnsi="Times New Roman"/>
          <w:color w:val="000000"/>
        </w:rPr>
      </w:pPr>
      <w:r>
        <w:rPr>
          <w:rFonts w:ascii="Times New Roman" w:hAnsi="Times New Roman"/>
          <w:color w:val="000000"/>
        </w:rPr>
        <w:t>11. 一般公共服务（类）</w:t>
      </w:r>
      <w:r>
        <w:rPr>
          <w:rFonts w:hint="eastAsia" w:ascii="Times New Roman" w:hAnsi="Times New Roman"/>
          <w:color w:val="000000"/>
        </w:rPr>
        <w:t>港澳台侨事务</w:t>
      </w:r>
      <w:r>
        <w:rPr>
          <w:rFonts w:ascii="Times New Roman" w:hAnsi="Times New Roman"/>
          <w:color w:val="000000"/>
        </w:rPr>
        <w:t>（款</w:t>
      </w:r>
      <w:r>
        <w:rPr>
          <w:rFonts w:hint="eastAsia" w:ascii="Times New Roman" w:hAnsi="Times New Roman"/>
          <w:color w:val="000000"/>
        </w:rPr>
        <w:t>）事业运行</w:t>
      </w:r>
      <w:r>
        <w:rPr>
          <w:rFonts w:ascii="Times New Roman" w:hAnsi="Times New Roman"/>
          <w:color w:val="000000"/>
        </w:rPr>
        <w:t>（项）：指</w:t>
      </w:r>
      <w:r>
        <w:rPr>
          <w:rFonts w:hint="eastAsia" w:ascii="Times New Roman" w:hAnsi="Times New Roman"/>
          <w:color w:val="000000"/>
        </w:rPr>
        <w:t>事业单位的基本支出，不包括行政单位（包括实行公务员管理的事业单位）后勤服务中心、医务室等附属事业单位</w:t>
      </w:r>
      <w:r>
        <w:rPr>
          <w:rFonts w:ascii="Times New Roman" w:hAnsi="Times New Roman"/>
          <w:color w:val="000000"/>
        </w:rPr>
        <w:t>。</w:t>
      </w:r>
    </w:p>
    <w:p>
      <w:pPr>
        <w:ind w:firstLine="640" w:firstLineChars="200"/>
        <w:rPr>
          <w:rFonts w:ascii="Times New Roman" w:hAnsi="Times New Roman"/>
          <w:color w:val="000000"/>
        </w:rPr>
      </w:pPr>
      <w:r>
        <w:rPr>
          <w:rFonts w:hint="eastAsia" w:ascii="Times New Roman" w:hAnsi="Times New Roman"/>
          <w:color w:val="000000"/>
        </w:rPr>
        <w:t>12. 医疗卫生与计划生育</w:t>
      </w:r>
      <w:r>
        <w:rPr>
          <w:rFonts w:ascii="Times New Roman" w:hAnsi="Times New Roman"/>
          <w:color w:val="000000"/>
        </w:rPr>
        <w:t>（类）</w:t>
      </w:r>
      <w:r>
        <w:rPr>
          <w:rFonts w:hint="eastAsia" w:ascii="Times New Roman" w:hAnsi="Times New Roman"/>
          <w:color w:val="000000"/>
        </w:rPr>
        <w:t>医疗保障</w:t>
      </w:r>
      <w:r>
        <w:rPr>
          <w:rFonts w:ascii="Times New Roman" w:hAnsi="Times New Roman"/>
          <w:color w:val="000000"/>
        </w:rPr>
        <w:t>（款</w:t>
      </w:r>
      <w:r>
        <w:rPr>
          <w:rFonts w:hint="eastAsia" w:ascii="Times New Roman" w:hAnsi="Times New Roman"/>
          <w:color w:val="000000"/>
        </w:rPr>
        <w:t>）行政单位医疗</w:t>
      </w:r>
      <w:r>
        <w:rPr>
          <w:rFonts w:ascii="Times New Roman" w:hAnsi="Times New Roman"/>
          <w:color w:val="000000"/>
        </w:rPr>
        <w:t>（项）</w:t>
      </w:r>
      <w:r>
        <w:rPr>
          <w:rFonts w:hint="eastAsia" w:ascii="Times New Roman" w:hAnsi="Times New Roman"/>
          <w:color w:val="000000"/>
        </w:rPr>
        <w:t>：指财政部门集中安排的行政单位基本医疗保险缴费经费，未参加医疗保险的行政事业单位的公费医疗经费，按国家规定享受离休人员、红军老战士待遇人员的医疗经费。</w:t>
      </w:r>
    </w:p>
    <w:p>
      <w:pPr>
        <w:ind w:firstLine="640" w:firstLineChars="200"/>
        <w:rPr>
          <w:rFonts w:ascii="Times New Roman" w:hAnsi="Times New Roman"/>
          <w:color w:val="000000"/>
        </w:rPr>
      </w:pPr>
      <w:r>
        <w:rPr>
          <w:rFonts w:hint="eastAsia" w:ascii="Times New Roman" w:hAnsi="Times New Roman"/>
          <w:color w:val="000000"/>
        </w:rPr>
        <w:t>13. 住房保障</w:t>
      </w:r>
      <w:r>
        <w:rPr>
          <w:rFonts w:ascii="Times New Roman" w:hAnsi="Times New Roman"/>
          <w:color w:val="000000"/>
        </w:rPr>
        <w:t>（类）</w:t>
      </w:r>
      <w:r>
        <w:rPr>
          <w:rFonts w:hint="eastAsia" w:ascii="Times New Roman" w:hAnsi="Times New Roman"/>
          <w:color w:val="000000"/>
        </w:rPr>
        <w:t>住房改革</w:t>
      </w:r>
      <w:r>
        <w:rPr>
          <w:rFonts w:ascii="Times New Roman" w:hAnsi="Times New Roman"/>
          <w:color w:val="000000"/>
        </w:rPr>
        <w:t>（款</w:t>
      </w:r>
      <w:r>
        <w:rPr>
          <w:rFonts w:hint="eastAsia" w:ascii="Times New Roman" w:hAnsi="Times New Roman"/>
          <w:color w:val="000000"/>
        </w:rPr>
        <w:t>）住房公积金</w:t>
      </w:r>
      <w:r>
        <w:rPr>
          <w:rFonts w:ascii="Times New Roman" w:hAnsi="Times New Roman"/>
          <w:color w:val="000000"/>
        </w:rPr>
        <w:t>（项）</w:t>
      </w:r>
      <w:r>
        <w:rPr>
          <w:rFonts w:hint="eastAsia" w:ascii="Times New Roman" w:hAnsi="Times New Roman"/>
          <w:color w:val="000000"/>
        </w:rPr>
        <w:t>：指行政事业单位按人力资源和社会保障部、财政部规定的基本工资和津贴补贴以及规定比例为职工缴纳的住房公积金。</w:t>
      </w:r>
    </w:p>
    <w:p>
      <w:pPr>
        <w:ind w:firstLine="64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4</w:t>
      </w:r>
      <w:r>
        <w:rPr>
          <w:rFonts w:ascii="Times New Roman" w:hAnsi="Times New Roman"/>
          <w:color w:val="000000"/>
        </w:rPr>
        <w:t>. 结余分配：指事业单位按规定提取的职工福利基金、事业基金和缴纳的所得税，以及建设单位按规定应交回的基本建设竣工项目结余资金。</w:t>
      </w:r>
    </w:p>
    <w:p>
      <w:pPr>
        <w:ind w:firstLine="64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5</w:t>
      </w:r>
      <w:r>
        <w:rPr>
          <w:rFonts w:ascii="Times New Roman" w:hAnsi="Times New Roman"/>
          <w:color w:val="000000"/>
        </w:rPr>
        <w:t>. 年末结转和结余：指本年度或以前年度预算安排、因客观条件发生变化无法按原计划实施，需延迟到以后年度按有关规定继续使用的资金。</w:t>
      </w:r>
    </w:p>
    <w:p>
      <w:pPr>
        <w:ind w:firstLine="64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6</w:t>
      </w:r>
      <w:r>
        <w:rPr>
          <w:rFonts w:ascii="Times New Roman" w:hAnsi="Times New Roman"/>
          <w:color w:val="000000"/>
        </w:rPr>
        <w:t>. 基本支出：指为保障机构正常运转、完成日常工作任务而发生的人员支出和公用支出。</w:t>
      </w:r>
    </w:p>
    <w:p>
      <w:pPr>
        <w:ind w:firstLine="64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7</w:t>
      </w:r>
      <w:r>
        <w:rPr>
          <w:rFonts w:ascii="Times New Roman" w:hAnsi="Times New Roman"/>
          <w:color w:val="000000"/>
        </w:rPr>
        <w:t xml:space="preserve">. 项目支出：指在基本支出之外为完成特定行政任务和事业发展目标所发生的支出。 </w:t>
      </w:r>
    </w:p>
    <w:p>
      <w:pPr>
        <w:ind w:firstLine="64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8</w:t>
      </w:r>
      <w:r>
        <w:rPr>
          <w:rFonts w:ascii="Times New Roman" w:hAnsi="Times New Roman"/>
          <w:color w:val="000000"/>
        </w:rPr>
        <w:t>. 经营支出：指事业单位在专业业务活动及其辅助活动之外开展非独立核算经营活动发生的支出。</w:t>
      </w:r>
    </w:p>
    <w:p>
      <w:pPr>
        <w:pStyle w:val="1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1</w:t>
      </w:r>
      <w:r>
        <w:rPr>
          <w:rFonts w:hint="eastAsia" w:ascii="Times New Roman" w:eastAsia="仿宋_GB2312" w:cs="Times New Roman"/>
          <w:sz w:val="32"/>
          <w:szCs w:val="32"/>
        </w:rPr>
        <w:t>9</w:t>
      </w:r>
      <w:r>
        <w:rPr>
          <w:rFonts w:ascii="Times New Roman" w:eastAsia="仿宋_GB2312" w:cs="Times New Roman"/>
          <w:sz w:val="32"/>
          <w:szCs w:val="32"/>
        </w:rPr>
        <w:t>. “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0"/>
        <w:spacing w:line="56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20</w:t>
      </w:r>
      <w:r>
        <w:rPr>
          <w:rFonts w:ascii="Times New Roman" w:eastAsia="仿宋_GB2312" w:cs="Times New Roman"/>
          <w:sz w:val="32"/>
          <w:szCs w:val="32"/>
        </w:rPr>
        <w:t>.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3972ECA"/>
    <w:rsid w:val="000B3AAD"/>
    <w:rsid w:val="00121EFD"/>
    <w:rsid w:val="00167898"/>
    <w:rsid w:val="0019293C"/>
    <w:rsid w:val="00271C05"/>
    <w:rsid w:val="002B0A9D"/>
    <w:rsid w:val="00357DA7"/>
    <w:rsid w:val="00480D1A"/>
    <w:rsid w:val="004A13B0"/>
    <w:rsid w:val="00572139"/>
    <w:rsid w:val="005A5790"/>
    <w:rsid w:val="005F1835"/>
    <w:rsid w:val="007F2177"/>
    <w:rsid w:val="0082314D"/>
    <w:rsid w:val="00837E02"/>
    <w:rsid w:val="00942BED"/>
    <w:rsid w:val="00A544C7"/>
    <w:rsid w:val="00CA36E2"/>
    <w:rsid w:val="00D41443"/>
    <w:rsid w:val="00D64F78"/>
    <w:rsid w:val="00DC2825"/>
    <w:rsid w:val="00EF1B00"/>
    <w:rsid w:val="00F0741C"/>
    <w:rsid w:val="00F50F18"/>
    <w:rsid w:val="00FB3E8D"/>
    <w:rsid w:val="00FC4C32"/>
    <w:rsid w:val="03972ECA"/>
    <w:rsid w:val="06EE25E3"/>
    <w:rsid w:val="107C2F83"/>
    <w:rsid w:val="245D643B"/>
    <w:rsid w:val="32EC6C6F"/>
    <w:rsid w:val="35AC1432"/>
    <w:rsid w:val="3B9F49E4"/>
    <w:rsid w:val="420C6454"/>
    <w:rsid w:val="518B6C55"/>
    <w:rsid w:val="52C47043"/>
    <w:rsid w:val="533672A2"/>
    <w:rsid w:val="5C666ECB"/>
    <w:rsid w:val="6A1D0090"/>
    <w:rsid w:val="6D846DAF"/>
    <w:rsid w:val="6F3A4874"/>
    <w:rsid w:val="704F693B"/>
    <w:rsid w:val="7F164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32"/>
      <w:szCs w:val="3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sz w:val="30"/>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qFormat/>
    <w:uiPriority w:val="0"/>
    <w:rPr>
      <w:rFonts w:cs="Times New Roman"/>
      <w:lang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11">
    <w:name w:val="页眉 Char"/>
    <w:basedOn w:val="5"/>
    <w:link w:val="4"/>
    <w:qFormat/>
    <w:uiPriority w:val="0"/>
    <w:rPr>
      <w:rFonts w:ascii="Calibri" w:hAnsi="Calibri" w:eastAsia="仿宋_GB2312" w:cstheme="minorBidi"/>
      <w:kern w:val="2"/>
      <w:sz w:val="18"/>
      <w:szCs w:val="18"/>
    </w:rPr>
  </w:style>
  <w:style w:type="character" w:customStyle="1" w:styleId="12">
    <w:name w:val="infodetail"/>
    <w:basedOn w:val="5"/>
    <w:qFormat/>
    <w:uiPriority w:val="0"/>
  </w:style>
  <w:style w:type="character" w:customStyle="1" w:styleId="13">
    <w:name w:val="hei41"/>
    <w:qFormat/>
    <w:uiPriority w:val="99"/>
    <w:rPr>
      <w:color w:val="000000"/>
      <w:sz w:val="21"/>
      <w:u w:val="none"/>
    </w:rPr>
  </w:style>
  <w:style w:type="character" w:customStyle="1" w:styleId="14">
    <w:name w:val="style51"/>
    <w:qFormat/>
    <w:uiPriority w:val="99"/>
    <w:rPr>
      <w:sz w:val="22"/>
    </w:rPr>
  </w:style>
  <w:style w:type="paragraph" w:customStyle="1" w:styleId="15">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2016</a:t>
            </a:r>
            <a:r>
              <a:rPr altLang="en-US"/>
              <a:t>年决算收入</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lumMod val="60000"/>
                  <a:lumOff val="40000"/>
                </a:schemeClr>
              </a:solidFill>
              <a:ln w="19050">
                <a:solidFill>
                  <a:schemeClr val="lt1"/>
                </a:solidFill>
              </a:ln>
              <a:effectLst>
                <a:innerShdw blurRad="114300">
                  <a:prstClr val="black"/>
                </a:innerShdw>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财政授权收入</c:v>
                </c:pt>
                <c:pt idx="1">
                  <c:v>其他收入</c:v>
                </c:pt>
                <c:pt idx="2">
                  <c:v> </c:v>
                </c:pt>
                <c:pt idx="3">
                  <c:v> </c:v>
                </c:pt>
              </c:strCache>
            </c:strRef>
          </c:cat>
          <c:val>
            <c:numRef>
              <c:f>Sheet1!$B$2:$B$5</c:f>
              <c:numCache>
                <c:formatCode>0.00%</c:formatCode>
                <c:ptCount val="4"/>
                <c:pt idx="0">
                  <c:v>0.9999</c:v>
                </c:pt>
                <c:pt idx="1">
                  <c:v>0.0001</c:v>
                </c:pt>
                <c:pt idx="2" c:formatCode="General">
                  <c:v>0</c:v>
                </c:pt>
                <c:pt idx="3"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310839797209076"/>
          <c:y val="0.8624563996791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en-US" altLang="zh-CN"/>
              <a:t>2016</a:t>
            </a:r>
            <a:r>
              <a:rPr altLang="en-US"/>
              <a:t>年决算支出</a:t>
            </a:r>
            <a:endParaRPr altLang="en-US"/>
          </a:p>
        </c:rich>
      </c:tx>
      <c:layout/>
      <c:overlay val="0"/>
      <c:spPr>
        <a:noFill/>
        <a:ln>
          <a:noFill/>
        </a:ln>
        <a:effectLst/>
      </c:spPr>
    </c:title>
    <c:autoTitleDeleted val="0"/>
    <c:plotArea>
      <c:layout/>
      <c:pieChart>
        <c:varyColors val="1"/>
        <c:ser>
          <c:idx val="0"/>
          <c:order val="0"/>
          <c:tx>
            <c:strRef>
              <c:f>Sheet1!$B$1</c:f>
              <c:strCache>
                <c:ptCount val="1"/>
                <c:pt idx="0">
                  <c:v> </c:v>
                </c:pt>
              </c:strCache>
            </c:strRef>
          </c:tx>
          <c:spPr>
            <a:effectLst>
              <a:innerShdw blurRad="114300">
                <a:prstClr val="black"/>
              </a:innerShdw>
            </a:effectLst>
          </c:spPr>
          <c:explosion val="5"/>
          <c:dPt>
            <c:idx val="0"/>
            <c:bubble3D val="0"/>
            <c:spPr>
              <a:solidFill>
                <a:schemeClr val="accent1">
                  <a:lumMod val="60000"/>
                  <a:lumOff val="40000"/>
                </a:schemeClr>
              </a:solidFill>
              <a:ln>
                <a:noFill/>
              </a:ln>
              <a:effectLst>
                <a:innerShdw blurRad="114300">
                  <a:prstClr val="black"/>
                </a:innerShdw>
              </a:effectLst>
            </c:spPr>
          </c:dPt>
          <c:dPt>
            <c:idx val="1"/>
            <c:bubble3D val="0"/>
            <c:spPr>
              <a:solidFill>
                <a:schemeClr val="accent4">
                  <a:lumMod val="60000"/>
                  <a:lumOff val="40000"/>
                </a:schemeClr>
              </a:solidFill>
              <a:ln>
                <a:noFill/>
              </a:ln>
              <a:effectLst>
                <a:innerShdw blurRad="114300">
                  <a:prstClr val="black"/>
                </a:innerShdw>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0.4053</c:v>
                </c:pt>
                <c:pt idx="1">
                  <c:v>0.5947</c:v>
                </c:pt>
              </c:numCache>
            </c:numRef>
          </c:val>
        </c:ser>
        <c:dLbls>
          <c:showLegendKey val="0"/>
          <c:showVal val="0"/>
          <c:showCatName val="0"/>
          <c:showSerName val="0"/>
          <c:showPercent val="0"/>
          <c:showBubbleSize val="0"/>
          <c:showLeaderLines val="1"/>
        </c:dLbls>
        <c:firstSliceAng val="1"/>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财政拨款收支决算分析</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2015年</c:v>
                </c:pt>
              </c:strCache>
            </c:strRef>
          </c:tx>
          <c:spPr>
            <a:solidFill>
              <a:schemeClr val="accent1">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财政拨款收支决算</c:v>
                </c:pt>
              </c:strCache>
            </c:strRef>
          </c:cat>
          <c:val>
            <c:numRef>
              <c:f>Sheet1!$B$2</c:f>
              <c:numCache>
                <c:formatCode>General</c:formatCode>
                <c:ptCount val="1"/>
                <c:pt idx="0">
                  <c:v>253.94</c:v>
                </c:pt>
              </c:numCache>
            </c:numRef>
          </c:val>
        </c:ser>
        <c:ser>
          <c:idx val="1"/>
          <c:order val="1"/>
          <c:tx>
            <c:strRef>
              <c:f>Sheet1!$C$1</c:f>
              <c:strCache>
                <c:ptCount val="1"/>
                <c:pt idx="0">
                  <c:v>2016年</c:v>
                </c:pt>
              </c:strCache>
            </c:strRef>
          </c:tx>
          <c:spPr>
            <a:solidFill>
              <a:schemeClr val="accent2">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2"/>
                </a:solidFill>
                <a:prstDash val="sysDot"/>
                <a:round/>
              </a:ln>
              <a:effectLst/>
            </c:spPr>
            <c:trendlineType val="linear"/>
            <c:dispRSqr val="0"/>
            <c:dispEq val="0"/>
          </c:trendline>
          <c:cat>
            <c:strRef>
              <c:f>Sheet1!$A$2</c:f>
              <c:strCache>
                <c:ptCount val="1"/>
                <c:pt idx="0">
                  <c:v>财政拨款收支决算</c:v>
                </c:pt>
              </c:strCache>
            </c:strRef>
          </c:cat>
          <c:val>
            <c:numRef>
              <c:f>Sheet1!$C$2</c:f>
              <c:numCache>
                <c:formatCode>General</c:formatCode>
                <c:ptCount val="1"/>
                <c:pt idx="0">
                  <c:v>352.14</c:v>
                </c:pt>
              </c:numCache>
            </c:numRef>
          </c:val>
        </c:ser>
        <c:dLbls>
          <c:showLegendKey val="0"/>
          <c:showVal val="1"/>
          <c:showCatName val="0"/>
          <c:showSerName val="0"/>
          <c:showPercent val="0"/>
          <c:showBubbleSize val="0"/>
        </c:dLbls>
        <c:gapWidth val="500"/>
        <c:overlap val="-100"/>
        <c:axId val="40033280"/>
        <c:axId val="41097088"/>
      </c:barChart>
      <c:catAx>
        <c:axId val="4003328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097088"/>
        <c:crosses val="autoZero"/>
        <c:auto val="1"/>
        <c:lblAlgn val="ctr"/>
        <c:lblOffset val="100"/>
        <c:noMultiLvlLbl val="0"/>
      </c:catAx>
      <c:valAx>
        <c:axId val="41097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3328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一般公共预算财政拨款支出决算总体情况</a:t>
            </a:r>
          </a:p>
        </c:rich>
      </c:tx>
      <c:layout>
        <c:manualLayout>
          <c:xMode val="edge"/>
          <c:yMode val="edge"/>
          <c:x val="0.196125"/>
          <c:y val="0.0273889227023738"/>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2015年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Sheet1!#REF!</c:f>
              <c:numCache>
                <c:ptCount val="0"/>
              </c:numCache>
            </c:numRef>
          </c:cat>
          <c:val>
            <c:numRef>
              <c:f>Sheet1!$A$2</c:f>
              <c:numCache>
                <c:formatCode>General</c:formatCode>
                <c:ptCount val="1"/>
                <c:pt idx="0">
                  <c:v>235.99</c:v>
                </c:pt>
              </c:numCache>
            </c:numRef>
          </c:val>
        </c:ser>
        <c:ser>
          <c:idx val="1"/>
          <c:order val="1"/>
          <c:tx>
            <c:strRef>
              <c:f>Sheet1!$B$1</c:f>
              <c:strCache>
                <c:ptCount val="1"/>
                <c:pt idx="0">
                  <c:v>2016年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Sheet1!#REF!</c:f>
              <c:numCache>
                <c:ptCount val="0"/>
              </c:numCache>
            </c:numRef>
          </c:cat>
          <c:val>
            <c:numRef>
              <c:f>Sheet1!$B$2</c:f>
              <c:numCache>
                <c:formatCode>General</c:formatCode>
                <c:ptCount val="1"/>
                <c:pt idx="0">
                  <c:v>351.65</c:v>
                </c:pt>
              </c:numCache>
            </c:numRef>
          </c:val>
        </c:ser>
        <c:dLbls>
          <c:showLegendKey val="0"/>
          <c:showVal val="1"/>
          <c:showCatName val="0"/>
          <c:showSerName val="0"/>
          <c:showPercent val="0"/>
          <c:showBubbleSize val="0"/>
        </c:dLbls>
        <c:gapWidth val="500"/>
        <c:overlap val="-100"/>
        <c:axId val="41510784"/>
        <c:axId val="41566976"/>
      </c:barChart>
      <c:catAx>
        <c:axId val="415107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66976"/>
        <c:crosses val="autoZero"/>
        <c:auto val="1"/>
        <c:lblAlgn val="ctr"/>
        <c:lblOffset val="100"/>
        <c:noMultiLvlLbl val="0"/>
      </c:catAx>
      <c:valAx>
        <c:axId val="41566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10784"/>
        <c:crosses val="autoZero"/>
        <c:crossBetween val="between"/>
      </c:valAx>
      <c:spPr>
        <a:noFill/>
        <a:ln>
          <a:noFill/>
        </a:ln>
        <a:effectLst/>
      </c:spPr>
    </c:plotArea>
    <c:legend>
      <c:legendPos val="b"/>
      <c:layout>
        <c:manualLayout>
          <c:xMode val="edge"/>
          <c:yMode val="edge"/>
          <c:x val="0.361875000000001"/>
          <c:y val="0.8612294583079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a:ln w="15875" cap="flat">
              <a:solidFill>
                <a:schemeClr val="lt1"/>
              </a:solidFill>
            </a:ln>
            <a:effectLst>
              <a:innerShdw blurRad="63500" dist="50800" dir="8100000">
                <a:prstClr val="black">
                  <a:alpha val="50000"/>
                </a:prstClr>
              </a:innerShdw>
            </a:effectLst>
          </c:spPr>
          <c:explosion val="0"/>
          <c:dPt>
            <c:idx val="0"/>
            <c:bubble3D val="0"/>
            <c:explosion val="10"/>
            <c:spPr>
              <a:solidFill>
                <a:schemeClr val="accent1"/>
              </a:solidFill>
              <a:ln w="15875" cap="flat">
                <a:solidFill>
                  <a:schemeClr val="lt1"/>
                </a:solidFill>
              </a:ln>
              <a:effectLst>
                <a:innerShdw blurRad="63500" dist="50800" dir="8100000">
                  <a:prstClr val="black">
                    <a:alpha val="50000"/>
                  </a:prstClr>
                </a:innerShdw>
              </a:effectLst>
            </c:spPr>
          </c:dPt>
          <c:dPt>
            <c:idx val="1"/>
            <c:bubble3D val="0"/>
            <c:spPr>
              <a:solidFill>
                <a:schemeClr val="accent2"/>
              </a:solidFill>
              <a:ln w="15875" cap="flat">
                <a:solidFill>
                  <a:schemeClr val="lt1"/>
                </a:solidFill>
              </a:ln>
              <a:effectLst>
                <a:innerShdw blurRad="63500" dist="50800" dir="8100000">
                  <a:prstClr val="black">
                    <a:alpha val="50000"/>
                  </a:prstClr>
                </a:innerShdw>
              </a:effectLst>
            </c:spPr>
          </c:dPt>
          <c:dPt>
            <c:idx val="2"/>
            <c:bubble3D val="0"/>
            <c:explosion val="5"/>
            <c:spPr>
              <a:solidFill>
                <a:schemeClr val="accent3"/>
              </a:solidFill>
              <a:ln w="15875" cap="flat">
                <a:solidFill>
                  <a:schemeClr val="lt1"/>
                </a:solidFill>
              </a:ln>
              <a:effectLst>
                <a:innerShdw blurRad="63500" dist="50800" dir="8100000">
                  <a:prstClr val="black">
                    <a:alpha val="50000"/>
                  </a:prstClr>
                </a:innerShdw>
              </a:effectLst>
            </c:spPr>
          </c:dPt>
          <c:dPt>
            <c:idx val="3"/>
            <c:bubble3D val="0"/>
            <c:spPr>
              <a:ln w="15875" cap="flat">
                <a:solidFill>
                  <a:schemeClr val="lt1"/>
                </a:solidFill>
              </a:ln>
              <a:effectLst>
                <a:innerShdw blurRad="63500" dist="50800" dir="8100000">
                  <a:prstClr val="black">
                    <a:alpha val="50000"/>
                  </a:prstClr>
                </a:innerShdw>
              </a:effectLst>
            </c:spPr>
          </c:dPt>
          <c:dLbls>
            <c:dLbl>
              <c:idx val="2"/>
              <c:layout>
                <c:manualLayout>
                  <c:x val="0.0355074665764579"/>
                  <c:y val="0.02718380689264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医疗卫生支出</c:v>
                </c:pt>
                <c:pt idx="2">
                  <c:v>住房保障支出</c:v>
                </c:pt>
                <c:pt idx="3">
                  <c:v>社会保障和就业支出</c:v>
                </c:pt>
              </c:strCache>
            </c:strRef>
          </c:cat>
          <c:val>
            <c:numRef>
              <c:f>Sheet1!$B$2:$B$5</c:f>
              <c:numCache>
                <c:formatCode>0.00%</c:formatCode>
                <c:ptCount val="4"/>
                <c:pt idx="0">
                  <c:v>0.958700000000001</c:v>
                </c:pt>
                <c:pt idx="1">
                  <c:v>0.0184</c:v>
                </c:pt>
                <c:pt idx="2">
                  <c:v>0.0213</c:v>
                </c:pt>
                <c:pt idx="3" c:formatCode="General">
                  <c:v>0.16</c:v>
                </c:pt>
              </c:numCache>
            </c:numRef>
          </c:val>
        </c:ser>
        <c:dLbls>
          <c:showLegendKey val="0"/>
          <c:showVal val="1"/>
          <c:showCatName val="0"/>
          <c:showSerName val="0"/>
          <c:showPercent val="0"/>
          <c:showBubbleSize val="0"/>
          <c:showLeaderLines val="1"/>
        </c:dLbls>
        <c:firstSliceAng val="1"/>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三公经费占财政拨款支出决算情况</c:v>
                </c:pt>
              </c:strCache>
            </c:strRef>
          </c:tx>
          <c:explosion val="0"/>
          <c:dPt>
            <c:idx val="0"/>
            <c:bubble3D val="0"/>
            <c:spPr>
              <a:solidFill>
                <a:schemeClr val="accent1"/>
              </a:solidFill>
              <a:ln w="19050">
                <a:solidFill>
                  <a:schemeClr val="lt1"/>
                </a:solidFill>
              </a:ln>
              <a:effectLst/>
            </c:spPr>
          </c:dPt>
          <c:dPt>
            <c:idx val="1"/>
            <c:bubble3D val="0"/>
            <c:explosion val="8"/>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公务用车购置及运行维护费支出决算</c:v>
                </c:pt>
                <c:pt idx="1">
                  <c:v>公务接待费支出决算</c:v>
                </c:pt>
              </c:strCache>
            </c:strRef>
          </c:cat>
          <c:val>
            <c:numRef>
              <c:f>Sheet1!$B$2:$B$3</c:f>
              <c:numCache>
                <c:formatCode>0.00%</c:formatCode>
                <c:ptCount val="2"/>
                <c:pt idx="0">
                  <c:v>0.671300000000001</c:v>
                </c:pt>
                <c:pt idx="1">
                  <c:v>0.3287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daheng</Company>
  <Pages>22</Pages>
  <Words>1678</Words>
  <Characters>9571</Characters>
  <Lines>79</Lines>
  <Paragraphs>22</Paragraphs>
  <TotalTime>0</TotalTime>
  <ScaleCrop>false</ScaleCrop>
  <LinksUpToDate>false</LinksUpToDate>
  <CharactersWithSpaces>11227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2017-10-30T02:21:00Z</dcterms:created>
  <dc:creator>Administrator</dc:creator>
  <cp:lastModifiedBy>001</cp:lastModifiedBy>
  <dcterms:modified xsi:type="dcterms:W3CDTF">2017-10-30T09:02:53Z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