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AF6" w:rsidRPr="009F1780" w:rsidRDefault="005C5AF6" w:rsidP="00B86B5C">
      <w:pPr>
        <w:widowControl/>
        <w:spacing w:before="100" w:beforeAutospacing="1" w:after="100" w:afterAutospacing="1" w:line="480" w:lineRule="auto"/>
        <w:jc w:val="center"/>
        <w:rPr>
          <w:rFonts w:ascii="ˎ̥" w:eastAsia="宋体" w:hAnsi="ˎ̥" w:cs="Arial" w:hint="eastAsia"/>
          <w:color w:val="000000"/>
          <w:kern w:val="0"/>
          <w:szCs w:val="21"/>
        </w:rPr>
      </w:pPr>
      <w:r w:rsidRPr="009F1780">
        <w:rPr>
          <w:rFonts w:ascii="ˎ̥" w:eastAsia="宋体" w:hAnsi="ˎ̥" w:cs="Arial"/>
          <w:b/>
          <w:bCs/>
          <w:color w:val="000000"/>
          <w:kern w:val="0"/>
          <w:sz w:val="30"/>
          <w:szCs w:val="30"/>
        </w:rPr>
        <w:t>国家食品药品监督管理总局关于调整部分药品行政审批事项审批程</w:t>
      </w:r>
      <w:bookmarkStart w:id="0" w:name="_GoBack"/>
      <w:bookmarkEnd w:id="0"/>
      <w:r w:rsidRPr="009F1780">
        <w:rPr>
          <w:rFonts w:ascii="ˎ̥" w:eastAsia="宋体" w:hAnsi="ˎ̥" w:cs="Arial"/>
          <w:b/>
          <w:bCs/>
          <w:color w:val="000000"/>
          <w:kern w:val="0"/>
          <w:sz w:val="30"/>
          <w:szCs w:val="30"/>
        </w:rPr>
        <w:t>序的决定</w:t>
      </w:r>
    </w:p>
    <w:p w:rsidR="005C5AF6" w:rsidRPr="009F1780" w:rsidRDefault="005C5AF6" w:rsidP="005C5AF6">
      <w:pPr>
        <w:widowControl/>
        <w:spacing w:before="100" w:beforeAutospacing="1" w:after="100" w:afterAutospacing="1" w:line="480" w:lineRule="auto"/>
        <w:jc w:val="left"/>
        <w:rPr>
          <w:rFonts w:ascii="ˎ̥" w:eastAsia="宋体" w:hAnsi="ˎ̥" w:cs="Arial" w:hint="eastAsia"/>
          <w:color w:val="000000"/>
          <w:kern w:val="0"/>
          <w:szCs w:val="21"/>
        </w:rPr>
      </w:pPr>
      <w:r w:rsidRPr="009F1780">
        <w:rPr>
          <w:rFonts w:ascii="ˎ̥" w:eastAsia="宋体" w:hAnsi="ˎ̥" w:cs="Arial"/>
          <w:color w:val="000000"/>
          <w:kern w:val="0"/>
          <w:szCs w:val="21"/>
        </w:rPr>
        <w:t xml:space="preserve">　　为贯彻落实《国务院关于改革药品医疗器械审评审批制度的意见》（国发〔</w:t>
      </w:r>
      <w:r w:rsidRPr="009F1780">
        <w:rPr>
          <w:rFonts w:ascii="ˎ̥" w:eastAsia="宋体" w:hAnsi="ˎ̥" w:cs="Arial"/>
          <w:color w:val="000000"/>
          <w:kern w:val="0"/>
          <w:szCs w:val="21"/>
        </w:rPr>
        <w:t>2015</w:t>
      </w:r>
      <w:r w:rsidRPr="009F1780">
        <w:rPr>
          <w:rFonts w:ascii="ˎ̥" w:eastAsia="宋体" w:hAnsi="ˎ̥" w:cs="Arial"/>
          <w:color w:val="000000"/>
          <w:kern w:val="0"/>
          <w:szCs w:val="21"/>
        </w:rPr>
        <w:t>〕</w:t>
      </w:r>
      <w:r w:rsidRPr="009F1780">
        <w:rPr>
          <w:rFonts w:ascii="ˎ̥" w:eastAsia="宋体" w:hAnsi="ˎ̥" w:cs="Arial"/>
          <w:color w:val="000000"/>
          <w:kern w:val="0"/>
          <w:szCs w:val="21"/>
        </w:rPr>
        <w:t>44</w:t>
      </w:r>
      <w:r w:rsidRPr="009F1780">
        <w:rPr>
          <w:rFonts w:ascii="ˎ̥" w:eastAsia="宋体" w:hAnsi="ˎ̥" w:cs="Arial"/>
          <w:color w:val="000000"/>
          <w:kern w:val="0"/>
          <w:szCs w:val="21"/>
        </w:rPr>
        <w:t>号）以及国务院有关行政审批制度改革精神，进一步加强药品注册管理，切实提高审评审批效率，经国家食品药品监督管理总局局务会议研究决定，将下列由国家食品药品监督管理总局作出的药品行政审批决定，调整为由国家食品药品监督管理总局药品审评中心以国家食品药品监督管理总局名义作出：</w:t>
      </w:r>
      <w:r w:rsidRPr="009F1780">
        <w:rPr>
          <w:rFonts w:ascii="ˎ̥" w:eastAsia="宋体" w:hAnsi="ˎ̥" w:cs="Arial"/>
          <w:color w:val="000000"/>
          <w:kern w:val="0"/>
          <w:sz w:val="18"/>
          <w:szCs w:val="18"/>
        </w:rPr>
        <w:br/>
      </w:r>
      <w:r w:rsidRPr="009F1780">
        <w:rPr>
          <w:rFonts w:ascii="ˎ̥" w:eastAsia="宋体" w:hAnsi="ˎ̥" w:cs="Arial"/>
          <w:color w:val="000000"/>
          <w:kern w:val="0"/>
          <w:szCs w:val="21"/>
        </w:rPr>
        <w:t xml:space="preserve">　　一、药物临床试验审批决定（含国产和进口）；</w:t>
      </w:r>
      <w:r w:rsidRPr="009F1780">
        <w:rPr>
          <w:rFonts w:ascii="ˎ̥" w:eastAsia="宋体" w:hAnsi="ˎ̥" w:cs="Arial"/>
          <w:color w:val="000000"/>
          <w:kern w:val="0"/>
          <w:sz w:val="18"/>
          <w:szCs w:val="18"/>
        </w:rPr>
        <w:br/>
      </w:r>
      <w:r w:rsidRPr="009F1780">
        <w:rPr>
          <w:rFonts w:ascii="ˎ̥" w:eastAsia="宋体" w:hAnsi="ˎ̥" w:cs="Arial"/>
          <w:color w:val="000000"/>
          <w:kern w:val="0"/>
          <w:szCs w:val="21"/>
        </w:rPr>
        <w:t xml:space="preserve">　　二、药品补充申请审批决定（含国产和进口）；</w:t>
      </w:r>
      <w:r w:rsidRPr="009F1780">
        <w:rPr>
          <w:rFonts w:ascii="ˎ̥" w:eastAsia="宋体" w:hAnsi="ˎ̥" w:cs="Arial"/>
          <w:color w:val="000000"/>
          <w:kern w:val="0"/>
          <w:sz w:val="18"/>
          <w:szCs w:val="18"/>
        </w:rPr>
        <w:br/>
      </w:r>
      <w:r w:rsidRPr="009F1780">
        <w:rPr>
          <w:rFonts w:ascii="ˎ̥" w:eastAsia="宋体" w:hAnsi="ˎ̥" w:cs="Arial"/>
          <w:color w:val="000000"/>
          <w:kern w:val="0"/>
          <w:szCs w:val="21"/>
        </w:rPr>
        <w:t xml:space="preserve">　　三、进口药品再注册审批决定。</w:t>
      </w:r>
      <w:r w:rsidRPr="009F1780">
        <w:rPr>
          <w:rFonts w:ascii="ˎ̥" w:eastAsia="宋体" w:hAnsi="ˎ̥" w:cs="Arial"/>
          <w:color w:val="000000"/>
          <w:kern w:val="0"/>
          <w:sz w:val="18"/>
          <w:szCs w:val="18"/>
        </w:rPr>
        <w:br/>
      </w:r>
      <w:r w:rsidRPr="009F1780">
        <w:rPr>
          <w:rFonts w:ascii="ˎ̥" w:eastAsia="宋体" w:hAnsi="ˎ̥" w:cs="Arial"/>
          <w:color w:val="000000"/>
          <w:kern w:val="0"/>
          <w:szCs w:val="21"/>
        </w:rPr>
        <w:t xml:space="preserve">　　其他药品注册申请的审批决定，按现程序，由国家食品药品监督管理总局作出。</w:t>
      </w:r>
      <w:r w:rsidRPr="009F1780">
        <w:rPr>
          <w:rFonts w:ascii="ˎ̥" w:eastAsia="宋体" w:hAnsi="ˎ̥" w:cs="Arial"/>
          <w:color w:val="000000"/>
          <w:kern w:val="0"/>
          <w:sz w:val="18"/>
          <w:szCs w:val="18"/>
        </w:rPr>
        <w:br/>
      </w:r>
      <w:r w:rsidRPr="009F1780">
        <w:rPr>
          <w:rFonts w:ascii="ˎ̥" w:eastAsia="宋体" w:hAnsi="ˎ̥" w:cs="Arial"/>
          <w:color w:val="000000"/>
          <w:kern w:val="0"/>
          <w:szCs w:val="21"/>
        </w:rPr>
        <w:t xml:space="preserve">　　调整后的审批决定由国家食品药品监督管理总局药品审评中心负责人签发。申请人对审批结论不服的，可以向国家食品药品监督管理总局提起行政复议或者依法提起行政诉讼。</w:t>
      </w:r>
      <w:r w:rsidRPr="009F1780">
        <w:rPr>
          <w:rFonts w:ascii="ˎ̥" w:eastAsia="宋体" w:hAnsi="ˎ̥" w:cs="Arial"/>
          <w:color w:val="000000"/>
          <w:kern w:val="0"/>
          <w:sz w:val="18"/>
          <w:szCs w:val="18"/>
        </w:rPr>
        <w:br/>
      </w:r>
      <w:r w:rsidRPr="009F1780">
        <w:rPr>
          <w:rFonts w:ascii="ˎ̥" w:eastAsia="宋体" w:hAnsi="ˎ̥" w:cs="Arial"/>
          <w:color w:val="000000"/>
          <w:kern w:val="0"/>
          <w:szCs w:val="21"/>
        </w:rPr>
        <w:t xml:space="preserve">　　药品监管相关规章中审批程序与本决定不一致的，按照本决定执行。</w:t>
      </w:r>
      <w:r w:rsidRPr="009F1780">
        <w:rPr>
          <w:rFonts w:ascii="ˎ̥" w:eastAsia="宋体" w:hAnsi="ˎ̥" w:cs="Arial"/>
          <w:color w:val="000000"/>
          <w:kern w:val="0"/>
          <w:sz w:val="18"/>
          <w:szCs w:val="18"/>
        </w:rPr>
        <w:br/>
      </w:r>
      <w:r w:rsidRPr="009F1780">
        <w:rPr>
          <w:rFonts w:ascii="ˎ̥" w:eastAsia="宋体" w:hAnsi="ˎ̥" w:cs="Arial"/>
          <w:color w:val="000000"/>
          <w:kern w:val="0"/>
          <w:szCs w:val="21"/>
        </w:rPr>
        <w:t xml:space="preserve">　　本决定自</w:t>
      </w:r>
      <w:r w:rsidRPr="009F1780">
        <w:rPr>
          <w:rFonts w:ascii="ˎ̥" w:eastAsia="宋体" w:hAnsi="ˎ̥" w:cs="Arial"/>
          <w:color w:val="000000"/>
          <w:kern w:val="0"/>
          <w:szCs w:val="21"/>
        </w:rPr>
        <w:t>2017</w:t>
      </w:r>
      <w:r w:rsidRPr="009F1780">
        <w:rPr>
          <w:rFonts w:ascii="ˎ̥" w:eastAsia="宋体" w:hAnsi="ˎ̥" w:cs="Arial"/>
          <w:color w:val="000000"/>
          <w:kern w:val="0"/>
          <w:szCs w:val="21"/>
        </w:rPr>
        <w:t>年</w:t>
      </w:r>
      <w:r w:rsidRPr="009F1780">
        <w:rPr>
          <w:rFonts w:ascii="ˎ̥" w:eastAsia="宋体" w:hAnsi="ˎ̥" w:cs="Arial"/>
          <w:color w:val="000000"/>
          <w:kern w:val="0"/>
          <w:szCs w:val="21"/>
        </w:rPr>
        <w:t>5</w:t>
      </w:r>
      <w:r w:rsidRPr="009F1780">
        <w:rPr>
          <w:rFonts w:ascii="ˎ̥" w:eastAsia="宋体" w:hAnsi="ˎ̥" w:cs="Arial"/>
          <w:color w:val="000000"/>
          <w:kern w:val="0"/>
          <w:szCs w:val="21"/>
        </w:rPr>
        <w:t>月</w:t>
      </w:r>
      <w:r w:rsidRPr="009F1780">
        <w:rPr>
          <w:rFonts w:ascii="ˎ̥" w:eastAsia="宋体" w:hAnsi="ˎ̥" w:cs="Arial"/>
          <w:color w:val="000000"/>
          <w:kern w:val="0"/>
          <w:szCs w:val="21"/>
        </w:rPr>
        <w:t>1</w:t>
      </w:r>
      <w:r w:rsidRPr="009F1780">
        <w:rPr>
          <w:rFonts w:ascii="ˎ̥" w:eastAsia="宋体" w:hAnsi="ˎ̥" w:cs="Arial"/>
          <w:color w:val="000000"/>
          <w:kern w:val="0"/>
          <w:szCs w:val="21"/>
        </w:rPr>
        <w:t>日起施行。</w:t>
      </w:r>
    </w:p>
    <w:p w:rsidR="005C5AF6" w:rsidRDefault="005C5AF6" w:rsidP="005C5AF6"/>
    <w:p w:rsidR="009F1780" w:rsidRPr="009F1780" w:rsidRDefault="009F1780" w:rsidP="005C5AF6">
      <w:pPr>
        <w:widowControl/>
        <w:spacing w:before="100" w:beforeAutospacing="1" w:after="100" w:afterAutospacing="1" w:line="480" w:lineRule="auto"/>
        <w:jc w:val="center"/>
        <w:rPr>
          <w:rFonts w:ascii="ˎ̥" w:eastAsia="宋体" w:hAnsi="ˎ̥" w:cs="Arial" w:hint="eastAsia"/>
          <w:color w:val="000000"/>
          <w:kern w:val="0"/>
          <w:szCs w:val="21"/>
        </w:rPr>
      </w:pPr>
    </w:p>
    <w:p w:rsidR="00D11B8C" w:rsidRDefault="00D11B8C"/>
    <w:sectPr w:rsidR="00D11B8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9B9" w:rsidRDefault="004F39B9" w:rsidP="00D45C81">
      <w:r>
        <w:separator/>
      </w:r>
    </w:p>
  </w:endnote>
  <w:endnote w:type="continuationSeparator" w:id="0">
    <w:p w:rsidR="004F39B9" w:rsidRDefault="004F39B9" w:rsidP="00D4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64419"/>
      <w:docPartObj>
        <w:docPartGallery w:val="Page Numbers (Bottom of Page)"/>
        <w:docPartUnique/>
      </w:docPartObj>
    </w:sdtPr>
    <w:sdtEndPr/>
    <w:sdtContent>
      <w:sdt>
        <w:sdtPr>
          <w:id w:val="-1669238322"/>
          <w:docPartObj>
            <w:docPartGallery w:val="Page Numbers (Top of Page)"/>
            <w:docPartUnique/>
          </w:docPartObj>
        </w:sdtPr>
        <w:sdtEndPr/>
        <w:sdtContent>
          <w:p w:rsidR="00222443" w:rsidRDefault="00480D74">
            <w:pPr>
              <w:pStyle w:val="a5"/>
              <w:jc w:val="center"/>
            </w:pPr>
            <w:r>
              <w:rPr>
                <w:rFonts w:hint="eastAsia"/>
              </w:rPr>
              <w:t>第</w:t>
            </w:r>
            <w:r w:rsidR="00222443">
              <w:rPr>
                <w:b/>
                <w:bCs/>
                <w:sz w:val="24"/>
                <w:szCs w:val="24"/>
              </w:rPr>
              <w:fldChar w:fldCharType="begin"/>
            </w:r>
            <w:r w:rsidR="00222443">
              <w:rPr>
                <w:b/>
                <w:bCs/>
              </w:rPr>
              <w:instrText>PAGE</w:instrText>
            </w:r>
            <w:r w:rsidR="00222443">
              <w:rPr>
                <w:b/>
                <w:bCs/>
                <w:sz w:val="24"/>
                <w:szCs w:val="24"/>
              </w:rPr>
              <w:fldChar w:fldCharType="separate"/>
            </w:r>
            <w:r w:rsidR="00B86B5C">
              <w:rPr>
                <w:b/>
                <w:bCs/>
                <w:noProof/>
              </w:rPr>
              <w:t>1</w:t>
            </w:r>
            <w:r w:rsidR="00222443">
              <w:rPr>
                <w:b/>
                <w:bCs/>
                <w:sz w:val="24"/>
                <w:szCs w:val="24"/>
              </w:rPr>
              <w:fldChar w:fldCharType="end"/>
            </w:r>
            <w:r>
              <w:rPr>
                <w:rFonts w:hint="eastAsia"/>
                <w:lang w:val="zh-CN"/>
              </w:rPr>
              <w:t>页</w:t>
            </w:r>
            <w:r w:rsidR="00492BFB">
              <w:rPr>
                <w:lang w:val="zh-CN"/>
              </w:rPr>
              <w:t>/</w:t>
            </w:r>
            <w:r>
              <w:rPr>
                <w:rFonts w:hint="eastAsia"/>
                <w:lang w:val="zh-CN"/>
              </w:rPr>
              <w:t>共</w:t>
            </w:r>
            <w:r w:rsidR="00222443">
              <w:rPr>
                <w:b/>
                <w:bCs/>
                <w:sz w:val="24"/>
                <w:szCs w:val="24"/>
              </w:rPr>
              <w:fldChar w:fldCharType="begin"/>
            </w:r>
            <w:r w:rsidR="00222443">
              <w:rPr>
                <w:b/>
                <w:bCs/>
              </w:rPr>
              <w:instrText>NUMPAGES</w:instrText>
            </w:r>
            <w:r w:rsidR="00222443">
              <w:rPr>
                <w:b/>
                <w:bCs/>
                <w:sz w:val="24"/>
                <w:szCs w:val="24"/>
              </w:rPr>
              <w:fldChar w:fldCharType="separate"/>
            </w:r>
            <w:r w:rsidR="00B86B5C">
              <w:rPr>
                <w:b/>
                <w:bCs/>
                <w:noProof/>
              </w:rPr>
              <w:t>1</w:t>
            </w:r>
            <w:r w:rsidR="00222443">
              <w:rPr>
                <w:b/>
                <w:bCs/>
                <w:sz w:val="24"/>
                <w:szCs w:val="24"/>
              </w:rPr>
              <w:fldChar w:fldCharType="end"/>
            </w:r>
            <w:r w:rsidRPr="00480D74">
              <w:rPr>
                <w:rFonts w:hint="eastAsia"/>
                <w:lang w:val="zh-CN"/>
              </w:rPr>
              <w:t>页</w:t>
            </w:r>
          </w:p>
        </w:sdtContent>
      </w:sdt>
    </w:sdtContent>
  </w:sdt>
  <w:p w:rsidR="00222443" w:rsidRDefault="0022244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9B9" w:rsidRDefault="004F39B9" w:rsidP="00D45C81">
      <w:r>
        <w:separator/>
      </w:r>
    </w:p>
  </w:footnote>
  <w:footnote w:type="continuationSeparator" w:id="0">
    <w:p w:rsidR="004F39B9" w:rsidRDefault="004F39B9" w:rsidP="00D45C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295"/>
    <w:rsid w:val="00002F84"/>
    <w:rsid w:val="000406FC"/>
    <w:rsid w:val="000566B2"/>
    <w:rsid w:val="000D2E0E"/>
    <w:rsid w:val="001136E7"/>
    <w:rsid w:val="001820EA"/>
    <w:rsid w:val="0020195D"/>
    <w:rsid w:val="00222443"/>
    <w:rsid w:val="00282F97"/>
    <w:rsid w:val="0028674E"/>
    <w:rsid w:val="002B2492"/>
    <w:rsid w:val="002D108F"/>
    <w:rsid w:val="00310D71"/>
    <w:rsid w:val="00351BBF"/>
    <w:rsid w:val="003953CF"/>
    <w:rsid w:val="003B2084"/>
    <w:rsid w:val="003E46D2"/>
    <w:rsid w:val="004541C1"/>
    <w:rsid w:val="00480D74"/>
    <w:rsid w:val="00492BFB"/>
    <w:rsid w:val="004F39B9"/>
    <w:rsid w:val="005C5AF6"/>
    <w:rsid w:val="00606A10"/>
    <w:rsid w:val="00677F45"/>
    <w:rsid w:val="00750142"/>
    <w:rsid w:val="007718A8"/>
    <w:rsid w:val="007C3047"/>
    <w:rsid w:val="00824937"/>
    <w:rsid w:val="0084290B"/>
    <w:rsid w:val="00897CDF"/>
    <w:rsid w:val="008B3295"/>
    <w:rsid w:val="00950AEC"/>
    <w:rsid w:val="009971AA"/>
    <w:rsid w:val="009B7006"/>
    <w:rsid w:val="009F1780"/>
    <w:rsid w:val="00AF06A8"/>
    <w:rsid w:val="00B51521"/>
    <w:rsid w:val="00B827EF"/>
    <w:rsid w:val="00B86B5C"/>
    <w:rsid w:val="00C052A2"/>
    <w:rsid w:val="00CA1A0D"/>
    <w:rsid w:val="00CD2F81"/>
    <w:rsid w:val="00CF3819"/>
    <w:rsid w:val="00D065EA"/>
    <w:rsid w:val="00D11B8C"/>
    <w:rsid w:val="00D30BE9"/>
    <w:rsid w:val="00D45C81"/>
    <w:rsid w:val="00E0264E"/>
    <w:rsid w:val="00E07989"/>
    <w:rsid w:val="00E26D2F"/>
    <w:rsid w:val="00F077B1"/>
    <w:rsid w:val="00F47E6A"/>
    <w:rsid w:val="00F544B9"/>
    <w:rsid w:val="00FD139A"/>
    <w:rsid w:val="00FF6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8D3A4"/>
  <w15:docId w15:val="{0D6A771D-B6E7-44B9-93F4-52147100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5C8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5C81"/>
    <w:rPr>
      <w:sz w:val="18"/>
      <w:szCs w:val="18"/>
    </w:rPr>
  </w:style>
  <w:style w:type="paragraph" w:styleId="a5">
    <w:name w:val="footer"/>
    <w:basedOn w:val="a"/>
    <w:link w:val="a6"/>
    <w:uiPriority w:val="99"/>
    <w:unhideWhenUsed/>
    <w:rsid w:val="00D45C81"/>
    <w:pPr>
      <w:tabs>
        <w:tab w:val="center" w:pos="4153"/>
        <w:tab w:val="right" w:pos="8306"/>
      </w:tabs>
      <w:snapToGrid w:val="0"/>
      <w:jc w:val="left"/>
    </w:pPr>
    <w:rPr>
      <w:sz w:val="18"/>
      <w:szCs w:val="18"/>
    </w:rPr>
  </w:style>
  <w:style w:type="character" w:customStyle="1" w:styleId="a6">
    <w:name w:val="页脚 字符"/>
    <w:basedOn w:val="a0"/>
    <w:link w:val="a5"/>
    <w:uiPriority w:val="99"/>
    <w:rsid w:val="00D45C81"/>
    <w:rPr>
      <w:sz w:val="18"/>
      <w:szCs w:val="18"/>
    </w:rPr>
  </w:style>
  <w:style w:type="character" w:styleId="a7">
    <w:name w:val="Strong"/>
    <w:basedOn w:val="a0"/>
    <w:uiPriority w:val="22"/>
    <w:qFormat/>
    <w:rsid w:val="009F17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郭永森</dc:creator>
  <cp:keywords/>
  <dc:description/>
  <cp:lastModifiedBy>余明丽</cp:lastModifiedBy>
  <cp:revision>2</cp:revision>
  <dcterms:created xsi:type="dcterms:W3CDTF">2019-01-30T07:28:00Z</dcterms:created>
  <dcterms:modified xsi:type="dcterms:W3CDTF">2019-01-30T07:28:00Z</dcterms:modified>
</cp:coreProperties>
</file>