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val="en-US" w:eastAsia="zh-CN"/>
        </w:rPr>
      </w:pPr>
      <w:r>
        <w:rPr>
          <w:rFonts w:hint="eastAsia"/>
          <w:b/>
          <w:bCs/>
          <w:sz w:val="36"/>
          <w:szCs w:val="36"/>
          <w:lang w:val="en-US" w:eastAsia="zh-CN"/>
        </w:rPr>
        <w:t>宁波拓普汽车电子有限公司年产30万套汽车NVH内饰功能件技改项目</w:t>
      </w:r>
    </w:p>
    <w:p>
      <w:pPr>
        <w:pStyle w:val="2"/>
        <w:jc w:val="center"/>
        <w:rPr>
          <w:rFonts w:hint="default"/>
          <w:b/>
          <w:bCs/>
          <w:sz w:val="36"/>
          <w:szCs w:val="36"/>
          <w:lang w:val="en-US" w:eastAsia="zh-CN"/>
        </w:rPr>
      </w:pPr>
      <w:r>
        <w:rPr>
          <w:rFonts w:hint="eastAsia"/>
          <w:b/>
          <w:bCs/>
          <w:sz w:val="36"/>
          <w:szCs w:val="36"/>
          <w:lang w:val="en-US" w:eastAsia="zh-CN"/>
        </w:rPr>
        <w:t>竣工环保验收意见</w:t>
      </w:r>
    </w:p>
    <w:p>
      <w:pPr>
        <w:pStyle w:val="6"/>
        <w:bidi w:val="0"/>
        <w:rPr>
          <w:rFonts w:hint="eastAsia"/>
          <w:lang w:val="en-US" w:eastAsia="zh-CN"/>
        </w:rPr>
      </w:pPr>
      <w:r>
        <w:rPr>
          <w:rFonts w:hint="eastAsia"/>
          <w:lang w:val="en-US" w:eastAsia="zh-CN"/>
        </w:rPr>
        <w:t>2023年9月25日，宁波拓普汽车电子有限公司根据《宁波拓普汽车电子有限公司年产30万套汽车NVH内饰功能件技改项目竣工环境保护验收监测报告表》并对照《建设项目竣工环境保护验收暂行办法》，依照国家有关法律法规、《建设项目竣工环境保护验收技术指南 污染影响类》、本项目环境影响报告表和审批部门审批决定等要求对本项目进行第一阶段验收，提出验收意见如下：</w:t>
      </w:r>
    </w:p>
    <w:p>
      <w:pPr>
        <w:pStyle w:val="6"/>
        <w:bidi w:val="0"/>
        <w:ind w:left="0" w:leftChars="0" w:firstLine="0" w:firstLineChars="0"/>
        <w:jc w:val="both"/>
        <w:rPr>
          <w:rFonts w:hint="eastAsia"/>
          <w:b/>
          <w:bCs/>
          <w:lang w:val="en-US" w:eastAsia="zh-CN"/>
        </w:rPr>
      </w:pPr>
      <w:r>
        <w:rPr>
          <w:rFonts w:hint="eastAsia"/>
          <w:b/>
          <w:bCs/>
          <w:lang w:val="en-US" w:eastAsia="zh-CN"/>
        </w:rPr>
        <w:t>一、项目基本情况</w:t>
      </w:r>
    </w:p>
    <w:p>
      <w:pPr>
        <w:pStyle w:val="6"/>
        <w:bidi w:val="0"/>
        <w:rPr>
          <w:rFonts w:hint="eastAsia"/>
          <w:lang w:val="en-US" w:eastAsia="zh-CN"/>
        </w:rPr>
      </w:pPr>
      <w:r>
        <w:rPr>
          <w:rFonts w:hint="eastAsia"/>
          <w:lang w:val="en-US" w:eastAsia="zh-CN"/>
        </w:rPr>
        <w:t>1、建设地点、规模、主要建设内容</w:t>
      </w:r>
    </w:p>
    <w:p>
      <w:pPr>
        <w:pStyle w:val="6"/>
        <w:bidi w:val="0"/>
        <w:rPr>
          <w:rFonts w:hint="eastAsia"/>
          <w:lang w:val="en-US" w:eastAsia="zh-CN"/>
        </w:rPr>
      </w:pPr>
      <w:r>
        <w:rPr>
          <w:rFonts w:hint="default"/>
          <w:lang w:val="en-US" w:eastAsia="zh-CN"/>
        </w:rPr>
        <w:t>宁波拓普汽车电子有限公司位于宁波杭州湾新区滨海六路598号，利用杭州湾新区滨海六路598号厂区的三号车间（隔音三部），建筑面积35000m</w:t>
      </w:r>
      <w:r>
        <w:rPr>
          <w:rFonts w:hint="default"/>
          <w:vertAlign w:val="superscript"/>
          <w:lang w:val="en-US" w:eastAsia="zh-CN"/>
        </w:rPr>
        <w:t>2</w:t>
      </w:r>
      <w:r>
        <w:rPr>
          <w:rFonts w:hint="default"/>
          <w:lang w:val="en-US" w:eastAsia="zh-CN"/>
        </w:rPr>
        <w:t>，实施“年产30万套汽车NVH内饰功能件技改项目”</w:t>
      </w:r>
      <w:r>
        <w:rPr>
          <w:rFonts w:hint="eastAsia"/>
          <w:lang w:val="en-US" w:eastAsia="zh-CN"/>
        </w:rPr>
        <w:t>。</w:t>
      </w:r>
    </w:p>
    <w:p>
      <w:pPr>
        <w:pStyle w:val="6"/>
        <w:bidi w:val="0"/>
        <w:rPr>
          <w:rFonts w:hint="eastAsia"/>
          <w:lang w:val="en-US" w:eastAsia="zh-CN"/>
        </w:rPr>
      </w:pPr>
      <w:r>
        <w:rPr>
          <w:rFonts w:hint="eastAsia"/>
          <w:lang w:val="en-US" w:eastAsia="zh-CN"/>
        </w:rPr>
        <w:t>2、建设过程及环保审批情况</w:t>
      </w:r>
    </w:p>
    <w:p>
      <w:pPr>
        <w:pStyle w:val="6"/>
        <w:bidi w:val="0"/>
        <w:rPr>
          <w:rFonts w:hint="default"/>
          <w:lang w:val="en-US" w:eastAsia="zh-CN"/>
        </w:rPr>
      </w:pPr>
      <w:r>
        <w:rPr>
          <w:rFonts w:hint="default"/>
          <w:lang w:val="en-US" w:eastAsia="zh-CN"/>
        </w:rPr>
        <w:t>20</w:t>
      </w:r>
      <w:r>
        <w:rPr>
          <w:rFonts w:hint="eastAsia"/>
          <w:lang w:val="en-US" w:eastAsia="zh-CN"/>
        </w:rPr>
        <w:t>22</w:t>
      </w:r>
      <w:r>
        <w:rPr>
          <w:rFonts w:hint="default"/>
          <w:lang w:val="en-US" w:eastAsia="zh-CN"/>
        </w:rPr>
        <w:t>年</w:t>
      </w:r>
      <w:r>
        <w:rPr>
          <w:rFonts w:hint="eastAsia"/>
          <w:lang w:val="en-US" w:eastAsia="zh-CN"/>
        </w:rPr>
        <w:t>11</w:t>
      </w:r>
      <w:r>
        <w:rPr>
          <w:rFonts w:hint="default"/>
          <w:lang w:val="en-US" w:eastAsia="zh-CN"/>
        </w:rPr>
        <w:t>月，企业宁波拓普汽车电子有限公司委托</w:t>
      </w:r>
      <w:r>
        <w:rPr>
          <w:rFonts w:hint="eastAsia"/>
          <w:lang w:val="en-US" w:eastAsia="zh-CN"/>
        </w:rPr>
        <w:t>浙江甬绿环保科技有限公司</w:t>
      </w:r>
      <w:r>
        <w:rPr>
          <w:rFonts w:hint="default"/>
          <w:lang w:val="en-US" w:eastAsia="zh-CN"/>
        </w:rPr>
        <w:t>编制完成了《宁波拓普汽车电子有限公司年产30万套汽车NVH内饰功能件技改项目环境影响报告表》，20</w:t>
      </w:r>
      <w:r>
        <w:rPr>
          <w:rFonts w:hint="eastAsia"/>
          <w:lang w:val="en-US" w:eastAsia="zh-CN"/>
        </w:rPr>
        <w:t>22</w:t>
      </w:r>
      <w:r>
        <w:rPr>
          <w:rFonts w:hint="default"/>
          <w:lang w:val="en-US" w:eastAsia="zh-CN"/>
        </w:rPr>
        <w:t>年</w:t>
      </w:r>
      <w:r>
        <w:rPr>
          <w:rFonts w:hint="eastAsia"/>
          <w:lang w:val="en-US" w:eastAsia="zh-CN"/>
        </w:rPr>
        <w:t>12</w:t>
      </w:r>
      <w:r>
        <w:rPr>
          <w:rFonts w:hint="default"/>
          <w:lang w:val="en-US" w:eastAsia="zh-CN"/>
        </w:rPr>
        <w:t>月</w:t>
      </w:r>
      <w:r>
        <w:rPr>
          <w:rFonts w:hint="eastAsia"/>
          <w:lang w:val="en-US" w:eastAsia="zh-CN"/>
        </w:rPr>
        <w:t>26日</w:t>
      </w:r>
      <w:r>
        <w:rPr>
          <w:rFonts w:hint="default"/>
          <w:lang w:val="en-US" w:eastAsia="zh-CN"/>
        </w:rPr>
        <w:t>，宁波前湾新区生态环境局以（甬新环建﹝20</w:t>
      </w:r>
      <w:r>
        <w:rPr>
          <w:rFonts w:hint="eastAsia"/>
          <w:lang w:val="en-US" w:eastAsia="zh-CN"/>
        </w:rPr>
        <w:t>22</w:t>
      </w:r>
      <w:r>
        <w:rPr>
          <w:rFonts w:hint="default"/>
          <w:lang w:val="en-US" w:eastAsia="zh-CN"/>
        </w:rPr>
        <w:t>﹞</w:t>
      </w:r>
      <w:r>
        <w:rPr>
          <w:rFonts w:hint="eastAsia"/>
          <w:lang w:val="en-US" w:eastAsia="zh-CN"/>
        </w:rPr>
        <w:t>71</w:t>
      </w:r>
      <w:r>
        <w:rPr>
          <w:rFonts w:hint="default"/>
          <w:lang w:val="en-US" w:eastAsia="zh-CN"/>
        </w:rPr>
        <w:t>号）对该项目进行了批复。2023年</w:t>
      </w:r>
      <w:r>
        <w:rPr>
          <w:rFonts w:hint="eastAsia"/>
          <w:lang w:val="en-US" w:eastAsia="zh-CN"/>
        </w:rPr>
        <w:t>03</w:t>
      </w:r>
      <w:r>
        <w:rPr>
          <w:rFonts w:hint="default"/>
          <w:lang w:val="en-US" w:eastAsia="zh-CN"/>
        </w:rPr>
        <w:t>月基本建成进行调试，生产设施和配套的环保设施运行基本正常，项目从立项至调试过程中无环境投诉、违法或处罚记录等。</w:t>
      </w:r>
    </w:p>
    <w:p>
      <w:pPr>
        <w:pStyle w:val="6"/>
        <w:bidi w:val="0"/>
        <w:rPr>
          <w:rFonts w:hint="default"/>
          <w:lang w:val="en-US" w:eastAsia="zh-CN"/>
        </w:rPr>
      </w:pPr>
      <w:r>
        <w:rPr>
          <w:rFonts w:hint="eastAsia"/>
          <w:lang w:val="en-US" w:eastAsia="zh-CN"/>
        </w:rPr>
        <w:t>企业</w:t>
      </w:r>
      <w:r>
        <w:rPr>
          <w:rFonts w:hint="default"/>
          <w:lang w:val="en-US" w:eastAsia="zh-CN"/>
        </w:rPr>
        <w:t>已于2022年10月24日取得</w:t>
      </w:r>
      <w:r>
        <w:rPr>
          <w:rFonts w:hint="eastAsia"/>
          <w:lang w:val="en-US" w:eastAsia="zh-CN"/>
        </w:rPr>
        <w:t>排污许可证</w:t>
      </w:r>
      <w:r>
        <w:rPr>
          <w:rFonts w:hint="default"/>
          <w:lang w:val="en-US" w:eastAsia="zh-CN"/>
        </w:rPr>
        <w:t>，</w:t>
      </w:r>
      <w:r>
        <w:rPr>
          <w:rFonts w:hint="eastAsia"/>
          <w:lang w:val="en-US" w:eastAsia="zh-CN"/>
        </w:rPr>
        <w:t>证书</w:t>
      </w:r>
      <w:r>
        <w:rPr>
          <w:rFonts w:hint="default"/>
          <w:lang w:val="en-US" w:eastAsia="zh-CN"/>
        </w:rPr>
        <w:t>编号91330201MA2833A9XR001Q。</w:t>
      </w:r>
    </w:p>
    <w:p>
      <w:pPr>
        <w:pStyle w:val="6"/>
        <w:bidi w:val="0"/>
        <w:rPr>
          <w:rFonts w:hint="eastAsia"/>
          <w:lang w:val="en-US" w:eastAsia="zh-CN"/>
        </w:rPr>
      </w:pPr>
      <w:r>
        <w:rPr>
          <w:rFonts w:hint="eastAsia"/>
          <w:lang w:val="en-US" w:eastAsia="zh-CN"/>
        </w:rPr>
        <w:t>3、投资情况</w:t>
      </w:r>
    </w:p>
    <w:p>
      <w:pPr>
        <w:pStyle w:val="6"/>
        <w:bidi w:val="0"/>
        <w:rPr>
          <w:rFonts w:hint="default"/>
          <w:lang w:val="en-US" w:eastAsia="zh-CN"/>
        </w:rPr>
      </w:pPr>
      <w:r>
        <w:rPr>
          <w:rFonts w:hint="default"/>
          <w:lang w:val="en-US" w:eastAsia="zh-CN"/>
        </w:rPr>
        <w:t>本项目实际总投资</w:t>
      </w:r>
      <w:r>
        <w:rPr>
          <w:rFonts w:hint="eastAsia"/>
          <w:lang w:val="en-US" w:eastAsia="zh-CN"/>
        </w:rPr>
        <w:t>3824</w:t>
      </w:r>
      <w:r>
        <w:rPr>
          <w:rFonts w:hint="default"/>
          <w:lang w:val="en-US" w:eastAsia="zh-CN"/>
        </w:rPr>
        <w:t>万元，本次验收实际环保投资</w:t>
      </w:r>
      <w:r>
        <w:rPr>
          <w:rFonts w:hint="eastAsia"/>
          <w:lang w:val="en-US" w:eastAsia="zh-CN"/>
        </w:rPr>
        <w:t>36</w:t>
      </w:r>
      <w:r>
        <w:rPr>
          <w:rFonts w:hint="default"/>
          <w:lang w:val="en-US" w:eastAsia="zh-CN"/>
        </w:rPr>
        <w:t>万元，占总投资的</w:t>
      </w:r>
      <w:r>
        <w:rPr>
          <w:rFonts w:hint="eastAsia"/>
          <w:lang w:val="en-US" w:eastAsia="zh-CN"/>
        </w:rPr>
        <w:t>0.9</w:t>
      </w:r>
      <w:r>
        <w:rPr>
          <w:rFonts w:hint="default"/>
          <w:lang w:val="en-US" w:eastAsia="zh-CN"/>
        </w:rPr>
        <w:t>%。</w:t>
      </w:r>
    </w:p>
    <w:p>
      <w:pPr>
        <w:pStyle w:val="6"/>
        <w:bidi w:val="0"/>
        <w:rPr>
          <w:rFonts w:hint="eastAsia"/>
          <w:lang w:val="en-US" w:eastAsia="zh-CN"/>
        </w:rPr>
      </w:pPr>
      <w:r>
        <w:rPr>
          <w:rFonts w:hint="eastAsia"/>
          <w:lang w:val="en-US" w:eastAsia="zh-CN"/>
        </w:rPr>
        <w:t>4、验收范围</w:t>
      </w:r>
    </w:p>
    <w:p>
      <w:pPr>
        <w:pStyle w:val="6"/>
        <w:bidi w:val="0"/>
        <w:rPr>
          <w:rFonts w:hint="eastAsia"/>
          <w:lang w:val="en-US" w:eastAsia="zh-CN"/>
        </w:rPr>
      </w:pPr>
      <w:r>
        <w:rPr>
          <w:rFonts w:hint="default"/>
          <w:lang w:val="en-US" w:eastAsia="zh-CN"/>
        </w:rPr>
        <w:t>本次验收范围为宁波拓普汽车电子有限公司年产30万套汽车NVH内饰功能件技改项目的验收</w:t>
      </w:r>
      <w:r>
        <w:rPr>
          <w:rFonts w:hint="eastAsia"/>
          <w:lang w:val="en-US" w:eastAsia="zh-CN"/>
        </w:rPr>
        <w:t>。</w:t>
      </w:r>
    </w:p>
    <w:p>
      <w:pPr>
        <w:pStyle w:val="6"/>
        <w:bidi w:val="0"/>
        <w:ind w:left="0" w:leftChars="0" w:firstLine="0" w:firstLineChars="0"/>
        <w:rPr>
          <w:rFonts w:hint="eastAsia"/>
          <w:b/>
          <w:bCs/>
          <w:lang w:val="en-US" w:eastAsia="zh-CN"/>
        </w:rPr>
      </w:pPr>
      <w:r>
        <w:rPr>
          <w:rFonts w:hint="eastAsia"/>
          <w:b/>
          <w:bCs/>
          <w:lang w:val="en-US" w:eastAsia="zh-CN"/>
        </w:rPr>
        <w:t>二、工程变动情况</w:t>
      </w:r>
    </w:p>
    <w:p>
      <w:pPr>
        <w:pStyle w:val="6"/>
        <w:bidi w:val="0"/>
        <w:rPr>
          <w:rFonts w:hint="default"/>
          <w:lang w:val="en-US" w:eastAsia="zh-CN"/>
        </w:rPr>
      </w:pPr>
      <w:r>
        <w:rPr>
          <w:rFonts w:hint="default"/>
          <w:lang w:val="en-US" w:eastAsia="zh-CN"/>
        </w:rPr>
        <w:t>经现场核查，项目内容</w:t>
      </w:r>
      <w:r>
        <w:rPr>
          <w:rFonts w:hint="eastAsia"/>
          <w:lang w:val="en-US" w:eastAsia="zh-CN"/>
        </w:rPr>
        <w:t>基本无变动。</w:t>
      </w:r>
    </w:p>
    <w:p>
      <w:pPr>
        <w:pStyle w:val="6"/>
        <w:bidi w:val="0"/>
        <w:ind w:left="0" w:leftChars="0" w:firstLine="0" w:firstLineChars="0"/>
        <w:rPr>
          <w:rFonts w:hint="eastAsia"/>
          <w:lang w:val="en-US" w:eastAsia="zh-CN"/>
        </w:rPr>
      </w:pPr>
      <w:r>
        <w:rPr>
          <w:rFonts w:hint="eastAsia"/>
          <w:b/>
          <w:bCs/>
          <w:lang w:val="en-US" w:eastAsia="zh-CN"/>
        </w:rPr>
        <w:t>三、环境保护设施建设情况</w:t>
      </w:r>
    </w:p>
    <w:p>
      <w:pPr>
        <w:pStyle w:val="6"/>
        <w:bidi w:val="0"/>
        <w:rPr>
          <w:rFonts w:hint="eastAsia"/>
          <w:lang w:val="en-US" w:eastAsia="zh-CN"/>
        </w:rPr>
      </w:pPr>
      <w:r>
        <w:rPr>
          <w:rFonts w:hint="eastAsia"/>
          <w:lang w:val="en-US" w:eastAsia="zh-CN"/>
        </w:rPr>
        <w:t>1、废气</w:t>
      </w:r>
    </w:p>
    <w:p>
      <w:pPr>
        <w:pStyle w:val="6"/>
        <w:bidi w:val="0"/>
        <w:rPr>
          <w:rFonts w:hint="default"/>
          <w:lang w:val="en-US" w:eastAsia="zh-CN"/>
        </w:rPr>
      </w:pPr>
      <w:r>
        <w:rPr>
          <w:rFonts w:hint="eastAsia"/>
          <w:lang w:val="en-US" w:eastAsia="zh-CN"/>
        </w:rPr>
        <w:t>本项目废气污染物主要为非甲烷总烃和颗粒物，集气罩收集后通过活性炭吸附箱和布袋除尘器于15m高排气筒排放。在验收监测期间（2023年06月01日~06月02日），非甲烷总烃有组织排放浓度达到《合成树脂工业污染物排放标准》（GB31572-2015）表5中标准限值；颗粒物有组织排放浓度达到《大气污染物综合排放标准》（GB16297-1996）表2中二级标准限值；臭气浓度有组织排放浓度达到《恶臭污染物排放标准》（GB14554-1993）表2中标准限值；油烟废气达到《饮食业油烟排放标准（试行）》（GB18483-2001）表2中标准限值。非甲烷总烃无组织排放浓度、总悬浮颗粒物无组织排放浓度均达到《大气污染物综合排放标准》（GB16297-1996）表2中新污染源大气污染物无组织排放监控浓度限值。厂区内无组织非甲烷总烃排放浓度未超过《挥发性有机物无组织排放控制标准》（GB37822-2019）附录A表A.1厂区内VOCs无组织排放限值。</w:t>
      </w:r>
    </w:p>
    <w:p>
      <w:pPr>
        <w:pStyle w:val="6"/>
        <w:bidi w:val="0"/>
        <w:rPr>
          <w:rFonts w:hint="eastAsia"/>
          <w:lang w:val="en-US" w:eastAsia="zh-CN"/>
        </w:rPr>
      </w:pPr>
      <w:r>
        <w:rPr>
          <w:rFonts w:hint="eastAsia"/>
          <w:lang w:val="en-US" w:eastAsia="zh-CN"/>
        </w:rPr>
        <w:t>2、废水</w:t>
      </w:r>
    </w:p>
    <w:p>
      <w:pPr>
        <w:pStyle w:val="6"/>
        <w:bidi w:val="0"/>
        <w:rPr>
          <w:rFonts w:hint="default"/>
          <w:lang w:val="en-US" w:eastAsia="zh-CN"/>
        </w:rPr>
      </w:pPr>
      <w:r>
        <w:rPr>
          <w:rFonts w:hint="default"/>
          <w:lang w:val="en-US" w:eastAsia="zh-CN"/>
        </w:rPr>
        <w:t>本项目排放废水为生活污水。生活污水经化粪池预处理后达到《污水综合排放标准》（GB8978-1996）三级标准（其中氨氮和总磷指标参照执行浙江省地方标准《工业企业废水氮、磷污染物间接排放限值》（DB33/887-2013））排入市政污水管道，最终经杭州湾新区污水处理厂处理达《城镇污水处理厂污染物排放标准》（GB18918-2002）一级A标准后九塘江。</w:t>
      </w:r>
    </w:p>
    <w:p>
      <w:pPr>
        <w:pStyle w:val="6"/>
        <w:bidi w:val="0"/>
        <w:rPr>
          <w:rFonts w:hint="eastAsia"/>
          <w:lang w:val="en-US" w:eastAsia="zh-CN"/>
        </w:rPr>
      </w:pPr>
      <w:r>
        <w:rPr>
          <w:rFonts w:hint="eastAsia"/>
          <w:lang w:val="en-US" w:eastAsia="zh-CN"/>
        </w:rPr>
        <w:t>3、噪声</w:t>
      </w:r>
    </w:p>
    <w:p>
      <w:pPr>
        <w:pStyle w:val="6"/>
        <w:bidi w:val="0"/>
        <w:rPr>
          <w:rFonts w:hint="default"/>
          <w:lang w:val="en-US" w:eastAsia="zh-CN"/>
        </w:rPr>
      </w:pPr>
      <w:r>
        <w:rPr>
          <w:rFonts w:hint="default"/>
          <w:lang w:val="en-US" w:eastAsia="zh-CN"/>
        </w:rPr>
        <w:t>本项目噪声为各设备在运转过程中产生的噪声，其噪声值在</w:t>
      </w:r>
      <w:r>
        <w:rPr>
          <w:rFonts w:hint="eastAsia"/>
          <w:lang w:val="en-US" w:eastAsia="zh-CN"/>
        </w:rPr>
        <w:t>60</w:t>
      </w:r>
      <w:r>
        <w:rPr>
          <w:rFonts w:hint="default"/>
          <w:lang w:val="en-US" w:eastAsia="zh-CN"/>
        </w:rPr>
        <w:t>~85dB</w:t>
      </w:r>
      <w:r>
        <w:rPr>
          <w:rFonts w:hint="eastAsia"/>
          <w:lang w:val="en-US" w:eastAsia="zh-CN"/>
        </w:rPr>
        <w:t>（A）</w:t>
      </w:r>
      <w:r>
        <w:rPr>
          <w:rFonts w:hint="default"/>
          <w:lang w:val="en-US" w:eastAsia="zh-CN"/>
        </w:rPr>
        <w:t>之间。</w:t>
      </w:r>
    </w:p>
    <w:p>
      <w:pPr>
        <w:pStyle w:val="6"/>
        <w:bidi w:val="0"/>
        <w:rPr>
          <w:rFonts w:hint="default"/>
          <w:lang w:val="en-US" w:eastAsia="zh-CN"/>
        </w:rPr>
      </w:pPr>
      <w:r>
        <w:rPr>
          <w:rFonts w:hint="default"/>
          <w:lang w:val="en-US" w:eastAsia="zh-CN"/>
        </w:rPr>
        <w:t>根据监测结果，项目噪声经治理后，厂界噪声能达到《工业企业厂界环境噪声排放标准》（GB12348-2008）3类标准。</w:t>
      </w:r>
    </w:p>
    <w:p>
      <w:pPr>
        <w:pStyle w:val="6"/>
        <w:bidi w:val="0"/>
        <w:rPr>
          <w:rFonts w:hint="eastAsia"/>
          <w:lang w:val="en-US" w:eastAsia="zh-CN"/>
        </w:rPr>
      </w:pPr>
      <w:r>
        <w:rPr>
          <w:rFonts w:hint="eastAsia"/>
          <w:lang w:val="en-US" w:eastAsia="zh-CN"/>
        </w:rPr>
        <w:t>4、固体废物</w:t>
      </w:r>
    </w:p>
    <w:p>
      <w:pPr>
        <w:pStyle w:val="6"/>
        <w:bidi w:val="0"/>
        <w:rPr>
          <w:rFonts w:hint="eastAsia"/>
          <w:lang w:val="en-US" w:eastAsia="zh-CN"/>
        </w:rPr>
      </w:pPr>
      <w:r>
        <w:rPr>
          <w:rFonts w:hint="eastAsia"/>
          <w:lang w:val="en-US" w:eastAsia="zh-CN"/>
        </w:rPr>
        <w:t>本次验收</w:t>
      </w:r>
      <w:r>
        <w:rPr>
          <w:rFonts w:hint="default"/>
          <w:lang w:val="en-US" w:eastAsia="zh-CN"/>
        </w:rPr>
        <w:t>项目固体废物主要为滚胶废胶水、废面料边角料、喷胶废胶渣、废空桶、水切割废水过滤滤渣、废机油、废液压油、废油桶、废包装袋、含油抹布、生活垃圾、废活性炭</w:t>
      </w:r>
      <w:r>
        <w:rPr>
          <w:rFonts w:hint="eastAsia"/>
          <w:lang w:val="en-US" w:eastAsia="zh-CN"/>
        </w:rPr>
        <w:t>、废洗模水。其中滚胶废胶水、喷胶废胶渣、废空桶、废活性炭委托宁波市北仑环保固废处置有限公司安全处置，废机油、废液压油委托浙江绿晨环保科技有限公司安全处置，废油桶、含油抹布委托宁波炬鑫环保制品有限公司安全处置，废洗模水委托宁波渤川废液处置有限公司安全处置。废面料边角料、水切割废水过滤铝渣、废包装袋委托宁波甬达物业服务有限公司处置。生活垃圾委托环卫部门处理。</w:t>
      </w:r>
    </w:p>
    <w:p>
      <w:pPr>
        <w:pStyle w:val="6"/>
        <w:bidi w:val="0"/>
        <w:rPr>
          <w:rFonts w:hint="default"/>
          <w:lang w:val="en-US" w:eastAsia="zh-CN"/>
        </w:rPr>
      </w:pPr>
      <w:r>
        <w:rPr>
          <w:rFonts w:hint="default"/>
          <w:lang w:val="en-US" w:eastAsia="zh-CN"/>
        </w:rPr>
        <w:t>5、其它环保设施建设情况</w:t>
      </w:r>
    </w:p>
    <w:p>
      <w:pPr>
        <w:pStyle w:val="6"/>
        <w:bidi w:val="0"/>
        <w:rPr>
          <w:rFonts w:hint="default"/>
          <w:lang w:val="en-US" w:eastAsia="zh-CN"/>
        </w:rPr>
      </w:pPr>
      <w:r>
        <w:rPr>
          <w:rFonts w:hint="default"/>
          <w:lang w:val="en-US" w:eastAsia="zh-CN"/>
        </w:rPr>
        <w:t>无。</w:t>
      </w:r>
    </w:p>
    <w:p>
      <w:pPr>
        <w:pStyle w:val="6"/>
        <w:bidi w:val="0"/>
        <w:ind w:left="0" w:leftChars="0" w:firstLine="0" w:firstLineChars="0"/>
        <w:rPr>
          <w:rFonts w:hint="default"/>
          <w:b/>
          <w:bCs/>
          <w:lang w:val="en-US" w:eastAsia="zh-CN"/>
        </w:rPr>
      </w:pPr>
      <w:r>
        <w:rPr>
          <w:rFonts w:hint="eastAsia"/>
          <w:b/>
          <w:bCs/>
          <w:lang w:val="en-US" w:eastAsia="zh-CN"/>
        </w:rPr>
        <w:t>四、环境保护设施调试效果</w:t>
      </w:r>
    </w:p>
    <w:p>
      <w:pPr>
        <w:pStyle w:val="6"/>
        <w:bidi w:val="0"/>
        <w:rPr>
          <w:rFonts w:hint="eastAsia"/>
          <w:lang w:val="en-US" w:eastAsia="zh-CN"/>
        </w:rPr>
      </w:pPr>
      <w:r>
        <w:rPr>
          <w:rFonts w:hint="eastAsia"/>
          <w:lang w:val="en-US" w:eastAsia="zh-CN"/>
        </w:rPr>
        <w:t>浙江中一检测研究院股份有限公司于2023年06月01日～06月02日对宁波拓普汽车电子有限公司进行了现场采样监测，企业生产工况稳定，各类污染物检测结果如下：</w:t>
      </w:r>
    </w:p>
    <w:p>
      <w:pPr>
        <w:pStyle w:val="6"/>
        <w:bidi w:val="0"/>
        <w:rPr>
          <w:rFonts w:hint="eastAsia"/>
          <w:lang w:val="en-US" w:eastAsia="zh-CN"/>
        </w:rPr>
      </w:pPr>
      <w:r>
        <w:rPr>
          <w:rFonts w:hint="eastAsia"/>
          <w:lang w:val="en-US" w:eastAsia="zh-CN"/>
        </w:rPr>
        <w:t>1、废气</w:t>
      </w:r>
    </w:p>
    <w:p>
      <w:pPr>
        <w:pStyle w:val="6"/>
        <w:bidi w:val="0"/>
        <w:rPr>
          <w:rFonts w:hint="default"/>
          <w:lang w:val="en-US" w:eastAsia="zh-CN"/>
        </w:rPr>
      </w:pPr>
      <w:r>
        <w:rPr>
          <w:rFonts w:hint="default"/>
          <w:lang w:val="en-US" w:eastAsia="zh-CN"/>
        </w:rPr>
        <w:t>在验收监测期间（2023年0</w:t>
      </w:r>
      <w:r>
        <w:rPr>
          <w:rFonts w:hint="eastAsia"/>
          <w:lang w:val="en-US" w:eastAsia="zh-CN"/>
        </w:rPr>
        <w:t>6</w:t>
      </w:r>
      <w:r>
        <w:rPr>
          <w:rFonts w:hint="default"/>
          <w:lang w:val="en-US" w:eastAsia="zh-CN"/>
        </w:rPr>
        <w:t>月</w:t>
      </w:r>
      <w:r>
        <w:rPr>
          <w:rFonts w:hint="eastAsia"/>
          <w:lang w:val="en-US" w:eastAsia="zh-CN"/>
        </w:rPr>
        <w:t>01</w:t>
      </w:r>
      <w:r>
        <w:rPr>
          <w:rFonts w:hint="default"/>
          <w:lang w:val="en-US" w:eastAsia="zh-CN"/>
        </w:rPr>
        <w:t>日~06月0</w:t>
      </w:r>
      <w:r>
        <w:rPr>
          <w:rFonts w:hint="eastAsia"/>
          <w:lang w:val="en-US" w:eastAsia="zh-CN"/>
        </w:rPr>
        <w:t>2</w:t>
      </w:r>
      <w:r>
        <w:rPr>
          <w:rFonts w:hint="default"/>
          <w:lang w:val="en-US" w:eastAsia="zh-CN"/>
        </w:rPr>
        <w:t>日），非甲烷总烃有组织排放浓度达到《合成树脂工业污染物排放标准》（</w:t>
      </w:r>
      <w:r>
        <w:rPr>
          <w:rFonts w:hint="eastAsia"/>
          <w:lang w:val="en-US" w:eastAsia="zh-CN"/>
        </w:rPr>
        <w:t>GB</w:t>
      </w:r>
      <w:r>
        <w:rPr>
          <w:rFonts w:hint="default"/>
          <w:lang w:val="en-US" w:eastAsia="zh-CN"/>
        </w:rPr>
        <w:t>31572-2015）表5中标准限值；颗粒物有组织排放浓度达到《大气污染物综合排放标准》（</w:t>
      </w:r>
      <w:r>
        <w:rPr>
          <w:rFonts w:hint="eastAsia"/>
          <w:lang w:val="en-US" w:eastAsia="zh-CN"/>
        </w:rPr>
        <w:t>GB</w:t>
      </w:r>
      <w:r>
        <w:rPr>
          <w:rFonts w:hint="default"/>
          <w:lang w:val="en-US" w:eastAsia="zh-CN"/>
        </w:rPr>
        <w:t>16297-1996）表2中二级标准限值；臭气浓度有组织排放浓度达到《恶臭污染物排放标准》（</w:t>
      </w:r>
      <w:r>
        <w:rPr>
          <w:rFonts w:hint="eastAsia"/>
          <w:lang w:val="en-US" w:eastAsia="zh-CN"/>
        </w:rPr>
        <w:t>GB</w:t>
      </w:r>
      <w:r>
        <w:rPr>
          <w:rFonts w:hint="default"/>
          <w:lang w:val="en-US" w:eastAsia="zh-CN"/>
        </w:rPr>
        <w:t>14554-1993）表2中标准限值；油烟废气排放浓度达到《饮食业油烟排放标准（试行）》（</w:t>
      </w:r>
      <w:r>
        <w:rPr>
          <w:rFonts w:hint="eastAsia"/>
          <w:lang w:val="en-US" w:eastAsia="zh-CN"/>
        </w:rPr>
        <w:t>GB</w:t>
      </w:r>
      <w:r>
        <w:rPr>
          <w:rFonts w:hint="default"/>
          <w:lang w:val="en-US" w:eastAsia="zh-CN"/>
        </w:rPr>
        <w:t>18483-2001）表2中标准限值。非甲烷总烃无组织排放浓度</w:t>
      </w:r>
      <w:r>
        <w:rPr>
          <w:rFonts w:hint="eastAsia"/>
          <w:lang w:val="en-US" w:eastAsia="zh-CN"/>
        </w:rPr>
        <w:t>、</w:t>
      </w:r>
      <w:r>
        <w:rPr>
          <w:rFonts w:hint="default"/>
          <w:lang w:val="en-US" w:eastAsia="zh-CN"/>
        </w:rPr>
        <w:t>总悬浮颗粒物无组织排放浓度</w:t>
      </w:r>
      <w:r>
        <w:rPr>
          <w:rFonts w:hint="eastAsia"/>
          <w:lang w:val="en-US" w:eastAsia="zh-CN"/>
        </w:rPr>
        <w:t>、</w:t>
      </w:r>
      <w:r>
        <w:rPr>
          <w:rFonts w:hint="default"/>
          <w:lang w:val="en-US" w:eastAsia="zh-CN"/>
        </w:rPr>
        <w:t>臭气浓度均达到《大气污染物综合排放标准》（</w:t>
      </w:r>
      <w:r>
        <w:rPr>
          <w:rFonts w:hint="eastAsia"/>
          <w:lang w:val="en-US" w:eastAsia="zh-CN"/>
        </w:rPr>
        <w:t>GB</w:t>
      </w:r>
      <w:r>
        <w:rPr>
          <w:rFonts w:hint="default"/>
          <w:lang w:val="en-US" w:eastAsia="zh-CN"/>
        </w:rPr>
        <w:t>16297-1996）表2中新污染源大气污染物无组织排放监控浓度限值。厂区内无组织非甲烷总烃排放浓度</w:t>
      </w:r>
      <w:r>
        <w:rPr>
          <w:rFonts w:hint="eastAsia"/>
          <w:lang w:val="en-US" w:eastAsia="zh-CN"/>
        </w:rPr>
        <w:t>达到</w:t>
      </w:r>
      <w:r>
        <w:rPr>
          <w:rFonts w:hint="default"/>
          <w:lang w:val="en-US" w:eastAsia="zh-CN"/>
        </w:rPr>
        <w:t>《挥发性有机物无组织排放控制标准》（GB37822-2019）附录A表A.1厂区内VOCs无组织排放限值。</w:t>
      </w:r>
    </w:p>
    <w:p>
      <w:pPr>
        <w:pStyle w:val="6"/>
        <w:bidi w:val="0"/>
        <w:rPr>
          <w:rFonts w:hint="default"/>
          <w:lang w:val="en-US" w:eastAsia="zh-CN"/>
        </w:rPr>
      </w:pPr>
      <w:r>
        <w:rPr>
          <w:rFonts w:hint="eastAsia"/>
          <w:lang w:val="en-US" w:eastAsia="zh-CN"/>
        </w:rPr>
        <w:t>2、废水</w:t>
      </w:r>
    </w:p>
    <w:p>
      <w:pPr>
        <w:pStyle w:val="6"/>
        <w:bidi w:val="0"/>
        <w:rPr>
          <w:rFonts w:hint="default"/>
          <w:lang w:val="en-US" w:eastAsia="zh-CN"/>
        </w:rPr>
      </w:pPr>
      <w:r>
        <w:rPr>
          <w:rFonts w:hint="default"/>
          <w:lang w:val="en-US" w:eastAsia="zh-CN"/>
        </w:rPr>
        <w:t>在验收监测期间（2023年0</w:t>
      </w:r>
      <w:r>
        <w:rPr>
          <w:rFonts w:hint="eastAsia"/>
          <w:lang w:val="en-US" w:eastAsia="zh-CN"/>
        </w:rPr>
        <w:t>6</w:t>
      </w:r>
      <w:r>
        <w:rPr>
          <w:rFonts w:hint="default"/>
          <w:lang w:val="en-US" w:eastAsia="zh-CN"/>
        </w:rPr>
        <w:t>月</w:t>
      </w:r>
      <w:r>
        <w:rPr>
          <w:rFonts w:hint="eastAsia"/>
          <w:lang w:val="en-US" w:eastAsia="zh-CN"/>
        </w:rPr>
        <w:t>01</w:t>
      </w:r>
      <w:r>
        <w:rPr>
          <w:rFonts w:hint="default"/>
          <w:lang w:val="en-US" w:eastAsia="zh-CN"/>
        </w:rPr>
        <w:t>日~06月0</w:t>
      </w:r>
      <w:r>
        <w:rPr>
          <w:rFonts w:hint="eastAsia"/>
          <w:lang w:val="en-US" w:eastAsia="zh-CN"/>
        </w:rPr>
        <w:t>2</w:t>
      </w:r>
      <w:r>
        <w:rPr>
          <w:rFonts w:hint="default"/>
          <w:lang w:val="en-US" w:eastAsia="zh-CN"/>
        </w:rPr>
        <w:t>日），在生活污水排放口pH</w:t>
      </w:r>
      <w:r>
        <w:rPr>
          <w:rFonts w:hint="eastAsia"/>
          <w:lang w:val="en-US" w:eastAsia="zh-CN"/>
        </w:rPr>
        <w:t>值</w:t>
      </w:r>
      <w:r>
        <w:rPr>
          <w:rFonts w:hint="default"/>
          <w:lang w:val="en-US" w:eastAsia="zh-CN"/>
        </w:rPr>
        <w:t>、悬浮物、化学需氧量、</w:t>
      </w:r>
      <w:r>
        <w:rPr>
          <w:rFonts w:hint="eastAsia"/>
          <w:lang w:val="en-US" w:eastAsia="zh-CN"/>
        </w:rPr>
        <w:t>动植物油类、五日生化需氧量</w:t>
      </w:r>
      <w:r>
        <w:rPr>
          <w:rFonts w:hint="default"/>
          <w:lang w:val="en-US" w:eastAsia="zh-CN"/>
        </w:rPr>
        <w:t>等污染因子满足《污水综合排放标准》三级标准；氨氮、总磷排放浓度均达到《工业企业废水氮、磷污染物间接排放限值》（DB33/887-2013）。</w:t>
      </w:r>
    </w:p>
    <w:p>
      <w:pPr>
        <w:pStyle w:val="6"/>
        <w:bidi w:val="0"/>
        <w:rPr>
          <w:rFonts w:hint="eastAsia"/>
          <w:lang w:val="en-US" w:eastAsia="zh-CN"/>
        </w:rPr>
      </w:pPr>
    </w:p>
    <w:p>
      <w:pPr>
        <w:pStyle w:val="6"/>
        <w:bidi w:val="0"/>
        <w:rPr>
          <w:rFonts w:hint="default"/>
          <w:lang w:val="en-US" w:eastAsia="zh-CN"/>
        </w:rPr>
      </w:pPr>
      <w:bookmarkStart w:id="0" w:name="_GoBack"/>
      <w:r>
        <w:rPr>
          <w:rFonts w:hint="eastAsia"/>
          <w:lang w:val="en-US" w:eastAsia="zh-CN"/>
        </w:rPr>
        <w:drawing>
          <wp:anchor distT="0" distB="0" distL="114300" distR="114300" simplePos="0" relativeHeight="251659264" behindDoc="0" locked="0" layoutInCell="1" allowOverlap="1">
            <wp:simplePos x="0" y="0"/>
            <wp:positionH relativeFrom="column">
              <wp:posOffset>-369570</wp:posOffset>
            </wp:positionH>
            <wp:positionV relativeFrom="paragraph">
              <wp:posOffset>-47625</wp:posOffset>
            </wp:positionV>
            <wp:extent cx="6306185" cy="9028430"/>
            <wp:effectExtent l="0" t="0" r="18415" b="1270"/>
            <wp:wrapNone/>
            <wp:docPr id="190" name="图片 190" descr="84a5bd7408ac13d59a7535053c8bf2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84a5bd7408ac13d59a7535053c8bf204_"/>
                    <pic:cNvPicPr>
                      <a:picLocks noChangeAspect="1"/>
                    </pic:cNvPicPr>
                  </pic:nvPicPr>
                  <pic:blipFill>
                    <a:blip r:embed="rId4"/>
                    <a:stretch>
                      <a:fillRect/>
                    </a:stretch>
                  </pic:blipFill>
                  <pic:spPr>
                    <a:xfrm>
                      <a:off x="0" y="0"/>
                      <a:ext cx="6306185" cy="9028430"/>
                    </a:xfrm>
                    <a:prstGeom prst="rect">
                      <a:avLst/>
                    </a:prstGeom>
                  </pic:spPr>
                </pic:pic>
              </a:graphicData>
            </a:graphic>
          </wp:anchor>
        </w:drawing>
      </w:r>
      <w:bookmarkEnd w:id="0"/>
      <w:r>
        <w:rPr>
          <w:rFonts w:hint="eastAsia"/>
          <w:lang w:val="en-US" w:eastAsia="zh-CN"/>
        </w:rPr>
        <w:t>3、厂界噪声</w:t>
      </w:r>
    </w:p>
    <w:p>
      <w:pPr>
        <w:pStyle w:val="6"/>
        <w:bidi w:val="0"/>
        <w:rPr>
          <w:rFonts w:hint="default"/>
          <w:lang w:val="en-US" w:eastAsia="zh-CN"/>
        </w:rPr>
      </w:pPr>
      <w:r>
        <w:rPr>
          <w:rFonts w:hint="default"/>
          <w:lang w:val="en-US" w:eastAsia="zh-CN"/>
        </w:rPr>
        <w:t>验收监测期间（2023年06月01日~06月02日），项目厂界四周</w:t>
      </w:r>
      <w:r>
        <w:rPr>
          <w:rFonts w:hint="eastAsia"/>
          <w:lang w:val="en-US" w:eastAsia="zh-CN"/>
        </w:rPr>
        <w:t>噪声</w:t>
      </w:r>
      <w:r>
        <w:rPr>
          <w:rFonts w:hint="default"/>
          <w:lang w:val="en-US" w:eastAsia="zh-CN"/>
        </w:rPr>
        <w:t>达到《工业企业厂界环境噪声排放标准》（GB12348-2008）3类标准。</w:t>
      </w:r>
    </w:p>
    <w:p>
      <w:pPr>
        <w:pStyle w:val="6"/>
        <w:bidi w:val="0"/>
        <w:rPr>
          <w:rFonts w:hint="eastAsia"/>
          <w:lang w:val="en-US" w:eastAsia="zh-CN"/>
        </w:rPr>
      </w:pPr>
      <w:r>
        <w:rPr>
          <w:rFonts w:hint="eastAsia"/>
          <w:lang w:val="en-US" w:eastAsia="zh-CN"/>
        </w:rPr>
        <w:t>4、污染物排放总量</w:t>
      </w:r>
    </w:p>
    <w:p>
      <w:pPr>
        <w:pStyle w:val="6"/>
        <w:bidi w:val="0"/>
        <w:rPr>
          <w:rFonts w:hint="default"/>
          <w:lang w:val="en-US" w:eastAsia="zh-CN"/>
        </w:rPr>
      </w:pPr>
      <w:r>
        <w:rPr>
          <w:rFonts w:hint="eastAsia"/>
          <w:lang w:val="en-US" w:eastAsia="zh-CN"/>
        </w:rPr>
        <w:t>本项目环评中总量控制指标为VOCs 4.625t/a、颗粒物0.052t/a，根据废气监测结果，颗粒物排放浓度低于检出限，无法定量分析排放量，企业VOCs实际排放量为4.329t/a，符合环评中的总量控制要求。</w:t>
      </w:r>
    </w:p>
    <w:p>
      <w:pPr>
        <w:pStyle w:val="6"/>
        <w:bidi w:val="0"/>
        <w:ind w:left="0" w:leftChars="0" w:firstLine="0" w:firstLineChars="0"/>
        <w:rPr>
          <w:rFonts w:hint="eastAsia"/>
          <w:b/>
          <w:bCs/>
          <w:lang w:val="en-US" w:eastAsia="zh-CN"/>
        </w:rPr>
      </w:pPr>
      <w:r>
        <w:rPr>
          <w:rFonts w:hint="eastAsia"/>
          <w:b/>
          <w:bCs/>
          <w:lang w:val="en-US" w:eastAsia="zh-CN"/>
        </w:rPr>
        <w:t>五、验收结论</w:t>
      </w:r>
    </w:p>
    <w:p>
      <w:pPr>
        <w:pStyle w:val="6"/>
        <w:bidi w:val="0"/>
        <w:rPr>
          <w:rFonts w:hint="default"/>
          <w:lang w:val="en-US" w:eastAsia="zh-CN"/>
        </w:rPr>
      </w:pPr>
      <w:r>
        <w:rPr>
          <w:rFonts w:hint="default"/>
          <w:lang w:val="en-US" w:eastAsia="zh-CN"/>
        </w:rPr>
        <w:t>经现场查验，“宁波拓普汽车电子有限公司年产30万套汽车NVH内饰功能件技改项目”环评手续齐全，主体工程及配套环保措施完备，已落实竣工环保“三同时”和环评及批复的各项环保要求。通过逐一检查，未发现存在《建设项目竣工环境保护验收暂行办法》(环境保护部 国环规环评[2017]4号)第八条规定的“不得提出验收合格意见”的情形，该项目符合环保设施竣工验收条件。同意该项目通过竣工环境保护验收。</w:t>
      </w:r>
    </w:p>
    <w:p>
      <w:pPr>
        <w:pStyle w:val="6"/>
        <w:bidi w:val="0"/>
        <w:ind w:left="0" w:leftChars="0" w:firstLine="0" w:firstLineChars="0"/>
        <w:rPr>
          <w:rFonts w:hint="eastAsia"/>
          <w:b/>
          <w:bCs/>
          <w:lang w:val="en-US" w:eastAsia="zh-CN"/>
        </w:rPr>
      </w:pPr>
      <w:r>
        <w:rPr>
          <w:rFonts w:hint="eastAsia"/>
          <w:b/>
          <w:bCs/>
          <w:lang w:val="en-US" w:eastAsia="zh-CN"/>
        </w:rPr>
        <w:t>六、后续要求</w:t>
      </w:r>
    </w:p>
    <w:p>
      <w:pPr>
        <w:pStyle w:val="6"/>
        <w:bidi w:val="0"/>
        <w:rPr>
          <w:rFonts w:hint="default"/>
          <w:lang w:val="en-US" w:eastAsia="zh-CN"/>
        </w:rPr>
      </w:pPr>
      <w:r>
        <w:rPr>
          <w:rFonts w:hint="default"/>
          <w:lang w:val="en-US" w:eastAsia="zh-CN"/>
        </w:rPr>
        <w:t>1、自觉遵守环保法律法规，完善内部环保管理制度；</w:t>
      </w:r>
    </w:p>
    <w:p>
      <w:pPr>
        <w:pStyle w:val="6"/>
        <w:bidi w:val="0"/>
        <w:rPr>
          <w:rFonts w:hint="default"/>
          <w:lang w:val="en-US" w:eastAsia="zh-CN"/>
        </w:rPr>
      </w:pPr>
      <w:r>
        <w:rPr>
          <w:rFonts w:hint="default"/>
          <w:lang w:val="en-US" w:eastAsia="zh-CN"/>
        </w:rPr>
        <w:t>2、规范危险废物暂存场所，严格执行危险固废转移联单制度，完善环保标志、标识牌及台账管理；</w:t>
      </w:r>
    </w:p>
    <w:p>
      <w:pPr>
        <w:pStyle w:val="6"/>
        <w:bidi w:val="0"/>
        <w:rPr>
          <w:rFonts w:hint="default"/>
          <w:lang w:val="en-US" w:eastAsia="zh-CN"/>
        </w:rPr>
      </w:pPr>
      <w:r>
        <w:rPr>
          <w:rFonts w:hint="default"/>
          <w:lang w:val="en-US" w:eastAsia="zh-CN"/>
        </w:rPr>
        <w:t>3、按规范将竣工验收的相关内容和结论进行公示、公开。</w:t>
      </w:r>
    </w:p>
    <w:p>
      <w:pPr>
        <w:pStyle w:val="6"/>
        <w:bidi w:val="0"/>
        <w:ind w:left="0" w:leftChars="0" w:firstLine="0" w:firstLineChars="0"/>
        <w:rPr>
          <w:rFonts w:hint="default"/>
          <w:b/>
          <w:bCs/>
          <w:lang w:val="en-US" w:eastAsia="zh-CN"/>
        </w:rPr>
      </w:pPr>
      <w:r>
        <w:rPr>
          <w:rFonts w:hint="eastAsia"/>
          <w:b/>
          <w:bCs/>
          <w:lang w:val="en-US" w:eastAsia="zh-CN"/>
        </w:rPr>
        <w:t>七、验收人员信息</w:t>
      </w:r>
    </w:p>
    <w:p>
      <w:pPr>
        <w:pStyle w:val="6"/>
        <w:bidi w:val="0"/>
        <w:rPr>
          <w:rFonts w:hint="eastAsia"/>
          <w:lang w:val="en-US" w:eastAsia="zh-CN"/>
        </w:rPr>
      </w:pPr>
      <w:r>
        <w:rPr>
          <w:rFonts w:hint="eastAsia"/>
          <w:lang w:val="en-US" w:eastAsia="zh-CN"/>
        </w:rPr>
        <w:t>验收人员信息名单附后。</w:t>
      </w:r>
    </w:p>
    <w:p>
      <w:pPr>
        <w:pStyle w:val="6"/>
        <w:bidi w:val="0"/>
        <w:rPr>
          <w:rFonts w:hint="eastAsia"/>
          <w:lang w:val="en-US" w:eastAsia="zh-CN"/>
        </w:rPr>
      </w:pPr>
    </w:p>
    <w:p>
      <w:pPr>
        <w:pStyle w:val="6"/>
        <w:bidi w:val="0"/>
        <w:jc w:val="right"/>
        <w:rPr>
          <w:rFonts w:hint="default"/>
          <w:lang w:val="en-US" w:eastAsia="zh-CN"/>
        </w:rPr>
      </w:pPr>
      <w:r>
        <w:rPr>
          <w:rFonts w:hint="eastAsia"/>
          <w:lang w:val="en-US" w:eastAsia="zh-CN"/>
        </w:rPr>
        <w:t>宁波拓普汽车电子</w:t>
      </w:r>
      <w:r>
        <w:rPr>
          <w:rFonts w:hint="default"/>
          <w:lang w:val="en-US" w:eastAsia="zh-CN"/>
        </w:rPr>
        <w:t>有限公司</w:t>
      </w:r>
    </w:p>
    <w:p>
      <w:pPr>
        <w:pStyle w:val="6"/>
        <w:bidi w:val="0"/>
        <w:jc w:val="right"/>
        <w:rPr>
          <w:rFonts w:hint="default"/>
          <w:lang w:val="en-US" w:eastAsia="zh-CN"/>
        </w:rPr>
      </w:pPr>
      <w:r>
        <w:rPr>
          <w:rFonts w:hint="default"/>
          <w:lang w:val="en-US" w:eastAsia="zh-CN"/>
        </w:rPr>
        <w:t>2023年</w:t>
      </w:r>
      <w:r>
        <w:rPr>
          <w:rFonts w:hint="eastAsia"/>
          <w:lang w:val="en-US" w:eastAsia="zh-CN"/>
        </w:rPr>
        <w:t>9</w:t>
      </w:r>
      <w:r>
        <w:rPr>
          <w:rFonts w:hint="default"/>
          <w:lang w:val="en-US" w:eastAsia="zh-CN"/>
        </w:rPr>
        <w:t>月</w:t>
      </w:r>
      <w:r>
        <w:rPr>
          <w:rFonts w:hint="eastAsia"/>
          <w:lang w:val="en-US" w:eastAsia="zh-CN"/>
        </w:rPr>
        <w:t>25</w:t>
      </w:r>
      <w:r>
        <w:rPr>
          <w:rFonts w:hint="default"/>
          <w:lang w:val="en-US" w:eastAsia="zh-CN"/>
        </w:rPr>
        <w:t>日</w:t>
      </w:r>
    </w:p>
    <w:p>
      <w:pPr>
        <w:rPr>
          <w:rFonts w:hint="default"/>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numberInDash"/>
          <w:cols w:space="720" w:num="1"/>
          <w:docGrid w:type="lines" w:linePitch="312" w:charSpace="0"/>
        </w:sectPr>
      </w:pPr>
    </w:p>
    <w:p>
      <w:r>
        <w:drawing>
          <wp:inline distT="0" distB="0" distL="114300" distR="114300">
            <wp:extent cx="7200265" cy="5400040"/>
            <wp:effectExtent l="0" t="0" r="635" b="10160"/>
            <wp:docPr id="1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
                    <pic:cNvPicPr>
                      <a:picLocks noChangeAspect="1"/>
                    </pic:cNvPicPr>
                  </pic:nvPicPr>
                  <pic:blipFill>
                    <a:blip r:embed="rId5"/>
                    <a:stretch>
                      <a:fillRect/>
                    </a:stretch>
                  </pic:blipFill>
                  <pic:spPr>
                    <a:xfrm>
                      <a:off x="0" y="0"/>
                      <a:ext cx="7200265" cy="54000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iOWZkMjYzYzg0MTdiNjhkODcwYTk5MGFmMjU0NDYifQ=="/>
  </w:docVars>
  <w:rsids>
    <w:rsidRoot w:val="00000000"/>
    <w:rsid w:val="5F261904"/>
    <w:rsid w:val="75784C5E"/>
    <w:rsid w:val="773A3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Plain Text"/>
    <w:basedOn w:val="1"/>
    <w:next w:val="3"/>
    <w:unhideWhenUsed/>
    <w:qFormat/>
    <w:uiPriority w:val="0"/>
    <w:pPr>
      <w:adjustRightInd w:val="0"/>
      <w:spacing w:beforeLines="0" w:afterLines="0"/>
      <w:textAlignment w:val="baseline"/>
    </w:pPr>
    <w:rPr>
      <w:rFonts w:hint="default" w:ascii="宋体" w:hAnsi="Courier New"/>
      <w:sz w:val="24"/>
      <w:szCs w:val="24"/>
    </w:rPr>
  </w:style>
  <w:style w:type="paragraph" w:styleId="3">
    <w:name w:val="toc 1"/>
    <w:basedOn w:val="1"/>
    <w:next w:val="1"/>
    <w:qFormat/>
    <w:uiPriority w:val="0"/>
    <w:pPr>
      <w:spacing w:line="360" w:lineRule="auto"/>
    </w:pPr>
    <w:rPr>
      <w:rFonts w:ascii="Times New Roman" w:hAnsi="Times New Roman"/>
      <w:b/>
      <w:sz w:val="24"/>
    </w:rPr>
  </w:style>
  <w:style w:type="paragraph" w:customStyle="1" w:styleId="6">
    <w:name w:val="正文首行缩进（正文格式）"/>
    <w:basedOn w:val="1"/>
    <w:qFormat/>
    <w:uiPriority w:val="0"/>
    <w:pPr>
      <w:spacing w:line="360" w:lineRule="auto"/>
      <w:ind w:firstLine="480" w:firstLineChars="200"/>
    </w:pPr>
    <w:rPr>
      <w:rFonts w:hint="eastAsia" w:ascii="Times New Roman" w:hAnsi="Times New Roman" w:cs="宋体"/>
      <w:sz w:val="24"/>
    </w:rPr>
  </w:style>
  <w:style w:type="paragraph" w:customStyle="1" w:styleId="7">
    <w:name w:val="表格文字（居中）"/>
    <w:basedOn w:val="1"/>
    <w:qFormat/>
    <w:uiPriority w:val="0"/>
    <w:pPr>
      <w:jc w:val="center"/>
    </w:pPr>
    <w:rPr>
      <w:rFonts w:hint="eastAsia" w:ascii="Times New Roman" w:hAnsi="Times New Roman" w:cs="宋体"/>
      <w:szCs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2023-12-20T02:40:43Z</dcterms:created>
  <dc:creator>Administrator</dc:creator>
  <cp:lastModifiedBy>鲍迪峰</cp:lastModifiedBy>
  <dcterms:modified xsi:type="dcterms:W3CDTF">2023-12-20T03:16:02Z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1159F19F930241F59EEDFC8BCED64887_12</vt:lpwstr>
  </property>
</Properties>
</file>