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A99FF">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宁波拓普汽车电子有限公司</w:t>
      </w:r>
    </w:p>
    <w:p w14:paraId="7280D30C">
      <w:pPr>
        <w:pStyle w:val="20"/>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年产150万套汽车智能刹车系统和年产160万套汽车NVH内饰功能件项目（第二阶段）</w:t>
      </w:r>
    </w:p>
    <w:p w14:paraId="60599CBC">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t>竣工环保验收意见</w:t>
      </w:r>
    </w:p>
    <w:p w14:paraId="19B1199D">
      <w:pPr>
        <w:pStyle w:val="21"/>
        <w:ind w:left="0" w:leftChars="0" w:firstLine="480" w:firstLineChars="200"/>
        <w:jc w:val="both"/>
        <w:rPr>
          <w:rFonts w:hint="eastAsia"/>
        </w:rPr>
      </w:pPr>
      <w:r>
        <w:rPr>
          <w:rFonts w:hint="eastAsia"/>
          <w:lang w:val="en-US" w:eastAsia="zh-CN"/>
        </w:rPr>
        <w:t>2024</w:t>
      </w:r>
      <w:r>
        <w:rPr>
          <w:rFonts w:hint="eastAsia"/>
        </w:rPr>
        <w:t>年</w:t>
      </w:r>
      <w:r>
        <w:rPr>
          <w:rFonts w:hint="eastAsia"/>
          <w:lang w:val="en-US" w:eastAsia="zh-CN"/>
        </w:rPr>
        <w:t>07</w:t>
      </w:r>
      <w:r>
        <w:rPr>
          <w:rFonts w:hint="eastAsia"/>
        </w:rPr>
        <w:t>月</w:t>
      </w:r>
      <w:r>
        <w:rPr>
          <w:rFonts w:hint="eastAsia"/>
          <w:lang w:val="en-US" w:eastAsia="zh-CN"/>
        </w:rPr>
        <w:t>01</w:t>
      </w:r>
      <w:r>
        <w:rPr>
          <w:rFonts w:hint="eastAsia"/>
        </w:rPr>
        <w:t>日，</w:t>
      </w:r>
      <w:r>
        <w:rPr>
          <w:rFonts w:hint="eastAsia"/>
          <w:lang w:val="en-US" w:eastAsia="zh-CN"/>
        </w:rPr>
        <w:t>宁波拓普汽车电子有限公司根据《年产150万套汽车智能刹车系统和年产160万套汽车NVH内饰功能件项目（第二阶段）</w:t>
      </w:r>
      <w:r>
        <w:rPr>
          <w:rFonts w:hint="eastAsia"/>
        </w:rPr>
        <w:t>竣工环境保护验收监测报告》并对照《建设项目竣工环境保护验收暂行办法》，依照国家有关法律法规、《建设项目竣工环境保护验收技术指南 污染影响类》、本项目环境影响报告书和审批部门审批决定等要求对本项目进行验收，提出验收意见如下：</w:t>
      </w:r>
    </w:p>
    <w:p w14:paraId="12704C3D">
      <w:pPr>
        <w:pStyle w:val="21"/>
        <w:jc w:val="both"/>
        <w:rPr>
          <w:rFonts w:hint="eastAsia"/>
        </w:rPr>
      </w:pPr>
      <w:r>
        <w:rPr>
          <w:rFonts w:hint="eastAsia"/>
        </w:rPr>
        <w:t>一、工程建设基本情况</w:t>
      </w:r>
    </w:p>
    <w:p w14:paraId="232D4827">
      <w:pPr>
        <w:pStyle w:val="21"/>
        <w:jc w:val="both"/>
        <w:rPr>
          <w:rFonts w:hint="eastAsia"/>
        </w:rPr>
      </w:pPr>
      <w:r>
        <w:rPr>
          <w:rFonts w:hint="eastAsia"/>
        </w:rPr>
        <w:t>1、建设地点、规模、主要建设内容</w:t>
      </w:r>
    </w:p>
    <w:p w14:paraId="0BCBB8EC">
      <w:pPr>
        <w:pStyle w:val="21"/>
        <w:jc w:val="both"/>
        <w:rPr>
          <w:rFonts w:hint="eastAsia"/>
          <w:lang w:val="en-US" w:eastAsia="zh-CN"/>
        </w:rPr>
      </w:pPr>
      <w:r>
        <w:rPr>
          <w:rFonts w:hint="eastAsia"/>
        </w:rPr>
        <w:t>本项目位于浙江省宁波市杭州湾新区滨海六路598号，</w:t>
      </w:r>
      <w:r>
        <w:rPr>
          <w:rFonts w:hint="eastAsia"/>
          <w:lang w:val="en-US" w:eastAsia="zh-CN"/>
        </w:rPr>
        <w:t>实施年产150万套汽车智能刹车系统和年产160万套汽车NVH内饰项目。目前项目第二阶段已经建成，主要产品为智能刹车系统，已形成年产100万套汽车智能刹车系统的生产能力（包含一阶段验收产能）。汽车NVH内饰项目已取消，在“年产160万套汽车NVH内饰功能件技改项目和年产50万套底盘轻量化技术改造项目”</w:t>
      </w:r>
      <w:r>
        <w:rPr>
          <w:rFonts w:hint="eastAsia"/>
        </w:rPr>
        <w:t>（</w:t>
      </w:r>
      <w:r>
        <w:rPr>
          <w:rFonts w:hint="eastAsia"/>
          <w:lang w:eastAsia="zh-CN"/>
        </w:rPr>
        <w:t>甬新环建</w:t>
      </w:r>
      <w:r>
        <w:rPr>
          <w:rFonts w:hint="eastAsia"/>
        </w:rPr>
        <w:t>〔20</w:t>
      </w:r>
      <w:r>
        <w:rPr>
          <w:rFonts w:hint="eastAsia"/>
          <w:lang w:val="en-US" w:eastAsia="zh-CN"/>
        </w:rPr>
        <w:t>21</w:t>
      </w:r>
      <w:r>
        <w:rPr>
          <w:rFonts w:hint="eastAsia"/>
        </w:rPr>
        <w:t>〕</w:t>
      </w:r>
      <w:r>
        <w:rPr>
          <w:rFonts w:hint="eastAsia"/>
          <w:lang w:val="en-US" w:eastAsia="zh-CN"/>
        </w:rPr>
        <w:t>32</w:t>
      </w:r>
      <w:r>
        <w:rPr>
          <w:rFonts w:hint="eastAsia"/>
        </w:rPr>
        <w:t>号）</w:t>
      </w:r>
      <w:r>
        <w:rPr>
          <w:rFonts w:hint="eastAsia"/>
          <w:lang w:val="en-US" w:eastAsia="zh-CN"/>
        </w:rPr>
        <w:t>中另行技改，本次验收不涉及。</w:t>
      </w:r>
    </w:p>
    <w:p w14:paraId="588723B1">
      <w:pPr>
        <w:pStyle w:val="21"/>
        <w:jc w:val="both"/>
        <w:rPr>
          <w:rFonts w:hint="eastAsia"/>
        </w:rPr>
      </w:pPr>
      <w:r>
        <w:rPr>
          <w:rFonts w:hint="eastAsia"/>
        </w:rPr>
        <w:t>2、建设过程及环保审批情况</w:t>
      </w:r>
    </w:p>
    <w:p w14:paraId="3F2068DD">
      <w:pPr>
        <w:pStyle w:val="22"/>
        <w:bidi w:val="0"/>
        <w:jc w:val="both"/>
        <w:rPr>
          <w:rFonts w:hint="eastAsia"/>
          <w:lang w:val="en-US" w:eastAsia="zh-CN"/>
        </w:rPr>
      </w:pPr>
      <w:r>
        <w:rPr>
          <w:rFonts w:hint="eastAsia"/>
          <w:lang w:val="en-US" w:eastAsia="zh-CN"/>
        </w:rPr>
        <w:t>2018年6月，宁波拓普汽车电子有限公司委托浙江仁欣环科院有限责任公司编制完成了《宁波拓普汽车电子有限公司 年产150万套汽车智能刹车系统和年产160万套汽车NVH内饰功能件项目环境影响报告书》，2018年8月17日，宁波杭州湾新区环境保护局以（甬新环建</w:t>
      </w:r>
      <w:r>
        <w:rPr>
          <w:rFonts w:hint="default" w:ascii="Times New Roman" w:hAnsi="Times New Roman" w:eastAsia="宋体" w:cs="Times New Roman"/>
          <w:lang w:val="en-US" w:eastAsia="zh-CN"/>
        </w:rPr>
        <w:t>〔</w:t>
      </w:r>
      <w:r>
        <w:rPr>
          <w:rFonts w:hint="default" w:ascii="Times New Roman" w:hAnsi="Times New Roman" w:cs="Times New Roman"/>
          <w:lang w:val="en-US" w:eastAsia="zh-CN"/>
        </w:rPr>
        <w:t>2018</w:t>
      </w:r>
      <w:r>
        <w:rPr>
          <w:rFonts w:hint="default" w:ascii="Times New Roman" w:hAnsi="Times New Roman" w:eastAsia="宋体" w:cs="Times New Roman"/>
          <w:lang w:val="en-US" w:eastAsia="zh-CN"/>
        </w:rPr>
        <w:t>〕</w:t>
      </w:r>
      <w:r>
        <w:rPr>
          <w:rFonts w:hint="default" w:ascii="Times New Roman" w:hAnsi="Times New Roman" w:cs="Times New Roman"/>
          <w:lang w:val="en-US" w:eastAsia="zh-CN"/>
        </w:rPr>
        <w:t>78</w:t>
      </w:r>
      <w:r>
        <w:rPr>
          <w:rFonts w:hint="eastAsia" w:ascii="宋体" w:hAnsi="宋体" w:cs="宋体"/>
          <w:lang w:val="en-US" w:eastAsia="zh-CN"/>
        </w:rPr>
        <w:t>号</w:t>
      </w:r>
      <w:r>
        <w:rPr>
          <w:rFonts w:hint="eastAsia"/>
          <w:lang w:val="en-US" w:eastAsia="zh-CN"/>
        </w:rPr>
        <w:t>）对该项目进行了批复。</w:t>
      </w:r>
    </w:p>
    <w:p w14:paraId="1CCEAF00">
      <w:pPr>
        <w:pStyle w:val="22"/>
        <w:bidi w:val="0"/>
        <w:jc w:val="both"/>
        <w:rPr>
          <w:rFonts w:hint="eastAsia"/>
          <w:lang w:val="en-US" w:eastAsia="zh-CN"/>
        </w:rPr>
      </w:pPr>
      <w:r>
        <w:rPr>
          <w:rFonts w:hint="eastAsia"/>
          <w:lang w:val="en-US" w:eastAsia="zh-CN"/>
        </w:rPr>
        <w:t>2019年4月，</w:t>
      </w:r>
      <w:r>
        <w:rPr>
          <w:rFonts w:hint="eastAsia"/>
        </w:rPr>
        <w:t>项目第一阶段竣工，</w:t>
      </w:r>
      <w:r>
        <w:rPr>
          <w:rFonts w:hint="eastAsia"/>
          <w:lang w:val="en-US" w:eastAsia="zh-CN"/>
        </w:rPr>
        <w:t>宁波拓普汽车电子有限公司于2019年7月编制完成了《宁波拓普汽车电子有限公司年产150万套汽车智能刹车系统和年产160万套汽车NVH内饰功能件项目第一阶段竣工环境保护验收监测报告》，通过了第一阶段验收。</w:t>
      </w:r>
    </w:p>
    <w:p w14:paraId="037793CB">
      <w:pPr>
        <w:pStyle w:val="21"/>
        <w:jc w:val="both"/>
        <w:rPr>
          <w:rFonts w:hint="eastAsia"/>
        </w:rPr>
      </w:pPr>
      <w:r>
        <w:rPr>
          <w:rFonts w:hint="eastAsia"/>
          <w:lang w:val="en-US" w:eastAsia="zh-CN"/>
        </w:rPr>
        <w:t>2023年6月，</w:t>
      </w:r>
      <w:r>
        <w:rPr>
          <w:rFonts w:hint="eastAsia"/>
        </w:rPr>
        <w:t>项目第</w:t>
      </w:r>
      <w:r>
        <w:rPr>
          <w:rFonts w:hint="eastAsia"/>
          <w:lang w:val="en-US" w:eastAsia="zh-CN"/>
        </w:rPr>
        <w:t>二</w:t>
      </w:r>
      <w:r>
        <w:rPr>
          <w:rFonts w:hint="eastAsia"/>
        </w:rPr>
        <w:t>阶段竣工，</w:t>
      </w:r>
      <w:r>
        <w:rPr>
          <w:rFonts w:hint="eastAsia"/>
          <w:lang w:val="en-US" w:eastAsia="zh-CN"/>
        </w:rPr>
        <w:t>同年7月</w:t>
      </w:r>
      <w:r>
        <w:rPr>
          <w:rFonts w:hint="eastAsia"/>
        </w:rPr>
        <w:t>投入调试生产，</w:t>
      </w:r>
      <w:r>
        <w:rPr>
          <w:rFonts w:hint="eastAsia"/>
          <w:lang w:val="en-US" w:eastAsia="zh-CN"/>
        </w:rPr>
        <w:t>按相关规范，已对项目竣工调试情况进行了公示。目前</w:t>
      </w:r>
      <w:r>
        <w:rPr>
          <w:rFonts w:hint="eastAsia"/>
        </w:rPr>
        <w:t>生产设施和配套的环保设施运行基本正常，项目从立项至调试过程中无环境投诉、违法或处罚记录等。</w:t>
      </w:r>
    </w:p>
    <w:p w14:paraId="589CF4F5">
      <w:pPr>
        <w:pStyle w:val="21"/>
        <w:jc w:val="both"/>
        <w:rPr>
          <w:rFonts w:hint="eastAsia"/>
        </w:rPr>
      </w:pPr>
      <w:r>
        <w:rPr>
          <w:rFonts w:hint="eastAsia"/>
        </w:rPr>
        <w:t>企业于2</w:t>
      </w:r>
      <w:r>
        <w:rPr>
          <w:rFonts w:hint="eastAsia"/>
          <w:lang w:val="en-US" w:eastAsia="zh-CN"/>
        </w:rPr>
        <w:t>019</w:t>
      </w:r>
      <w:r>
        <w:rPr>
          <w:rFonts w:hint="eastAsia"/>
        </w:rPr>
        <w:t>年</w:t>
      </w:r>
      <w:r>
        <w:rPr>
          <w:rFonts w:hint="eastAsia"/>
          <w:lang w:val="en-US" w:eastAsia="zh-CN"/>
        </w:rPr>
        <w:t>12</w:t>
      </w:r>
      <w:r>
        <w:rPr>
          <w:rFonts w:hint="eastAsia"/>
        </w:rPr>
        <w:t>月</w:t>
      </w:r>
      <w:r>
        <w:rPr>
          <w:rFonts w:hint="eastAsia"/>
          <w:lang w:val="en-US" w:eastAsia="zh-CN"/>
        </w:rPr>
        <w:t>11</w:t>
      </w:r>
      <w:r>
        <w:rPr>
          <w:rFonts w:hint="eastAsia"/>
        </w:rPr>
        <w:t>日</w:t>
      </w:r>
      <w:r>
        <w:rPr>
          <w:rFonts w:hint="eastAsia"/>
          <w:lang w:val="en-US" w:eastAsia="zh-CN"/>
        </w:rPr>
        <w:t>首次申领</w:t>
      </w:r>
      <w:r>
        <w:rPr>
          <w:rFonts w:hint="eastAsia"/>
          <w:lang w:eastAsia="zh-CN"/>
        </w:rPr>
        <w:t>排污许可证，</w:t>
      </w:r>
      <w:r>
        <w:rPr>
          <w:rFonts w:hint="eastAsia"/>
          <w:lang w:val="en-US" w:eastAsia="zh-CN"/>
        </w:rPr>
        <w:t>并于2022年12月11日完成</w:t>
      </w:r>
      <w:r>
        <w:rPr>
          <w:rFonts w:hint="eastAsia"/>
          <w:lang w:eastAsia="zh-CN"/>
        </w:rPr>
        <w:t>排污许可证</w:t>
      </w:r>
      <w:r>
        <w:rPr>
          <w:rFonts w:hint="eastAsia"/>
          <w:lang w:val="en-US" w:eastAsia="zh-CN"/>
        </w:rPr>
        <w:t>延续</w:t>
      </w:r>
      <w:r>
        <w:rPr>
          <w:rFonts w:hint="eastAsia"/>
        </w:rPr>
        <w:t>，</w:t>
      </w:r>
      <w:r>
        <w:rPr>
          <w:rFonts w:hint="eastAsia"/>
          <w:lang w:eastAsia="zh-CN"/>
        </w:rPr>
        <w:t>证书</w:t>
      </w:r>
      <w:r>
        <w:rPr>
          <w:rFonts w:hint="eastAsia"/>
        </w:rPr>
        <w:t>编号为：</w:t>
      </w:r>
      <w:r>
        <w:rPr>
          <w:rFonts w:hint="eastAsia"/>
          <w:lang w:val="en-US" w:eastAsia="zh-CN"/>
        </w:rPr>
        <w:t>91330201MA2833A9XR001Q</w:t>
      </w:r>
      <w:r>
        <w:rPr>
          <w:rFonts w:hint="eastAsia"/>
        </w:rPr>
        <w:t>。</w:t>
      </w:r>
    </w:p>
    <w:p w14:paraId="72A7AE9A">
      <w:pPr>
        <w:pStyle w:val="21"/>
        <w:jc w:val="both"/>
        <w:rPr>
          <w:rFonts w:hint="eastAsia"/>
        </w:rPr>
      </w:pPr>
      <w:r>
        <w:rPr>
          <w:rFonts w:hint="eastAsia"/>
        </w:rPr>
        <w:t>3、投资情况</w:t>
      </w:r>
    </w:p>
    <w:p w14:paraId="242D6239">
      <w:pPr>
        <w:pStyle w:val="21"/>
        <w:jc w:val="both"/>
        <w:rPr>
          <w:rFonts w:hint="eastAsia"/>
        </w:rPr>
      </w:pPr>
      <w:r>
        <w:rPr>
          <w:rFonts w:hint="eastAsia"/>
        </w:rPr>
        <w:t>本项目</w:t>
      </w:r>
      <w:r>
        <w:rPr>
          <w:rFonts w:hint="eastAsia"/>
          <w:lang w:val="en-US" w:eastAsia="zh-CN"/>
        </w:rPr>
        <w:t>整体</w:t>
      </w:r>
      <w:r>
        <w:rPr>
          <w:rFonts w:hint="eastAsia"/>
        </w:rPr>
        <w:t>实际总投资</w:t>
      </w:r>
      <w:r>
        <w:rPr>
          <w:rFonts w:hint="eastAsia"/>
          <w:lang w:val="en-US" w:eastAsia="zh-CN"/>
        </w:rPr>
        <w:t>约391520</w:t>
      </w:r>
      <w:r>
        <w:rPr>
          <w:rFonts w:hint="eastAsia"/>
        </w:rPr>
        <w:t>万元，实际环保投资</w:t>
      </w:r>
      <w:r>
        <w:rPr>
          <w:rFonts w:hint="eastAsia"/>
          <w:lang w:val="en-US" w:eastAsia="zh-CN"/>
        </w:rPr>
        <w:t>938</w:t>
      </w:r>
      <w:r>
        <w:rPr>
          <w:rFonts w:hint="eastAsia"/>
        </w:rPr>
        <w:t>万元，占总投资的0.</w:t>
      </w:r>
      <w:r>
        <w:rPr>
          <w:rFonts w:hint="eastAsia"/>
          <w:lang w:val="en-US" w:eastAsia="zh-CN"/>
        </w:rPr>
        <w:t>24</w:t>
      </w:r>
      <w:r>
        <w:rPr>
          <w:rFonts w:hint="eastAsia"/>
        </w:rPr>
        <w:t>%。</w:t>
      </w:r>
    </w:p>
    <w:p w14:paraId="67BB4CEB">
      <w:pPr>
        <w:pStyle w:val="21"/>
        <w:jc w:val="both"/>
        <w:rPr>
          <w:rFonts w:hint="eastAsia"/>
        </w:rPr>
      </w:pPr>
      <w:r>
        <w:rPr>
          <w:rFonts w:hint="eastAsia"/>
        </w:rPr>
        <w:t>4、验收范围</w:t>
      </w:r>
    </w:p>
    <w:p w14:paraId="545360A8">
      <w:pPr>
        <w:pStyle w:val="21"/>
        <w:jc w:val="both"/>
        <w:rPr>
          <w:rFonts w:hint="eastAsia"/>
        </w:rPr>
      </w:pPr>
      <w:r>
        <w:rPr>
          <w:rFonts w:hint="eastAsia"/>
          <w:lang w:val="en-US" w:eastAsia="zh-CN"/>
        </w:rPr>
        <w:t>本次验收范围为年产150万套汽车智能刹车系统和年产160万套汽车NVH内饰功能件项目（第二阶段）的主体工程及配套环保设施。第二阶段主要设备为汽车智能刹车系统生产线，产能为年产100万套汽车智能刹车系统，年产160万套汽车NVH内饰功能件项目已另做技改环评，本次验收不涉及。</w:t>
      </w:r>
    </w:p>
    <w:p w14:paraId="5D7024DF">
      <w:pPr>
        <w:pStyle w:val="21"/>
        <w:jc w:val="both"/>
        <w:rPr>
          <w:rFonts w:hint="eastAsia"/>
        </w:rPr>
      </w:pPr>
      <w:r>
        <w:rPr>
          <w:rFonts w:hint="eastAsia"/>
        </w:rPr>
        <w:t>二、工程变动情况</w:t>
      </w:r>
    </w:p>
    <w:p w14:paraId="2E34545A">
      <w:pPr>
        <w:pStyle w:val="21"/>
        <w:jc w:val="both"/>
      </w:pPr>
      <w:r>
        <w:rPr>
          <w:rFonts w:hint="eastAsia"/>
        </w:rPr>
        <w:t>经现场核查，项目主要变动内容为：</w:t>
      </w:r>
    </w:p>
    <w:p w14:paraId="1A54AFB3">
      <w:pPr>
        <w:pStyle w:val="23"/>
        <w:jc w:val="both"/>
        <w:rPr>
          <w:rFonts w:hint="default" w:eastAsia="宋体"/>
          <w:lang w:val="en-US" w:eastAsia="zh-CN"/>
        </w:rPr>
      </w:pPr>
      <w:r>
        <w:rPr>
          <w:rFonts w:hint="default" w:eastAsia="宋体"/>
          <w:lang w:val="en-US" w:eastAsia="zh-CN"/>
        </w:rPr>
        <w:t>（1）年产160万套汽车NVH内饰功能件的建设内容在</w:t>
      </w:r>
      <w:r>
        <w:rPr>
          <w:rFonts w:hint="eastAsia"/>
          <w:lang w:val="en-US" w:eastAsia="zh-CN"/>
        </w:rPr>
        <w:t>《年产160万套汽车NVH内饰功能件技改项目和年产50万套底盘轻量化技术改造项目》中</w:t>
      </w:r>
      <w:r>
        <w:rPr>
          <w:rFonts w:hint="eastAsia" w:cs="Times New Roman"/>
          <w:lang w:val="en-US" w:eastAsia="zh-CN"/>
        </w:rPr>
        <w:t>进行技改并已完成验收，本项目涉及的建设内容取消，本次验收不涉及；</w:t>
      </w:r>
    </w:p>
    <w:p w14:paraId="2468108F">
      <w:pPr>
        <w:pStyle w:val="23"/>
        <w:jc w:val="both"/>
        <w:rPr>
          <w:rFonts w:hint="default"/>
          <w:lang w:val="en-US" w:eastAsia="zh-CN"/>
        </w:rPr>
      </w:pPr>
      <w:r>
        <w:rPr>
          <w:rFonts w:hint="eastAsia"/>
          <w:lang w:val="en-US" w:eastAsia="zh-CN"/>
        </w:rPr>
        <w:t>（2）原环评中一号车间四元体热风炉焚烧尾气四元体热风炉主要为电泳线固化所配套，同时焚烧处理电泳槽挥发废气和烘道固化的废气，现实际为电泳烘干废气</w:t>
      </w:r>
      <w:r>
        <w:rPr>
          <w:rFonts w:hint="eastAsia" w:cs="Times New Roman"/>
          <w:lang w:val="en-US" w:eastAsia="zh-CN"/>
        </w:rPr>
        <w:t>RTO处理后与四元体热风炉天然气燃烧废气一同通过1根15m高排气筒排放，治理措施改进，该内容</w:t>
      </w:r>
      <w:r>
        <w:rPr>
          <w:rFonts w:hint="eastAsia"/>
          <w:lang w:val="en-US" w:eastAsia="zh-CN"/>
        </w:rPr>
        <w:t>在《年产160万套汽车NVH内饰功能件技改项目和年产50万套底盘轻量化技术改造项目》技改环评中变更</w:t>
      </w:r>
      <w:r>
        <w:rPr>
          <w:rFonts w:hint="eastAsia" w:cs="Times New Roman"/>
          <w:lang w:val="en-US" w:eastAsia="zh-CN"/>
        </w:rPr>
        <w:t>；</w:t>
      </w:r>
    </w:p>
    <w:p w14:paraId="7E2A8785">
      <w:pPr>
        <w:pStyle w:val="23"/>
        <w:jc w:val="both"/>
        <w:rPr>
          <w:rFonts w:hint="default" w:eastAsia="宋体"/>
          <w:lang w:val="en-US" w:eastAsia="zh-CN"/>
        </w:rPr>
      </w:pPr>
      <w:r>
        <w:rPr>
          <w:rFonts w:hint="eastAsia"/>
          <w:lang w:val="en-US" w:eastAsia="zh-CN"/>
        </w:rPr>
        <w:t>（3）原</w:t>
      </w:r>
      <w:r>
        <w:rPr>
          <w:rFonts w:hint="default" w:eastAsia="宋体"/>
          <w:lang w:val="en-US" w:eastAsia="zh-CN"/>
        </w:rPr>
        <w:t>环评中</w:t>
      </w:r>
      <w:r>
        <w:rPr>
          <w:rFonts w:hint="eastAsia" w:eastAsia="宋体"/>
          <w:lang w:val="en-US" w:eastAsia="zh-CN"/>
        </w:rPr>
        <w:t>五</w:t>
      </w:r>
      <w:r>
        <w:rPr>
          <w:rFonts w:hint="default" w:eastAsia="宋体"/>
          <w:lang w:val="en-US" w:eastAsia="zh-CN"/>
        </w:rPr>
        <w:t>号车间</w:t>
      </w:r>
      <w:r>
        <w:rPr>
          <w:rFonts w:hint="eastAsia" w:eastAsia="宋体"/>
          <w:lang w:val="en-US" w:eastAsia="zh-CN"/>
        </w:rPr>
        <w:t>压铸脱模废气通过一套水喷淋装置处理后通过</w:t>
      </w:r>
      <w:r>
        <w:rPr>
          <w:rFonts w:hint="eastAsia"/>
          <w:lang w:val="en-US" w:eastAsia="zh-CN"/>
        </w:rPr>
        <w:t>1根15米高排气筒排放，实际建设情况为</w:t>
      </w:r>
      <w:r>
        <w:rPr>
          <w:rFonts w:hint="eastAsia" w:eastAsia="宋体"/>
          <w:lang w:val="en-US" w:eastAsia="zh-CN"/>
        </w:rPr>
        <w:t>通过两套水喷淋装置处理后分别通过</w:t>
      </w:r>
      <w:r>
        <w:rPr>
          <w:rFonts w:hint="eastAsia"/>
          <w:lang w:val="en-US" w:eastAsia="zh-CN"/>
        </w:rPr>
        <w:t>2根15米高排气筒排放；</w:t>
      </w:r>
    </w:p>
    <w:p w14:paraId="1161DDDA">
      <w:pPr>
        <w:pStyle w:val="23"/>
        <w:jc w:val="both"/>
        <w:rPr>
          <w:rFonts w:hint="default" w:eastAsia="宋体"/>
          <w:lang w:val="en-US" w:eastAsia="zh-CN"/>
        </w:rPr>
      </w:pPr>
      <w:r>
        <w:rPr>
          <w:rFonts w:hint="default" w:eastAsia="宋体"/>
          <w:lang w:val="en-US" w:eastAsia="zh-CN"/>
        </w:rPr>
        <w:t>（</w:t>
      </w:r>
      <w:r>
        <w:rPr>
          <w:rFonts w:hint="eastAsia"/>
          <w:lang w:val="en-US" w:eastAsia="zh-CN"/>
        </w:rPr>
        <w:t>4</w:t>
      </w:r>
      <w:r>
        <w:rPr>
          <w:rFonts w:hint="default" w:eastAsia="宋体"/>
          <w:lang w:val="en-US" w:eastAsia="zh-CN"/>
        </w:rPr>
        <w:t>）</w:t>
      </w:r>
      <w:r>
        <w:rPr>
          <w:rFonts w:hint="eastAsia"/>
          <w:lang w:val="en-US" w:eastAsia="zh-CN"/>
        </w:rPr>
        <w:t>原</w:t>
      </w:r>
      <w:r>
        <w:rPr>
          <w:rFonts w:hint="default" w:eastAsia="宋体"/>
          <w:lang w:val="en-US" w:eastAsia="zh-CN"/>
        </w:rPr>
        <w:t>环评中硫化成型及冷却废气与炼胶废气通过两套干式烟气预过滤+静电油烟净化+活性炭纤维滤芯过滤装置处理</w:t>
      </w:r>
      <w:r>
        <w:rPr>
          <w:rFonts w:hint="eastAsia"/>
          <w:lang w:val="en-US" w:eastAsia="zh-CN"/>
        </w:rPr>
        <w:t>后通过15米高排气筒排放</w:t>
      </w:r>
      <w:r>
        <w:rPr>
          <w:rFonts w:hint="default" w:eastAsia="宋体"/>
          <w:lang w:val="en-US" w:eastAsia="zh-CN"/>
        </w:rPr>
        <w:t>，实际建设处理工艺发生了变化，</w:t>
      </w:r>
      <w:r>
        <w:rPr>
          <w:rFonts w:hint="eastAsia"/>
          <w:lang w:val="en-US" w:eastAsia="zh-CN"/>
        </w:rPr>
        <w:t>增加了</w:t>
      </w:r>
      <w:r>
        <w:rPr>
          <w:rFonts w:hint="default" w:eastAsia="宋体"/>
          <w:lang w:val="en-US" w:eastAsia="zh-CN"/>
        </w:rPr>
        <w:t>UV光解氧化催化</w:t>
      </w:r>
      <w:r>
        <w:rPr>
          <w:rFonts w:hint="eastAsia"/>
          <w:lang w:val="en-US" w:eastAsia="zh-CN"/>
        </w:rPr>
        <w:t>，排气筒高度为25米，其他不变</w:t>
      </w:r>
      <w:r>
        <w:rPr>
          <w:rFonts w:hint="default" w:eastAsia="宋体"/>
          <w:lang w:val="en-US" w:eastAsia="zh-CN"/>
        </w:rPr>
        <w:t>；</w:t>
      </w:r>
    </w:p>
    <w:p w14:paraId="4D35A602">
      <w:pPr>
        <w:pStyle w:val="23"/>
        <w:jc w:val="both"/>
        <w:rPr>
          <w:rFonts w:hint="default" w:eastAsia="宋体"/>
          <w:lang w:val="en-US" w:eastAsia="zh-CN"/>
        </w:rPr>
      </w:pPr>
      <w:r>
        <w:rPr>
          <w:rFonts w:hint="default" w:eastAsia="宋体"/>
          <w:lang w:val="en-US" w:eastAsia="zh-CN"/>
        </w:rPr>
        <w:t>（</w:t>
      </w:r>
      <w:r>
        <w:rPr>
          <w:rFonts w:hint="eastAsia"/>
          <w:lang w:val="en-US" w:eastAsia="zh-CN"/>
        </w:rPr>
        <w:t>5</w:t>
      </w:r>
      <w:r>
        <w:rPr>
          <w:rFonts w:hint="default" w:eastAsia="宋体"/>
          <w:lang w:val="en-US" w:eastAsia="zh-CN"/>
        </w:rPr>
        <w:t>）企业未设置锅炉，本次验收不涉及锅炉燃烧尾气</w:t>
      </w:r>
      <w:r>
        <w:rPr>
          <w:rFonts w:hint="eastAsia"/>
          <w:lang w:val="en-US" w:eastAsia="zh-CN"/>
        </w:rPr>
        <w:t>；</w:t>
      </w:r>
    </w:p>
    <w:p w14:paraId="4B1D05C7">
      <w:pPr>
        <w:pStyle w:val="21"/>
        <w:jc w:val="both"/>
        <w:rPr>
          <w:rFonts w:hint="eastAsia"/>
        </w:rPr>
      </w:pPr>
      <w:r>
        <w:rPr>
          <w:rFonts w:hint="eastAsia"/>
          <w:lang w:val="en-US" w:eastAsia="zh-CN"/>
        </w:rPr>
        <w:t>（6）一号车间超声波清洗与机加工工序未实施；二号车间部分喷胶、涂胶、浸胶设备数量调整，用胶量不增加；四号车间部分加工中心、热处理线未实施，</w:t>
      </w:r>
      <w:r>
        <w:rPr>
          <w:rFonts w:hint="eastAsia" w:cs="Times New Roman"/>
          <w:lang w:val="en-US" w:eastAsia="zh-CN"/>
        </w:rPr>
        <w:t>未实施设备将在后续阶段验收，真空铸造车间熔化炉、真空铸造机型号数量变更，拟另做技改环评，不在本次验收范围。</w:t>
      </w:r>
    </w:p>
    <w:p w14:paraId="51890C3E">
      <w:pPr>
        <w:pStyle w:val="21"/>
        <w:jc w:val="both"/>
        <w:rPr>
          <w:rFonts w:hint="eastAsia"/>
        </w:rPr>
      </w:pPr>
      <w:r>
        <w:rPr>
          <w:rFonts w:hint="eastAsia"/>
        </w:rPr>
        <w:t>综上，</w:t>
      </w:r>
      <w:r>
        <w:rPr>
          <w:rFonts w:hint="eastAsia"/>
          <w:lang w:val="en-US" w:eastAsia="zh-CN"/>
        </w:rPr>
        <w:t>对照《</w:t>
      </w:r>
      <w:r>
        <w:t>污染影响类建设项目重大变动清单（试行）&gt;的通知》（环办环评函〔2020〕688号</w:t>
      </w:r>
      <w:r>
        <w:rPr>
          <w:rFonts w:hint="eastAsia"/>
        </w:rPr>
        <w:t>）</w:t>
      </w:r>
      <w:r>
        <w:rPr>
          <w:rFonts w:hint="eastAsia"/>
          <w:lang w:eastAsia="zh-CN"/>
        </w:rPr>
        <w:t>，</w:t>
      </w:r>
      <w:r>
        <w:rPr>
          <w:rFonts w:hint="eastAsia"/>
          <w:lang w:val="en-US" w:eastAsia="zh-CN"/>
        </w:rPr>
        <w:t>上述变动</w:t>
      </w:r>
      <w:r>
        <w:rPr>
          <w:rFonts w:hint="eastAsia"/>
        </w:rPr>
        <w:t>不</w:t>
      </w:r>
      <w:r>
        <w:rPr>
          <w:rFonts w:hint="eastAsia"/>
          <w:lang w:val="en-US" w:eastAsia="zh-CN"/>
        </w:rPr>
        <w:t>构成</w:t>
      </w:r>
      <w:r>
        <w:rPr>
          <w:rFonts w:hint="eastAsia"/>
        </w:rPr>
        <w:t>重大变动。</w:t>
      </w:r>
    </w:p>
    <w:p w14:paraId="56F5ABE7">
      <w:pPr>
        <w:pStyle w:val="21"/>
        <w:jc w:val="both"/>
        <w:rPr>
          <w:rFonts w:hint="eastAsia"/>
        </w:rPr>
      </w:pPr>
      <w:r>
        <w:rPr>
          <w:rFonts w:hint="eastAsia"/>
        </w:rPr>
        <w:t>三、环境保护设施建设情况</w:t>
      </w:r>
    </w:p>
    <w:p w14:paraId="1B53D597">
      <w:pPr>
        <w:pStyle w:val="21"/>
        <w:jc w:val="both"/>
        <w:rPr>
          <w:rFonts w:hint="eastAsia"/>
        </w:rPr>
      </w:pPr>
      <w:r>
        <w:rPr>
          <w:rFonts w:hint="eastAsia"/>
        </w:rPr>
        <w:t>1、废气</w:t>
      </w:r>
    </w:p>
    <w:p w14:paraId="346A3817">
      <w:pPr>
        <w:pStyle w:val="21"/>
        <w:jc w:val="both"/>
        <w:rPr>
          <w:rFonts w:hint="eastAsia"/>
          <w:lang w:val="en-US" w:eastAsia="zh-CN"/>
        </w:rPr>
      </w:pPr>
      <w:r>
        <w:rPr>
          <w:rFonts w:hint="eastAsia"/>
          <w:lang w:val="en-US" w:eastAsia="zh-CN"/>
        </w:rPr>
        <w:t>根据现状调查，本项目第二阶段验收的废气主要为一号车间焊接烟尘、电泳/烘干废气及四元体热风炉燃烧尾气、二号车间上胶废气与喷漆废气、炼胶废气与硫化成型及冷却废气、四号车间铝锭熔融废气、四号车间热处理天然气燃烧废气、五号车间铝锭熔融废气、压铸脱模废气、抛丸粉尘。</w:t>
      </w:r>
    </w:p>
    <w:p w14:paraId="38958BD6">
      <w:pPr>
        <w:pStyle w:val="21"/>
        <w:jc w:val="both"/>
        <w:rPr>
          <w:rFonts w:hint="default"/>
          <w:lang w:val="en-US" w:eastAsia="zh-CN"/>
        </w:rPr>
      </w:pPr>
      <w:r>
        <w:rPr>
          <w:rFonts w:hint="eastAsia"/>
          <w:lang w:val="en-US" w:eastAsia="zh-CN"/>
        </w:rPr>
        <w:t>一号车间焊接烟尘经车间整体收集后高于屋顶排放；电泳/烘干废气经RTO处理后与四元体热风炉天然气燃烧废气一同通过15m高排气筒排放；二号车间上胶废气、喷漆废气经管道收集后汇至一套活性炭吸附脱附催化燃烧装置处置后通过25m高排气筒排放；</w:t>
      </w:r>
      <w:r>
        <w:rPr>
          <w:rFonts w:hint="default" w:eastAsia="宋体"/>
          <w:lang w:val="en-US" w:eastAsia="zh-CN"/>
        </w:rPr>
        <w:t>炼胶废气与硫化成型及冷却废气经收集后通过两套干式烟气预过滤+静电油烟净化+UV光解氧化催化+活性炭纤维滤芯过滤装置处理</w:t>
      </w:r>
      <w:r>
        <w:rPr>
          <w:rFonts w:hint="eastAsia"/>
          <w:lang w:val="en-US" w:eastAsia="zh-CN"/>
        </w:rPr>
        <w:t>后通过25米高排气筒排放；四号车间热处理天然气燃烧废气收集后通过3根15m高排气筒排放；四号车间铝锭熔融废气收集后通过2套布袋除尘装置处理后经2根15m高排气筒排放；五号车间铝锭熔融废气收集后通过1套布袋除尘装置处理后经15m高排气筒排放；五号车间压铸脱模废气收集后通过两套水喷淋装置处理后通过15m高排气筒排放；五号车间抛丸粉尘经设备自带的布袋除尘器处理后通过15m高排气筒排放；食堂油烟废气经油烟净化器处理后高于屋顶排放。</w:t>
      </w:r>
    </w:p>
    <w:p w14:paraId="2FEFBFC4">
      <w:pPr>
        <w:pStyle w:val="21"/>
        <w:jc w:val="both"/>
        <w:rPr>
          <w:rFonts w:hint="eastAsia"/>
        </w:rPr>
      </w:pPr>
      <w:r>
        <w:rPr>
          <w:rFonts w:hint="eastAsia"/>
        </w:rPr>
        <w:t>2、废水</w:t>
      </w:r>
    </w:p>
    <w:p w14:paraId="6D45C8EC">
      <w:pPr>
        <w:pStyle w:val="21"/>
        <w:jc w:val="both"/>
        <w:rPr>
          <w:rFonts w:hint="eastAsia"/>
        </w:rPr>
      </w:pPr>
      <w:r>
        <w:rPr>
          <w:rFonts w:hint="eastAsia"/>
        </w:rPr>
        <w:t>本项目生活污水经化粪池（食堂污水预先经隔油池沉淀处理）预处理</w:t>
      </w:r>
      <w:r>
        <w:rPr>
          <w:rFonts w:hint="eastAsia"/>
          <w:lang w:eastAsia="zh-CN"/>
        </w:rPr>
        <w:t>、</w:t>
      </w:r>
      <w:r>
        <w:rPr>
          <w:rFonts w:hint="eastAsia"/>
        </w:rPr>
        <w:t>生产废水经厂区污水处理站处理后</w:t>
      </w:r>
      <w:r>
        <w:rPr>
          <w:rFonts w:hint="eastAsia"/>
          <w:lang w:val="en-US" w:eastAsia="zh-CN"/>
        </w:rPr>
        <w:t>纳</w:t>
      </w:r>
      <w:r>
        <w:rPr>
          <w:rFonts w:hint="eastAsia"/>
        </w:rPr>
        <w:t>入市政管网，最终经杭州湾新区污水处理厂处理后排入九塘江。</w:t>
      </w:r>
    </w:p>
    <w:p w14:paraId="085F3333">
      <w:pPr>
        <w:pStyle w:val="21"/>
        <w:jc w:val="both"/>
        <w:rPr>
          <w:rFonts w:hint="eastAsia"/>
        </w:rPr>
      </w:pPr>
      <w:r>
        <w:rPr>
          <w:rFonts w:hint="eastAsia"/>
        </w:rPr>
        <w:t>3、噪声</w:t>
      </w:r>
    </w:p>
    <w:p w14:paraId="12AC422F">
      <w:pPr>
        <w:pStyle w:val="21"/>
        <w:jc w:val="both"/>
        <w:rPr>
          <w:rFonts w:hint="eastAsia"/>
        </w:rPr>
      </w:pPr>
      <w:r>
        <w:rPr>
          <w:rFonts w:hint="default"/>
          <w:lang w:val="en-US" w:eastAsia="zh-CN"/>
        </w:rPr>
        <w:t>噪声经隔声降噪措施以及厂房墙体隔声和距离衰减后</w:t>
      </w:r>
      <w:r>
        <w:rPr>
          <w:rFonts w:hint="eastAsia"/>
        </w:rPr>
        <w:t>，</w:t>
      </w:r>
      <w:r>
        <w:rPr>
          <w:rFonts w:hint="default"/>
          <w:lang w:val="en-US" w:eastAsia="zh-CN"/>
        </w:rPr>
        <w:t>厂界昼夜噪声</w:t>
      </w:r>
      <w:r>
        <w:rPr>
          <w:rFonts w:hint="eastAsia"/>
        </w:rPr>
        <w:t>满足《工业企业厂界环境噪声排放标准》（GB12348-2008）中的3类标准。</w:t>
      </w:r>
    </w:p>
    <w:p w14:paraId="551A6A18">
      <w:pPr>
        <w:pStyle w:val="21"/>
        <w:jc w:val="both"/>
        <w:rPr>
          <w:rFonts w:hint="eastAsia"/>
        </w:rPr>
      </w:pPr>
      <w:r>
        <w:rPr>
          <w:rFonts w:hint="eastAsia"/>
        </w:rPr>
        <w:t>4、固体废物</w:t>
      </w:r>
    </w:p>
    <w:p w14:paraId="7D27EEC1">
      <w:pPr>
        <w:pStyle w:val="21"/>
        <w:jc w:val="both"/>
        <w:rPr>
          <w:rFonts w:hint="eastAsia"/>
        </w:rPr>
      </w:pPr>
      <w:r>
        <w:rPr>
          <w:rFonts w:hint="eastAsia"/>
        </w:rPr>
        <w:t>金属边角料（铁）、橡胶边角料</w:t>
      </w:r>
      <w:r>
        <w:rPr>
          <w:rFonts w:hint="eastAsia"/>
          <w:lang w:eastAsia="zh-CN"/>
        </w:rPr>
        <w:t>、</w:t>
      </w:r>
      <w:r>
        <w:rPr>
          <w:rFonts w:hint="eastAsia"/>
        </w:rPr>
        <w:t>抛丸粉尘、包装废料收集暂存后外售综合利用；生活垃圾委托环卫部门清运；炉渣及布袋收集的炉灰委托浙江凯康金属制品有限公司处置；喷胶、刷胶等产生的废胶、喷枪等清洗废液、漆渣、各类胶料、油漆包装桶、废水处理产生的污泥、磷化废渣、废活性炭、废活性炭纤维等收集暂存后委托宁波市北仑环保固废处置有限公司处置；废矿物油收集暂存后委托浙江绿晨环保科技有限公司处置。危险废物按照环评及批复要求进行贮存、处置，贮存场所满足相关要求。根据现场踏勘，</w:t>
      </w:r>
      <w:r>
        <w:rPr>
          <w:rFonts w:hint="eastAsia"/>
          <w:sz w:val="24"/>
          <w:szCs w:val="24"/>
          <w:lang w:val="en-US" w:eastAsia="zh-CN"/>
        </w:rPr>
        <w:t>企业已建有危废仓库，危废仓库位于</w:t>
      </w:r>
      <w:r>
        <w:rPr>
          <w:rFonts w:hint="eastAsia" w:ascii="Times New Roman" w:hAnsi="Times New Roman" w:eastAsia="宋体" w:cs="Times New Roman"/>
          <w:color w:val="000000"/>
          <w:kern w:val="0"/>
          <w:sz w:val="24"/>
          <w:szCs w:val="24"/>
          <w:lang w:val="en-US" w:eastAsia="zh-CN" w:bidi="ar"/>
        </w:rPr>
        <w:t>厂区西北侧，面积约200</w:t>
      </w:r>
      <w:r>
        <w:rPr>
          <w:rFonts w:hint="default" w:ascii="Times New Roman" w:hAnsi="Times New Roman" w:eastAsia="宋体" w:cs="Times New Roman"/>
          <w:color w:val="000000"/>
          <w:kern w:val="0"/>
          <w:sz w:val="24"/>
          <w:szCs w:val="24"/>
          <w:lang w:val="en-US" w:eastAsia="zh-CN" w:bidi="ar"/>
        </w:rPr>
        <w:t>m</w:t>
      </w:r>
      <w:r>
        <w:rPr>
          <w:rFonts w:hint="default" w:ascii="Times New Roman" w:hAnsi="Times New Roman" w:eastAsia="宋体" w:cs="Times New Roman"/>
          <w:color w:val="000000"/>
          <w:kern w:val="0"/>
          <w:sz w:val="24"/>
          <w:szCs w:val="24"/>
          <w:vertAlign w:val="superscript"/>
          <w:lang w:val="en-US" w:eastAsia="zh-CN" w:bidi="ar"/>
        </w:rPr>
        <w:t>2</w:t>
      </w:r>
      <w:r>
        <w:rPr>
          <w:rFonts w:hint="eastAsia" w:ascii="Times New Roman" w:hAnsi="Times New Roman" w:eastAsia="宋体" w:cs="Times New Roman"/>
          <w:color w:val="000000"/>
          <w:kern w:val="0"/>
          <w:sz w:val="24"/>
          <w:szCs w:val="24"/>
          <w:lang w:val="en-US" w:eastAsia="zh-CN" w:bidi="ar"/>
        </w:rPr>
        <w:t>，</w:t>
      </w:r>
      <w:r>
        <w:rPr>
          <w:rFonts w:hint="eastAsia"/>
        </w:rPr>
        <w:t>各危险废物分类存放，并粘贴危废标签。仓库外张贴危废仓库标识，并由专人管理。</w:t>
      </w:r>
    </w:p>
    <w:p w14:paraId="7CB5A593">
      <w:pPr>
        <w:pStyle w:val="21"/>
        <w:jc w:val="both"/>
        <w:rPr>
          <w:rFonts w:hint="eastAsia"/>
        </w:rPr>
      </w:pPr>
      <w:r>
        <w:rPr>
          <w:rFonts w:hint="eastAsia"/>
        </w:rPr>
        <w:t>5、其他环保设施建设情况</w:t>
      </w:r>
    </w:p>
    <w:p w14:paraId="5BC3EE9A">
      <w:pPr>
        <w:pStyle w:val="21"/>
        <w:jc w:val="both"/>
        <w:rPr>
          <w:rFonts w:hint="eastAsia"/>
          <w:lang w:eastAsia="zh-CN"/>
        </w:rPr>
      </w:pPr>
      <w:r>
        <w:rPr>
          <w:rFonts w:hint="eastAsia"/>
          <w:lang w:val="en-US" w:eastAsia="zh-CN"/>
        </w:rPr>
        <w:t>1）</w:t>
      </w:r>
      <w:r>
        <w:rPr>
          <w:rFonts w:hint="eastAsia"/>
        </w:rPr>
        <w:t>企业在</w:t>
      </w:r>
      <w:r>
        <w:rPr>
          <w:rFonts w:hint="eastAsia"/>
          <w:lang w:val="en-US" w:eastAsia="zh-CN"/>
        </w:rPr>
        <w:t>一号车间南侧与二号车间北</w:t>
      </w:r>
      <w:r>
        <w:rPr>
          <w:rFonts w:hint="eastAsia"/>
        </w:rPr>
        <w:t>侧建</w:t>
      </w:r>
      <w:r>
        <w:rPr>
          <w:rFonts w:hint="eastAsia"/>
          <w:lang w:val="en-US" w:eastAsia="zh-CN"/>
        </w:rPr>
        <w:t>设</w:t>
      </w:r>
      <w:r>
        <w:rPr>
          <w:rFonts w:hint="eastAsia"/>
        </w:rPr>
        <w:t>危险化学品仓库，</w:t>
      </w:r>
      <w:r>
        <w:rPr>
          <w:rFonts w:hint="eastAsia"/>
          <w:lang w:val="en-US" w:eastAsia="zh-CN"/>
        </w:rPr>
        <w:t>面积分别约190m</w:t>
      </w:r>
      <w:r>
        <w:rPr>
          <w:rFonts w:hint="eastAsia"/>
          <w:vertAlign w:val="superscript"/>
          <w:lang w:val="en-US" w:eastAsia="zh-CN"/>
        </w:rPr>
        <w:t>2</w:t>
      </w:r>
      <w:r>
        <w:rPr>
          <w:rFonts w:hint="eastAsia"/>
          <w:lang w:val="en-US" w:eastAsia="zh-CN"/>
        </w:rPr>
        <w:t>与46m</w:t>
      </w:r>
      <w:r>
        <w:rPr>
          <w:rFonts w:hint="eastAsia"/>
          <w:vertAlign w:val="superscript"/>
          <w:lang w:val="en-US" w:eastAsia="zh-CN"/>
        </w:rPr>
        <w:t>2</w:t>
      </w:r>
      <w:r>
        <w:rPr>
          <w:rFonts w:hint="eastAsia"/>
          <w:vertAlign w:val="baseline"/>
          <w:lang w:val="en-US" w:eastAsia="zh-CN"/>
        </w:rPr>
        <w:t>，</w:t>
      </w:r>
      <w:r>
        <w:rPr>
          <w:rFonts w:hint="eastAsia"/>
        </w:rPr>
        <w:t>危险化学品按照环评及批复要求进行贮存，贮存场所满足相关要求。根据现场踏勘，仓库按照分类存放，已做好防渗处理</w:t>
      </w:r>
      <w:r>
        <w:rPr>
          <w:rFonts w:hint="eastAsia"/>
          <w:lang w:eastAsia="zh-CN"/>
        </w:rPr>
        <w:t>；</w:t>
      </w:r>
    </w:p>
    <w:p w14:paraId="2380122E">
      <w:pPr>
        <w:pStyle w:val="21"/>
        <w:jc w:val="both"/>
        <w:rPr>
          <w:rFonts w:hint="default"/>
          <w:lang w:val="en-US" w:eastAsia="zh-CN"/>
        </w:rPr>
      </w:pPr>
      <w:r>
        <w:rPr>
          <w:rFonts w:hint="eastAsia"/>
          <w:lang w:val="en-US" w:eastAsia="zh-CN"/>
        </w:rPr>
        <w:t>2）</w:t>
      </w:r>
      <w:r>
        <w:rPr>
          <w:rFonts w:hint="default"/>
          <w:lang w:val="en-US" w:eastAsia="zh-CN"/>
        </w:rPr>
        <w:t>企业于20</w:t>
      </w:r>
      <w:r>
        <w:rPr>
          <w:rFonts w:hint="eastAsia"/>
          <w:lang w:val="en-US" w:eastAsia="zh-CN"/>
        </w:rPr>
        <w:t>22</w:t>
      </w:r>
      <w:r>
        <w:rPr>
          <w:rFonts w:hint="default"/>
          <w:lang w:val="en-US" w:eastAsia="zh-CN"/>
        </w:rPr>
        <w:t>年</w:t>
      </w:r>
      <w:r>
        <w:rPr>
          <w:rFonts w:hint="eastAsia"/>
          <w:lang w:val="en-US" w:eastAsia="zh-CN"/>
        </w:rPr>
        <w:t>7</w:t>
      </w:r>
      <w:r>
        <w:rPr>
          <w:rFonts w:hint="default"/>
          <w:lang w:val="en-US" w:eastAsia="zh-CN"/>
        </w:rPr>
        <w:t>月编制</w:t>
      </w:r>
      <w:r>
        <w:rPr>
          <w:rFonts w:hint="eastAsia"/>
          <w:lang w:val="en-US" w:eastAsia="zh-CN"/>
        </w:rPr>
        <w:t>的</w:t>
      </w:r>
      <w:r>
        <w:rPr>
          <w:rFonts w:hint="default"/>
          <w:lang w:val="en-US" w:eastAsia="zh-CN"/>
        </w:rPr>
        <w:t>《宁波拓普汽车电子有限公司突发环境事件应急预案》</w:t>
      </w:r>
      <w:r>
        <w:rPr>
          <w:rFonts w:hint="eastAsia"/>
          <w:lang w:val="en-US" w:eastAsia="zh-CN"/>
        </w:rPr>
        <w:t>已经涵盖了一阶段和二阶段整体项目</w:t>
      </w:r>
      <w:r>
        <w:rPr>
          <w:rFonts w:hint="default"/>
          <w:lang w:val="en-US" w:eastAsia="zh-CN"/>
        </w:rPr>
        <w:t>，</w:t>
      </w:r>
      <w:r>
        <w:rPr>
          <w:rFonts w:hint="eastAsia"/>
          <w:lang w:val="en-US" w:eastAsia="zh-CN"/>
        </w:rPr>
        <w:t>并</w:t>
      </w:r>
      <w:r>
        <w:rPr>
          <w:rFonts w:hint="default"/>
          <w:lang w:val="en-US" w:eastAsia="zh-CN"/>
        </w:rPr>
        <w:t>在</w:t>
      </w:r>
      <w:r>
        <w:rPr>
          <w:rFonts w:hint="eastAsia"/>
          <w:lang w:val="en-US" w:eastAsia="zh-CN"/>
        </w:rPr>
        <w:t>宁波前湾新区生态环境局</w:t>
      </w:r>
      <w:r>
        <w:rPr>
          <w:rFonts w:hint="default"/>
          <w:lang w:val="en-US" w:eastAsia="zh-CN"/>
        </w:rPr>
        <w:t>进行备案登记（备案登记号：330282（H）-2022-043L），并组建了内部环境管理机构和突发环境事件应急小组，同时按要求落实了相关风险防范措施</w:t>
      </w:r>
      <w:r>
        <w:rPr>
          <w:rFonts w:hint="eastAsia"/>
          <w:lang w:val="en-US" w:eastAsia="zh-CN"/>
        </w:rPr>
        <w:t>；</w:t>
      </w:r>
    </w:p>
    <w:p w14:paraId="7A89EF9C">
      <w:pPr>
        <w:pStyle w:val="21"/>
        <w:jc w:val="both"/>
        <w:rPr>
          <w:rFonts w:hint="eastAsia" w:eastAsia="宋体"/>
          <w:highlight w:val="none"/>
          <w:lang w:eastAsia="zh-CN"/>
        </w:rPr>
      </w:pPr>
      <w:r>
        <w:rPr>
          <w:rFonts w:hint="eastAsia"/>
          <w:lang w:val="en-US" w:eastAsia="zh-CN"/>
        </w:rPr>
        <w:t>3）</w:t>
      </w:r>
      <w:r>
        <w:rPr>
          <w:rFonts w:hint="eastAsia"/>
          <w:highlight w:val="none"/>
        </w:rPr>
        <w:t>企业已按要求设置应急事故池</w:t>
      </w:r>
      <w:r>
        <w:rPr>
          <w:rFonts w:hint="eastAsia"/>
          <w:highlight w:val="none"/>
          <w:lang w:eastAsia="zh-CN"/>
        </w:rPr>
        <w:t>，</w:t>
      </w:r>
      <w:r>
        <w:rPr>
          <w:rFonts w:hint="eastAsia"/>
          <w:highlight w:val="none"/>
        </w:rPr>
        <w:t>共3个</w:t>
      </w:r>
      <w:r>
        <w:rPr>
          <w:rFonts w:hint="eastAsia"/>
          <w:highlight w:val="none"/>
          <w:lang w:val="en-US" w:eastAsia="zh-CN"/>
        </w:rPr>
        <w:t>应急池</w:t>
      </w:r>
      <w:r>
        <w:rPr>
          <w:rFonts w:hint="eastAsia"/>
          <w:highlight w:val="none"/>
        </w:rPr>
        <w:t>，单个容积为70m</w:t>
      </w:r>
      <w:r>
        <w:rPr>
          <w:rFonts w:hint="eastAsia"/>
          <w:highlight w:val="none"/>
          <w:vertAlign w:val="superscript"/>
        </w:rPr>
        <w:t>3</w:t>
      </w:r>
      <w:r>
        <w:rPr>
          <w:rFonts w:hint="eastAsia"/>
          <w:highlight w:val="none"/>
        </w:rPr>
        <w:t>，总有效容积为2</w:t>
      </w:r>
      <w:r>
        <w:rPr>
          <w:rFonts w:hint="eastAsia"/>
          <w:highlight w:val="none"/>
          <w:lang w:val="en-US" w:eastAsia="zh-CN"/>
        </w:rPr>
        <w:t>1</w:t>
      </w:r>
      <w:r>
        <w:rPr>
          <w:rFonts w:hint="eastAsia"/>
          <w:highlight w:val="none"/>
        </w:rPr>
        <w:t>0m</w:t>
      </w:r>
      <w:r>
        <w:rPr>
          <w:rFonts w:hint="eastAsia"/>
          <w:highlight w:val="none"/>
          <w:vertAlign w:val="superscript"/>
        </w:rPr>
        <w:t>3</w:t>
      </w:r>
      <w:r>
        <w:rPr>
          <w:rFonts w:hint="eastAsia"/>
          <w:highlight w:val="none"/>
        </w:rPr>
        <w:t>，位于厂区北部（底盘五部厂区天井内）</w:t>
      </w:r>
      <w:r>
        <w:rPr>
          <w:rFonts w:hint="eastAsia"/>
          <w:highlight w:val="none"/>
          <w:lang w:eastAsia="zh-CN"/>
        </w:rPr>
        <w:t>；</w:t>
      </w:r>
    </w:p>
    <w:p w14:paraId="5DDF0C19">
      <w:pPr>
        <w:pStyle w:val="21"/>
        <w:jc w:val="both"/>
        <w:rPr>
          <w:rFonts w:hint="eastAsia" w:eastAsia="宋体"/>
          <w:highlight w:val="none"/>
          <w:lang w:val="en-US" w:eastAsia="zh-CN"/>
        </w:rPr>
      </w:pPr>
      <w:r>
        <w:rPr>
          <w:rFonts w:hint="eastAsia"/>
          <w:highlight w:val="none"/>
          <w:lang w:val="en-US" w:eastAsia="zh-CN"/>
        </w:rPr>
        <w:t>4）</w:t>
      </w:r>
      <w:r>
        <w:rPr>
          <w:rFonts w:hint="eastAsia"/>
          <w:lang w:val="en-US" w:eastAsia="zh-CN"/>
        </w:rPr>
        <w:t>土壤及地下水防治：按拟定区域土壤及地下水污染防治分区要求进行防腐防渗等措施。已按要求设置2个地下水监控井，位置见地下水检测报告。环评未要求初期雨水收集，共设有4个雨水排放口截止阀，应急池等地下设施已按要求做好防渗措施。企业在厂区污水处理站设有毒有害气体手持式检测仪。</w:t>
      </w:r>
    </w:p>
    <w:p w14:paraId="1C5D4B1D">
      <w:pPr>
        <w:pStyle w:val="21"/>
        <w:jc w:val="both"/>
        <w:rPr>
          <w:rFonts w:hint="eastAsia"/>
        </w:rPr>
      </w:pPr>
      <w:r>
        <w:rPr>
          <w:rFonts w:hint="eastAsia"/>
        </w:rPr>
        <w:t>四、环境保护设施调试效果</w:t>
      </w:r>
    </w:p>
    <w:p w14:paraId="69582213">
      <w:pPr>
        <w:pStyle w:val="21"/>
        <w:jc w:val="both"/>
        <w:rPr>
          <w:rFonts w:hint="default"/>
          <w:lang w:val="en-US" w:eastAsia="zh-CN"/>
        </w:rPr>
      </w:pPr>
      <w:r>
        <w:rPr>
          <w:rFonts w:hint="eastAsia"/>
          <w:lang w:val="en-US" w:eastAsia="zh-CN"/>
        </w:rPr>
        <w:t>（一）污染物达标排放情况</w:t>
      </w:r>
    </w:p>
    <w:p w14:paraId="5AECA838">
      <w:pPr>
        <w:pStyle w:val="21"/>
        <w:jc w:val="both"/>
        <w:rPr>
          <w:rFonts w:hint="eastAsia"/>
        </w:rPr>
      </w:pPr>
      <w:r>
        <w:rPr>
          <w:rFonts w:hint="eastAsia"/>
          <w:lang w:val="en-US" w:eastAsia="zh-CN"/>
        </w:rPr>
        <w:t>浙江康众检测技术有限公司于2023年07月12日~07月15日、09月14日~09月15日对宁波拓普汽车电子有限公司进行了现场采样监测</w:t>
      </w:r>
      <w:r>
        <w:rPr>
          <w:rFonts w:hint="eastAsia"/>
        </w:rPr>
        <w:t>，企业生产工况稳定，各类污染物检测结果如下：</w:t>
      </w:r>
    </w:p>
    <w:p w14:paraId="7E3CBCA7">
      <w:pPr>
        <w:pStyle w:val="21"/>
        <w:jc w:val="both"/>
        <w:rPr>
          <w:rFonts w:hint="eastAsia"/>
        </w:rPr>
      </w:pPr>
      <w:r>
        <w:rPr>
          <w:rFonts w:hint="eastAsia"/>
        </w:rPr>
        <w:t>1、废气</w:t>
      </w:r>
    </w:p>
    <w:p w14:paraId="5A8C06C4">
      <w:pPr>
        <w:pStyle w:val="21"/>
        <w:jc w:val="both"/>
        <w:rPr>
          <w:rFonts w:hint="eastAsia"/>
          <w:vertAlign w:val="baseline"/>
          <w:lang w:val="en-US" w:eastAsia="zh-CN"/>
        </w:rPr>
      </w:pPr>
      <w:r>
        <w:rPr>
          <w:rFonts w:hint="eastAsia"/>
        </w:rPr>
        <w:t>在验收监测期间（2023年</w:t>
      </w:r>
      <w:r>
        <w:rPr>
          <w:rFonts w:hint="eastAsia"/>
          <w:lang w:val="en-US" w:eastAsia="zh-CN"/>
        </w:rPr>
        <w:t>7</w:t>
      </w:r>
      <w:r>
        <w:rPr>
          <w:rFonts w:hint="eastAsia"/>
        </w:rPr>
        <w:t>月</w:t>
      </w:r>
      <w:r>
        <w:rPr>
          <w:rFonts w:hint="eastAsia"/>
          <w:lang w:val="en-US" w:eastAsia="zh-CN"/>
        </w:rPr>
        <w:t>12</w:t>
      </w:r>
      <w:r>
        <w:rPr>
          <w:rFonts w:hint="eastAsia"/>
        </w:rPr>
        <w:t>日~</w:t>
      </w:r>
      <w:r>
        <w:rPr>
          <w:rFonts w:hint="eastAsia"/>
          <w:lang w:val="en-US" w:eastAsia="zh-CN"/>
        </w:rPr>
        <w:t>7</w:t>
      </w:r>
      <w:r>
        <w:rPr>
          <w:rFonts w:hint="eastAsia"/>
        </w:rPr>
        <w:t>月</w:t>
      </w:r>
      <w:r>
        <w:rPr>
          <w:rFonts w:hint="eastAsia"/>
          <w:lang w:val="en-US" w:eastAsia="zh-CN"/>
        </w:rPr>
        <w:t>15</w:t>
      </w:r>
      <w:r>
        <w:rPr>
          <w:rFonts w:hint="eastAsia"/>
        </w:rPr>
        <w:t>日</w:t>
      </w:r>
      <w:r>
        <w:rPr>
          <w:rFonts w:hint="eastAsia"/>
          <w:lang w:eastAsia="zh-CN"/>
        </w:rPr>
        <w:t>、</w:t>
      </w:r>
      <w:r>
        <w:rPr>
          <w:rFonts w:hint="eastAsia"/>
        </w:rPr>
        <w:t>2023年</w:t>
      </w:r>
      <w:r>
        <w:rPr>
          <w:rFonts w:hint="eastAsia"/>
          <w:lang w:val="en-US" w:eastAsia="zh-CN"/>
        </w:rPr>
        <w:t>9</w:t>
      </w:r>
      <w:r>
        <w:rPr>
          <w:rFonts w:hint="eastAsia"/>
        </w:rPr>
        <w:t>月</w:t>
      </w:r>
      <w:r>
        <w:rPr>
          <w:rFonts w:hint="eastAsia"/>
          <w:lang w:val="en-US" w:eastAsia="zh-CN"/>
        </w:rPr>
        <w:t>14</w:t>
      </w:r>
      <w:r>
        <w:rPr>
          <w:rFonts w:hint="eastAsia"/>
        </w:rPr>
        <w:t>日~</w:t>
      </w:r>
      <w:r>
        <w:rPr>
          <w:rFonts w:hint="eastAsia"/>
          <w:lang w:val="en-US" w:eastAsia="zh-CN"/>
        </w:rPr>
        <w:t>9</w:t>
      </w:r>
      <w:r>
        <w:rPr>
          <w:rFonts w:hint="eastAsia"/>
        </w:rPr>
        <w:t>月</w:t>
      </w:r>
      <w:r>
        <w:rPr>
          <w:rFonts w:hint="eastAsia"/>
          <w:lang w:val="en-US" w:eastAsia="zh-CN"/>
        </w:rPr>
        <w:t>15</w:t>
      </w:r>
      <w:r>
        <w:rPr>
          <w:rFonts w:hint="eastAsia"/>
        </w:rPr>
        <w:t>日）</w:t>
      </w:r>
      <w:r>
        <w:rPr>
          <w:rFonts w:hint="eastAsia"/>
          <w:vertAlign w:val="baseline"/>
          <w:lang w:val="en-US" w:eastAsia="zh-CN"/>
        </w:rPr>
        <w:t>五号车间压铸废气排气筒中非甲烷总烃排放浓度均达到《大气污染物综合排放标准》（GB16297-1996）表2新污染源大气污染物排放限值中的二级标准。</w:t>
      </w:r>
    </w:p>
    <w:p w14:paraId="0A8E6A26">
      <w:pPr>
        <w:pStyle w:val="21"/>
        <w:jc w:val="both"/>
        <w:rPr>
          <w:rFonts w:hint="eastAsia"/>
          <w:vertAlign w:val="baseline"/>
          <w:lang w:val="en-US" w:eastAsia="zh-CN"/>
        </w:rPr>
      </w:pPr>
      <w:r>
        <w:rPr>
          <w:rFonts w:hint="eastAsia"/>
          <w:vertAlign w:val="baseline"/>
          <w:lang w:val="en-US" w:eastAsia="zh-CN"/>
        </w:rPr>
        <w:t>二号车间</w:t>
      </w:r>
      <w:r>
        <w:rPr>
          <w:rFonts w:hint="eastAsia" w:ascii="Times New Roman" w:hAnsi="Times New Roman" w:cs="Times New Roman"/>
          <w:sz w:val="24"/>
          <w:szCs w:val="24"/>
          <w:lang w:val="en-US" w:eastAsia="zh-CN"/>
        </w:rPr>
        <w:t>上</w:t>
      </w:r>
      <w:r>
        <w:rPr>
          <w:rFonts w:hint="default" w:ascii="Times New Roman" w:hAnsi="Times New Roman" w:cs="Times New Roman"/>
          <w:sz w:val="24"/>
          <w:szCs w:val="24"/>
          <w:lang w:val="en-US" w:eastAsia="zh-CN"/>
        </w:rPr>
        <w:t>胶废气、喷漆废气</w:t>
      </w:r>
      <w:r>
        <w:rPr>
          <w:rFonts w:hint="eastAsia"/>
          <w:vertAlign w:val="baseline"/>
          <w:lang w:val="en-US" w:eastAsia="zh-CN"/>
        </w:rPr>
        <w:t>排气筒中二甲苯、非甲烷总烃排放浓度、</w:t>
      </w:r>
      <w:r>
        <w:rPr>
          <w:rFonts w:hint="default" w:ascii="Times New Roman" w:hAnsi="Times New Roman" w:cs="Times New Roman"/>
          <w:sz w:val="24"/>
          <w:szCs w:val="24"/>
        </w:rPr>
        <w:t>一号车间电泳/热风炉废气</w:t>
      </w:r>
      <w:r>
        <w:rPr>
          <w:rFonts w:hint="eastAsia"/>
          <w:vertAlign w:val="baseline"/>
          <w:lang w:val="en-US" w:eastAsia="zh-CN"/>
        </w:rPr>
        <w:t>排气筒中</w:t>
      </w:r>
      <w:r>
        <w:rPr>
          <w:rFonts w:hint="eastAsia" w:cs="Times New Roman"/>
          <w:sz w:val="24"/>
          <w:szCs w:val="24"/>
          <w:lang w:eastAsia="zh-CN"/>
        </w:rPr>
        <w:t>非甲烷总烃</w:t>
      </w:r>
      <w:r>
        <w:rPr>
          <w:rFonts w:hint="eastAsia" w:cs="Times New Roman"/>
          <w:sz w:val="24"/>
          <w:szCs w:val="24"/>
          <w:vertAlign w:val="baseline"/>
          <w:lang w:val="en-US" w:eastAsia="zh-CN"/>
        </w:rPr>
        <w:t>、颗粒物、臭气浓度有组织排放浓度均达到浙江省地方标准《工业涂装工序大气污染物排放标准》（DB33/2146-2018）中表1大气污染物排放限值，</w:t>
      </w:r>
      <w:r>
        <w:rPr>
          <w:rFonts w:hint="default" w:ascii="Times New Roman" w:hAnsi="Times New Roman" w:cs="Times New Roman"/>
          <w:sz w:val="24"/>
          <w:szCs w:val="24"/>
        </w:rPr>
        <w:t>一号车间电泳/热风炉废气</w:t>
      </w:r>
      <w:r>
        <w:rPr>
          <w:rFonts w:hint="eastAsia"/>
          <w:vertAlign w:val="baseline"/>
          <w:lang w:val="en-US" w:eastAsia="zh-CN"/>
        </w:rPr>
        <w:t>排气筒中</w:t>
      </w:r>
      <w:r>
        <w:rPr>
          <w:rFonts w:hint="eastAsia" w:cs="Times New Roman"/>
          <w:sz w:val="24"/>
          <w:szCs w:val="24"/>
          <w:vertAlign w:val="baseline"/>
          <w:lang w:val="en-US" w:eastAsia="zh-CN"/>
        </w:rPr>
        <w:t>二氧化硫、氮氧化物有组织排放浓度均达到《工业炉窑大气污染物排放标准》（GB9078-1996）表2中其他炉窑二级标准。</w:t>
      </w:r>
    </w:p>
    <w:p w14:paraId="49B6D3C9">
      <w:pPr>
        <w:pStyle w:val="22"/>
        <w:bidi w:val="0"/>
        <w:jc w:val="both"/>
        <w:rPr>
          <w:rFonts w:hint="eastAsia"/>
          <w:sz w:val="24"/>
          <w:szCs w:val="24"/>
          <w:vertAlign w:val="baseline"/>
          <w:lang w:val="en-US" w:eastAsia="zh-CN"/>
        </w:rPr>
      </w:pPr>
      <w:r>
        <w:rPr>
          <w:rFonts w:hint="eastAsia"/>
          <w:vertAlign w:val="baseline"/>
          <w:lang w:val="en-US" w:eastAsia="zh-CN"/>
        </w:rPr>
        <w:t>二号车间</w:t>
      </w:r>
      <w:r>
        <w:rPr>
          <w:rFonts w:hint="eastAsia" w:ascii="Times New Roman" w:hAnsi="Times New Roman" w:cs="Times New Roman"/>
          <w:sz w:val="24"/>
          <w:szCs w:val="24"/>
          <w:lang w:val="en-US" w:eastAsia="zh-CN"/>
        </w:rPr>
        <w:t>炼胶废气、硫化成型及冷却废气</w:t>
      </w:r>
      <w:r>
        <w:rPr>
          <w:rFonts w:hint="eastAsia"/>
          <w:vertAlign w:val="baseline"/>
          <w:lang w:val="en-US" w:eastAsia="zh-CN"/>
        </w:rPr>
        <w:t>排气筒中二硫化碳排放浓度、臭气浓度均</w:t>
      </w:r>
      <w:r>
        <w:rPr>
          <w:rFonts w:hint="eastAsia"/>
          <w:sz w:val="24"/>
          <w:szCs w:val="24"/>
          <w:vertAlign w:val="baseline"/>
          <w:lang w:val="en-US" w:eastAsia="zh-CN"/>
        </w:rPr>
        <w:t>达到《恶臭污染物排放标准》（GB14554-93）中表2恶臭污染物排放标准值，</w:t>
      </w:r>
      <w:r>
        <w:rPr>
          <w:rFonts w:hint="eastAsia"/>
          <w:sz w:val="24"/>
          <w:szCs w:val="24"/>
          <w:lang w:val="en-US" w:eastAsia="zh-CN"/>
        </w:rPr>
        <w:t>非甲烷总烃基准排气量折算排放浓度</w:t>
      </w:r>
      <w:r>
        <w:rPr>
          <w:rFonts w:hint="eastAsia"/>
          <w:vertAlign w:val="baseline"/>
          <w:lang w:val="en-US" w:eastAsia="zh-CN"/>
        </w:rPr>
        <w:t>满足</w:t>
      </w:r>
      <w:r>
        <w:rPr>
          <w:rFonts w:hint="eastAsia"/>
          <w:sz w:val="24"/>
          <w:szCs w:val="24"/>
          <w:lang w:val="en-US" w:eastAsia="zh-CN"/>
        </w:rPr>
        <w:t>《橡胶制品工业污染物排放标准》（GB27632-2011）表5新建企业大气污染物排放限值。</w:t>
      </w:r>
    </w:p>
    <w:p w14:paraId="67F8761F">
      <w:pPr>
        <w:pStyle w:val="21"/>
        <w:jc w:val="both"/>
        <w:rPr>
          <w:rFonts w:hint="eastAsia"/>
          <w:vertAlign w:val="baseline"/>
          <w:lang w:val="en-US" w:eastAsia="zh-CN"/>
        </w:rPr>
      </w:pPr>
      <w:r>
        <w:rPr>
          <w:rFonts w:hint="eastAsia"/>
          <w:sz w:val="24"/>
          <w:szCs w:val="24"/>
          <w:lang w:val="en-US" w:eastAsia="zh-CN"/>
        </w:rPr>
        <w:t>四号车间热处理天然气燃烧废气排气筒中</w:t>
      </w:r>
      <w:r>
        <w:rPr>
          <w:rFonts w:hint="eastAsia"/>
          <w:vertAlign w:val="baseline"/>
          <w:lang w:val="en-US" w:eastAsia="zh-CN"/>
        </w:rPr>
        <w:t>颗粒</w:t>
      </w:r>
      <w:r>
        <w:rPr>
          <w:rFonts w:hint="eastAsia"/>
          <w:sz w:val="24"/>
          <w:szCs w:val="24"/>
          <w:vertAlign w:val="baseline"/>
          <w:lang w:val="en-US" w:eastAsia="zh-CN"/>
        </w:rPr>
        <w:t>物、二氧化硫、</w:t>
      </w:r>
      <w:r>
        <w:rPr>
          <w:rFonts w:hint="eastAsia"/>
          <w:sz w:val="24"/>
          <w:szCs w:val="24"/>
          <w:lang w:val="en-US" w:eastAsia="zh-CN"/>
        </w:rPr>
        <w:t>氮氧化物排放浓度、四号与</w:t>
      </w:r>
      <w:r>
        <w:rPr>
          <w:rFonts w:hint="eastAsia"/>
          <w:sz w:val="24"/>
          <w:szCs w:val="24"/>
          <w:vertAlign w:val="baseline"/>
          <w:lang w:val="en-US" w:eastAsia="zh-CN"/>
        </w:rPr>
        <w:t>五号车间铝锭熔融废气</w:t>
      </w:r>
      <w:r>
        <w:rPr>
          <w:rFonts w:hint="eastAsia"/>
          <w:vertAlign w:val="baseline"/>
          <w:lang w:val="en-US" w:eastAsia="zh-CN"/>
        </w:rPr>
        <w:t>排气筒</w:t>
      </w:r>
      <w:r>
        <w:rPr>
          <w:rFonts w:hint="eastAsia"/>
          <w:sz w:val="24"/>
          <w:szCs w:val="24"/>
          <w:vertAlign w:val="baseline"/>
          <w:lang w:val="en-US" w:eastAsia="zh-CN"/>
        </w:rPr>
        <w:t>中颗粒物、</w:t>
      </w:r>
      <w:r>
        <w:rPr>
          <w:rFonts w:hint="eastAsia"/>
          <w:sz w:val="24"/>
          <w:szCs w:val="24"/>
          <w:lang w:val="en-US" w:eastAsia="zh-CN"/>
        </w:rPr>
        <w:t>二氧化硫、氮氧化物排放浓度、五号车间抛丸粉尘排气筒中颗粒物排放浓度均</w:t>
      </w:r>
      <w:r>
        <w:rPr>
          <w:rFonts w:hint="eastAsia"/>
          <w:vertAlign w:val="baseline"/>
          <w:lang w:val="en-US" w:eastAsia="zh-CN"/>
        </w:rPr>
        <w:t>达到《铸造工业大气污染物排放标准》（GB39726-2020）表1大气污染物排放限值。</w:t>
      </w:r>
    </w:p>
    <w:p w14:paraId="0D6BDC56">
      <w:pPr>
        <w:pStyle w:val="21"/>
        <w:jc w:val="both"/>
        <w:rPr>
          <w:rFonts w:hint="eastAsia"/>
          <w:vertAlign w:val="baseline"/>
          <w:lang w:val="en-US" w:eastAsia="zh-CN"/>
        </w:rPr>
      </w:pPr>
      <w:r>
        <w:rPr>
          <w:rFonts w:hint="eastAsia"/>
          <w:sz w:val="24"/>
          <w:szCs w:val="24"/>
          <w:lang w:val="en-US" w:eastAsia="zh-CN"/>
        </w:rPr>
        <w:t>食堂油烟废气中油烟</w:t>
      </w:r>
      <w:r>
        <w:rPr>
          <w:rFonts w:hint="eastAsia"/>
          <w:vertAlign w:val="baseline"/>
          <w:lang w:val="en-US" w:eastAsia="zh-CN"/>
        </w:rPr>
        <w:t>达到《饮食业油烟排放标准（试行）》（GB18483-2001）表2饮食业单位的油烟最高允许排放浓度。</w:t>
      </w:r>
    </w:p>
    <w:p w14:paraId="175B5E31">
      <w:pPr>
        <w:pStyle w:val="21"/>
        <w:jc w:val="both"/>
        <w:rPr>
          <w:rFonts w:hint="eastAsia"/>
          <w:sz w:val="24"/>
          <w:szCs w:val="24"/>
          <w:lang w:val="en-US" w:eastAsia="zh-CN"/>
        </w:rPr>
      </w:pPr>
      <w:r>
        <w:rPr>
          <w:rFonts w:hint="eastAsia"/>
          <w:lang w:val="en-US" w:eastAsia="zh-CN"/>
        </w:rPr>
        <w:t>厂界颗粒物、非甲烷总烃浓度均达到《大气污染物综合排放标准》（GB16297-1996）表2新污染源大气污染物排放限值中的二级标准，二甲苯浓度达到《工业涂装工序大气污染物排放标准》（DB33/2146-2018）中表6企业边界大气污染物浓度限值，二硫化碳浓度、臭气浓度均达到《恶臭污染物排放标准》（GB14554-93）中表1恶臭污染物厂界标准值二级新扩改建标准；</w:t>
      </w:r>
      <w:r>
        <w:rPr>
          <w:rFonts w:hint="eastAsia"/>
          <w:sz w:val="24"/>
          <w:szCs w:val="24"/>
          <w:vertAlign w:val="baseline"/>
          <w:lang w:val="en-US" w:eastAsia="zh-CN"/>
        </w:rPr>
        <w:t>厂区内</w:t>
      </w:r>
      <w:r>
        <w:rPr>
          <w:rFonts w:hint="eastAsia"/>
          <w:sz w:val="24"/>
          <w:szCs w:val="24"/>
          <w:lang w:val="en-US" w:eastAsia="zh-CN"/>
        </w:rPr>
        <w:t>非甲烷总烃浓度达到</w:t>
      </w:r>
      <w:r>
        <w:rPr>
          <w:rFonts w:hint="eastAsia"/>
        </w:rPr>
        <w:t>《挥发性有机物无组织排放控制标准》（GB37822-2019）中表A.1中的特别排放限值</w:t>
      </w:r>
      <w:r>
        <w:rPr>
          <w:rFonts w:hint="eastAsia"/>
          <w:sz w:val="24"/>
          <w:szCs w:val="24"/>
          <w:lang w:val="en-US" w:eastAsia="zh-CN"/>
        </w:rPr>
        <w:t>。</w:t>
      </w:r>
    </w:p>
    <w:p w14:paraId="0E7E85B7">
      <w:pPr>
        <w:pStyle w:val="21"/>
        <w:jc w:val="both"/>
        <w:rPr>
          <w:rFonts w:hint="eastAsia"/>
        </w:rPr>
      </w:pPr>
      <w:r>
        <w:rPr>
          <w:rFonts w:hint="eastAsia"/>
        </w:rPr>
        <w:t>2、废水</w:t>
      </w:r>
    </w:p>
    <w:p w14:paraId="7AEC1934">
      <w:pPr>
        <w:pStyle w:val="21"/>
        <w:jc w:val="both"/>
        <w:rPr>
          <w:rFonts w:hint="eastAsia"/>
        </w:rPr>
      </w:pPr>
      <w:r>
        <w:rPr>
          <w:rFonts w:hint="eastAsia"/>
        </w:rPr>
        <w:t>在验收监测期间（2023年</w:t>
      </w:r>
      <w:r>
        <w:rPr>
          <w:rFonts w:hint="eastAsia"/>
          <w:lang w:val="en-US" w:eastAsia="zh-CN"/>
        </w:rPr>
        <w:t>7</w:t>
      </w:r>
      <w:r>
        <w:rPr>
          <w:rFonts w:hint="eastAsia"/>
        </w:rPr>
        <w:t>月</w:t>
      </w:r>
      <w:r>
        <w:rPr>
          <w:rFonts w:hint="eastAsia"/>
          <w:lang w:val="en-US" w:eastAsia="zh-CN"/>
        </w:rPr>
        <w:t>12</w:t>
      </w:r>
      <w:r>
        <w:rPr>
          <w:rFonts w:hint="eastAsia"/>
        </w:rPr>
        <w:t>日~</w:t>
      </w:r>
      <w:r>
        <w:rPr>
          <w:rFonts w:hint="eastAsia"/>
          <w:lang w:val="en-US" w:eastAsia="zh-CN"/>
        </w:rPr>
        <w:t>7</w:t>
      </w:r>
      <w:r>
        <w:rPr>
          <w:rFonts w:hint="eastAsia"/>
        </w:rPr>
        <w:t>月</w:t>
      </w:r>
      <w:r>
        <w:rPr>
          <w:rFonts w:hint="eastAsia"/>
          <w:lang w:val="en-US" w:eastAsia="zh-CN"/>
        </w:rPr>
        <w:t>13</w:t>
      </w:r>
      <w:r>
        <w:rPr>
          <w:rFonts w:hint="eastAsia"/>
        </w:rPr>
        <w:t>日），</w:t>
      </w:r>
      <w:r>
        <w:rPr>
          <w:rFonts w:hint="eastAsia"/>
          <w:lang w:val="en-US" w:eastAsia="zh-CN"/>
        </w:rPr>
        <w:t>生产废水排放口中</w:t>
      </w:r>
      <w:r>
        <w:rPr>
          <w:rFonts w:hint="eastAsia"/>
        </w:rPr>
        <w:t>pH</w:t>
      </w:r>
      <w:r>
        <w:rPr>
          <w:rFonts w:hint="eastAsia"/>
          <w:lang w:val="en-US" w:eastAsia="zh-CN"/>
        </w:rPr>
        <w:t>值</w:t>
      </w:r>
      <w:r>
        <w:rPr>
          <w:rFonts w:hint="eastAsia"/>
        </w:rPr>
        <w:t>范围、</w:t>
      </w:r>
      <w:r>
        <w:rPr>
          <w:rFonts w:hint="eastAsia"/>
          <w:lang w:val="en-US" w:eastAsia="zh-CN"/>
        </w:rPr>
        <w:t>化学需氧量、五日生化需氧量、总锌、悬浮物、石油类最大日均排放浓度均达到《污水综合排放标准》（GB8978-1996）表4三级标准，氨氮、总磷最大日均排放浓度均达到浙江省地方标准《工业企业废水氮、磷污染物间接排放限值》（DB33/887-2013）中有关标准。</w:t>
      </w:r>
    </w:p>
    <w:p w14:paraId="5B00882F">
      <w:pPr>
        <w:pStyle w:val="21"/>
        <w:jc w:val="both"/>
      </w:pPr>
      <w:r>
        <w:rPr>
          <w:rFonts w:hint="eastAsia"/>
        </w:rPr>
        <w:t>生活污水排放口</w:t>
      </w:r>
      <w:r>
        <w:rPr>
          <w:rFonts w:hint="eastAsia"/>
          <w:lang w:val="en-US" w:eastAsia="zh-CN"/>
        </w:rPr>
        <w:t>中的</w:t>
      </w:r>
      <w:r>
        <w:rPr>
          <w:rFonts w:hint="eastAsia"/>
        </w:rPr>
        <w:t>pH</w:t>
      </w:r>
      <w:r>
        <w:rPr>
          <w:rFonts w:hint="eastAsia"/>
          <w:lang w:val="en-US" w:eastAsia="zh-CN"/>
        </w:rPr>
        <w:t>值</w:t>
      </w:r>
      <w:r>
        <w:rPr>
          <w:rFonts w:hint="eastAsia"/>
        </w:rPr>
        <w:t>范围、化学需氧量</w:t>
      </w:r>
      <w:r>
        <w:rPr>
          <w:rFonts w:hint="eastAsia"/>
          <w:lang w:eastAsia="zh-CN"/>
        </w:rPr>
        <w:t>、</w:t>
      </w:r>
      <w:r>
        <w:rPr>
          <w:rFonts w:hint="eastAsia"/>
          <w:lang w:val="en-US" w:eastAsia="zh-CN"/>
        </w:rPr>
        <w:t>五日生化需氧量、阴离子表面活性剂、悬浮物、动植物油类最大日均排放浓度均达到《污水综合排放标准》（GB8978-1996）表4三级标准，氨氮、总磷最大日均排放浓度均达到浙江省地方标准《工业企业废水氮、磷污染物间接排放限值》（DB33/887-2013）中有关标准。</w:t>
      </w:r>
    </w:p>
    <w:p w14:paraId="7402F7FC">
      <w:pPr>
        <w:pStyle w:val="21"/>
        <w:jc w:val="both"/>
        <w:rPr>
          <w:rFonts w:hint="eastAsia"/>
        </w:rPr>
      </w:pPr>
      <w:r>
        <w:rPr>
          <w:rFonts w:hint="eastAsia"/>
        </w:rPr>
        <w:t>3、厂界噪声</w:t>
      </w:r>
    </w:p>
    <w:p w14:paraId="5E53B77C">
      <w:pPr>
        <w:pStyle w:val="21"/>
        <w:rPr>
          <w:rFonts w:hint="eastAsia"/>
        </w:rPr>
      </w:pPr>
      <w:r>
        <w:rPr>
          <w:rFonts w:hint="eastAsia"/>
        </w:rPr>
        <w:t>在验收监测期间（2023年</w:t>
      </w:r>
      <w:r>
        <w:rPr>
          <w:rFonts w:hint="eastAsia"/>
          <w:lang w:val="en-US" w:eastAsia="zh-CN"/>
        </w:rPr>
        <w:t>7</w:t>
      </w:r>
      <w:r>
        <w:rPr>
          <w:rFonts w:hint="eastAsia"/>
        </w:rPr>
        <w:t>月</w:t>
      </w:r>
      <w:r>
        <w:rPr>
          <w:rFonts w:hint="eastAsia"/>
          <w:lang w:val="en-US" w:eastAsia="zh-CN"/>
        </w:rPr>
        <w:t>12</w:t>
      </w:r>
      <w:r>
        <w:rPr>
          <w:rFonts w:hint="eastAsia"/>
        </w:rPr>
        <w:t>日~</w:t>
      </w:r>
      <w:r>
        <w:rPr>
          <w:rFonts w:hint="eastAsia"/>
          <w:lang w:val="en-US" w:eastAsia="zh-CN"/>
        </w:rPr>
        <w:t>7</w:t>
      </w:r>
      <w:r>
        <w:rPr>
          <w:rFonts w:hint="eastAsia"/>
        </w:rPr>
        <w:t>月</w:t>
      </w:r>
      <w:r>
        <w:rPr>
          <w:rFonts w:hint="eastAsia"/>
          <w:lang w:val="en-US" w:eastAsia="zh-CN"/>
        </w:rPr>
        <w:t>15</w:t>
      </w:r>
      <w:r>
        <w:rPr>
          <w:rFonts w:hint="eastAsia"/>
        </w:rPr>
        <w:t>日），厂界</w:t>
      </w:r>
      <w:r>
        <w:rPr>
          <w:rFonts w:hint="eastAsia"/>
          <w:lang w:val="en-US" w:eastAsia="zh-CN"/>
        </w:rPr>
        <w:t>四周</w:t>
      </w:r>
      <w:r>
        <w:rPr>
          <w:rFonts w:hint="eastAsia"/>
        </w:rPr>
        <w:t>噪声达到《工业企业厂界环境噪声排放标准》（GB12348-2008）中的3类标准。</w:t>
      </w:r>
    </w:p>
    <w:p w14:paraId="720B4E09">
      <w:pPr>
        <w:pStyle w:val="21"/>
        <w:jc w:val="both"/>
        <w:rPr>
          <w:rFonts w:hint="eastAsia"/>
        </w:rPr>
      </w:pPr>
      <w:r>
        <w:rPr>
          <w:rFonts w:hint="eastAsia"/>
        </w:rPr>
        <w:t>4、污染物排放总量</w:t>
      </w:r>
    </w:p>
    <w:p w14:paraId="1DA59984">
      <w:pPr>
        <w:pStyle w:val="21"/>
        <w:rPr>
          <w:rFonts w:hint="eastAsia"/>
        </w:rPr>
      </w:pPr>
      <w:r>
        <w:rPr>
          <w:rFonts w:hint="eastAsia"/>
        </w:rPr>
        <w:t>经核算，</w:t>
      </w:r>
      <w:r>
        <w:rPr>
          <w:rFonts w:hint="eastAsia"/>
          <w:lang w:val="en-US" w:eastAsia="zh-CN"/>
        </w:rPr>
        <w:t>全厂废水COD、氨氮和废气</w:t>
      </w:r>
      <w:r>
        <w:rPr>
          <w:rFonts w:hint="eastAsia"/>
        </w:rPr>
        <w:t>VOC</w:t>
      </w:r>
      <w:r>
        <w:rPr>
          <w:rFonts w:hint="eastAsia"/>
          <w:lang w:val="en-US" w:eastAsia="zh-CN"/>
        </w:rPr>
        <w:t>s、SO</w:t>
      </w:r>
      <w:r>
        <w:rPr>
          <w:rFonts w:hint="eastAsia"/>
          <w:vertAlign w:val="subscript"/>
          <w:lang w:val="en-US" w:eastAsia="zh-CN"/>
        </w:rPr>
        <w:t>2</w:t>
      </w:r>
      <w:r>
        <w:rPr>
          <w:rFonts w:hint="eastAsia"/>
          <w:lang w:val="en-US" w:eastAsia="zh-CN"/>
        </w:rPr>
        <w:t>、</w:t>
      </w:r>
      <w:r>
        <w:rPr>
          <w:rFonts w:hint="eastAsia"/>
          <w:vertAlign w:val="baseline"/>
          <w:lang w:val="en-US" w:eastAsia="zh-CN"/>
        </w:rPr>
        <w:t>NO</w:t>
      </w:r>
      <w:r>
        <w:rPr>
          <w:rFonts w:hint="eastAsia"/>
          <w:vertAlign w:val="subscript"/>
          <w:lang w:val="en-US" w:eastAsia="zh-CN"/>
        </w:rPr>
        <w:t>X</w:t>
      </w:r>
      <w:r>
        <w:rPr>
          <w:rFonts w:hint="eastAsia"/>
        </w:rPr>
        <w:t>实际</w:t>
      </w:r>
      <w:r>
        <w:rPr>
          <w:rFonts w:hint="eastAsia"/>
          <w:lang w:val="en-US" w:eastAsia="zh-CN"/>
        </w:rPr>
        <w:t>有组织</w:t>
      </w:r>
      <w:r>
        <w:rPr>
          <w:rFonts w:hint="eastAsia"/>
        </w:rPr>
        <w:t>排放</w:t>
      </w:r>
      <w:r>
        <w:rPr>
          <w:rFonts w:hint="eastAsia"/>
          <w:lang w:val="en-US" w:eastAsia="zh-CN"/>
        </w:rPr>
        <w:t>总</w:t>
      </w:r>
      <w:r>
        <w:rPr>
          <w:rFonts w:hint="eastAsia"/>
        </w:rPr>
        <w:t>量</w:t>
      </w:r>
      <w:r>
        <w:rPr>
          <w:rFonts w:hint="eastAsia"/>
          <w:lang w:val="en-US" w:eastAsia="zh-CN"/>
        </w:rPr>
        <w:t>未超出环评中有组织总量控制指标</w:t>
      </w:r>
      <w:r>
        <w:rPr>
          <w:rFonts w:hint="eastAsia"/>
        </w:rPr>
        <w:t>，符合总量控制要求。</w:t>
      </w:r>
    </w:p>
    <w:p w14:paraId="0AEDAE11">
      <w:pPr>
        <w:pStyle w:val="21"/>
        <w:numPr>
          <w:ilvl w:val="0"/>
          <w:numId w:val="1"/>
        </w:numPr>
        <w:jc w:val="both"/>
        <w:rPr>
          <w:rFonts w:hint="eastAsia"/>
          <w:lang w:val="en-US" w:eastAsia="zh-CN"/>
        </w:rPr>
      </w:pPr>
      <w:r>
        <w:rPr>
          <w:rFonts w:hint="eastAsia"/>
          <w:lang w:val="en-US" w:eastAsia="zh-CN"/>
        </w:rPr>
        <w:t>工程建设对周边环境的影响</w:t>
      </w:r>
    </w:p>
    <w:p w14:paraId="2A099D2D">
      <w:pPr>
        <w:pStyle w:val="21"/>
        <w:rPr>
          <w:rFonts w:hint="default" w:ascii="Times New Roman" w:hAnsi="Times New Roman" w:eastAsia="宋体" w:cs="Times New Roman"/>
          <w:lang w:val="en-US" w:eastAsia="zh-CN"/>
        </w:rPr>
      </w:pPr>
      <w:r>
        <w:rPr>
          <w:rFonts w:hint="default" w:ascii="Times New Roman" w:hAnsi="Times New Roman" w:eastAsia="宋体" w:cs="Times New Roman"/>
          <w:bCs/>
          <w:color w:val="auto"/>
          <w:lang w:val="en-US" w:eastAsia="zh-CN"/>
        </w:rPr>
        <w:t>项目主体工程和配套环保工程建设基本完备，已基本落实环保“三同时”和环评</w:t>
      </w:r>
      <w:r>
        <w:rPr>
          <w:rFonts w:hint="default" w:ascii="Times New Roman" w:hAnsi="Times New Roman" w:eastAsia="宋体" w:cs="Times New Roman"/>
          <w:lang w:val="en-US" w:eastAsia="zh-CN"/>
        </w:rPr>
        <w:t>报告中各项环保要求，污染物实现达标排放，工程建设对环境的影响在可接受的范围内。</w:t>
      </w:r>
    </w:p>
    <w:p w14:paraId="38E158BC">
      <w:pPr>
        <w:pStyle w:val="21"/>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六、验收结论</w:t>
      </w:r>
    </w:p>
    <w:p w14:paraId="02C95037">
      <w:pPr>
        <w:pStyle w:val="21"/>
        <w:rPr>
          <w:rFonts w:hint="eastAsia" w:ascii="Times New Roman" w:hAnsi="Times New Roman" w:eastAsia="宋体" w:cs="Times New Roman"/>
        </w:rPr>
      </w:pPr>
      <w:r>
        <w:rPr>
          <w:rFonts w:hint="eastAsia" w:ascii="Times New Roman" w:hAnsi="Times New Roman" w:eastAsia="宋体" w:cs="Times New Roman"/>
          <w:lang w:val="en-US" w:eastAsia="zh-CN"/>
        </w:rPr>
        <w:t>经现场查验，“年产150万套汽车智能刹车系统和年产160万套汽车NVH内饰项目”环评手续齐全，第二阶段主体工程及配套环保措施完备，</w:t>
      </w:r>
      <w:r>
        <w:rPr>
          <w:rFonts w:hint="default" w:ascii="Times New Roman" w:hAnsi="Times New Roman" w:eastAsia="宋体" w:cs="Times New Roman"/>
          <w:lang w:val="en-US" w:eastAsia="zh-CN"/>
        </w:rPr>
        <w:t>已基本落实环保“三同时”和环评报告中各项环保措施要求</w:t>
      </w:r>
      <w:r>
        <w:rPr>
          <w:rFonts w:hint="default" w:ascii="Times New Roman" w:hAnsi="Times New Roman" w:eastAsia="宋体" w:cs="Times New Roman"/>
        </w:rPr>
        <w:t>，污染物</w:t>
      </w:r>
      <w:r>
        <w:rPr>
          <w:rFonts w:hint="default" w:ascii="Times New Roman" w:hAnsi="Times New Roman" w:eastAsia="宋体" w:cs="Times New Roman"/>
          <w:lang w:val="en-US" w:eastAsia="zh-CN"/>
        </w:rPr>
        <w:t>实现</w:t>
      </w:r>
      <w:r>
        <w:rPr>
          <w:rFonts w:hint="default" w:ascii="Times New Roman" w:hAnsi="Times New Roman" w:eastAsia="宋体" w:cs="Times New Roman"/>
        </w:rPr>
        <w:t>达标排放，项目具备了竣工环保验收条件。</w:t>
      </w:r>
      <w:r>
        <w:rPr>
          <w:rFonts w:hint="eastAsia" w:ascii="Times New Roman" w:hAnsi="Times New Roman" w:eastAsia="宋体" w:cs="Times New Roman"/>
        </w:rPr>
        <w:t>通过逐一检查，未发现存在《建设项目竣工环境保护验收暂行办法》（环境保护部 国环规环评[2017]4号）第八条规定的“不得提出验收合格意见”的情形，该项目符合环保设施竣工验收条件，同意该项目</w:t>
      </w:r>
      <w:r>
        <w:rPr>
          <w:rFonts w:hint="eastAsia" w:ascii="Times New Roman" w:hAnsi="Times New Roman" w:eastAsia="宋体" w:cs="Times New Roman"/>
          <w:lang w:val="en-US" w:eastAsia="zh-CN"/>
        </w:rPr>
        <w:t>（第二阶段）</w:t>
      </w:r>
      <w:r>
        <w:rPr>
          <w:rFonts w:hint="eastAsia" w:ascii="Times New Roman" w:hAnsi="Times New Roman" w:eastAsia="宋体" w:cs="Times New Roman"/>
        </w:rPr>
        <w:t>通过竣工环境保护验收。</w:t>
      </w:r>
    </w:p>
    <w:p w14:paraId="49C891F5">
      <w:pPr>
        <w:pStyle w:val="21"/>
        <w:jc w:val="both"/>
        <w:rPr>
          <w:rFonts w:hint="eastAsia"/>
        </w:rPr>
      </w:pPr>
      <w:r>
        <w:rPr>
          <w:rFonts w:hint="eastAsia"/>
          <w:lang w:val="en-US" w:eastAsia="zh-CN"/>
        </w:rPr>
        <w:t>七</w:t>
      </w:r>
      <w:r>
        <w:rPr>
          <w:rFonts w:hint="eastAsia"/>
        </w:rPr>
        <w:t>、后续要求</w:t>
      </w:r>
    </w:p>
    <w:p w14:paraId="4143C0E1">
      <w:pPr>
        <w:pStyle w:val="21"/>
        <w:jc w:val="both"/>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US" w:eastAsia="zh-CN"/>
        </w:rPr>
        <w:t>自觉</w:t>
      </w:r>
      <w:r>
        <w:rPr>
          <w:rFonts w:hint="default" w:ascii="Times New Roman" w:hAnsi="Times New Roman" w:eastAsia="宋体" w:cs="Times New Roman"/>
        </w:rPr>
        <w:t>遵守环保法律法规，完善内部环保管理制度和监测制度，强化从事环保工作人员业务培训，重点加强对废气和废水等污染治理设施的运维管理，确保环保设施正常运行和各项污染物长期稳定达标排放。</w:t>
      </w:r>
    </w:p>
    <w:p w14:paraId="601A098F">
      <w:pPr>
        <w:pStyle w:val="21"/>
        <w:jc w:val="both"/>
        <w:rPr>
          <w:rFonts w:hint="default" w:ascii="Times New Roman" w:hAnsi="Times New Roman" w:eastAsia="宋体" w:cs="Times New Roman"/>
        </w:rPr>
      </w:pPr>
      <w:r>
        <w:rPr>
          <w:rFonts w:hint="default" w:ascii="Times New Roman" w:hAnsi="Times New Roman" w:eastAsia="宋体" w:cs="Times New Roman"/>
          <w:lang w:val="en-US" w:eastAsia="zh-CN"/>
        </w:rPr>
        <w:t>2</w:t>
      </w:r>
      <w:r>
        <w:rPr>
          <w:rFonts w:hint="default" w:ascii="Times New Roman" w:hAnsi="Times New Roman" w:eastAsia="宋体" w:cs="Times New Roman"/>
        </w:rPr>
        <w:t>、</w:t>
      </w:r>
      <w:r>
        <w:rPr>
          <w:rFonts w:hint="eastAsia" w:ascii="Times New Roman" w:hAnsi="Times New Roman" w:eastAsia="宋体" w:cs="Times New Roman"/>
          <w:lang w:val="en-US" w:eastAsia="zh-CN"/>
        </w:rPr>
        <w:t>按照（HJ819-2017）、（HJ1207-2021）等要求</w:t>
      </w:r>
      <w:r>
        <w:rPr>
          <w:rFonts w:hint="default" w:ascii="Times New Roman" w:hAnsi="Times New Roman" w:eastAsia="宋体" w:cs="Times New Roman"/>
        </w:rPr>
        <w:t>，落实企业自行监测</w:t>
      </w:r>
      <w:r>
        <w:rPr>
          <w:rFonts w:hint="eastAsia" w:ascii="Times New Roman" w:hAnsi="Times New Roman" w:eastAsia="宋体" w:cs="Times New Roman"/>
          <w:lang w:val="en-US" w:eastAsia="zh-CN"/>
        </w:rPr>
        <w:t>计划</w:t>
      </w:r>
      <w:r>
        <w:rPr>
          <w:rFonts w:hint="default" w:ascii="Times New Roman" w:hAnsi="Times New Roman" w:eastAsia="宋体" w:cs="Times New Roman"/>
        </w:rPr>
        <w:t>及信息公开工作。完善废气和废水等污染治理设施运行、维护台帐、监测台账和危险废物产生、暂存、转移台帐。</w:t>
      </w:r>
    </w:p>
    <w:p w14:paraId="2F6D036D">
      <w:pPr>
        <w:pStyle w:val="21"/>
        <w:jc w:val="both"/>
        <w:rPr>
          <w:rFonts w:hint="default" w:ascii="Times New Roman" w:hAnsi="Times New Roman" w:eastAsia="宋体" w:cs="Times New Roman"/>
        </w:rPr>
      </w:pPr>
      <w:r>
        <w:rPr>
          <w:rFonts w:hint="default" w:ascii="Times New Roman" w:hAnsi="Times New Roman" w:eastAsia="宋体" w:cs="Times New Roman"/>
          <w:lang w:val="en-US" w:eastAsia="zh-CN"/>
        </w:rPr>
        <w:t>3</w:t>
      </w:r>
      <w:r>
        <w:rPr>
          <w:rFonts w:hint="default" w:ascii="Times New Roman" w:hAnsi="Times New Roman" w:eastAsia="宋体" w:cs="Times New Roman"/>
        </w:rPr>
        <w:t>、按规范将竣工验收的相关内容和结论进行公示、</w:t>
      </w:r>
      <w:r>
        <w:rPr>
          <w:rFonts w:hint="default" w:ascii="Times New Roman" w:hAnsi="Times New Roman" w:eastAsia="宋体" w:cs="Times New Roman"/>
          <w:lang w:val="en-US" w:eastAsia="zh-CN"/>
        </w:rPr>
        <w:t>公开</w:t>
      </w:r>
      <w:r>
        <w:rPr>
          <w:rFonts w:hint="default" w:ascii="Times New Roman" w:hAnsi="Times New Roman" w:eastAsia="宋体" w:cs="Times New Roman"/>
        </w:rPr>
        <w:t>。</w:t>
      </w:r>
    </w:p>
    <w:p w14:paraId="3D4A5687">
      <w:pPr>
        <w:pStyle w:val="21"/>
        <w:jc w:val="both"/>
        <w:rPr>
          <w:rFonts w:hint="eastAsia"/>
        </w:rPr>
      </w:pPr>
      <w:r>
        <w:rPr>
          <w:rFonts w:hint="eastAsia"/>
          <w:lang w:val="en-US" w:eastAsia="zh-CN"/>
        </w:rPr>
        <w:t>八</w:t>
      </w:r>
      <w:r>
        <w:rPr>
          <w:rFonts w:hint="eastAsia"/>
        </w:rPr>
        <w:t>、验收人员信息</w:t>
      </w:r>
    </w:p>
    <w:p w14:paraId="75E4CA6F">
      <w:pPr>
        <w:pStyle w:val="21"/>
        <w:jc w:val="both"/>
        <w:rPr>
          <w:rFonts w:hint="eastAsia"/>
        </w:rPr>
      </w:pPr>
      <w:r>
        <w:rPr>
          <w:rFonts w:hint="eastAsia"/>
        </w:rPr>
        <w:t>验收人员信息名单附后。</w:t>
      </w:r>
    </w:p>
    <w:p w14:paraId="5044ADA3">
      <w:pPr>
        <w:pStyle w:val="21"/>
        <w:jc w:val="both"/>
        <w:rPr>
          <w:rFonts w:hint="eastAsia"/>
        </w:rPr>
      </w:pPr>
    </w:p>
    <w:p w14:paraId="6AA3D100">
      <w:pPr>
        <w:pStyle w:val="21"/>
        <w:jc w:val="both"/>
        <w:rPr>
          <w:rFonts w:hint="eastAsia"/>
        </w:rPr>
      </w:pPr>
    </w:p>
    <w:p w14:paraId="416608E0">
      <w:pPr>
        <w:pStyle w:val="22"/>
        <w:bidi w:val="0"/>
        <w:jc w:val="right"/>
        <w:rPr>
          <w:rFonts w:hint="default"/>
          <w:lang w:val="en-US" w:eastAsia="zh-CN"/>
        </w:rPr>
      </w:pPr>
      <w:r>
        <w:rPr>
          <w:rFonts w:hint="default"/>
          <w:lang w:val="en-US" w:eastAsia="zh-CN"/>
        </w:rPr>
        <w:t>宁波拓普汽车电子有限公司</w:t>
      </w:r>
    </w:p>
    <w:p w14:paraId="0D47A5BB">
      <w:pPr>
        <w:pStyle w:val="22"/>
        <w:bidi w:val="0"/>
        <w:jc w:val="right"/>
        <w:rPr>
          <w:rFonts w:hint="default"/>
          <w:lang w:val="en-US" w:eastAsia="zh-CN"/>
        </w:rPr>
      </w:pPr>
      <w:r>
        <w:rPr>
          <w:rFonts w:hint="default"/>
          <w:lang w:val="en-US" w:eastAsia="zh-CN"/>
        </w:rPr>
        <w:t>202</w:t>
      </w:r>
      <w:r>
        <w:rPr>
          <w:rFonts w:hint="eastAsia"/>
          <w:lang w:val="en-US" w:eastAsia="zh-CN"/>
        </w:rPr>
        <w:t>4</w:t>
      </w:r>
      <w:r>
        <w:rPr>
          <w:rFonts w:hint="default"/>
          <w:lang w:val="en-US" w:eastAsia="zh-CN"/>
        </w:rPr>
        <w:t>年</w:t>
      </w:r>
      <w:r>
        <w:rPr>
          <w:rFonts w:hint="eastAsia"/>
          <w:lang w:val="en-US" w:eastAsia="zh-CN"/>
        </w:rPr>
        <w:t>07</w:t>
      </w:r>
      <w:r>
        <w:rPr>
          <w:rFonts w:hint="default"/>
          <w:lang w:val="en-US" w:eastAsia="zh-CN"/>
        </w:rPr>
        <w:t>月</w:t>
      </w:r>
      <w:r>
        <w:rPr>
          <w:rFonts w:hint="eastAsia"/>
          <w:lang w:val="en-US" w:eastAsia="zh-CN"/>
        </w:rPr>
        <w:t>01</w:t>
      </w:r>
      <w:r>
        <w:rPr>
          <w:rFonts w:hint="default"/>
          <w:lang w:val="en-US" w:eastAsia="zh-CN"/>
        </w:rPr>
        <w:t>日</w:t>
      </w:r>
    </w:p>
    <w:p w14:paraId="600B1E01">
      <w:pPr>
        <w:rPr>
          <w:rFonts w:ascii="Times New Roman" w:hAnsi="Times New Roman" w:eastAsia="宋体" w:cs="Times New Roman"/>
          <w:kern w:val="2"/>
          <w:sz w:val="21"/>
          <w:szCs w:val="24"/>
          <w:lang w:val="en-US" w:eastAsia="zh-CN" w:bidi="ar-SA"/>
        </w:rPr>
      </w:pPr>
      <w:bookmarkStart w:id="0" w:name="_GoBack"/>
      <w:bookmarkEnd w:id="0"/>
    </w:p>
    <w:sectPr>
      <w:pgSz w:w="11906" w:h="16838"/>
      <w:pgMar w:top="1440" w:right="1746"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0"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22778"/>
    <w:multiLevelType w:val="singleLevel"/>
    <w:tmpl w:val="53F2277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iOWZkMjYzYzg0MTdiNjhkODcwYTk5MGFmMjU0NDYifQ=="/>
  </w:docVars>
  <w:rsids>
    <w:rsidRoot w:val="00000000"/>
    <w:rsid w:val="380B1F44"/>
    <w:rsid w:val="5D100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iPriority="99"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paragraph" w:customStyle="1" w:styleId="3">
    <w:name w:val="纯文本1"/>
    <w:basedOn w:val="1"/>
    <w:unhideWhenUsed/>
    <w:qFormat/>
    <w:uiPriority w:val="0"/>
    <w:pPr>
      <w:adjustRightInd w:val="0"/>
      <w:spacing w:beforeLines="0" w:afterLines="0"/>
      <w:jc w:val="center"/>
      <w:textAlignment w:val="baseline"/>
    </w:pPr>
    <w:rPr>
      <w:rFonts w:hint="eastAsia" w:ascii="宋体" w:hAnsi="Courier New" w:eastAsia="宋体"/>
      <w:sz w:val="24"/>
    </w:rPr>
  </w:style>
  <w:style w:type="paragraph" w:customStyle="1" w:styleId="4">
    <w:name w:val="样式35"/>
    <w:basedOn w:val="5"/>
    <w:next w:val="10"/>
    <w:unhideWhenUsed/>
    <w:qFormat/>
    <w:uiPriority w:val="0"/>
    <w:pPr>
      <w:tabs>
        <w:tab w:val="left" w:pos="0"/>
      </w:tabs>
      <w:spacing w:beforeLines="0" w:afterLines="0" w:line="312" w:lineRule="auto"/>
      <w:ind w:firstLine="567"/>
      <w:jc w:val="both"/>
    </w:pPr>
    <w:rPr>
      <w:rFonts w:hint="eastAsia" w:ascii="宋体" w:hAnsi="Times New Roman" w:eastAsia="宋体"/>
      <w:sz w:val="21"/>
    </w:rPr>
  </w:style>
  <w:style w:type="paragraph" w:customStyle="1" w:styleId="5">
    <w:name w:val="样式26"/>
    <w:basedOn w:val="6"/>
    <w:qFormat/>
    <w:uiPriority w:val="0"/>
    <w:pPr>
      <w:tabs>
        <w:tab w:val="left" w:pos="0"/>
      </w:tabs>
    </w:pPr>
  </w:style>
  <w:style w:type="paragraph" w:customStyle="1" w:styleId="6">
    <w:name w:val="样式21"/>
    <w:basedOn w:val="7"/>
    <w:unhideWhenUsed/>
    <w:qFormat/>
    <w:uiPriority w:val="0"/>
    <w:pPr>
      <w:tabs>
        <w:tab w:val="left" w:pos="0"/>
      </w:tabs>
      <w:spacing w:beforeLines="0" w:afterLines="0"/>
      <w:ind w:hanging="992"/>
    </w:pPr>
    <w:rPr>
      <w:rFonts w:hint="eastAsia"/>
      <w:sz w:val="21"/>
    </w:rPr>
  </w:style>
  <w:style w:type="paragraph" w:customStyle="1" w:styleId="7">
    <w:name w:val="样式5"/>
    <w:basedOn w:val="8"/>
    <w:qFormat/>
    <w:uiPriority w:val="0"/>
    <w:pPr>
      <w:tabs>
        <w:tab w:val="left" w:pos="0"/>
      </w:tabs>
      <w:ind w:right="-50" w:rightChars="-50"/>
      <w:jc w:val="center"/>
    </w:pPr>
    <w:rPr>
      <w:rFonts w:ascii="宋体"/>
      <w:kern w:val="0"/>
      <w:sz w:val="21"/>
    </w:rPr>
  </w:style>
  <w:style w:type="paragraph" w:customStyle="1" w:styleId="8">
    <w:name w:val="样式12"/>
    <w:basedOn w:val="9"/>
    <w:qFormat/>
    <w:uiPriority w:val="0"/>
    <w:pPr>
      <w:keepNext/>
      <w:keepLines/>
      <w:tabs>
        <w:tab w:val="left" w:pos="0"/>
      </w:tabs>
      <w:spacing w:beforeLines="50" w:afterLines="50"/>
      <w:ind w:left="567" w:hanging="567"/>
      <w:outlineLvl w:val="1"/>
    </w:pPr>
    <w:rPr>
      <w:rFonts w:eastAsia="MS Mincho"/>
      <w:sz w:val="28"/>
      <w:szCs w:val="28"/>
    </w:rPr>
  </w:style>
  <w:style w:type="paragraph" w:customStyle="1" w:styleId="9">
    <w:name w:val="样式17"/>
    <w:basedOn w:val="1"/>
    <w:qFormat/>
    <w:uiPriority w:val="0"/>
    <w:pPr>
      <w:keepNext/>
      <w:keepLines/>
      <w:tabs>
        <w:tab w:val="left" w:pos="0"/>
      </w:tabs>
      <w:spacing w:before="156" w:beforeLines="50" w:after="156" w:afterLines="50"/>
      <w:ind w:firstLine="0" w:firstLineChars="0"/>
      <w:outlineLvl w:val="0"/>
    </w:pPr>
    <w:rPr>
      <w:rFonts w:eastAsia="黑体"/>
      <w:kern w:val="44"/>
      <w:sz w:val="30"/>
      <w:szCs w:val="44"/>
    </w:rPr>
  </w:style>
  <w:style w:type="paragraph" w:customStyle="1" w:styleId="10">
    <w:name w:val="font6"/>
    <w:basedOn w:val="1"/>
    <w:next w:val="11"/>
    <w:unhideWhenUsed/>
    <w:qFormat/>
    <w:uiPriority w:val="0"/>
    <w:pPr>
      <w:widowControl/>
      <w:spacing w:before="100" w:beforeLines="0" w:beforeAutospacing="1" w:after="100" w:afterLines="0" w:afterAutospacing="1"/>
      <w:jc w:val="left"/>
    </w:pPr>
    <w:rPr>
      <w:rFonts w:hint="eastAsia" w:ascii="宋体" w:hAnsi="宋体" w:eastAsia="宋体"/>
      <w:color w:val="000000"/>
      <w:kern w:val="0"/>
      <w:sz w:val="21"/>
    </w:rPr>
  </w:style>
  <w:style w:type="paragraph" w:styleId="11">
    <w:name w:val="toc 2"/>
    <w:basedOn w:val="1"/>
    <w:next w:val="12"/>
    <w:qFormat/>
    <w:uiPriority w:val="39"/>
    <w:pPr>
      <w:tabs>
        <w:tab w:val="left" w:pos="735"/>
        <w:tab w:val="right" w:leader="dot" w:pos="8610"/>
      </w:tabs>
      <w:spacing w:before="120"/>
      <w:ind w:left="210"/>
      <w:jc w:val="left"/>
    </w:pPr>
    <w:rPr>
      <w:bCs/>
      <w:sz w:val="24"/>
      <w:szCs w:val="26"/>
    </w:rPr>
  </w:style>
  <w:style w:type="paragraph" w:styleId="12">
    <w:name w:val="E-mail Signature"/>
    <w:basedOn w:val="1"/>
    <w:next w:val="13"/>
    <w:unhideWhenUsed/>
    <w:qFormat/>
    <w:uiPriority w:val="99"/>
    <w:pPr>
      <w:spacing w:line="460" w:lineRule="exact"/>
      <w:ind w:firstLine="200"/>
    </w:pPr>
    <w:rPr>
      <w:rFonts w:ascii="Times New Roman" w:hAnsi="Times New Roman" w:cs="Times New Roman"/>
    </w:rPr>
  </w:style>
  <w:style w:type="paragraph" w:customStyle="1" w:styleId="13">
    <w:name w:val="文章"/>
    <w:basedOn w:val="14"/>
    <w:next w:val="15"/>
    <w:unhideWhenUsed/>
    <w:qFormat/>
    <w:uiPriority w:val="0"/>
    <w:pPr>
      <w:spacing w:beforeLines="0" w:afterLines="0"/>
      <w:ind w:firstLine="480"/>
      <w:jc w:val="center"/>
    </w:pPr>
    <w:rPr>
      <w:rFonts w:hint="default"/>
      <w:kern w:val="2"/>
      <w:sz w:val="26"/>
    </w:rPr>
  </w:style>
  <w:style w:type="paragraph" w:styleId="14">
    <w:name w:val="Body Text Indent"/>
    <w:basedOn w:val="1"/>
    <w:next w:val="1"/>
    <w:unhideWhenUsed/>
    <w:qFormat/>
    <w:uiPriority w:val="99"/>
    <w:pPr>
      <w:spacing w:after="120"/>
      <w:ind w:left="420" w:leftChars="200"/>
    </w:pPr>
  </w:style>
  <w:style w:type="paragraph" w:styleId="15">
    <w:name w:val="List"/>
    <w:basedOn w:val="1"/>
    <w:qFormat/>
    <w:uiPriority w:val="0"/>
    <w:pPr>
      <w:ind w:left="200" w:hanging="200" w:hangingChars="200"/>
    </w:pPr>
  </w:style>
  <w:style w:type="paragraph" w:styleId="16">
    <w:name w:val="Body Text First Indent 2"/>
    <w:basedOn w:val="14"/>
    <w:unhideWhenUsed/>
    <w:qFormat/>
    <w:uiPriority w:val="99"/>
    <w:pPr>
      <w:ind w:firstLine="420" w:firstLineChars="200"/>
    </w:pPr>
  </w:style>
  <w:style w:type="paragraph" w:customStyle="1" w:styleId="19">
    <w:name w:val="附件抬头"/>
    <w:basedOn w:val="1"/>
    <w:next w:val="1"/>
    <w:qFormat/>
    <w:uiPriority w:val="0"/>
    <w:pPr>
      <w:jc w:val="left"/>
      <w:outlineLvl w:val="0"/>
    </w:pPr>
    <w:rPr>
      <w:rFonts w:ascii="Times New Roman" w:hAnsi="Times New Roman" w:eastAsia="宋体"/>
      <w:b/>
      <w:sz w:val="28"/>
      <w:szCs w:val="21"/>
    </w:rPr>
  </w:style>
  <w:style w:type="paragraph" w:customStyle="1" w:styleId="20">
    <w:name w:val="生态环境部制"/>
    <w:basedOn w:val="1"/>
    <w:unhideWhenUsed/>
    <w:qFormat/>
    <w:uiPriority w:val="0"/>
    <w:pPr>
      <w:spacing w:beforeLines="0" w:afterLines="0"/>
      <w:jc w:val="center"/>
    </w:pPr>
    <w:rPr>
      <w:rFonts w:hint="eastAsia" w:ascii="楷体" w:hAnsi="楷体" w:eastAsia="楷体" w:cs="楷体"/>
      <w:sz w:val="36"/>
      <w:szCs w:val="36"/>
      <w:lang w:bidi="ar"/>
    </w:rPr>
  </w:style>
  <w:style w:type="paragraph" w:customStyle="1" w:styleId="21">
    <w:name w:val="报告文字"/>
    <w:basedOn w:val="1"/>
    <w:qFormat/>
    <w:uiPriority w:val="0"/>
    <w:pPr>
      <w:tabs>
        <w:tab w:val="left" w:pos="0"/>
        <w:tab w:val="left" w:pos="2955"/>
      </w:tabs>
      <w:autoSpaceDE w:val="0"/>
      <w:autoSpaceDN w:val="0"/>
      <w:spacing w:line="360" w:lineRule="auto"/>
      <w:ind w:firstLine="480"/>
      <w:jc w:val="left"/>
    </w:pPr>
    <w:rPr>
      <w:rFonts w:ascii="Times New Roman" w:hAnsi="Times New Roman" w:eastAsia="宋体"/>
      <w:sz w:val="24"/>
    </w:rPr>
  </w:style>
  <w:style w:type="paragraph" w:customStyle="1" w:styleId="22">
    <w:name w:val="正文首行缩进（正文格式）"/>
    <w:basedOn w:val="1"/>
    <w:unhideWhenUsed/>
    <w:qFormat/>
    <w:uiPriority w:val="0"/>
    <w:pPr>
      <w:spacing w:line="360" w:lineRule="auto"/>
      <w:ind w:firstLine="480" w:firstLineChars="200"/>
    </w:pPr>
    <w:rPr>
      <w:rFonts w:hint="eastAsia" w:ascii="Times New Roman" w:hAnsi="Times New Roman" w:cs="宋体"/>
      <w:sz w:val="24"/>
      <w:szCs w:val="24"/>
    </w:rPr>
  </w:style>
  <w:style w:type="paragraph" w:customStyle="1" w:styleId="23">
    <w:name w:val="正文首行缩进 2 + Times New Roman"/>
    <w:basedOn w:val="16"/>
    <w:qFormat/>
    <w:uiPriority w:val="0"/>
    <w:pPr>
      <w:tabs>
        <w:tab w:val="left" w:pos="0"/>
        <w:tab w:val="left" w:pos="870"/>
        <w:tab w:val="left" w:pos="3150"/>
      </w:tabs>
      <w:autoSpaceDE w:val="0"/>
      <w:autoSpaceDN w:val="0"/>
      <w:spacing w:line="360" w:lineRule="auto"/>
      <w:ind w:left="0" w:leftChars="0" w:firstLine="480" w:firstLineChars="200"/>
      <w:jc w:val="left"/>
    </w:pPr>
    <w:rPr>
      <w:rFonts w:ascii="Times New Roman" w:hAnsi="Times New Roman" w:eastAsia="宋体"/>
      <w:color w:val="00000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2024-01-30T01:23:00Z</dcterms:created>
  <dc:creator>Administrator</dc:creator>
  <cp:lastModifiedBy>且行且歌</cp:lastModifiedBy>
  <dcterms:modified xsi:type="dcterms:W3CDTF">2024-11-12T06:41:15Z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FB687E6C0AE04A93BBEE4B18E89A91C6_12</vt:lpwstr>
  </property>
</Properties>
</file>