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rPr>
          <w:rFonts w:hint="eastAsia" w:ascii="黑体" w:hAnsi="黑体" w:eastAsia="黑体" w:cs="黑体"/>
          <w:bCs/>
          <w:color w:val="000000"/>
          <w:sz w:val="24"/>
        </w:rPr>
      </w:pPr>
    </w:p>
    <w:p>
      <w:pPr>
        <w:spacing w:line="360" w:lineRule="auto"/>
        <w:jc w:val="center"/>
        <w:rPr>
          <w:rFonts w:ascii="仿宋_GB2312" w:eastAsia="仿宋_GB2312"/>
          <w:color w:val="000000"/>
          <w:sz w:val="28"/>
        </w:rPr>
      </w:pPr>
    </w:p>
    <w:p>
      <w:pPr>
        <w:spacing w:line="360" w:lineRule="auto"/>
        <w:jc w:val="center"/>
        <w:rPr>
          <w:rFonts w:ascii="仿宋_GB2312" w:eastAsia="仿宋_GB2312"/>
          <w:color w:val="000000"/>
          <w:sz w:val="28"/>
        </w:rPr>
      </w:pPr>
    </w:p>
    <w:p>
      <w:pPr>
        <w:spacing w:line="360" w:lineRule="auto"/>
        <w:jc w:val="center"/>
        <w:rPr>
          <w:rFonts w:ascii="仿宋_GB2312" w:eastAsia="仿宋_GB2312"/>
          <w:color w:val="000000"/>
          <w:sz w:val="28"/>
        </w:rPr>
      </w:pPr>
    </w:p>
    <w:p>
      <w:pPr>
        <w:pStyle w:val="69"/>
        <w:rPr>
          <w:rFonts w:hint="eastAsia"/>
          <w:sz w:val="44"/>
          <w:szCs w:val="44"/>
          <w:lang w:eastAsia="zh-CN"/>
        </w:rPr>
      </w:pPr>
      <w:r>
        <w:rPr>
          <w:rFonts w:hint="eastAsia"/>
          <w:sz w:val="44"/>
          <w:szCs w:val="44"/>
          <w:lang w:eastAsia="zh-CN"/>
        </w:rPr>
        <w:t>宁波市海曙住建建筑垃圾处理服务</w:t>
      </w:r>
    </w:p>
    <w:p>
      <w:pPr>
        <w:pStyle w:val="69"/>
        <w:rPr>
          <w:rFonts w:hint="default" w:eastAsia="华文新魏"/>
          <w:sz w:val="44"/>
          <w:szCs w:val="44"/>
          <w:lang w:val="en-US" w:eastAsia="zh-CN"/>
        </w:rPr>
      </w:pPr>
      <w:r>
        <w:rPr>
          <w:rFonts w:hint="eastAsia"/>
          <w:sz w:val="44"/>
          <w:szCs w:val="44"/>
          <w:lang w:eastAsia="zh-CN"/>
        </w:rPr>
        <w:t>有限公司</w:t>
      </w:r>
    </w:p>
    <w:p>
      <w:pPr>
        <w:pStyle w:val="69"/>
        <w:rPr>
          <w:rFonts w:hint="eastAsia" w:eastAsia="华文新魏"/>
          <w:sz w:val="44"/>
          <w:szCs w:val="44"/>
          <w:lang w:eastAsia="zh-CN"/>
        </w:rPr>
      </w:pPr>
      <w:r>
        <w:rPr>
          <w:rFonts w:hint="eastAsia"/>
          <w:sz w:val="44"/>
          <w:szCs w:val="44"/>
          <w:lang w:val="en-US" w:eastAsia="zh-CN"/>
        </w:rPr>
        <w:t>建筑垃圾可循环处理项目</w:t>
      </w:r>
    </w:p>
    <w:p>
      <w:pPr>
        <w:pStyle w:val="69"/>
        <w:rPr>
          <w:sz w:val="44"/>
          <w:szCs w:val="44"/>
        </w:rPr>
      </w:pPr>
      <w:r>
        <w:rPr>
          <w:rFonts w:hint="eastAsia"/>
          <w:sz w:val="44"/>
          <w:szCs w:val="44"/>
          <w:lang w:val="en-US" w:eastAsia="zh-CN"/>
        </w:rPr>
        <w:t>建设项目</w:t>
      </w:r>
      <w:r>
        <w:rPr>
          <w:rFonts w:hint="eastAsia"/>
          <w:sz w:val="44"/>
          <w:szCs w:val="44"/>
        </w:rPr>
        <w:t>验收监测报告表</w:t>
      </w:r>
    </w:p>
    <w:p>
      <w:pPr>
        <w:spacing w:line="360" w:lineRule="auto"/>
        <w:jc w:val="center"/>
        <w:rPr>
          <w:rFonts w:ascii="仿宋_GB2312" w:eastAsia="仿宋_GB2312"/>
          <w:color w:val="000000"/>
          <w:sz w:val="28"/>
        </w:rPr>
      </w:pPr>
    </w:p>
    <w:p>
      <w:pPr>
        <w:jc w:val="center"/>
        <w:rPr>
          <w:rFonts w:ascii="仿宋_GB2312" w:eastAsia="仿宋_GB2312"/>
          <w:color w:val="000000"/>
          <w:sz w:val="28"/>
        </w:rPr>
      </w:pPr>
    </w:p>
    <w:p>
      <w:pPr>
        <w:jc w:val="center"/>
        <w:rPr>
          <w:rFonts w:ascii="仿宋_GB2312" w:eastAsia="仿宋_GB2312"/>
          <w:color w:val="000000"/>
          <w:sz w:val="28"/>
        </w:rPr>
      </w:pPr>
    </w:p>
    <w:p>
      <w:pPr>
        <w:jc w:val="center"/>
        <w:rPr>
          <w:rFonts w:ascii="仿宋_GB2312" w:eastAsia="仿宋_GB2312"/>
          <w:color w:val="000000"/>
          <w:sz w:val="28"/>
        </w:rPr>
      </w:pPr>
    </w:p>
    <w:p>
      <w:pPr>
        <w:jc w:val="center"/>
        <w:rPr>
          <w:rFonts w:ascii="仿宋_GB2312" w:eastAsia="仿宋_GB2312"/>
          <w:color w:val="000000"/>
          <w:sz w:val="28"/>
        </w:rPr>
      </w:pPr>
    </w:p>
    <w:p>
      <w:pPr>
        <w:jc w:val="center"/>
        <w:rPr>
          <w:rFonts w:ascii="仿宋_GB2312" w:eastAsia="仿宋_GB2312"/>
          <w:color w:val="000000"/>
          <w:sz w:val="28"/>
        </w:rPr>
      </w:pPr>
    </w:p>
    <w:p>
      <w:pPr>
        <w:jc w:val="center"/>
        <w:rPr>
          <w:rFonts w:ascii="仿宋_GB2312" w:eastAsia="仿宋_GB2312"/>
          <w:color w:val="000000"/>
          <w:sz w:val="28"/>
        </w:rPr>
      </w:pPr>
    </w:p>
    <w:p>
      <w:pPr>
        <w:rPr>
          <w:rFonts w:ascii="仿宋_GB2312" w:eastAsia="仿宋_GB2312"/>
          <w:color w:val="000000"/>
          <w:sz w:val="28"/>
        </w:rPr>
      </w:pPr>
    </w:p>
    <w:p>
      <w:pPr>
        <w:jc w:val="center"/>
        <w:rPr>
          <w:rFonts w:ascii="仿宋_GB2312" w:eastAsia="仿宋_GB2312"/>
          <w:color w:val="000000"/>
          <w:sz w:val="28"/>
        </w:rPr>
      </w:pPr>
    </w:p>
    <w:p>
      <w:pPr>
        <w:jc w:val="center"/>
        <w:rPr>
          <w:rFonts w:ascii="仿宋_GB2312" w:eastAsia="仿宋_GB2312"/>
          <w:color w:val="000000"/>
          <w:sz w:val="28"/>
        </w:rPr>
      </w:pPr>
    </w:p>
    <w:p>
      <w:pPr>
        <w:jc w:val="center"/>
        <w:rPr>
          <w:rFonts w:ascii="仿宋_GB2312" w:eastAsia="仿宋_GB2312"/>
          <w:color w:val="000000"/>
          <w:sz w:val="28"/>
        </w:rPr>
      </w:pPr>
    </w:p>
    <w:p>
      <w:pPr>
        <w:rPr>
          <w:rFonts w:ascii="仿宋_GB2312" w:eastAsia="仿宋_GB2312"/>
          <w:color w:val="000000"/>
          <w:sz w:val="28"/>
        </w:rPr>
      </w:pPr>
    </w:p>
    <w:p>
      <w:pPr>
        <w:ind w:firstLine="560" w:firstLineChars="200"/>
        <w:rPr>
          <w:rFonts w:ascii="华文新魏" w:eastAsia="华文新魏"/>
          <w:color w:val="000000"/>
          <w:sz w:val="28"/>
          <w:szCs w:val="28"/>
        </w:rPr>
      </w:pPr>
      <w:r>
        <w:rPr>
          <w:rFonts w:ascii="仿宋_GB2312" w:eastAsia="仿宋_GB2312"/>
          <w:color w:val="000000"/>
          <w:sz w:val="28"/>
        </w:rPr>
        <w:tab/>
      </w:r>
    </w:p>
    <w:p>
      <w:pPr>
        <w:pStyle w:val="7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楷体_GB2312"/>
          <w:sz w:val="28"/>
          <w:szCs w:val="28"/>
          <w:lang w:val="en-US" w:eastAsia="zh-CN"/>
        </w:rPr>
      </w:pPr>
      <w:r>
        <w:rPr>
          <w:rFonts w:hint="eastAsia"/>
          <w:sz w:val="28"/>
          <w:szCs w:val="28"/>
        </w:rPr>
        <w:t>建设单位：</w:t>
      </w:r>
      <w:r>
        <w:rPr>
          <w:rFonts w:hint="eastAsia" w:ascii="Times New Roman" w:hAnsi="Times New Roman"/>
          <w:sz w:val="28"/>
          <w:szCs w:val="28"/>
          <w:lang w:eastAsia="zh-CN"/>
        </w:rPr>
        <w:t>宁波市海曙住建建筑垃圾处理服务有限公司</w:t>
      </w:r>
    </w:p>
    <w:p>
      <w:pPr>
        <w:pStyle w:val="72"/>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楷体_GB2312"/>
          <w:sz w:val="28"/>
          <w:szCs w:val="28"/>
          <w:lang w:eastAsia="zh-CN"/>
        </w:rPr>
      </w:pPr>
      <w:r>
        <w:rPr>
          <w:rFonts w:hint="eastAsia"/>
          <w:sz w:val="28"/>
          <w:szCs w:val="28"/>
        </w:rPr>
        <w:t>编制单位：</w:t>
      </w:r>
      <w:r>
        <w:rPr>
          <w:rFonts w:hint="eastAsia" w:ascii="Times New Roman" w:hAnsi="Times New Roman"/>
          <w:sz w:val="28"/>
          <w:szCs w:val="28"/>
          <w:lang w:eastAsia="zh-CN"/>
        </w:rPr>
        <w:t>宁波市海曙住建建筑垃圾处理服务有限公司</w:t>
      </w:r>
    </w:p>
    <w:p>
      <w:pPr>
        <w:pStyle w:val="72"/>
        <w:keepNext w:val="0"/>
        <w:keepLines w:val="0"/>
        <w:pageBreakBefore w:val="0"/>
        <w:widowControl w:val="0"/>
        <w:kinsoku/>
        <w:wordWrap/>
        <w:overflowPunct/>
        <w:topLinePunct w:val="0"/>
        <w:autoSpaceDE/>
        <w:autoSpaceDN/>
        <w:bidi w:val="0"/>
        <w:adjustRightInd/>
        <w:snapToGrid/>
        <w:spacing w:line="360" w:lineRule="auto"/>
        <w:ind w:left="0" w:leftChars="0" w:firstLine="1084" w:firstLineChars="300"/>
        <w:jc w:val="left"/>
        <w:textAlignment w:val="auto"/>
      </w:pPr>
    </w:p>
    <w:p>
      <w:pPr>
        <w:jc w:val="center"/>
        <w:rPr>
          <w:rFonts w:ascii="仿宋_GB2312" w:eastAsia="仿宋_GB2312"/>
          <w:color w:val="000000"/>
          <w:sz w:val="28"/>
        </w:rPr>
      </w:pPr>
    </w:p>
    <w:p>
      <w:pPr>
        <w:rPr>
          <w:rFonts w:ascii="仿宋_GB2312" w:eastAsia="仿宋_GB2312"/>
          <w:color w:val="000000"/>
          <w:sz w:val="28"/>
        </w:rPr>
      </w:pPr>
      <w:bookmarkStart w:id="284" w:name="_GoBack"/>
      <w:bookmarkEnd w:id="284"/>
    </w:p>
    <w:p>
      <w:pPr>
        <w:rPr>
          <w:rFonts w:ascii="华文新魏" w:eastAsia="华文新魏"/>
          <w:color w:val="000000"/>
          <w:sz w:val="28"/>
          <w:szCs w:val="28"/>
        </w:rPr>
      </w:pPr>
    </w:p>
    <w:p>
      <w:pPr>
        <w:jc w:val="center"/>
        <w:rPr>
          <w:rFonts w:ascii="华文新魏" w:eastAsia="华文新魏"/>
          <w:color w:val="000000"/>
          <w:sz w:val="28"/>
          <w:szCs w:val="28"/>
        </w:rPr>
      </w:pPr>
      <w:r>
        <w:rPr>
          <w:rFonts w:hint="eastAsia" w:ascii="华文新魏" w:eastAsia="华文新魏"/>
          <w:b/>
          <w:color w:val="000000"/>
          <w:sz w:val="28"/>
          <w:szCs w:val="28"/>
        </w:rPr>
        <w:t>202</w:t>
      </w:r>
      <w:r>
        <w:rPr>
          <w:rFonts w:hint="eastAsia" w:ascii="华文新魏" w:eastAsia="华文新魏"/>
          <w:b/>
          <w:color w:val="000000"/>
          <w:sz w:val="28"/>
          <w:szCs w:val="28"/>
          <w:lang w:val="en-US" w:eastAsia="zh-CN"/>
        </w:rPr>
        <w:t>2</w:t>
      </w:r>
      <w:r>
        <w:rPr>
          <w:rFonts w:hint="eastAsia" w:ascii="华文新魏" w:eastAsia="华文新魏"/>
          <w:color w:val="000000"/>
          <w:sz w:val="28"/>
          <w:szCs w:val="28"/>
        </w:rPr>
        <w:t>年</w:t>
      </w:r>
      <w:r>
        <w:rPr>
          <w:rFonts w:hint="eastAsia" w:ascii="华文新魏" w:eastAsia="华文新魏"/>
          <w:b/>
          <w:color w:val="000000"/>
          <w:sz w:val="28"/>
          <w:szCs w:val="28"/>
          <w:lang w:val="en-US" w:eastAsia="zh-CN"/>
        </w:rPr>
        <w:t>2</w:t>
      </w:r>
      <w:r>
        <w:rPr>
          <w:rFonts w:hint="eastAsia" w:ascii="华文新魏" w:eastAsia="华文新魏"/>
          <w:b/>
          <w:color w:val="000000"/>
          <w:sz w:val="28"/>
          <w:szCs w:val="28"/>
        </w:rPr>
        <w:t>月</w:t>
      </w:r>
    </w:p>
    <w:p>
      <w:pPr>
        <w:rPr>
          <w:rFonts w:hint="eastAsia" w:ascii="仿宋_GB2312" w:eastAsia="仿宋_GB2312"/>
          <w:color w:val="000000"/>
          <w:sz w:val="28"/>
        </w:rPr>
      </w:pPr>
    </w:p>
    <w:p>
      <w:pPr>
        <w:rPr>
          <w:rFonts w:hint="eastAsia" w:ascii="仿宋_GB2312" w:eastAsia="仿宋_GB2312"/>
          <w:color w:val="000000"/>
          <w:sz w:val="28"/>
        </w:rPr>
      </w:pPr>
      <w:r>
        <w:rPr>
          <w:rFonts w:hint="eastAsia" w:ascii="仿宋_GB2312" w:eastAsia="仿宋_GB2312"/>
          <w:color w:val="000000"/>
          <w:sz w:val="28"/>
        </w:rPr>
        <w:br w:type="page"/>
      </w:r>
    </w:p>
    <w:p>
      <w:pPr>
        <w:spacing w:line="360" w:lineRule="auto"/>
        <w:rPr>
          <w:rFonts w:ascii="仿宋_GB2312" w:eastAsia="仿宋_GB2312"/>
          <w:color w:val="000000"/>
          <w:sz w:val="28"/>
        </w:rPr>
      </w:pPr>
      <w:r>
        <w:rPr>
          <w:rFonts w:hint="eastAsia" w:ascii="仿宋_GB2312" w:eastAsia="仿宋_GB2312"/>
          <w:color w:val="000000"/>
          <w:sz w:val="28"/>
        </w:rPr>
        <w:t>建设单位法人代表</w:t>
      </w:r>
      <w:r>
        <w:rPr>
          <w:rFonts w:hint="eastAsia" w:ascii="仿宋_GB2312" w:eastAsia="仿宋_GB2312"/>
          <w:color w:val="000000"/>
          <w:sz w:val="28"/>
          <w:lang w:eastAsia="zh-CN"/>
        </w:rPr>
        <w:t>：</w:t>
      </w:r>
      <w:r>
        <w:rPr>
          <w:rFonts w:ascii="仿宋_GB2312" w:eastAsia="仿宋_GB2312"/>
          <w:color w:val="000000"/>
          <w:sz w:val="28"/>
        </w:rPr>
        <w:tab/>
      </w:r>
      <w:r>
        <w:rPr>
          <w:rFonts w:hint="eastAsia" w:ascii="仿宋_GB2312" w:eastAsia="仿宋_GB2312"/>
          <w:color w:val="000000"/>
          <w:sz w:val="28"/>
        </w:rPr>
        <w:t xml:space="preserve">          （签字）</w:t>
      </w:r>
    </w:p>
    <w:p>
      <w:pPr>
        <w:spacing w:line="360" w:lineRule="auto"/>
        <w:rPr>
          <w:rFonts w:ascii="仿宋_GB2312" w:eastAsia="仿宋_GB2312"/>
          <w:color w:val="000000"/>
          <w:sz w:val="28"/>
        </w:rPr>
      </w:pPr>
      <w:r>
        <w:rPr>
          <w:rFonts w:hint="eastAsia" w:ascii="仿宋_GB2312" w:eastAsia="仿宋_GB2312"/>
          <w:color w:val="000000"/>
          <w:sz w:val="28"/>
        </w:rPr>
        <w:t>编制单位法人代表</w:t>
      </w:r>
      <w:r>
        <w:rPr>
          <w:rFonts w:hint="eastAsia" w:ascii="仿宋_GB2312" w:eastAsia="仿宋_GB2312"/>
          <w:color w:val="000000"/>
          <w:sz w:val="28"/>
          <w:lang w:eastAsia="zh-CN"/>
        </w:rPr>
        <w:t>：</w:t>
      </w:r>
      <w:r>
        <w:rPr>
          <w:rFonts w:ascii="仿宋_GB2312" w:eastAsia="仿宋_GB2312"/>
          <w:color w:val="000000"/>
          <w:sz w:val="28"/>
        </w:rPr>
        <w:tab/>
      </w:r>
      <w:r>
        <w:rPr>
          <w:rFonts w:hint="eastAsia" w:ascii="仿宋_GB2312" w:eastAsia="仿宋_GB2312"/>
          <w:color w:val="000000"/>
          <w:sz w:val="28"/>
        </w:rPr>
        <w:t xml:space="preserve">          （签字）</w:t>
      </w:r>
    </w:p>
    <w:p>
      <w:pPr>
        <w:spacing w:line="360" w:lineRule="auto"/>
        <w:rPr>
          <w:rFonts w:hint="eastAsia" w:ascii="仿宋_GB2312" w:eastAsia="仿宋_GB2312"/>
          <w:color w:val="000000"/>
          <w:sz w:val="28"/>
          <w:lang w:eastAsia="zh-CN"/>
        </w:rPr>
      </w:pPr>
      <w:r>
        <w:rPr>
          <w:rFonts w:hint="eastAsia" w:ascii="仿宋_GB2312" w:eastAsia="仿宋_GB2312"/>
          <w:color w:val="000000"/>
          <w:sz w:val="28"/>
        </w:rPr>
        <w:t>项目负责人</w:t>
      </w:r>
      <w:r>
        <w:rPr>
          <w:rFonts w:hint="eastAsia" w:ascii="仿宋_GB2312" w:eastAsia="仿宋_GB2312"/>
          <w:color w:val="000000"/>
          <w:sz w:val="28"/>
          <w:lang w:eastAsia="zh-CN"/>
        </w:rPr>
        <w:t>：</w:t>
      </w:r>
    </w:p>
    <w:p>
      <w:pPr>
        <w:spacing w:line="360" w:lineRule="auto"/>
        <w:rPr>
          <w:rFonts w:hint="eastAsia" w:ascii="仿宋_GB2312" w:eastAsia="仿宋_GB2312"/>
          <w:color w:val="000000"/>
          <w:sz w:val="28"/>
        </w:rPr>
      </w:pPr>
      <w:r>
        <w:rPr>
          <w:rFonts w:hint="eastAsia" w:ascii="仿宋_GB2312" w:eastAsia="仿宋_GB2312"/>
          <w:color w:val="000000"/>
          <w:sz w:val="28"/>
        </w:rPr>
        <w:t>填表人：</w:t>
      </w:r>
    </w:p>
    <w:p>
      <w:pPr>
        <w:pStyle w:val="2"/>
        <w:rPr>
          <w:rFonts w:hint="eastAsia" w:ascii="仿宋_GB2312" w:eastAsia="仿宋_GB2312"/>
          <w:color w:val="000000"/>
          <w:sz w:val="28"/>
        </w:rPr>
      </w:pPr>
    </w:p>
    <w:p>
      <w:pPr>
        <w:pStyle w:val="2"/>
        <w:rPr>
          <w:rFonts w:hint="eastAsia" w:ascii="仿宋_GB2312" w:eastAsia="仿宋_GB2312"/>
          <w:color w:val="000000"/>
          <w:sz w:val="28"/>
        </w:rPr>
        <w:sectPr>
          <w:footerReference r:id="rId3" w:type="default"/>
          <w:type w:val="continuous"/>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eastAsia="仿宋_GB2312"/>
          <w:color w:val="000000"/>
          <w:sz w:val="24"/>
        </w:rPr>
      </w:pPr>
      <w:r>
        <w:rPr>
          <w:rFonts w:eastAsia="仿宋_GB2312"/>
          <w:color w:val="000000"/>
          <w:sz w:val="24"/>
        </w:rPr>
        <w:t>建设单位</w:t>
      </w:r>
      <w:r>
        <w:rPr>
          <w:rFonts w:hint="eastAsia" w:eastAsia="仿宋_GB2312"/>
          <w:color w:val="000000"/>
          <w:sz w:val="24"/>
          <w:lang w:eastAsia="zh-CN"/>
        </w:rPr>
        <w:t>：</w:t>
      </w:r>
      <w:r>
        <w:rPr>
          <w:rFonts w:hint="eastAsia" w:eastAsia="仿宋_GB2312"/>
          <w:sz w:val="24"/>
          <w:lang w:eastAsia="zh-CN"/>
        </w:rPr>
        <w:t>宁波市海曙住建建筑垃圾处理服务有限公司</w:t>
      </w:r>
      <w:r>
        <w:rPr>
          <w:rFonts w:eastAsia="仿宋"/>
          <w:color w:val="000000"/>
          <w:sz w:val="24"/>
        </w:rPr>
        <w:t>（盖章）</w:t>
      </w:r>
      <w:r>
        <w:rPr>
          <w:rFonts w:eastAsia="仿宋_GB2312"/>
          <w:color w:val="000000"/>
          <w:sz w:val="24"/>
        </w:rPr>
        <w:t xml:space="preserve">                                                      </w:t>
      </w:r>
    </w:p>
    <w:p>
      <w:pPr>
        <w:spacing w:line="360" w:lineRule="auto"/>
        <w:rPr>
          <w:rFonts w:eastAsia="仿宋_GB2312"/>
          <w:color w:val="000000"/>
          <w:sz w:val="24"/>
        </w:rPr>
      </w:pPr>
      <w:r>
        <w:rPr>
          <w:rFonts w:eastAsia="仿宋_GB2312"/>
          <w:color w:val="000000"/>
          <w:sz w:val="24"/>
        </w:rPr>
        <w:t>电话</w:t>
      </w:r>
      <w:r>
        <w:rPr>
          <w:rFonts w:hint="eastAsia" w:eastAsia="仿宋_GB2312"/>
          <w:color w:val="000000"/>
          <w:sz w:val="24"/>
          <w:lang w:eastAsia="zh-CN"/>
        </w:rPr>
        <w:t>：</w:t>
      </w:r>
      <w:r>
        <w:rPr>
          <w:rFonts w:hint="eastAsia" w:eastAsia="仿宋_GB2312"/>
          <w:color w:val="000000"/>
          <w:sz w:val="24"/>
          <w:lang w:val="en-US" w:eastAsia="zh-CN"/>
        </w:rPr>
        <w:t>13957899001</w:t>
      </w:r>
      <w:r>
        <w:rPr>
          <w:rFonts w:eastAsia="仿宋_GB2312"/>
          <w:color w:val="000000"/>
          <w:sz w:val="24"/>
        </w:rPr>
        <w:t xml:space="preserve">                              </w:t>
      </w:r>
    </w:p>
    <w:p>
      <w:pPr>
        <w:spacing w:line="360" w:lineRule="auto"/>
        <w:rPr>
          <w:rFonts w:eastAsia="仿宋_GB2312"/>
          <w:color w:val="000000"/>
          <w:sz w:val="24"/>
        </w:rPr>
      </w:pPr>
      <w:r>
        <w:rPr>
          <w:rFonts w:eastAsia="仿宋_GB2312"/>
          <w:color w:val="000000"/>
          <w:sz w:val="24"/>
        </w:rPr>
        <w:t>传真</w:t>
      </w:r>
      <w:r>
        <w:rPr>
          <w:rFonts w:hint="eastAsia" w:eastAsia="仿宋_GB2312"/>
          <w:color w:val="000000"/>
          <w:sz w:val="24"/>
          <w:lang w:eastAsia="zh-CN"/>
        </w:rPr>
        <w:t>：</w:t>
      </w:r>
      <w:r>
        <w:rPr>
          <w:rFonts w:eastAsia="仿宋_GB2312"/>
          <w:color w:val="000000"/>
          <w:sz w:val="24"/>
        </w:rPr>
        <w:t xml:space="preserve">/                              </w:t>
      </w:r>
    </w:p>
    <w:p>
      <w:pPr>
        <w:spacing w:line="360" w:lineRule="auto"/>
        <w:rPr>
          <w:rFonts w:eastAsia="仿宋_GB2312"/>
          <w:color w:val="000000"/>
          <w:sz w:val="24"/>
        </w:rPr>
      </w:pPr>
      <w:r>
        <w:rPr>
          <w:rFonts w:eastAsia="仿宋_GB2312"/>
          <w:color w:val="000000"/>
          <w:sz w:val="24"/>
        </w:rPr>
        <w:t>邮编</w:t>
      </w:r>
      <w:r>
        <w:rPr>
          <w:rFonts w:hint="eastAsia" w:eastAsia="仿宋_GB2312"/>
          <w:color w:val="000000"/>
          <w:sz w:val="24"/>
          <w:lang w:eastAsia="zh-CN"/>
        </w:rPr>
        <w:t>：</w:t>
      </w:r>
      <w:r>
        <w:rPr>
          <w:rFonts w:hint="eastAsia" w:eastAsia="仿宋_GB2312"/>
          <w:color w:val="000000"/>
          <w:sz w:val="24"/>
          <w:lang w:val="en-US" w:eastAsia="zh-CN"/>
        </w:rPr>
        <w:t>315176</w:t>
      </w:r>
      <w:r>
        <w:rPr>
          <w:rFonts w:hint="eastAsia" w:eastAsia="仿宋_GB2312"/>
          <w:color w:val="000000"/>
          <w:sz w:val="24"/>
        </w:rPr>
        <w:t xml:space="preserve">     </w:t>
      </w:r>
      <w:r>
        <w:rPr>
          <w:rFonts w:eastAsia="仿宋_GB2312"/>
          <w:color w:val="000000"/>
          <w:sz w:val="24"/>
        </w:rPr>
        <w:t xml:space="preserve">                       </w:t>
      </w:r>
    </w:p>
    <w:p>
      <w:pPr>
        <w:spacing w:line="360" w:lineRule="auto"/>
        <w:rPr>
          <w:rFonts w:hint="default" w:eastAsia="仿宋_GB2312"/>
          <w:sz w:val="24"/>
          <w:lang w:val="en-US"/>
        </w:rPr>
      </w:pPr>
      <w:r>
        <w:rPr>
          <w:rFonts w:eastAsia="仿宋_GB2312"/>
          <w:color w:val="000000"/>
          <w:sz w:val="24"/>
        </w:rPr>
        <w:t>地址</w:t>
      </w:r>
      <w:r>
        <w:rPr>
          <w:rFonts w:hint="eastAsia" w:eastAsia="仿宋_GB2312"/>
          <w:color w:val="000000"/>
          <w:sz w:val="24"/>
          <w:lang w:eastAsia="zh-CN"/>
        </w:rPr>
        <w:t>：</w:t>
      </w:r>
      <w:r>
        <w:rPr>
          <w:rFonts w:hint="eastAsia" w:eastAsia="仿宋_GB2312"/>
          <w:color w:val="000000"/>
          <w:sz w:val="24"/>
          <w:lang w:val="en-US" w:eastAsia="zh-CN"/>
        </w:rPr>
        <w:t>浙江省宁波市海曙区古林镇葑水港村</w:t>
      </w:r>
    </w:p>
    <w:p>
      <w:pPr>
        <w:spacing w:line="360" w:lineRule="auto"/>
        <w:rPr>
          <w:rFonts w:ascii="仿宋_GB2312" w:eastAsia="仿宋_GB2312"/>
          <w:color w:val="000000"/>
          <w:sz w:val="24"/>
        </w:rPr>
      </w:pPr>
      <w:r>
        <w:rPr>
          <w:rFonts w:hint="eastAsia" w:ascii="仿宋_GB2312" w:eastAsia="仿宋_GB2312"/>
          <w:color w:val="000000"/>
          <w:sz w:val="24"/>
        </w:rPr>
        <w:t xml:space="preserve">                             </w:t>
      </w: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spacing w:line="360" w:lineRule="auto"/>
        <w:rPr>
          <w:rFonts w:ascii="仿宋_GB2312" w:eastAsia="仿宋_GB2312"/>
          <w:color w:val="000000"/>
          <w:sz w:val="24"/>
        </w:rPr>
      </w:pPr>
    </w:p>
    <w:p>
      <w:pPr>
        <w:rPr>
          <w:lang w:val="zh-CN"/>
        </w:rPr>
      </w:pPr>
      <w:bookmarkStart w:id="0" w:name="_Toc27232"/>
      <w:bookmarkStart w:id="1" w:name="_Toc535564815"/>
      <w:r>
        <w:rPr>
          <w:lang w:val="zh-CN"/>
        </w:rPr>
        <w:br w:type="page"/>
      </w:r>
    </w:p>
    <w:bookmarkEnd w:id="0"/>
    <w:bookmarkEnd w:id="1"/>
    <w:sdt>
      <w:sdtPr>
        <w:rPr>
          <w:rFonts w:ascii="宋体" w:hAnsi="宋体" w:eastAsia="宋体" w:cs="Times New Roman"/>
          <w:kern w:val="2"/>
          <w:sz w:val="21"/>
          <w:szCs w:val="24"/>
          <w:lang w:val="en-US" w:eastAsia="zh-CN" w:bidi="ar-SA"/>
        </w:rPr>
        <w:id w:val="147475182"/>
        <w15:color w:val="DBDBDB"/>
        <w:docPartObj>
          <w:docPartGallery w:val="Table of Contents"/>
          <w:docPartUnique/>
        </w:docPartObj>
      </w:sdtPr>
      <w:sdtEndPr>
        <w:rPr>
          <w:rFonts w:ascii="Times New Roman" w:hAnsi="Times New Roman" w:eastAsia="宋体"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44"/>
              <w:szCs w:val="44"/>
            </w:rPr>
            <w:t>目</w:t>
          </w:r>
          <w:r>
            <w:rPr>
              <w:rFonts w:hint="eastAsia" w:ascii="宋体" w:hAnsi="宋体" w:eastAsia="宋体"/>
              <w:sz w:val="44"/>
              <w:szCs w:val="44"/>
              <w:lang w:val="en-US" w:eastAsia="zh-CN"/>
            </w:rPr>
            <w:t xml:space="preserve">  </w:t>
          </w:r>
          <w:r>
            <w:rPr>
              <w:rFonts w:ascii="宋体" w:hAnsi="宋体" w:eastAsia="宋体"/>
              <w:sz w:val="44"/>
              <w:szCs w:val="44"/>
            </w:rPr>
            <w:t>录</w:t>
          </w:r>
        </w:p>
        <w:p>
          <w:pPr>
            <w:pStyle w:val="26"/>
            <w:tabs>
              <w:tab w:val="right" w:leader="dot" w:pos="8306"/>
              <w:tab w:val="clear" w:pos="420"/>
              <w:tab w:val="clear" w:pos="8640"/>
            </w:tabs>
          </w:pPr>
          <w:r>
            <w:fldChar w:fldCharType="begin"/>
          </w:r>
          <w:r>
            <w:instrText xml:space="preserve">TOC \o "1-3" \h \u </w:instrText>
          </w:r>
          <w:r>
            <w:fldChar w:fldCharType="separate"/>
          </w:r>
          <w:r>
            <w:fldChar w:fldCharType="begin"/>
          </w:r>
          <w:r>
            <w:instrText xml:space="preserve"> HYPERLINK \l _Toc11317 </w:instrText>
          </w:r>
          <w:r>
            <w:fldChar w:fldCharType="separate"/>
          </w:r>
          <w:r>
            <w:rPr>
              <w:rFonts w:hint="eastAsia" w:eastAsia="仿宋_GB2312"/>
            </w:rPr>
            <w:t xml:space="preserve">1 </w:t>
          </w:r>
          <w:r>
            <w:t>建设项目</w:t>
          </w:r>
          <w:r>
            <w:rPr>
              <w:rFonts w:hint="eastAsia"/>
            </w:rPr>
            <w:t>基本情况</w:t>
          </w:r>
          <w:r>
            <w:tab/>
          </w:r>
          <w:r>
            <w:fldChar w:fldCharType="begin"/>
          </w:r>
          <w:r>
            <w:instrText xml:space="preserve"> PAGEREF _Toc11317 \h </w:instrText>
          </w:r>
          <w:r>
            <w:fldChar w:fldCharType="separate"/>
          </w:r>
          <w:r>
            <w:t>- 1 -</w:t>
          </w:r>
          <w:r>
            <w:fldChar w:fldCharType="end"/>
          </w:r>
          <w:r>
            <w:fldChar w:fldCharType="end"/>
          </w:r>
        </w:p>
        <w:p>
          <w:pPr>
            <w:pStyle w:val="31"/>
            <w:tabs>
              <w:tab w:val="right" w:leader="dot" w:pos="8306"/>
              <w:tab w:val="clear" w:pos="735"/>
              <w:tab w:val="clear" w:pos="8610"/>
            </w:tabs>
          </w:pPr>
          <w:r>
            <w:fldChar w:fldCharType="begin"/>
          </w:r>
          <w:r>
            <w:instrText xml:space="preserve"> HYPERLINK \l _Toc6187 </w:instrText>
          </w:r>
          <w:r>
            <w:fldChar w:fldCharType="separate"/>
          </w:r>
          <w:r>
            <w:rPr>
              <w:rFonts w:hint="eastAsia"/>
            </w:rPr>
            <w:t>1.1 建设项目环境保护相关法律、法规、规章和规范</w:t>
          </w:r>
          <w:r>
            <w:tab/>
          </w:r>
          <w:r>
            <w:fldChar w:fldCharType="begin"/>
          </w:r>
          <w:r>
            <w:instrText xml:space="preserve"> PAGEREF _Toc6187 \h </w:instrText>
          </w:r>
          <w:r>
            <w:fldChar w:fldCharType="separate"/>
          </w:r>
          <w:r>
            <w:t>- 2 -</w:t>
          </w:r>
          <w:r>
            <w:fldChar w:fldCharType="end"/>
          </w:r>
          <w:r>
            <w:fldChar w:fldCharType="end"/>
          </w:r>
        </w:p>
        <w:p>
          <w:pPr>
            <w:pStyle w:val="31"/>
            <w:tabs>
              <w:tab w:val="right" w:leader="dot" w:pos="8306"/>
              <w:tab w:val="clear" w:pos="735"/>
              <w:tab w:val="clear" w:pos="8610"/>
            </w:tabs>
          </w:pPr>
          <w:r>
            <w:fldChar w:fldCharType="begin"/>
          </w:r>
          <w:r>
            <w:instrText xml:space="preserve"> HYPERLINK \l _Toc21560 </w:instrText>
          </w:r>
          <w:r>
            <w:fldChar w:fldCharType="separate"/>
          </w:r>
          <w:r>
            <w:rPr>
              <w:rFonts w:hint="eastAsia"/>
            </w:rPr>
            <w:t>1.2 建设项目竣工环境保护验收技术规范</w:t>
          </w:r>
          <w:r>
            <w:tab/>
          </w:r>
          <w:r>
            <w:fldChar w:fldCharType="begin"/>
          </w:r>
          <w:r>
            <w:instrText xml:space="preserve"> PAGEREF _Toc21560 \h </w:instrText>
          </w:r>
          <w:r>
            <w:fldChar w:fldCharType="separate"/>
          </w:r>
          <w:r>
            <w:t>- 2 -</w:t>
          </w:r>
          <w:r>
            <w:fldChar w:fldCharType="end"/>
          </w:r>
          <w:r>
            <w:fldChar w:fldCharType="end"/>
          </w:r>
        </w:p>
        <w:p>
          <w:pPr>
            <w:pStyle w:val="31"/>
            <w:tabs>
              <w:tab w:val="right" w:leader="dot" w:pos="8306"/>
              <w:tab w:val="clear" w:pos="735"/>
              <w:tab w:val="clear" w:pos="8610"/>
            </w:tabs>
          </w:pPr>
          <w:r>
            <w:fldChar w:fldCharType="begin"/>
          </w:r>
          <w:r>
            <w:instrText xml:space="preserve"> HYPERLINK \l _Toc31286 </w:instrText>
          </w:r>
          <w:r>
            <w:fldChar w:fldCharType="separate"/>
          </w:r>
          <w:r>
            <w:rPr>
              <w:rFonts w:hint="eastAsia"/>
            </w:rPr>
            <w:t>1.3 建设项目环境影响报告书（表）及审批部门审批决定</w:t>
          </w:r>
          <w:r>
            <w:tab/>
          </w:r>
          <w:r>
            <w:fldChar w:fldCharType="begin"/>
          </w:r>
          <w:r>
            <w:instrText xml:space="preserve"> PAGEREF _Toc31286 \h </w:instrText>
          </w:r>
          <w:r>
            <w:fldChar w:fldCharType="separate"/>
          </w:r>
          <w:r>
            <w:t>- 2 -</w:t>
          </w:r>
          <w:r>
            <w:fldChar w:fldCharType="end"/>
          </w:r>
          <w:r>
            <w:fldChar w:fldCharType="end"/>
          </w:r>
        </w:p>
        <w:p>
          <w:pPr>
            <w:pStyle w:val="31"/>
            <w:tabs>
              <w:tab w:val="right" w:leader="dot" w:pos="8306"/>
              <w:tab w:val="clear" w:pos="735"/>
              <w:tab w:val="clear" w:pos="8610"/>
            </w:tabs>
          </w:pPr>
          <w:r>
            <w:fldChar w:fldCharType="begin"/>
          </w:r>
          <w:r>
            <w:instrText xml:space="preserve"> HYPERLINK \l _Toc11258 </w:instrText>
          </w:r>
          <w:r>
            <w:fldChar w:fldCharType="separate"/>
          </w:r>
          <w:r>
            <w:rPr>
              <w:rFonts w:hint="eastAsia"/>
            </w:rPr>
            <w:t xml:space="preserve">1.4 </w:t>
          </w:r>
          <w:r>
            <w:t>废气污染物排放标准</w:t>
          </w:r>
          <w:r>
            <w:tab/>
          </w:r>
          <w:r>
            <w:fldChar w:fldCharType="begin"/>
          </w:r>
          <w:r>
            <w:instrText xml:space="preserve"> PAGEREF _Toc11258 \h </w:instrText>
          </w:r>
          <w:r>
            <w:fldChar w:fldCharType="separate"/>
          </w:r>
          <w:r>
            <w:t>- 2 -</w:t>
          </w:r>
          <w:r>
            <w:fldChar w:fldCharType="end"/>
          </w:r>
          <w:r>
            <w:fldChar w:fldCharType="end"/>
          </w:r>
        </w:p>
        <w:p>
          <w:pPr>
            <w:pStyle w:val="31"/>
            <w:tabs>
              <w:tab w:val="right" w:leader="dot" w:pos="8306"/>
              <w:tab w:val="clear" w:pos="735"/>
              <w:tab w:val="clear" w:pos="8610"/>
            </w:tabs>
          </w:pPr>
          <w:r>
            <w:fldChar w:fldCharType="begin"/>
          </w:r>
          <w:r>
            <w:instrText xml:space="preserve"> HYPERLINK \l _Toc21738 </w:instrText>
          </w:r>
          <w:r>
            <w:fldChar w:fldCharType="separate"/>
          </w:r>
          <w:r>
            <w:rPr>
              <w:rFonts w:hint="eastAsia"/>
            </w:rPr>
            <w:t>1.5 废水</w:t>
          </w:r>
          <w:r>
            <w:t>排放标准</w:t>
          </w:r>
          <w:r>
            <w:tab/>
          </w:r>
          <w:r>
            <w:fldChar w:fldCharType="begin"/>
          </w:r>
          <w:r>
            <w:instrText xml:space="preserve"> PAGEREF _Toc21738 \h </w:instrText>
          </w:r>
          <w:r>
            <w:fldChar w:fldCharType="separate"/>
          </w:r>
          <w:r>
            <w:t>- 2 -</w:t>
          </w:r>
          <w:r>
            <w:fldChar w:fldCharType="end"/>
          </w:r>
          <w:r>
            <w:fldChar w:fldCharType="end"/>
          </w:r>
        </w:p>
        <w:p>
          <w:pPr>
            <w:pStyle w:val="31"/>
            <w:tabs>
              <w:tab w:val="right" w:leader="dot" w:pos="8306"/>
              <w:tab w:val="clear" w:pos="735"/>
              <w:tab w:val="clear" w:pos="8610"/>
            </w:tabs>
          </w:pPr>
          <w:r>
            <w:fldChar w:fldCharType="begin"/>
          </w:r>
          <w:r>
            <w:instrText xml:space="preserve"> HYPERLINK \l _Toc25361 </w:instrText>
          </w:r>
          <w:r>
            <w:fldChar w:fldCharType="separate"/>
          </w:r>
          <w:r>
            <w:rPr>
              <w:rFonts w:hint="eastAsia"/>
            </w:rPr>
            <w:t xml:space="preserve">1.6 </w:t>
          </w:r>
          <w:r>
            <w:t>噪声排放标准</w:t>
          </w:r>
          <w:r>
            <w:tab/>
          </w:r>
          <w:r>
            <w:fldChar w:fldCharType="begin"/>
          </w:r>
          <w:r>
            <w:instrText xml:space="preserve"> PAGEREF _Toc25361 \h </w:instrText>
          </w:r>
          <w:r>
            <w:fldChar w:fldCharType="separate"/>
          </w:r>
          <w:r>
            <w:t>- 3 -</w:t>
          </w:r>
          <w:r>
            <w:fldChar w:fldCharType="end"/>
          </w:r>
          <w:r>
            <w:fldChar w:fldCharType="end"/>
          </w:r>
        </w:p>
        <w:p>
          <w:pPr>
            <w:pStyle w:val="31"/>
            <w:tabs>
              <w:tab w:val="right" w:leader="dot" w:pos="8306"/>
              <w:tab w:val="clear" w:pos="735"/>
              <w:tab w:val="clear" w:pos="8610"/>
            </w:tabs>
          </w:pPr>
          <w:r>
            <w:fldChar w:fldCharType="begin"/>
          </w:r>
          <w:r>
            <w:instrText xml:space="preserve"> HYPERLINK \l _Toc4771 </w:instrText>
          </w:r>
          <w:r>
            <w:fldChar w:fldCharType="separate"/>
          </w:r>
          <w:r>
            <w:rPr>
              <w:rFonts w:hint="eastAsia"/>
            </w:rPr>
            <w:t>1.7 固废排放标准</w:t>
          </w:r>
          <w:r>
            <w:tab/>
          </w:r>
          <w:r>
            <w:fldChar w:fldCharType="begin"/>
          </w:r>
          <w:r>
            <w:instrText xml:space="preserve"> PAGEREF _Toc4771 \h </w:instrText>
          </w:r>
          <w:r>
            <w:fldChar w:fldCharType="separate"/>
          </w:r>
          <w:r>
            <w:t>- 3 -</w:t>
          </w:r>
          <w:r>
            <w:fldChar w:fldCharType="end"/>
          </w:r>
          <w:r>
            <w:fldChar w:fldCharType="end"/>
          </w:r>
        </w:p>
        <w:p>
          <w:pPr>
            <w:pStyle w:val="26"/>
            <w:tabs>
              <w:tab w:val="right" w:leader="dot" w:pos="8306"/>
              <w:tab w:val="clear" w:pos="420"/>
              <w:tab w:val="clear" w:pos="8640"/>
            </w:tabs>
          </w:pPr>
          <w:r>
            <w:fldChar w:fldCharType="begin"/>
          </w:r>
          <w:r>
            <w:instrText xml:space="preserve"> HYPERLINK \l _Toc22282 </w:instrText>
          </w:r>
          <w:r>
            <w:fldChar w:fldCharType="separate"/>
          </w:r>
          <w:r>
            <w:rPr>
              <w:rFonts w:hint="eastAsia"/>
            </w:rPr>
            <w:t>2 工程建设内容</w:t>
          </w:r>
          <w:r>
            <w:tab/>
          </w:r>
          <w:r>
            <w:fldChar w:fldCharType="begin"/>
          </w:r>
          <w:r>
            <w:instrText xml:space="preserve"> PAGEREF _Toc22282 \h </w:instrText>
          </w:r>
          <w:r>
            <w:fldChar w:fldCharType="separate"/>
          </w:r>
          <w:r>
            <w:t>- 4 -</w:t>
          </w:r>
          <w:r>
            <w:fldChar w:fldCharType="end"/>
          </w:r>
          <w:r>
            <w:fldChar w:fldCharType="end"/>
          </w:r>
        </w:p>
        <w:p>
          <w:pPr>
            <w:pStyle w:val="31"/>
            <w:tabs>
              <w:tab w:val="right" w:leader="dot" w:pos="8306"/>
              <w:tab w:val="clear" w:pos="735"/>
              <w:tab w:val="clear" w:pos="8610"/>
            </w:tabs>
          </w:pPr>
          <w:r>
            <w:fldChar w:fldCharType="begin"/>
          </w:r>
          <w:r>
            <w:instrText xml:space="preserve"> HYPERLINK \l _Toc11505 </w:instrText>
          </w:r>
          <w:r>
            <w:fldChar w:fldCharType="separate"/>
          </w:r>
          <w:r>
            <w:rPr>
              <w:rFonts w:hint="eastAsia"/>
            </w:rPr>
            <w:t>2.1 现有项目概况</w:t>
          </w:r>
          <w:r>
            <w:tab/>
          </w:r>
          <w:r>
            <w:fldChar w:fldCharType="begin"/>
          </w:r>
          <w:r>
            <w:instrText xml:space="preserve"> PAGEREF _Toc11505 \h </w:instrText>
          </w:r>
          <w:r>
            <w:fldChar w:fldCharType="separate"/>
          </w:r>
          <w:r>
            <w:t>- 4 -</w:t>
          </w:r>
          <w:r>
            <w:fldChar w:fldCharType="end"/>
          </w:r>
          <w:r>
            <w:fldChar w:fldCharType="end"/>
          </w:r>
        </w:p>
        <w:p>
          <w:pPr>
            <w:pStyle w:val="31"/>
            <w:tabs>
              <w:tab w:val="right" w:leader="dot" w:pos="8306"/>
              <w:tab w:val="clear" w:pos="735"/>
              <w:tab w:val="clear" w:pos="8610"/>
            </w:tabs>
          </w:pPr>
          <w:r>
            <w:fldChar w:fldCharType="begin"/>
          </w:r>
          <w:r>
            <w:instrText xml:space="preserve"> HYPERLINK \l _Toc11417 </w:instrText>
          </w:r>
          <w:r>
            <w:fldChar w:fldCharType="separate"/>
          </w:r>
          <w:r>
            <w:rPr>
              <w:rFonts w:hint="eastAsia"/>
            </w:rPr>
            <w:t>2.2 建设内容与规模</w:t>
          </w:r>
          <w:r>
            <w:tab/>
          </w:r>
          <w:r>
            <w:fldChar w:fldCharType="begin"/>
          </w:r>
          <w:r>
            <w:instrText xml:space="preserve"> PAGEREF _Toc11417 \h </w:instrText>
          </w:r>
          <w:r>
            <w:fldChar w:fldCharType="separate"/>
          </w:r>
          <w:r>
            <w:t>- 4 -</w:t>
          </w:r>
          <w:r>
            <w:fldChar w:fldCharType="end"/>
          </w:r>
          <w:r>
            <w:fldChar w:fldCharType="end"/>
          </w:r>
        </w:p>
        <w:p>
          <w:pPr>
            <w:pStyle w:val="31"/>
            <w:tabs>
              <w:tab w:val="right" w:leader="dot" w:pos="8306"/>
              <w:tab w:val="clear" w:pos="735"/>
              <w:tab w:val="clear" w:pos="8610"/>
            </w:tabs>
          </w:pPr>
          <w:r>
            <w:fldChar w:fldCharType="begin"/>
          </w:r>
          <w:r>
            <w:instrText xml:space="preserve"> HYPERLINK \l _Toc5745 </w:instrText>
          </w:r>
          <w:r>
            <w:fldChar w:fldCharType="separate"/>
          </w:r>
          <w:r>
            <w:rPr>
              <w:rFonts w:hint="eastAsia"/>
            </w:rPr>
            <w:t>2.3 项目变动情况</w:t>
          </w:r>
          <w:r>
            <w:tab/>
          </w:r>
          <w:r>
            <w:fldChar w:fldCharType="begin"/>
          </w:r>
          <w:r>
            <w:instrText xml:space="preserve"> PAGEREF _Toc5745 \h </w:instrText>
          </w:r>
          <w:r>
            <w:fldChar w:fldCharType="separate"/>
          </w:r>
          <w:r>
            <w:t>- 6 -</w:t>
          </w:r>
          <w:r>
            <w:fldChar w:fldCharType="end"/>
          </w:r>
          <w:r>
            <w:fldChar w:fldCharType="end"/>
          </w:r>
        </w:p>
        <w:p>
          <w:pPr>
            <w:pStyle w:val="31"/>
            <w:tabs>
              <w:tab w:val="right" w:leader="dot" w:pos="8306"/>
              <w:tab w:val="clear" w:pos="735"/>
              <w:tab w:val="clear" w:pos="8610"/>
            </w:tabs>
          </w:pPr>
          <w:r>
            <w:fldChar w:fldCharType="begin"/>
          </w:r>
          <w:r>
            <w:instrText xml:space="preserve"> HYPERLINK \l _Toc18380 </w:instrText>
          </w:r>
          <w:r>
            <w:fldChar w:fldCharType="separate"/>
          </w:r>
          <w:r>
            <w:rPr>
              <w:rFonts w:hint="eastAsia"/>
            </w:rPr>
            <w:t>2.4 主要工艺流程及产污环节</w:t>
          </w:r>
          <w:r>
            <w:tab/>
          </w:r>
          <w:r>
            <w:fldChar w:fldCharType="begin"/>
          </w:r>
          <w:r>
            <w:instrText xml:space="preserve"> PAGEREF _Toc18380 \h </w:instrText>
          </w:r>
          <w:r>
            <w:fldChar w:fldCharType="separate"/>
          </w:r>
          <w:r>
            <w:t>- 6 -</w:t>
          </w:r>
          <w:r>
            <w:fldChar w:fldCharType="end"/>
          </w:r>
          <w:r>
            <w:fldChar w:fldCharType="end"/>
          </w:r>
        </w:p>
        <w:p>
          <w:pPr>
            <w:pStyle w:val="26"/>
            <w:tabs>
              <w:tab w:val="right" w:leader="dot" w:pos="8306"/>
              <w:tab w:val="clear" w:pos="420"/>
              <w:tab w:val="clear" w:pos="8640"/>
            </w:tabs>
          </w:pPr>
          <w:r>
            <w:fldChar w:fldCharType="begin"/>
          </w:r>
          <w:r>
            <w:instrText xml:space="preserve"> HYPERLINK \l _Toc19718 </w:instrText>
          </w:r>
          <w:r>
            <w:fldChar w:fldCharType="separate"/>
          </w:r>
          <w:r>
            <w:rPr>
              <w:rFonts w:hint="eastAsia" w:eastAsia="仿宋_GB2312"/>
            </w:rPr>
            <w:t xml:space="preserve">3 </w:t>
          </w:r>
          <w:r>
            <w:rPr>
              <w:rFonts w:hint="eastAsia"/>
            </w:rPr>
            <w:t>主要污染源、污染物处理和排放</w:t>
          </w:r>
          <w:r>
            <w:tab/>
          </w:r>
          <w:r>
            <w:fldChar w:fldCharType="begin"/>
          </w:r>
          <w:r>
            <w:instrText xml:space="preserve"> PAGEREF _Toc19718 \h </w:instrText>
          </w:r>
          <w:r>
            <w:fldChar w:fldCharType="separate"/>
          </w:r>
          <w:r>
            <w:t>- 8 -</w:t>
          </w:r>
          <w:r>
            <w:fldChar w:fldCharType="end"/>
          </w:r>
          <w:r>
            <w:fldChar w:fldCharType="end"/>
          </w:r>
        </w:p>
        <w:p>
          <w:pPr>
            <w:pStyle w:val="31"/>
            <w:tabs>
              <w:tab w:val="right" w:leader="dot" w:pos="8306"/>
              <w:tab w:val="clear" w:pos="735"/>
              <w:tab w:val="clear" w:pos="8610"/>
            </w:tabs>
          </w:pPr>
          <w:r>
            <w:fldChar w:fldCharType="begin"/>
          </w:r>
          <w:r>
            <w:instrText xml:space="preserve"> HYPERLINK \l _Toc16555 </w:instrText>
          </w:r>
          <w:r>
            <w:fldChar w:fldCharType="separate"/>
          </w:r>
          <w:r>
            <w:rPr>
              <w:rFonts w:hint="eastAsia"/>
              <w:lang w:eastAsia="zh-CN"/>
            </w:rPr>
            <w:t xml:space="preserve">3.1 </w:t>
          </w:r>
          <w:r>
            <w:rPr>
              <w:rFonts w:hint="eastAsia"/>
            </w:rPr>
            <w:t>废气</w:t>
          </w:r>
          <w:r>
            <w:tab/>
          </w:r>
          <w:r>
            <w:fldChar w:fldCharType="begin"/>
          </w:r>
          <w:r>
            <w:instrText xml:space="preserve"> PAGEREF _Toc16555 \h </w:instrText>
          </w:r>
          <w:r>
            <w:fldChar w:fldCharType="separate"/>
          </w:r>
          <w:r>
            <w:t>- 8 -</w:t>
          </w:r>
          <w:r>
            <w:fldChar w:fldCharType="end"/>
          </w:r>
          <w:r>
            <w:fldChar w:fldCharType="end"/>
          </w:r>
        </w:p>
        <w:p>
          <w:pPr>
            <w:pStyle w:val="31"/>
            <w:tabs>
              <w:tab w:val="right" w:leader="dot" w:pos="8306"/>
              <w:tab w:val="clear" w:pos="735"/>
              <w:tab w:val="clear" w:pos="8610"/>
            </w:tabs>
          </w:pPr>
          <w:r>
            <w:fldChar w:fldCharType="begin"/>
          </w:r>
          <w:r>
            <w:instrText xml:space="preserve"> HYPERLINK \l _Toc11830 </w:instrText>
          </w:r>
          <w:r>
            <w:fldChar w:fldCharType="separate"/>
          </w:r>
          <w:r>
            <w:rPr>
              <w:rFonts w:hint="eastAsia"/>
            </w:rPr>
            <w:t>3.2 废水</w:t>
          </w:r>
          <w:r>
            <w:tab/>
          </w:r>
          <w:r>
            <w:fldChar w:fldCharType="begin"/>
          </w:r>
          <w:r>
            <w:instrText xml:space="preserve"> PAGEREF _Toc11830 \h </w:instrText>
          </w:r>
          <w:r>
            <w:fldChar w:fldCharType="separate"/>
          </w:r>
          <w:r>
            <w:t>- 8 -</w:t>
          </w:r>
          <w:r>
            <w:fldChar w:fldCharType="end"/>
          </w:r>
          <w:r>
            <w:fldChar w:fldCharType="end"/>
          </w:r>
        </w:p>
        <w:p>
          <w:pPr>
            <w:pStyle w:val="31"/>
            <w:tabs>
              <w:tab w:val="right" w:leader="dot" w:pos="8306"/>
              <w:tab w:val="clear" w:pos="735"/>
              <w:tab w:val="clear" w:pos="8610"/>
            </w:tabs>
          </w:pPr>
          <w:r>
            <w:fldChar w:fldCharType="begin"/>
          </w:r>
          <w:r>
            <w:instrText xml:space="preserve"> HYPERLINK \l _Toc21717 </w:instrText>
          </w:r>
          <w:r>
            <w:fldChar w:fldCharType="separate"/>
          </w:r>
          <w:r>
            <w:rPr>
              <w:rFonts w:hint="eastAsia"/>
            </w:rPr>
            <w:t xml:space="preserve">3.3 </w:t>
          </w:r>
          <w:r>
            <w:t>噪声</w:t>
          </w:r>
          <w:r>
            <w:tab/>
          </w:r>
          <w:r>
            <w:fldChar w:fldCharType="begin"/>
          </w:r>
          <w:r>
            <w:instrText xml:space="preserve"> PAGEREF _Toc21717 \h </w:instrText>
          </w:r>
          <w:r>
            <w:fldChar w:fldCharType="separate"/>
          </w:r>
          <w:r>
            <w:t>- 8 -</w:t>
          </w:r>
          <w:r>
            <w:fldChar w:fldCharType="end"/>
          </w:r>
          <w:r>
            <w:fldChar w:fldCharType="end"/>
          </w:r>
        </w:p>
        <w:p>
          <w:pPr>
            <w:pStyle w:val="31"/>
            <w:tabs>
              <w:tab w:val="right" w:leader="dot" w:pos="8306"/>
              <w:tab w:val="clear" w:pos="735"/>
              <w:tab w:val="clear" w:pos="8610"/>
            </w:tabs>
          </w:pPr>
          <w:r>
            <w:fldChar w:fldCharType="begin"/>
          </w:r>
          <w:r>
            <w:instrText xml:space="preserve"> HYPERLINK \l _Toc31012 </w:instrText>
          </w:r>
          <w:r>
            <w:fldChar w:fldCharType="separate"/>
          </w:r>
          <w:r>
            <w:rPr>
              <w:rFonts w:hint="eastAsia"/>
            </w:rPr>
            <w:t>3.4 固体废物</w:t>
          </w:r>
          <w:r>
            <w:tab/>
          </w:r>
          <w:r>
            <w:fldChar w:fldCharType="begin"/>
          </w:r>
          <w:r>
            <w:instrText xml:space="preserve"> PAGEREF _Toc31012 \h </w:instrText>
          </w:r>
          <w:r>
            <w:fldChar w:fldCharType="separate"/>
          </w:r>
          <w:r>
            <w:t>- 8 -</w:t>
          </w:r>
          <w:r>
            <w:fldChar w:fldCharType="end"/>
          </w:r>
          <w:r>
            <w:fldChar w:fldCharType="end"/>
          </w:r>
        </w:p>
        <w:p>
          <w:pPr>
            <w:pStyle w:val="31"/>
            <w:tabs>
              <w:tab w:val="right" w:leader="dot" w:pos="8306"/>
              <w:tab w:val="clear" w:pos="735"/>
              <w:tab w:val="clear" w:pos="8610"/>
            </w:tabs>
          </w:pPr>
          <w:r>
            <w:fldChar w:fldCharType="begin"/>
          </w:r>
          <w:r>
            <w:instrText xml:space="preserve"> HYPERLINK \l _Toc20959 </w:instrText>
          </w:r>
          <w:r>
            <w:fldChar w:fldCharType="separate"/>
          </w:r>
          <w:r>
            <w:rPr>
              <w:rFonts w:hint="eastAsia"/>
            </w:rPr>
            <w:t>3.5 环保设施投资及“三同时”落实情况</w:t>
          </w:r>
          <w:r>
            <w:tab/>
          </w:r>
          <w:r>
            <w:fldChar w:fldCharType="begin"/>
          </w:r>
          <w:r>
            <w:instrText xml:space="preserve"> PAGEREF _Toc20959 \h </w:instrText>
          </w:r>
          <w:r>
            <w:fldChar w:fldCharType="separate"/>
          </w:r>
          <w:r>
            <w:t>- 8 -</w:t>
          </w:r>
          <w:r>
            <w:fldChar w:fldCharType="end"/>
          </w:r>
          <w:r>
            <w:fldChar w:fldCharType="end"/>
          </w:r>
        </w:p>
        <w:p>
          <w:pPr>
            <w:pStyle w:val="31"/>
            <w:tabs>
              <w:tab w:val="right" w:leader="dot" w:pos="8306"/>
              <w:tab w:val="clear" w:pos="735"/>
              <w:tab w:val="clear" w:pos="8610"/>
            </w:tabs>
          </w:pPr>
          <w:r>
            <w:fldChar w:fldCharType="begin"/>
          </w:r>
          <w:r>
            <w:instrText xml:space="preserve"> HYPERLINK \l _Toc3115 </w:instrText>
          </w:r>
          <w:r>
            <w:fldChar w:fldCharType="separate"/>
          </w:r>
          <w:r>
            <w:rPr>
              <w:rFonts w:hint="eastAsia"/>
            </w:rPr>
            <w:t>3.</w:t>
          </w:r>
          <w:r>
            <w:rPr>
              <w:rFonts w:hint="eastAsia"/>
              <w:lang w:val="en-US" w:eastAsia="zh-CN"/>
            </w:rPr>
            <w:t>6</w:t>
          </w:r>
          <w:r>
            <w:rPr>
              <w:rFonts w:hint="eastAsia"/>
            </w:rPr>
            <w:t>污染物排放总量控制指标</w:t>
          </w:r>
          <w:r>
            <w:tab/>
          </w:r>
          <w:r>
            <w:fldChar w:fldCharType="begin"/>
          </w:r>
          <w:r>
            <w:instrText xml:space="preserve"> PAGEREF _Toc3115 \h </w:instrText>
          </w:r>
          <w:r>
            <w:fldChar w:fldCharType="separate"/>
          </w:r>
          <w:r>
            <w:t>- 9 -</w:t>
          </w:r>
          <w:r>
            <w:fldChar w:fldCharType="end"/>
          </w:r>
          <w:r>
            <w:fldChar w:fldCharType="end"/>
          </w:r>
        </w:p>
        <w:p>
          <w:pPr>
            <w:pStyle w:val="26"/>
            <w:tabs>
              <w:tab w:val="right" w:leader="dot" w:pos="8306"/>
              <w:tab w:val="clear" w:pos="420"/>
              <w:tab w:val="clear" w:pos="8640"/>
            </w:tabs>
          </w:pPr>
          <w:r>
            <w:fldChar w:fldCharType="begin"/>
          </w:r>
          <w:r>
            <w:instrText xml:space="preserve"> HYPERLINK \l _Toc3970 </w:instrText>
          </w:r>
          <w:r>
            <w:fldChar w:fldCharType="separate"/>
          </w:r>
          <w:r>
            <w:rPr>
              <w:rFonts w:hint="eastAsia"/>
            </w:rPr>
            <w:t>4 建设项目环境影响报告表主要结论及审批部门审批决定：</w:t>
          </w:r>
          <w:r>
            <w:tab/>
          </w:r>
          <w:r>
            <w:fldChar w:fldCharType="begin"/>
          </w:r>
          <w:r>
            <w:instrText xml:space="preserve"> PAGEREF _Toc3970 \h </w:instrText>
          </w:r>
          <w:r>
            <w:fldChar w:fldCharType="separate"/>
          </w:r>
          <w:r>
            <w:t>- 10 -</w:t>
          </w:r>
          <w:r>
            <w:fldChar w:fldCharType="end"/>
          </w:r>
          <w:r>
            <w:fldChar w:fldCharType="end"/>
          </w:r>
        </w:p>
        <w:p>
          <w:pPr>
            <w:pStyle w:val="31"/>
            <w:tabs>
              <w:tab w:val="right" w:leader="dot" w:pos="8306"/>
              <w:tab w:val="clear" w:pos="735"/>
              <w:tab w:val="clear" w:pos="8610"/>
            </w:tabs>
          </w:pPr>
          <w:r>
            <w:fldChar w:fldCharType="begin"/>
          </w:r>
          <w:r>
            <w:instrText xml:space="preserve"> HYPERLINK \l _Toc12217 </w:instrText>
          </w:r>
          <w:r>
            <w:fldChar w:fldCharType="separate"/>
          </w:r>
          <w:r>
            <w:rPr>
              <w:rFonts w:hint="eastAsia"/>
            </w:rPr>
            <w:t>4.1 建设项目环评报告书（表）的主要结论与建议</w:t>
          </w:r>
          <w:r>
            <w:tab/>
          </w:r>
          <w:r>
            <w:fldChar w:fldCharType="begin"/>
          </w:r>
          <w:r>
            <w:instrText xml:space="preserve"> PAGEREF _Toc12217 \h </w:instrText>
          </w:r>
          <w:r>
            <w:fldChar w:fldCharType="separate"/>
          </w:r>
          <w:r>
            <w:t>- 10 -</w:t>
          </w:r>
          <w:r>
            <w:fldChar w:fldCharType="end"/>
          </w:r>
          <w:r>
            <w:fldChar w:fldCharType="end"/>
          </w:r>
        </w:p>
        <w:p>
          <w:pPr>
            <w:pStyle w:val="31"/>
            <w:tabs>
              <w:tab w:val="right" w:leader="dot" w:pos="8306"/>
              <w:tab w:val="clear" w:pos="735"/>
              <w:tab w:val="clear" w:pos="8610"/>
            </w:tabs>
          </w:pPr>
          <w:r>
            <w:fldChar w:fldCharType="begin"/>
          </w:r>
          <w:r>
            <w:instrText xml:space="preserve"> HYPERLINK \l _Toc19851 </w:instrText>
          </w:r>
          <w:r>
            <w:fldChar w:fldCharType="separate"/>
          </w:r>
          <w:r>
            <w:rPr>
              <w:rFonts w:hint="eastAsia"/>
            </w:rPr>
            <w:t>4.2 审批部门审批决定</w:t>
          </w:r>
          <w:r>
            <w:tab/>
          </w:r>
          <w:r>
            <w:fldChar w:fldCharType="begin"/>
          </w:r>
          <w:r>
            <w:instrText xml:space="preserve"> PAGEREF _Toc19851 \h </w:instrText>
          </w:r>
          <w:r>
            <w:fldChar w:fldCharType="separate"/>
          </w:r>
          <w:r>
            <w:t>- 10 -</w:t>
          </w:r>
          <w:r>
            <w:fldChar w:fldCharType="end"/>
          </w:r>
          <w:r>
            <w:fldChar w:fldCharType="end"/>
          </w:r>
        </w:p>
        <w:p>
          <w:pPr>
            <w:pStyle w:val="31"/>
            <w:tabs>
              <w:tab w:val="right" w:leader="dot" w:pos="8306"/>
              <w:tab w:val="clear" w:pos="735"/>
              <w:tab w:val="clear" w:pos="8610"/>
            </w:tabs>
          </w:pPr>
          <w:r>
            <w:fldChar w:fldCharType="begin"/>
          </w:r>
          <w:r>
            <w:instrText xml:space="preserve"> HYPERLINK \l _Toc16671 </w:instrText>
          </w:r>
          <w:r>
            <w:fldChar w:fldCharType="separate"/>
          </w:r>
          <w:r>
            <w:rPr>
              <w:rFonts w:hint="eastAsia"/>
            </w:rPr>
            <w:t>4.3 环境保护措施落实情况</w:t>
          </w:r>
          <w:r>
            <w:tab/>
          </w:r>
          <w:r>
            <w:fldChar w:fldCharType="begin"/>
          </w:r>
          <w:r>
            <w:instrText xml:space="preserve"> PAGEREF _Toc16671 \h </w:instrText>
          </w:r>
          <w:r>
            <w:fldChar w:fldCharType="separate"/>
          </w:r>
          <w:r>
            <w:t>- 11 -</w:t>
          </w:r>
          <w:r>
            <w:fldChar w:fldCharType="end"/>
          </w:r>
          <w:r>
            <w:fldChar w:fldCharType="end"/>
          </w:r>
        </w:p>
        <w:p>
          <w:pPr>
            <w:pStyle w:val="26"/>
            <w:tabs>
              <w:tab w:val="right" w:leader="dot" w:pos="8306"/>
              <w:tab w:val="clear" w:pos="420"/>
              <w:tab w:val="clear" w:pos="8640"/>
            </w:tabs>
          </w:pPr>
          <w:r>
            <w:fldChar w:fldCharType="begin"/>
          </w:r>
          <w:r>
            <w:instrText xml:space="preserve"> HYPERLINK \l _Toc8450 </w:instrText>
          </w:r>
          <w:r>
            <w:fldChar w:fldCharType="separate"/>
          </w:r>
          <w:r>
            <w:rPr>
              <w:rFonts w:hint="eastAsia" w:eastAsia="仿宋_GB2312"/>
            </w:rPr>
            <w:t xml:space="preserve">5 </w:t>
          </w:r>
          <w:r>
            <w:rPr>
              <w:rFonts w:hint="eastAsia"/>
            </w:rPr>
            <w:t>验收监测质量保证及质量控制：</w:t>
          </w:r>
          <w:r>
            <w:tab/>
          </w:r>
          <w:r>
            <w:fldChar w:fldCharType="begin"/>
          </w:r>
          <w:r>
            <w:instrText xml:space="preserve"> PAGEREF _Toc8450 \h </w:instrText>
          </w:r>
          <w:r>
            <w:fldChar w:fldCharType="separate"/>
          </w:r>
          <w:r>
            <w:t>- 13 -</w:t>
          </w:r>
          <w:r>
            <w:fldChar w:fldCharType="end"/>
          </w:r>
          <w:r>
            <w:fldChar w:fldCharType="end"/>
          </w:r>
        </w:p>
        <w:p>
          <w:pPr>
            <w:pStyle w:val="31"/>
            <w:tabs>
              <w:tab w:val="right" w:leader="dot" w:pos="8306"/>
              <w:tab w:val="clear" w:pos="735"/>
              <w:tab w:val="clear" w:pos="8610"/>
            </w:tabs>
          </w:pPr>
          <w:r>
            <w:fldChar w:fldCharType="begin"/>
          </w:r>
          <w:r>
            <w:instrText xml:space="preserve"> HYPERLINK \l _Toc32610 </w:instrText>
          </w:r>
          <w:r>
            <w:fldChar w:fldCharType="separate"/>
          </w:r>
          <w:r>
            <w:rPr>
              <w:rFonts w:hint="eastAsia"/>
            </w:rPr>
            <w:t>5.1 监测分析方法</w:t>
          </w:r>
          <w:r>
            <w:tab/>
          </w:r>
          <w:r>
            <w:fldChar w:fldCharType="begin"/>
          </w:r>
          <w:r>
            <w:instrText xml:space="preserve"> PAGEREF _Toc32610 \h </w:instrText>
          </w:r>
          <w:r>
            <w:fldChar w:fldCharType="separate"/>
          </w:r>
          <w:r>
            <w:t>- 13 -</w:t>
          </w:r>
          <w:r>
            <w:fldChar w:fldCharType="end"/>
          </w:r>
          <w:r>
            <w:fldChar w:fldCharType="end"/>
          </w:r>
        </w:p>
        <w:p>
          <w:pPr>
            <w:pStyle w:val="31"/>
            <w:tabs>
              <w:tab w:val="right" w:leader="dot" w:pos="8306"/>
              <w:tab w:val="clear" w:pos="735"/>
              <w:tab w:val="clear" w:pos="8610"/>
            </w:tabs>
          </w:pPr>
          <w:r>
            <w:fldChar w:fldCharType="begin"/>
          </w:r>
          <w:r>
            <w:instrText xml:space="preserve"> HYPERLINK \l _Toc17162 </w:instrText>
          </w:r>
          <w:r>
            <w:fldChar w:fldCharType="separate"/>
          </w:r>
          <w:r>
            <w:rPr>
              <w:rFonts w:hint="eastAsia"/>
            </w:rPr>
            <w:t>5.2 监测仪器</w:t>
          </w:r>
          <w:r>
            <w:tab/>
          </w:r>
          <w:r>
            <w:fldChar w:fldCharType="begin"/>
          </w:r>
          <w:r>
            <w:instrText xml:space="preserve"> PAGEREF _Toc17162 \h </w:instrText>
          </w:r>
          <w:r>
            <w:fldChar w:fldCharType="separate"/>
          </w:r>
          <w:r>
            <w:t>- 13 -</w:t>
          </w:r>
          <w:r>
            <w:fldChar w:fldCharType="end"/>
          </w:r>
          <w:r>
            <w:fldChar w:fldCharType="end"/>
          </w:r>
        </w:p>
        <w:p>
          <w:pPr>
            <w:pStyle w:val="31"/>
            <w:tabs>
              <w:tab w:val="right" w:leader="dot" w:pos="8306"/>
              <w:tab w:val="clear" w:pos="735"/>
              <w:tab w:val="clear" w:pos="8610"/>
            </w:tabs>
          </w:pPr>
          <w:r>
            <w:fldChar w:fldCharType="begin"/>
          </w:r>
          <w:r>
            <w:instrText xml:space="preserve"> HYPERLINK \l _Toc8294 </w:instrText>
          </w:r>
          <w:r>
            <w:fldChar w:fldCharType="separate"/>
          </w:r>
          <w:r>
            <w:rPr>
              <w:rFonts w:hint="eastAsia"/>
            </w:rPr>
            <w:t>5.3 人员资质</w:t>
          </w:r>
          <w:r>
            <w:tab/>
          </w:r>
          <w:r>
            <w:fldChar w:fldCharType="begin"/>
          </w:r>
          <w:r>
            <w:instrText xml:space="preserve"> PAGEREF _Toc8294 \h </w:instrText>
          </w:r>
          <w:r>
            <w:fldChar w:fldCharType="separate"/>
          </w:r>
          <w:r>
            <w:t>- 13 -</w:t>
          </w:r>
          <w:r>
            <w:fldChar w:fldCharType="end"/>
          </w:r>
          <w:r>
            <w:fldChar w:fldCharType="end"/>
          </w:r>
        </w:p>
        <w:p>
          <w:pPr>
            <w:pStyle w:val="31"/>
            <w:tabs>
              <w:tab w:val="right" w:leader="dot" w:pos="8306"/>
              <w:tab w:val="clear" w:pos="735"/>
              <w:tab w:val="clear" w:pos="8610"/>
            </w:tabs>
          </w:pPr>
          <w:r>
            <w:fldChar w:fldCharType="begin"/>
          </w:r>
          <w:r>
            <w:instrText xml:space="preserve"> HYPERLINK \l _Toc329 </w:instrText>
          </w:r>
          <w:r>
            <w:fldChar w:fldCharType="separate"/>
          </w:r>
          <w:r>
            <w:rPr>
              <w:rFonts w:hint="eastAsia"/>
            </w:rPr>
            <w:t>5.4 质量保证和质量控制</w:t>
          </w:r>
          <w:r>
            <w:tab/>
          </w:r>
          <w:r>
            <w:fldChar w:fldCharType="begin"/>
          </w:r>
          <w:r>
            <w:instrText xml:space="preserve"> PAGEREF _Toc329 \h </w:instrText>
          </w:r>
          <w:r>
            <w:fldChar w:fldCharType="separate"/>
          </w:r>
          <w:r>
            <w:t>- 13 -</w:t>
          </w:r>
          <w:r>
            <w:fldChar w:fldCharType="end"/>
          </w:r>
          <w:r>
            <w:fldChar w:fldCharType="end"/>
          </w:r>
        </w:p>
        <w:p>
          <w:pPr>
            <w:pStyle w:val="26"/>
            <w:tabs>
              <w:tab w:val="right" w:leader="dot" w:pos="8306"/>
              <w:tab w:val="clear" w:pos="420"/>
              <w:tab w:val="clear" w:pos="8640"/>
            </w:tabs>
          </w:pPr>
          <w:r>
            <w:fldChar w:fldCharType="begin"/>
          </w:r>
          <w:r>
            <w:instrText xml:space="preserve"> HYPERLINK \l _Toc24049 </w:instrText>
          </w:r>
          <w:r>
            <w:fldChar w:fldCharType="separate"/>
          </w:r>
          <w:r>
            <w:rPr>
              <w:rFonts w:hint="eastAsia"/>
            </w:rPr>
            <w:t>6 验收监测内容</w:t>
          </w:r>
          <w:r>
            <w:tab/>
          </w:r>
          <w:r>
            <w:fldChar w:fldCharType="begin"/>
          </w:r>
          <w:r>
            <w:instrText xml:space="preserve"> PAGEREF _Toc24049 \h </w:instrText>
          </w:r>
          <w:r>
            <w:fldChar w:fldCharType="separate"/>
          </w:r>
          <w:r>
            <w:t>- 15 -</w:t>
          </w:r>
          <w:r>
            <w:fldChar w:fldCharType="end"/>
          </w:r>
          <w:r>
            <w:fldChar w:fldCharType="end"/>
          </w:r>
        </w:p>
        <w:p>
          <w:pPr>
            <w:pStyle w:val="31"/>
            <w:tabs>
              <w:tab w:val="right" w:leader="dot" w:pos="8306"/>
              <w:tab w:val="clear" w:pos="735"/>
              <w:tab w:val="clear" w:pos="8610"/>
            </w:tabs>
          </w:pPr>
          <w:r>
            <w:fldChar w:fldCharType="begin"/>
          </w:r>
          <w:r>
            <w:instrText xml:space="preserve"> HYPERLINK \l _Toc19315 </w:instrText>
          </w:r>
          <w:r>
            <w:fldChar w:fldCharType="separate"/>
          </w:r>
          <w:r>
            <w:rPr>
              <w:rFonts w:hint="eastAsia"/>
            </w:rPr>
            <w:t>6.1 污染物达标排放及环境保护设施运行效率监测内容</w:t>
          </w:r>
          <w:r>
            <w:tab/>
          </w:r>
          <w:r>
            <w:fldChar w:fldCharType="begin"/>
          </w:r>
          <w:r>
            <w:instrText xml:space="preserve"> PAGEREF _Toc19315 \h </w:instrText>
          </w:r>
          <w:r>
            <w:fldChar w:fldCharType="separate"/>
          </w:r>
          <w:r>
            <w:t>- 15 -</w:t>
          </w:r>
          <w:r>
            <w:fldChar w:fldCharType="end"/>
          </w:r>
          <w:r>
            <w:fldChar w:fldCharType="end"/>
          </w:r>
        </w:p>
        <w:p>
          <w:pPr>
            <w:pStyle w:val="26"/>
            <w:tabs>
              <w:tab w:val="right" w:leader="dot" w:pos="8306"/>
              <w:tab w:val="clear" w:pos="420"/>
              <w:tab w:val="clear" w:pos="8640"/>
            </w:tabs>
          </w:pPr>
          <w:r>
            <w:fldChar w:fldCharType="begin"/>
          </w:r>
          <w:r>
            <w:instrText xml:space="preserve"> HYPERLINK \l _Toc20084 </w:instrText>
          </w:r>
          <w:r>
            <w:fldChar w:fldCharType="separate"/>
          </w:r>
          <w:r>
            <w:rPr>
              <w:rFonts w:hint="eastAsia"/>
            </w:rPr>
            <w:t>7 验收监测期间生产工况记录：</w:t>
          </w:r>
          <w:r>
            <w:tab/>
          </w:r>
          <w:r>
            <w:fldChar w:fldCharType="begin"/>
          </w:r>
          <w:r>
            <w:instrText xml:space="preserve"> PAGEREF _Toc20084 \h </w:instrText>
          </w:r>
          <w:r>
            <w:fldChar w:fldCharType="separate"/>
          </w:r>
          <w:r>
            <w:t>- 16 -</w:t>
          </w:r>
          <w:r>
            <w:fldChar w:fldCharType="end"/>
          </w:r>
          <w:r>
            <w:fldChar w:fldCharType="end"/>
          </w:r>
        </w:p>
        <w:p>
          <w:pPr>
            <w:pStyle w:val="31"/>
            <w:tabs>
              <w:tab w:val="right" w:leader="dot" w:pos="8306"/>
              <w:tab w:val="clear" w:pos="735"/>
              <w:tab w:val="clear" w:pos="8610"/>
            </w:tabs>
          </w:pPr>
          <w:r>
            <w:fldChar w:fldCharType="begin"/>
          </w:r>
          <w:r>
            <w:instrText xml:space="preserve"> HYPERLINK \l _Toc5773 </w:instrText>
          </w:r>
          <w:r>
            <w:fldChar w:fldCharType="separate"/>
          </w:r>
          <w:r>
            <w:rPr>
              <w:rFonts w:hint="eastAsia"/>
            </w:rPr>
            <w:t>7.1 验收工况</w:t>
          </w:r>
          <w:r>
            <w:tab/>
          </w:r>
          <w:r>
            <w:fldChar w:fldCharType="begin"/>
          </w:r>
          <w:r>
            <w:instrText xml:space="preserve"> PAGEREF _Toc5773 \h </w:instrText>
          </w:r>
          <w:r>
            <w:fldChar w:fldCharType="separate"/>
          </w:r>
          <w:r>
            <w:t>- 16 -</w:t>
          </w:r>
          <w:r>
            <w:fldChar w:fldCharType="end"/>
          </w:r>
          <w:r>
            <w:fldChar w:fldCharType="end"/>
          </w:r>
        </w:p>
        <w:p>
          <w:pPr>
            <w:pStyle w:val="31"/>
            <w:tabs>
              <w:tab w:val="right" w:leader="dot" w:pos="8306"/>
              <w:tab w:val="clear" w:pos="735"/>
              <w:tab w:val="clear" w:pos="8610"/>
            </w:tabs>
          </w:pPr>
          <w:r>
            <w:fldChar w:fldCharType="begin"/>
          </w:r>
          <w:r>
            <w:instrText xml:space="preserve"> HYPERLINK \l _Toc2643 </w:instrText>
          </w:r>
          <w:r>
            <w:fldChar w:fldCharType="separate"/>
          </w:r>
          <w:r>
            <w:rPr>
              <w:rFonts w:hint="eastAsia"/>
            </w:rPr>
            <w:t>7.2 验收监测结果</w:t>
          </w:r>
          <w:r>
            <w:tab/>
          </w:r>
          <w:r>
            <w:fldChar w:fldCharType="begin"/>
          </w:r>
          <w:r>
            <w:instrText xml:space="preserve"> PAGEREF _Toc2643 \h </w:instrText>
          </w:r>
          <w:r>
            <w:fldChar w:fldCharType="separate"/>
          </w:r>
          <w:r>
            <w:t>- 16 -</w:t>
          </w:r>
          <w:r>
            <w:fldChar w:fldCharType="end"/>
          </w:r>
          <w:r>
            <w:fldChar w:fldCharType="end"/>
          </w:r>
        </w:p>
        <w:p>
          <w:pPr>
            <w:pStyle w:val="26"/>
            <w:tabs>
              <w:tab w:val="right" w:leader="dot" w:pos="8306"/>
              <w:tab w:val="clear" w:pos="420"/>
              <w:tab w:val="clear" w:pos="8640"/>
            </w:tabs>
          </w:pPr>
          <w:r>
            <w:fldChar w:fldCharType="begin"/>
          </w:r>
          <w:r>
            <w:instrText xml:space="preserve"> HYPERLINK \l _Toc14942 </w:instrText>
          </w:r>
          <w:r>
            <w:fldChar w:fldCharType="separate"/>
          </w:r>
          <w:r>
            <w:rPr>
              <w:rFonts w:hint="eastAsia" w:eastAsia="仿宋_GB2312"/>
            </w:rPr>
            <w:t xml:space="preserve">8 </w:t>
          </w:r>
          <w:r>
            <w:rPr>
              <w:rFonts w:hint="eastAsia"/>
            </w:rPr>
            <w:t>验收监测结论</w:t>
          </w:r>
          <w:r>
            <w:tab/>
          </w:r>
          <w:r>
            <w:fldChar w:fldCharType="begin"/>
          </w:r>
          <w:r>
            <w:instrText xml:space="preserve"> PAGEREF _Toc14942 \h </w:instrText>
          </w:r>
          <w:r>
            <w:fldChar w:fldCharType="separate"/>
          </w:r>
          <w:r>
            <w:t>- 19 -</w:t>
          </w:r>
          <w:r>
            <w:fldChar w:fldCharType="end"/>
          </w:r>
          <w:r>
            <w:fldChar w:fldCharType="end"/>
          </w:r>
        </w:p>
        <w:p>
          <w:pPr>
            <w:pStyle w:val="31"/>
            <w:tabs>
              <w:tab w:val="right" w:leader="dot" w:pos="8306"/>
              <w:tab w:val="clear" w:pos="735"/>
              <w:tab w:val="clear" w:pos="8610"/>
            </w:tabs>
          </w:pPr>
          <w:r>
            <w:fldChar w:fldCharType="begin"/>
          </w:r>
          <w:r>
            <w:instrText xml:space="preserve"> HYPERLINK \l _Toc25921 </w:instrText>
          </w:r>
          <w:r>
            <w:fldChar w:fldCharType="separate"/>
          </w:r>
          <w:r>
            <w:rPr>
              <w:rFonts w:hint="eastAsia"/>
            </w:rPr>
            <w:t>8.1 结论</w:t>
          </w:r>
          <w:r>
            <w:tab/>
          </w:r>
          <w:r>
            <w:fldChar w:fldCharType="begin"/>
          </w:r>
          <w:r>
            <w:instrText xml:space="preserve"> PAGEREF _Toc25921 \h </w:instrText>
          </w:r>
          <w:r>
            <w:fldChar w:fldCharType="separate"/>
          </w:r>
          <w:r>
            <w:t>- 19 -</w:t>
          </w:r>
          <w:r>
            <w:fldChar w:fldCharType="end"/>
          </w:r>
          <w:r>
            <w:fldChar w:fldCharType="end"/>
          </w:r>
        </w:p>
        <w:p>
          <w:pPr>
            <w:pStyle w:val="31"/>
            <w:tabs>
              <w:tab w:val="right" w:leader="dot" w:pos="8306"/>
              <w:tab w:val="clear" w:pos="735"/>
              <w:tab w:val="clear" w:pos="8610"/>
            </w:tabs>
          </w:pPr>
          <w:r>
            <w:fldChar w:fldCharType="begin"/>
          </w:r>
          <w:r>
            <w:instrText xml:space="preserve"> HYPERLINK \l _Toc4641 </w:instrText>
          </w:r>
          <w:r>
            <w:fldChar w:fldCharType="separate"/>
          </w:r>
          <w:r>
            <w:rPr>
              <w:rFonts w:hint="eastAsia"/>
            </w:rPr>
            <w:t>8.2 建议</w:t>
          </w:r>
          <w:r>
            <w:tab/>
          </w:r>
          <w:r>
            <w:fldChar w:fldCharType="begin"/>
          </w:r>
          <w:r>
            <w:instrText xml:space="preserve"> PAGEREF _Toc4641 \h </w:instrText>
          </w:r>
          <w:r>
            <w:fldChar w:fldCharType="separate"/>
          </w:r>
          <w:r>
            <w:t>- 19 -</w:t>
          </w:r>
          <w:r>
            <w:fldChar w:fldCharType="end"/>
          </w:r>
          <w:r>
            <w:fldChar w:fldCharType="end"/>
          </w:r>
        </w:p>
        <w:p>
          <w:pPr>
            <w:pStyle w:val="26"/>
            <w:tabs>
              <w:tab w:val="right" w:leader="dot" w:pos="8306"/>
              <w:tab w:val="clear" w:pos="420"/>
              <w:tab w:val="clear" w:pos="8640"/>
            </w:tabs>
          </w:pPr>
          <w:r>
            <w:fldChar w:fldCharType="begin"/>
          </w:r>
          <w:r>
            <w:instrText xml:space="preserve"> HYPERLINK \l _Toc11610 </w:instrText>
          </w:r>
          <w:r>
            <w:fldChar w:fldCharType="separate"/>
          </w:r>
          <w:r>
            <w:rPr>
              <w:rFonts w:hint="eastAsia"/>
            </w:rPr>
            <w:t>9 附件与附图</w:t>
          </w:r>
          <w:r>
            <w:tab/>
          </w:r>
          <w:r>
            <w:fldChar w:fldCharType="begin"/>
          </w:r>
          <w:r>
            <w:instrText xml:space="preserve"> PAGEREF _Toc11610 \h </w:instrText>
          </w:r>
          <w:r>
            <w:fldChar w:fldCharType="separate"/>
          </w:r>
          <w:r>
            <w:t>- 20 -</w:t>
          </w:r>
          <w:r>
            <w:fldChar w:fldCharType="end"/>
          </w:r>
          <w:r>
            <w:fldChar w:fldCharType="end"/>
          </w:r>
        </w:p>
        <w:p>
          <w:pPr>
            <w:pStyle w:val="31"/>
            <w:tabs>
              <w:tab w:val="right" w:leader="dot" w:pos="8306"/>
              <w:tab w:val="clear" w:pos="735"/>
              <w:tab w:val="clear" w:pos="8610"/>
            </w:tabs>
          </w:pPr>
          <w:r>
            <w:fldChar w:fldCharType="begin"/>
          </w:r>
          <w:r>
            <w:instrText xml:space="preserve"> HYPERLINK \l _Toc14038 </w:instrText>
          </w:r>
          <w:r>
            <w:fldChar w:fldCharType="separate"/>
          </w:r>
          <w:r>
            <w:rPr>
              <w:rFonts w:hint="eastAsia"/>
            </w:rPr>
            <w:t>9.1 附件一 营业执照</w:t>
          </w:r>
          <w:r>
            <w:tab/>
          </w:r>
          <w:r>
            <w:fldChar w:fldCharType="begin"/>
          </w:r>
          <w:r>
            <w:instrText xml:space="preserve"> PAGEREF _Toc14038 \h </w:instrText>
          </w:r>
          <w:r>
            <w:fldChar w:fldCharType="separate"/>
          </w:r>
          <w:r>
            <w:t>- 20 -</w:t>
          </w:r>
          <w:r>
            <w:fldChar w:fldCharType="end"/>
          </w:r>
          <w:r>
            <w:fldChar w:fldCharType="end"/>
          </w:r>
        </w:p>
        <w:p>
          <w:pPr>
            <w:pStyle w:val="31"/>
            <w:tabs>
              <w:tab w:val="right" w:leader="dot" w:pos="8306"/>
              <w:tab w:val="clear" w:pos="735"/>
              <w:tab w:val="clear" w:pos="8610"/>
            </w:tabs>
          </w:pPr>
          <w:r>
            <w:fldChar w:fldCharType="begin"/>
          </w:r>
          <w:r>
            <w:instrText xml:space="preserve"> HYPERLINK \l _Toc1756 </w:instrText>
          </w:r>
          <w:r>
            <w:fldChar w:fldCharType="separate"/>
          </w:r>
          <w:r>
            <w:rPr>
              <w:rFonts w:hint="eastAsia"/>
            </w:rPr>
            <w:t>9.2 附件二 环评</w:t>
          </w:r>
          <w:r>
            <w:rPr>
              <w:rFonts w:hint="eastAsia"/>
              <w:lang w:val="en-US" w:eastAsia="zh-CN"/>
            </w:rPr>
            <w:t>批复</w:t>
          </w:r>
          <w:r>
            <w:tab/>
          </w:r>
          <w:r>
            <w:fldChar w:fldCharType="begin"/>
          </w:r>
          <w:r>
            <w:instrText xml:space="preserve"> PAGEREF _Toc1756 \h </w:instrText>
          </w:r>
          <w:r>
            <w:fldChar w:fldCharType="separate"/>
          </w:r>
          <w:r>
            <w:t>- 21 -</w:t>
          </w:r>
          <w:r>
            <w:fldChar w:fldCharType="end"/>
          </w:r>
          <w:r>
            <w:fldChar w:fldCharType="end"/>
          </w:r>
        </w:p>
        <w:p>
          <w:pPr>
            <w:pStyle w:val="31"/>
            <w:tabs>
              <w:tab w:val="right" w:leader="dot" w:pos="8306"/>
              <w:tab w:val="clear" w:pos="735"/>
              <w:tab w:val="clear" w:pos="8610"/>
            </w:tabs>
          </w:pPr>
          <w:r>
            <w:fldChar w:fldCharType="begin"/>
          </w:r>
          <w:r>
            <w:instrText xml:space="preserve"> HYPERLINK \l _Toc6022 </w:instrText>
          </w:r>
          <w:r>
            <w:fldChar w:fldCharType="separate"/>
          </w:r>
          <w:r>
            <w:rPr>
              <w:rFonts w:hint="eastAsia"/>
            </w:rPr>
            <w:t>9.3 附件三 检测报告</w:t>
          </w:r>
          <w:r>
            <w:tab/>
          </w:r>
          <w:r>
            <w:fldChar w:fldCharType="begin"/>
          </w:r>
          <w:r>
            <w:instrText xml:space="preserve"> PAGEREF _Toc6022 \h </w:instrText>
          </w:r>
          <w:r>
            <w:fldChar w:fldCharType="separate"/>
          </w:r>
          <w:r>
            <w:t>- 23 -</w:t>
          </w:r>
          <w:r>
            <w:fldChar w:fldCharType="end"/>
          </w:r>
          <w:r>
            <w:fldChar w:fldCharType="end"/>
          </w:r>
        </w:p>
        <w:p>
          <w:pPr>
            <w:pStyle w:val="31"/>
            <w:tabs>
              <w:tab w:val="right" w:leader="dot" w:pos="8306"/>
              <w:tab w:val="clear" w:pos="735"/>
              <w:tab w:val="clear" w:pos="8610"/>
            </w:tabs>
          </w:pPr>
          <w:r>
            <w:fldChar w:fldCharType="begin"/>
          </w:r>
          <w:r>
            <w:instrText xml:space="preserve"> HYPERLINK \l _Toc20676 </w:instrText>
          </w:r>
          <w:r>
            <w:fldChar w:fldCharType="separate"/>
          </w:r>
          <w:r>
            <w:rPr>
              <w:rFonts w:hint="eastAsia"/>
            </w:rPr>
            <w:t>9.4 附图一  项目地理位置示意图</w:t>
          </w:r>
          <w:r>
            <w:tab/>
          </w:r>
          <w:r>
            <w:fldChar w:fldCharType="begin"/>
          </w:r>
          <w:r>
            <w:instrText xml:space="preserve"> PAGEREF _Toc20676 \h </w:instrText>
          </w:r>
          <w:r>
            <w:fldChar w:fldCharType="separate"/>
          </w:r>
          <w:r>
            <w:t>- 29 -</w:t>
          </w:r>
          <w:r>
            <w:fldChar w:fldCharType="end"/>
          </w:r>
          <w:r>
            <w:fldChar w:fldCharType="end"/>
          </w:r>
        </w:p>
        <w:p>
          <w:pPr>
            <w:pStyle w:val="26"/>
            <w:tabs>
              <w:tab w:val="right" w:leader="dot" w:pos="8306"/>
              <w:tab w:val="clear" w:pos="420"/>
              <w:tab w:val="clear" w:pos="8640"/>
            </w:tabs>
          </w:pPr>
          <w:r>
            <w:fldChar w:fldCharType="begin"/>
          </w:r>
          <w:r>
            <w:instrText xml:space="preserve"> HYPERLINK \l _Toc23307 </w:instrText>
          </w:r>
          <w:r>
            <w:fldChar w:fldCharType="separate"/>
          </w:r>
          <w:r>
            <w:rPr>
              <w:rFonts w:hint="default"/>
              <w:lang w:eastAsia="zh-CN"/>
            </w:rPr>
            <w:t>其他事项说明</w:t>
          </w:r>
          <w:r>
            <w:tab/>
          </w:r>
          <w:r>
            <w:fldChar w:fldCharType="begin"/>
          </w:r>
          <w:r>
            <w:instrText xml:space="preserve"> PAGEREF _Toc23307 \h </w:instrText>
          </w:r>
          <w:r>
            <w:fldChar w:fldCharType="separate"/>
          </w:r>
          <w:r>
            <w:t>- 30 -</w:t>
          </w:r>
          <w:r>
            <w:fldChar w:fldCharType="end"/>
          </w:r>
          <w:r>
            <w:fldChar w:fldCharType="end"/>
          </w:r>
        </w:p>
        <w:p>
          <w:r>
            <w:fldChar w:fldCharType="end"/>
          </w:r>
        </w:p>
      </w:sdtContent>
    </w:sdt>
    <w:p>
      <w:pPr>
        <w:spacing w:line="360" w:lineRule="auto"/>
        <w:rPr>
          <w:rFonts w:ascii="仿宋_GB2312" w:eastAsia="仿宋_GB2312"/>
          <w:color w:val="000000"/>
          <w:sz w:val="24"/>
        </w:rPr>
        <w:sectPr>
          <w:type w:val="continuous"/>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pStyle w:val="3"/>
        <w:rPr>
          <w:rFonts w:eastAsia="仿宋_GB2312"/>
        </w:rPr>
      </w:pPr>
      <w:bookmarkStart w:id="2" w:name="_Toc31572"/>
      <w:bookmarkStart w:id="3" w:name="_Toc11317"/>
      <w:r>
        <w:t>建设项目</w:t>
      </w:r>
      <w:r>
        <w:rPr>
          <w:rFonts w:hint="eastAsia"/>
        </w:rPr>
        <w:t>基本情况</w:t>
      </w:r>
      <w:bookmarkEnd w:id="2"/>
      <w:bookmarkEnd w:id="3"/>
    </w:p>
    <w:tbl>
      <w:tblPr>
        <w:tblStyle w:val="37"/>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703"/>
        <w:gridCol w:w="2221"/>
        <w:gridCol w:w="1212"/>
        <w:gridCol w:w="1011"/>
        <w:gridCol w:w="129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5" w:type="dxa"/>
            <w:vAlign w:val="center"/>
          </w:tcPr>
          <w:p>
            <w:pPr>
              <w:rPr>
                <w:rFonts w:ascii="宋体" w:hAnsi="宋体"/>
                <w:color w:val="000000"/>
                <w:szCs w:val="21"/>
              </w:rPr>
            </w:pPr>
            <w:r>
              <w:rPr>
                <w:rFonts w:ascii="宋体" w:hAnsi="宋体"/>
                <w:color w:val="000000"/>
                <w:szCs w:val="21"/>
              </w:rPr>
              <w:t>建设项目名称</w:t>
            </w:r>
          </w:p>
        </w:tc>
        <w:tc>
          <w:tcPr>
            <w:tcW w:w="7339" w:type="dxa"/>
            <w:gridSpan w:val="5"/>
            <w:vAlign w:val="center"/>
          </w:tcPr>
          <w:p>
            <w:pPr>
              <w:rPr>
                <w:rFonts w:hint="default" w:eastAsia="宋体"/>
                <w:color w:val="000000"/>
                <w:szCs w:val="21"/>
                <w:lang w:val="en-US" w:eastAsia="zh-CN"/>
              </w:rPr>
            </w:pPr>
            <w:r>
              <w:rPr>
                <w:rFonts w:hint="eastAsia"/>
                <w:lang w:val="en-US" w:eastAsia="zh-CN"/>
              </w:rPr>
              <w:t>建筑垃圾可循环处理项目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5" w:type="dxa"/>
            <w:vAlign w:val="center"/>
          </w:tcPr>
          <w:p>
            <w:pPr>
              <w:rPr>
                <w:rFonts w:ascii="宋体" w:hAnsi="宋体"/>
                <w:color w:val="000000"/>
                <w:szCs w:val="21"/>
              </w:rPr>
            </w:pPr>
            <w:r>
              <w:rPr>
                <w:rFonts w:ascii="宋体" w:hAnsi="宋体"/>
                <w:color w:val="000000"/>
                <w:szCs w:val="21"/>
              </w:rPr>
              <w:t>建设单位名称</w:t>
            </w:r>
          </w:p>
        </w:tc>
        <w:tc>
          <w:tcPr>
            <w:tcW w:w="7339" w:type="dxa"/>
            <w:gridSpan w:val="5"/>
            <w:vAlign w:val="center"/>
          </w:tcPr>
          <w:p>
            <w:pPr>
              <w:rPr>
                <w:rFonts w:hint="default" w:eastAsia="宋体"/>
                <w:color w:val="000000"/>
                <w:szCs w:val="21"/>
                <w:lang w:val="en-US" w:eastAsia="zh-CN"/>
              </w:rPr>
            </w:pPr>
            <w:r>
              <w:rPr>
                <w:rFonts w:hint="eastAsia"/>
                <w:lang w:val="en-US" w:eastAsia="zh-CN"/>
              </w:rPr>
              <w:t>宁波市海曙住建建筑垃圾处理服务有限公司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5" w:type="dxa"/>
            <w:vAlign w:val="center"/>
          </w:tcPr>
          <w:p>
            <w:pPr>
              <w:rPr>
                <w:rFonts w:ascii="宋体" w:hAnsi="宋体"/>
                <w:color w:val="000000"/>
                <w:szCs w:val="21"/>
              </w:rPr>
            </w:pPr>
            <w:r>
              <w:rPr>
                <w:rFonts w:ascii="宋体" w:hAnsi="宋体"/>
                <w:color w:val="000000"/>
                <w:szCs w:val="21"/>
              </w:rPr>
              <w:t>建设项目性质</w:t>
            </w:r>
          </w:p>
        </w:tc>
        <w:tc>
          <w:tcPr>
            <w:tcW w:w="7339" w:type="dxa"/>
            <w:gridSpan w:val="5"/>
            <w:vAlign w:val="center"/>
          </w:tcPr>
          <w:p>
            <w:pPr>
              <w:rPr>
                <w:rFonts w:hint="eastAsia" w:eastAsia="宋体"/>
                <w:color w:val="000000"/>
                <w:szCs w:val="21"/>
                <w:lang w:eastAsia="zh-CN"/>
              </w:rPr>
            </w:pPr>
            <w:r>
              <w:rPr>
                <w:rFonts w:hint="eastAsia"/>
                <w:color w:val="000000"/>
                <w:szCs w:val="21"/>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5" w:type="dxa"/>
            <w:vAlign w:val="center"/>
          </w:tcPr>
          <w:p>
            <w:pPr>
              <w:rPr>
                <w:rFonts w:ascii="宋体" w:hAnsi="宋体"/>
                <w:color w:val="000000"/>
                <w:szCs w:val="21"/>
              </w:rPr>
            </w:pPr>
            <w:r>
              <w:rPr>
                <w:rFonts w:ascii="宋体" w:hAnsi="宋体"/>
                <w:color w:val="000000"/>
                <w:szCs w:val="21"/>
              </w:rPr>
              <w:t>建设地点</w:t>
            </w:r>
          </w:p>
        </w:tc>
        <w:tc>
          <w:tcPr>
            <w:tcW w:w="7339" w:type="dxa"/>
            <w:gridSpan w:val="5"/>
            <w:vAlign w:val="center"/>
          </w:tcPr>
          <w:p>
            <w:pPr>
              <w:rPr>
                <w:rFonts w:hint="default" w:eastAsia="宋体"/>
                <w:color w:val="000000"/>
                <w:szCs w:val="21"/>
                <w:lang w:val="en-US" w:eastAsia="zh-CN"/>
              </w:rPr>
            </w:pPr>
            <w:r>
              <w:rPr>
                <w:rFonts w:hint="eastAsia"/>
                <w:lang w:val="en-US" w:eastAsia="zh-CN"/>
              </w:rPr>
              <w:t>浙江省宁波市海曙区古林镇葑水港村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5" w:type="dxa"/>
            <w:vAlign w:val="center"/>
          </w:tcPr>
          <w:p>
            <w:pPr>
              <w:rPr>
                <w:rFonts w:ascii="宋体" w:hAnsi="宋体"/>
                <w:color w:val="000000"/>
                <w:szCs w:val="21"/>
              </w:rPr>
            </w:pPr>
            <w:r>
              <w:rPr>
                <w:rFonts w:ascii="宋体" w:hAnsi="宋体"/>
                <w:color w:val="000000"/>
                <w:szCs w:val="21"/>
              </w:rPr>
              <w:t>主要产品名称</w:t>
            </w:r>
          </w:p>
        </w:tc>
        <w:tc>
          <w:tcPr>
            <w:tcW w:w="7339" w:type="dxa"/>
            <w:gridSpan w:val="5"/>
            <w:vAlign w:val="center"/>
          </w:tcPr>
          <w:p>
            <w:pPr>
              <w:rPr>
                <w:rFonts w:hint="default" w:eastAsia="宋体"/>
                <w:color w:val="000000"/>
                <w:szCs w:val="21"/>
                <w:lang w:val="en-US" w:eastAsia="zh-CN"/>
              </w:rPr>
            </w:pPr>
            <w:r>
              <w:rPr>
                <w:rFonts w:hint="eastAsia"/>
                <w:color w:val="000000"/>
                <w:szCs w:val="21"/>
                <w:lang w:val="en-US" w:eastAsia="zh-CN"/>
              </w:rPr>
              <w:t>石子、石粉、瓜子片、木屑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5" w:type="dxa"/>
            <w:vAlign w:val="center"/>
          </w:tcPr>
          <w:p>
            <w:pPr>
              <w:rPr>
                <w:rFonts w:ascii="宋体" w:hAnsi="宋体"/>
                <w:color w:val="000000"/>
                <w:szCs w:val="21"/>
              </w:rPr>
            </w:pPr>
            <w:r>
              <w:rPr>
                <w:rFonts w:ascii="宋体" w:hAnsi="宋体"/>
                <w:color w:val="000000"/>
                <w:szCs w:val="21"/>
              </w:rPr>
              <w:t>设计生产能力</w:t>
            </w:r>
          </w:p>
        </w:tc>
        <w:tc>
          <w:tcPr>
            <w:tcW w:w="7339" w:type="dxa"/>
            <w:gridSpan w:val="5"/>
            <w:vAlign w:val="center"/>
          </w:tcPr>
          <w:p>
            <w:pPr>
              <w:rPr>
                <w:rFonts w:hint="default" w:eastAsia="宋体"/>
                <w:color w:val="000000"/>
                <w:szCs w:val="21"/>
                <w:lang w:val="en-US" w:eastAsia="zh-CN"/>
              </w:rPr>
            </w:pPr>
            <w:r>
              <w:rPr>
                <w:rFonts w:hint="eastAsia"/>
                <w:color w:val="000000"/>
                <w:szCs w:val="21"/>
                <w:lang w:val="en-US" w:eastAsia="zh-CN"/>
              </w:rPr>
              <w:t>年处理量共计约75万吨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5" w:type="dxa"/>
            <w:vAlign w:val="center"/>
          </w:tcPr>
          <w:p>
            <w:pPr>
              <w:rPr>
                <w:rFonts w:ascii="宋体" w:hAnsi="宋体"/>
                <w:color w:val="000000"/>
                <w:szCs w:val="21"/>
              </w:rPr>
            </w:pPr>
            <w:r>
              <w:rPr>
                <w:rFonts w:ascii="宋体" w:hAnsi="宋体"/>
                <w:color w:val="000000"/>
                <w:szCs w:val="21"/>
              </w:rPr>
              <w:t>实际生产能力</w:t>
            </w:r>
          </w:p>
        </w:tc>
        <w:tc>
          <w:tcPr>
            <w:tcW w:w="7339" w:type="dxa"/>
            <w:gridSpan w:val="5"/>
            <w:vAlign w:val="center"/>
          </w:tcPr>
          <w:p>
            <w:pPr>
              <w:rPr>
                <w:rFonts w:hint="default" w:eastAsia="宋体"/>
                <w:color w:val="000000"/>
                <w:szCs w:val="21"/>
                <w:lang w:val="en-US" w:eastAsia="zh-CN"/>
              </w:rPr>
            </w:pPr>
            <w:r>
              <w:rPr>
                <w:rFonts w:hint="eastAsia"/>
                <w:color w:val="000000"/>
                <w:szCs w:val="21"/>
                <w:lang w:val="en-US" w:eastAsia="zh-CN"/>
              </w:rPr>
              <w:t>年处理量共计约75万吨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5" w:type="dxa"/>
            <w:vAlign w:val="center"/>
          </w:tcPr>
          <w:p>
            <w:pPr>
              <w:rPr>
                <w:rFonts w:ascii="宋体" w:hAnsi="宋体"/>
                <w:color w:val="000000"/>
                <w:szCs w:val="21"/>
              </w:rPr>
            </w:pPr>
            <w:r>
              <w:rPr>
                <w:rFonts w:ascii="宋体" w:hAnsi="宋体"/>
                <w:color w:val="000000"/>
                <w:szCs w:val="21"/>
              </w:rPr>
              <w:t>建设项目环评时间</w:t>
            </w:r>
          </w:p>
        </w:tc>
        <w:tc>
          <w:tcPr>
            <w:tcW w:w="2552" w:type="dxa"/>
            <w:vAlign w:val="center"/>
          </w:tcPr>
          <w:p>
            <w:pPr>
              <w:rPr>
                <w:rFonts w:hint="default" w:eastAsia="宋体"/>
                <w:color w:val="000000"/>
                <w:szCs w:val="21"/>
                <w:lang w:val="en-US" w:eastAsia="zh-CN"/>
              </w:rPr>
            </w:pPr>
            <w:r>
              <w:rPr>
                <w:rFonts w:hint="eastAsia"/>
                <w:color w:val="000000"/>
                <w:szCs w:val="21"/>
                <w:lang w:val="en-US" w:eastAsia="zh-CN"/>
              </w:rPr>
              <w:t>2021年9月</w:t>
            </w:r>
          </w:p>
        </w:tc>
        <w:tc>
          <w:tcPr>
            <w:tcW w:w="1984" w:type="dxa"/>
            <w:vAlign w:val="center"/>
          </w:tcPr>
          <w:p>
            <w:pPr>
              <w:rPr>
                <w:color w:val="000000"/>
                <w:szCs w:val="21"/>
              </w:rPr>
            </w:pPr>
            <w:r>
              <w:rPr>
                <w:color w:val="000000"/>
                <w:szCs w:val="21"/>
              </w:rPr>
              <w:t>开工建设时间</w:t>
            </w:r>
          </w:p>
        </w:tc>
        <w:tc>
          <w:tcPr>
            <w:tcW w:w="2803" w:type="dxa"/>
            <w:gridSpan w:val="3"/>
            <w:vAlign w:val="center"/>
          </w:tcPr>
          <w:p>
            <w:pPr>
              <w:rPr>
                <w:rFonts w:hint="default" w:eastAsia="宋体"/>
                <w:color w:val="000000"/>
                <w:szCs w:val="21"/>
                <w:lang w:val="en-US" w:eastAsia="zh-CN"/>
              </w:rPr>
            </w:pPr>
            <w:r>
              <w:rPr>
                <w:rFonts w:hint="eastAsia"/>
                <w:color w:val="000000"/>
                <w:szCs w:val="21"/>
                <w:lang w:val="en-US" w:eastAsia="zh-CN"/>
              </w:rPr>
              <w:t>2021年10月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5" w:type="dxa"/>
            <w:vAlign w:val="center"/>
          </w:tcPr>
          <w:p>
            <w:pPr>
              <w:rPr>
                <w:rFonts w:ascii="宋体" w:hAnsi="宋体"/>
                <w:color w:val="000000"/>
                <w:szCs w:val="21"/>
              </w:rPr>
            </w:pPr>
            <w:r>
              <w:rPr>
                <w:rFonts w:hint="eastAsia" w:ascii="宋体" w:hAnsi="宋体"/>
                <w:color w:val="000000"/>
                <w:szCs w:val="21"/>
              </w:rPr>
              <w:t>调试</w:t>
            </w:r>
            <w:r>
              <w:rPr>
                <w:rFonts w:ascii="宋体" w:hAnsi="宋体"/>
                <w:color w:val="000000"/>
                <w:szCs w:val="21"/>
              </w:rPr>
              <w:t>时间</w:t>
            </w:r>
          </w:p>
        </w:tc>
        <w:tc>
          <w:tcPr>
            <w:tcW w:w="2552" w:type="dxa"/>
            <w:vAlign w:val="center"/>
          </w:tcPr>
          <w:p>
            <w:pPr>
              <w:rPr>
                <w:rFonts w:hint="default" w:eastAsia="宋体"/>
                <w:color w:val="000000"/>
                <w:szCs w:val="21"/>
                <w:lang w:val="en-US" w:eastAsia="zh-CN"/>
              </w:rPr>
            </w:pPr>
            <w:r>
              <w:rPr>
                <w:rFonts w:hint="eastAsia"/>
                <w:color w:val="000000"/>
                <w:szCs w:val="21"/>
                <w:lang w:val="en-US" w:eastAsia="zh-CN"/>
              </w:rPr>
              <w:t>2022年1月</w:t>
            </w:r>
          </w:p>
        </w:tc>
        <w:tc>
          <w:tcPr>
            <w:tcW w:w="1984" w:type="dxa"/>
            <w:vAlign w:val="center"/>
          </w:tcPr>
          <w:p>
            <w:pPr>
              <w:rPr>
                <w:color w:val="000000"/>
                <w:szCs w:val="21"/>
              </w:rPr>
            </w:pPr>
            <w:r>
              <w:rPr>
                <w:color w:val="000000"/>
                <w:szCs w:val="21"/>
              </w:rPr>
              <w:t>验收现场监测时间</w:t>
            </w:r>
          </w:p>
        </w:tc>
        <w:tc>
          <w:tcPr>
            <w:tcW w:w="2803" w:type="dxa"/>
            <w:gridSpan w:val="3"/>
            <w:vAlign w:val="center"/>
          </w:tcPr>
          <w:p>
            <w:pPr>
              <w:rPr>
                <w:rFonts w:hint="default" w:eastAsia="宋体"/>
                <w:color w:val="000000"/>
                <w:szCs w:val="21"/>
                <w:lang w:val="en-US" w:eastAsia="zh-CN"/>
              </w:rPr>
            </w:pPr>
            <w:r>
              <w:rPr>
                <w:rFonts w:hint="eastAsia"/>
                <w:color w:val="000000"/>
                <w:szCs w:val="21"/>
                <w:lang w:val="en-US" w:eastAsia="zh-CN"/>
              </w:rPr>
              <w:t>2022年2月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85" w:type="dxa"/>
            <w:vAlign w:val="center"/>
          </w:tcPr>
          <w:p>
            <w:pPr>
              <w:rPr>
                <w:rFonts w:ascii="宋体" w:hAnsi="宋体"/>
                <w:color w:val="000000"/>
                <w:szCs w:val="21"/>
              </w:rPr>
            </w:pPr>
            <w:r>
              <w:rPr>
                <w:rFonts w:ascii="宋体" w:hAnsi="宋体"/>
                <w:color w:val="000000"/>
                <w:szCs w:val="21"/>
              </w:rPr>
              <w:t>环评报告表</w:t>
            </w:r>
          </w:p>
          <w:p>
            <w:pPr>
              <w:rPr>
                <w:rFonts w:ascii="宋体" w:hAnsi="宋体"/>
                <w:color w:val="000000"/>
                <w:szCs w:val="21"/>
              </w:rPr>
            </w:pPr>
            <w:r>
              <w:rPr>
                <w:rFonts w:ascii="宋体" w:hAnsi="宋体"/>
                <w:color w:val="000000"/>
                <w:szCs w:val="21"/>
              </w:rPr>
              <w:t>审批部门</w:t>
            </w:r>
          </w:p>
        </w:tc>
        <w:tc>
          <w:tcPr>
            <w:tcW w:w="2552" w:type="dxa"/>
            <w:vAlign w:val="center"/>
          </w:tcPr>
          <w:p>
            <w:pPr>
              <w:rPr>
                <w:rFonts w:hint="default" w:eastAsia="宋体"/>
                <w:color w:val="000000"/>
                <w:szCs w:val="21"/>
                <w:lang w:val="en-US" w:eastAsia="zh-CN"/>
              </w:rPr>
            </w:pPr>
            <w:r>
              <w:rPr>
                <w:rFonts w:hint="eastAsia"/>
                <w:color w:val="000000"/>
                <w:szCs w:val="21"/>
                <w:lang w:val="en-US" w:eastAsia="zh-CN"/>
              </w:rPr>
              <w:t>宁波市生态环境局海曙分局</w:t>
            </w:r>
          </w:p>
        </w:tc>
        <w:tc>
          <w:tcPr>
            <w:tcW w:w="1984" w:type="dxa"/>
            <w:vAlign w:val="center"/>
          </w:tcPr>
          <w:p>
            <w:pPr>
              <w:rPr>
                <w:color w:val="000000"/>
                <w:szCs w:val="21"/>
              </w:rPr>
            </w:pPr>
            <w:r>
              <w:rPr>
                <w:color w:val="000000"/>
                <w:szCs w:val="21"/>
              </w:rPr>
              <w:t>环评报告表</w:t>
            </w:r>
          </w:p>
          <w:p>
            <w:pPr>
              <w:rPr>
                <w:color w:val="000000"/>
                <w:szCs w:val="21"/>
              </w:rPr>
            </w:pPr>
            <w:r>
              <w:rPr>
                <w:color w:val="000000"/>
                <w:szCs w:val="21"/>
              </w:rPr>
              <w:t>编制单位</w:t>
            </w:r>
          </w:p>
        </w:tc>
        <w:tc>
          <w:tcPr>
            <w:tcW w:w="2803" w:type="dxa"/>
            <w:gridSpan w:val="3"/>
            <w:vAlign w:val="center"/>
          </w:tcPr>
          <w:p>
            <w:pPr>
              <w:rPr>
                <w:rFonts w:hint="default" w:eastAsia="宋体"/>
                <w:color w:val="000000"/>
                <w:szCs w:val="21"/>
                <w:lang w:val="en-US" w:eastAsia="zh-CN"/>
              </w:rPr>
            </w:pPr>
            <w:r>
              <w:rPr>
                <w:rFonts w:hint="eastAsia"/>
                <w:color w:val="000000"/>
                <w:szCs w:val="21"/>
                <w:lang w:val="en-US" w:eastAsia="zh-CN"/>
              </w:rPr>
              <w:t>浙江甬绿环保科技有限公司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5" w:type="dxa"/>
            <w:vAlign w:val="center"/>
          </w:tcPr>
          <w:p>
            <w:pPr>
              <w:rPr>
                <w:rFonts w:ascii="宋体" w:hAnsi="宋体"/>
                <w:color w:val="000000"/>
                <w:szCs w:val="21"/>
              </w:rPr>
            </w:pPr>
            <w:r>
              <w:rPr>
                <w:rFonts w:ascii="宋体" w:hAnsi="宋体"/>
                <w:color w:val="000000"/>
                <w:szCs w:val="21"/>
              </w:rPr>
              <w:t>环保设施设计单位</w:t>
            </w:r>
          </w:p>
        </w:tc>
        <w:tc>
          <w:tcPr>
            <w:tcW w:w="2552" w:type="dxa"/>
            <w:vAlign w:val="center"/>
          </w:tcPr>
          <w:p>
            <w:pPr>
              <w:rPr>
                <w:color w:val="000000"/>
                <w:szCs w:val="21"/>
              </w:rPr>
            </w:pPr>
            <w:r>
              <w:rPr>
                <w:rFonts w:hint="eastAsia"/>
                <w:color w:val="000000"/>
                <w:szCs w:val="21"/>
                <w:lang w:val="en-US" w:eastAsia="zh-CN"/>
              </w:rPr>
              <w:t>宁波市海曙住建建筑垃圾处理服务有限公司</w:t>
            </w:r>
          </w:p>
        </w:tc>
        <w:tc>
          <w:tcPr>
            <w:tcW w:w="1984" w:type="dxa"/>
            <w:vAlign w:val="center"/>
          </w:tcPr>
          <w:p>
            <w:pPr>
              <w:rPr>
                <w:color w:val="000000"/>
                <w:szCs w:val="21"/>
              </w:rPr>
            </w:pPr>
            <w:r>
              <w:rPr>
                <w:color w:val="000000"/>
                <w:szCs w:val="21"/>
              </w:rPr>
              <w:t>环保设施施工单位</w:t>
            </w:r>
          </w:p>
        </w:tc>
        <w:tc>
          <w:tcPr>
            <w:tcW w:w="2803" w:type="dxa"/>
            <w:gridSpan w:val="3"/>
            <w:vAlign w:val="center"/>
          </w:tcPr>
          <w:p>
            <w:pPr>
              <w:rPr>
                <w:rFonts w:hint="default" w:eastAsia="宋体"/>
                <w:color w:val="000000"/>
                <w:szCs w:val="21"/>
                <w:lang w:val="en-US" w:eastAsia="zh-CN"/>
              </w:rPr>
            </w:pPr>
            <w:r>
              <w:rPr>
                <w:rFonts w:hint="eastAsia"/>
                <w:color w:val="000000"/>
                <w:szCs w:val="21"/>
                <w:lang w:val="en-US" w:eastAsia="zh-CN"/>
              </w:rPr>
              <w:t>宁波市海曙住建建筑垃圾处理服务有限公司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5" w:type="dxa"/>
            <w:vAlign w:val="center"/>
          </w:tcPr>
          <w:p>
            <w:pPr>
              <w:rPr>
                <w:rFonts w:ascii="宋体" w:hAnsi="宋体"/>
                <w:color w:val="000000"/>
                <w:szCs w:val="21"/>
              </w:rPr>
            </w:pPr>
            <w:r>
              <w:rPr>
                <w:rFonts w:ascii="宋体" w:hAnsi="宋体"/>
                <w:color w:val="000000"/>
                <w:szCs w:val="21"/>
              </w:rPr>
              <w:t>投资总概算</w:t>
            </w:r>
            <w:r>
              <w:rPr>
                <w:rFonts w:hint="eastAsia" w:ascii="宋体" w:hAnsi="宋体"/>
                <w:color w:val="000000"/>
                <w:szCs w:val="21"/>
              </w:rPr>
              <w:t>（万元）</w:t>
            </w:r>
          </w:p>
        </w:tc>
        <w:tc>
          <w:tcPr>
            <w:tcW w:w="2552" w:type="dxa"/>
            <w:vAlign w:val="center"/>
          </w:tcPr>
          <w:p>
            <w:pPr>
              <w:rPr>
                <w:rFonts w:hint="default" w:eastAsia="宋体"/>
                <w:color w:val="000000"/>
                <w:szCs w:val="21"/>
                <w:lang w:val="en-US" w:eastAsia="zh-CN"/>
              </w:rPr>
            </w:pPr>
            <w:r>
              <w:rPr>
                <w:rFonts w:hint="eastAsia"/>
                <w:color w:val="000000"/>
                <w:szCs w:val="21"/>
                <w:lang w:val="en-US" w:eastAsia="zh-CN"/>
              </w:rPr>
              <w:t>1000</w:t>
            </w:r>
          </w:p>
        </w:tc>
        <w:tc>
          <w:tcPr>
            <w:tcW w:w="1984" w:type="dxa"/>
            <w:vAlign w:val="center"/>
          </w:tcPr>
          <w:p>
            <w:pPr>
              <w:rPr>
                <w:color w:val="000000"/>
                <w:szCs w:val="21"/>
              </w:rPr>
            </w:pPr>
            <w:r>
              <w:rPr>
                <w:color w:val="000000"/>
                <w:szCs w:val="21"/>
              </w:rPr>
              <w:t>环保投资总概算</w:t>
            </w:r>
            <w:r>
              <w:rPr>
                <w:rFonts w:hint="eastAsia" w:ascii="宋体" w:hAnsi="宋体"/>
                <w:color w:val="000000"/>
                <w:szCs w:val="21"/>
              </w:rPr>
              <w:t>（万元）</w:t>
            </w:r>
          </w:p>
        </w:tc>
        <w:tc>
          <w:tcPr>
            <w:tcW w:w="1003" w:type="dxa"/>
            <w:vAlign w:val="center"/>
          </w:tcPr>
          <w:p>
            <w:pPr>
              <w:rPr>
                <w:rFonts w:hint="default" w:eastAsia="宋体"/>
                <w:color w:val="000000"/>
                <w:szCs w:val="21"/>
                <w:lang w:val="en-US" w:eastAsia="zh-CN"/>
              </w:rPr>
            </w:pPr>
            <w:r>
              <w:rPr>
                <w:rFonts w:hint="eastAsia"/>
                <w:color w:val="000000"/>
                <w:szCs w:val="21"/>
                <w:lang w:val="en-US" w:eastAsia="zh-CN"/>
              </w:rPr>
              <w:t>50</w:t>
            </w:r>
          </w:p>
        </w:tc>
        <w:tc>
          <w:tcPr>
            <w:tcW w:w="765" w:type="dxa"/>
            <w:vAlign w:val="center"/>
          </w:tcPr>
          <w:p>
            <w:pPr>
              <w:rPr>
                <w:color w:val="000000"/>
                <w:szCs w:val="21"/>
              </w:rPr>
            </w:pPr>
            <w:r>
              <w:rPr>
                <w:color w:val="000000"/>
                <w:szCs w:val="21"/>
              </w:rPr>
              <w:t>比例</w:t>
            </w:r>
          </w:p>
        </w:tc>
        <w:tc>
          <w:tcPr>
            <w:tcW w:w="1035" w:type="dxa"/>
            <w:vAlign w:val="center"/>
          </w:tcPr>
          <w:p>
            <w:pPr>
              <w:rPr>
                <w:rFonts w:hint="default" w:eastAsia="宋体"/>
                <w:color w:val="000000"/>
                <w:szCs w:val="21"/>
                <w:lang w:val="en-US" w:eastAsia="zh-CN"/>
              </w:rPr>
            </w:pPr>
            <w:r>
              <w:rPr>
                <w:rFonts w:hint="eastAsia"/>
                <w:color w:val="000000"/>
                <w:szCs w:val="21"/>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5" w:type="dxa"/>
            <w:vAlign w:val="center"/>
          </w:tcPr>
          <w:p>
            <w:pPr>
              <w:rPr>
                <w:rFonts w:ascii="宋体" w:hAnsi="宋体"/>
                <w:color w:val="000000"/>
                <w:szCs w:val="21"/>
              </w:rPr>
            </w:pPr>
            <w:r>
              <w:rPr>
                <w:rFonts w:ascii="宋体" w:hAnsi="宋体"/>
                <w:color w:val="000000"/>
                <w:szCs w:val="21"/>
              </w:rPr>
              <w:t>实际总概算</w:t>
            </w:r>
            <w:r>
              <w:rPr>
                <w:rFonts w:hint="eastAsia" w:ascii="宋体" w:hAnsi="宋体"/>
                <w:color w:val="000000"/>
                <w:szCs w:val="21"/>
              </w:rPr>
              <w:t>（万元）</w:t>
            </w:r>
          </w:p>
        </w:tc>
        <w:tc>
          <w:tcPr>
            <w:tcW w:w="2552" w:type="dxa"/>
            <w:vAlign w:val="center"/>
          </w:tcPr>
          <w:p>
            <w:pPr>
              <w:rPr>
                <w:rFonts w:hint="default" w:eastAsia="宋体"/>
                <w:color w:val="000000"/>
                <w:szCs w:val="21"/>
                <w:lang w:val="en-US" w:eastAsia="zh-CN"/>
              </w:rPr>
            </w:pPr>
            <w:r>
              <w:rPr>
                <w:rFonts w:hint="eastAsia"/>
                <w:color w:val="000000"/>
                <w:szCs w:val="21"/>
                <w:lang w:val="en-US" w:eastAsia="zh-CN"/>
              </w:rPr>
              <w:t>1000</w:t>
            </w:r>
          </w:p>
        </w:tc>
        <w:tc>
          <w:tcPr>
            <w:tcW w:w="1984" w:type="dxa"/>
            <w:vAlign w:val="center"/>
          </w:tcPr>
          <w:p>
            <w:pPr>
              <w:rPr>
                <w:color w:val="000000"/>
                <w:szCs w:val="21"/>
              </w:rPr>
            </w:pPr>
            <w:r>
              <w:rPr>
                <w:color w:val="000000"/>
                <w:szCs w:val="21"/>
              </w:rPr>
              <w:t>环保投资</w:t>
            </w:r>
            <w:r>
              <w:rPr>
                <w:rFonts w:hint="eastAsia" w:ascii="宋体" w:hAnsi="宋体"/>
                <w:color w:val="000000"/>
                <w:szCs w:val="21"/>
              </w:rPr>
              <w:t>（万元）</w:t>
            </w:r>
          </w:p>
        </w:tc>
        <w:tc>
          <w:tcPr>
            <w:tcW w:w="1003" w:type="dxa"/>
            <w:vAlign w:val="center"/>
          </w:tcPr>
          <w:p>
            <w:pPr>
              <w:rPr>
                <w:rFonts w:hint="default" w:eastAsia="宋体"/>
                <w:color w:val="000000"/>
                <w:szCs w:val="21"/>
                <w:lang w:val="en-US" w:eastAsia="zh-CN"/>
              </w:rPr>
            </w:pPr>
            <w:r>
              <w:rPr>
                <w:rFonts w:hint="eastAsia"/>
                <w:color w:val="000000"/>
                <w:szCs w:val="21"/>
                <w:lang w:val="en-US" w:eastAsia="zh-CN"/>
              </w:rPr>
              <w:t>50</w:t>
            </w:r>
          </w:p>
        </w:tc>
        <w:tc>
          <w:tcPr>
            <w:tcW w:w="765" w:type="dxa"/>
            <w:vAlign w:val="center"/>
          </w:tcPr>
          <w:p>
            <w:pPr>
              <w:rPr>
                <w:color w:val="000000"/>
                <w:szCs w:val="21"/>
              </w:rPr>
            </w:pPr>
            <w:r>
              <w:rPr>
                <w:color w:val="000000"/>
                <w:szCs w:val="21"/>
              </w:rPr>
              <w:t>比例</w:t>
            </w:r>
          </w:p>
        </w:tc>
        <w:tc>
          <w:tcPr>
            <w:tcW w:w="1035" w:type="dxa"/>
            <w:vAlign w:val="center"/>
          </w:tcPr>
          <w:p>
            <w:pPr>
              <w:rPr>
                <w:color w:val="000000"/>
                <w:szCs w:val="21"/>
              </w:rPr>
            </w:pPr>
            <w:r>
              <w:rPr>
                <w:rFonts w:hint="eastAsia"/>
                <w:color w:val="000000"/>
                <w:szCs w:val="21"/>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1585" w:type="dxa"/>
            <w:vAlign w:val="center"/>
          </w:tcPr>
          <w:p>
            <w:pPr>
              <w:rPr>
                <w:rFonts w:ascii="宋体" w:hAnsi="宋体"/>
                <w:color w:val="000000"/>
                <w:szCs w:val="21"/>
              </w:rPr>
            </w:pPr>
            <w:r>
              <w:rPr>
                <w:rFonts w:ascii="宋体" w:hAnsi="宋体"/>
                <w:color w:val="000000"/>
                <w:szCs w:val="21"/>
              </w:rPr>
              <w:t>验收监测依据</w:t>
            </w:r>
          </w:p>
        </w:tc>
        <w:tc>
          <w:tcPr>
            <w:tcW w:w="7339" w:type="dxa"/>
            <w:gridSpan w:val="5"/>
            <w:vAlign w:val="center"/>
          </w:tcPr>
          <w:p>
            <w:pPr>
              <w:pStyle w:val="5"/>
            </w:pPr>
            <w:bookmarkStart w:id="4" w:name="_Toc12418"/>
            <w:bookmarkStart w:id="5" w:name="_Toc6187"/>
            <w:r>
              <w:rPr>
                <w:rFonts w:hint="eastAsia"/>
              </w:rPr>
              <w:t>建设项目环境保护相关法律、法规、规章和规范</w:t>
            </w:r>
            <w:bookmarkEnd w:id="4"/>
            <w:bookmarkEnd w:id="5"/>
          </w:p>
          <w:p>
            <w:pPr>
              <w:pStyle w:val="4"/>
            </w:pPr>
            <w:r>
              <w:t>1）《中华人民共和国环境保护法》（2015.1.1）；</w:t>
            </w:r>
          </w:p>
          <w:p>
            <w:pPr>
              <w:pStyle w:val="4"/>
            </w:pPr>
            <w:r>
              <w:t>2）《中华人民共和国水污染防治法》（2018.1.1）；</w:t>
            </w:r>
          </w:p>
          <w:p>
            <w:pPr>
              <w:pStyle w:val="4"/>
            </w:pPr>
            <w:r>
              <w:t>3）《中华人民共和国大气污染防治法》（2018.10）；</w:t>
            </w:r>
          </w:p>
          <w:p>
            <w:pPr>
              <w:pStyle w:val="4"/>
            </w:pPr>
            <w:r>
              <w:t>4）《中华人民共和国环境噪声污染防治法》（2018.12.29）；</w:t>
            </w:r>
          </w:p>
          <w:p>
            <w:pPr>
              <w:pStyle w:val="4"/>
            </w:pPr>
            <w:r>
              <w:t>5）《中华人民共和国固体废物污染环境防治法》（20</w:t>
            </w:r>
            <w:r>
              <w:rPr>
                <w:rFonts w:hint="eastAsia"/>
                <w:lang w:val="en-US" w:eastAsia="zh-CN"/>
              </w:rPr>
              <w:t>20</w:t>
            </w:r>
            <w:r>
              <w:t>.</w:t>
            </w:r>
            <w:r>
              <w:rPr>
                <w:rFonts w:hint="eastAsia"/>
                <w:lang w:val="en-US" w:eastAsia="zh-CN"/>
              </w:rPr>
              <w:t>9.1</w:t>
            </w:r>
            <w:r>
              <w:t>）；</w:t>
            </w:r>
          </w:p>
          <w:p>
            <w:pPr>
              <w:pStyle w:val="4"/>
            </w:pPr>
            <w:r>
              <w:t>6）《中华人民共和国水土保持法》（2011.3.1）；</w:t>
            </w:r>
          </w:p>
          <w:p>
            <w:pPr>
              <w:pStyle w:val="4"/>
            </w:pPr>
            <w:r>
              <w:t>7）《建设项目环境保护管理条例》〔国务院令第682号〕</w:t>
            </w:r>
            <w:r>
              <w:rPr>
                <w:rFonts w:hint="eastAsia"/>
              </w:rPr>
              <w:t>（</w:t>
            </w:r>
            <w:r>
              <w:t>2017.10.1</w:t>
            </w:r>
            <w:r>
              <w:rPr>
                <w:rFonts w:hint="eastAsia"/>
              </w:rPr>
              <w:t>）。</w:t>
            </w:r>
          </w:p>
          <w:p>
            <w:pPr>
              <w:pStyle w:val="5"/>
            </w:pPr>
            <w:bookmarkStart w:id="6" w:name="_Toc14278"/>
            <w:bookmarkStart w:id="7" w:name="_Toc21560"/>
            <w:r>
              <w:rPr>
                <w:rFonts w:hint="eastAsia"/>
              </w:rPr>
              <w:t>建设项目竣工环境保护验收技术规范</w:t>
            </w:r>
            <w:bookmarkEnd w:id="6"/>
            <w:bookmarkEnd w:id="7"/>
          </w:p>
          <w:p>
            <w:pPr>
              <w:pStyle w:val="4"/>
            </w:pPr>
            <w:r>
              <w:t>1）《建设项目竣工环境保护验收暂行办法》（国环规环评〔2017〕4号）；</w:t>
            </w:r>
          </w:p>
          <w:p>
            <w:pPr>
              <w:pStyle w:val="4"/>
            </w:pPr>
            <w:r>
              <w:t>2）关于发布《建设项目竣工环境保护验收技术指南 污染影响类》的公告（公告〔2018〕9号）；</w:t>
            </w:r>
          </w:p>
          <w:p>
            <w:pPr>
              <w:pStyle w:val="4"/>
            </w:pPr>
            <w:r>
              <w:t>3）《关于印发建设项目竣工环境保护验收现场检查及审查要点的通知》（环办〔2015〕113号）。</w:t>
            </w:r>
          </w:p>
          <w:p>
            <w:pPr>
              <w:pStyle w:val="5"/>
            </w:pPr>
            <w:bookmarkStart w:id="8" w:name="_Toc20670"/>
            <w:bookmarkStart w:id="9" w:name="_Toc31286"/>
            <w:r>
              <w:rPr>
                <w:rFonts w:hint="eastAsia"/>
              </w:rPr>
              <w:t>建设项目环境影响报告书（表）及审批部门审批决定</w:t>
            </w:r>
            <w:bookmarkEnd w:id="8"/>
            <w:bookmarkEnd w:id="9"/>
          </w:p>
          <w:p>
            <w:pPr>
              <w:pStyle w:val="4"/>
            </w:pPr>
            <w:r>
              <w:t>1）《</w:t>
            </w:r>
            <w:r>
              <w:rPr>
                <w:rFonts w:hint="eastAsia"/>
                <w:lang w:eastAsia="zh-CN"/>
              </w:rPr>
              <w:t>建设项目</w:t>
            </w:r>
            <w:r>
              <w:t>环境影响报告表》，</w:t>
            </w:r>
            <w:r>
              <w:rPr>
                <w:rFonts w:hint="eastAsia"/>
              </w:rPr>
              <w:t>（</w:t>
            </w:r>
            <w:r>
              <w:rPr>
                <w:rFonts w:hint="eastAsia"/>
                <w:lang w:val="en-US" w:eastAsia="zh-CN"/>
              </w:rPr>
              <w:t>浙江甬绿环保科技有限公司，2021.9</w:t>
            </w:r>
            <w:r>
              <w:rPr>
                <w:rFonts w:hint="eastAsia"/>
              </w:rPr>
              <w:t>）</w:t>
            </w:r>
            <w:r>
              <w:t>；</w:t>
            </w:r>
          </w:p>
          <w:p>
            <w:pPr>
              <w:pStyle w:val="4"/>
              <w:rPr>
                <w:color w:val="auto"/>
              </w:rPr>
            </w:pPr>
            <w:r>
              <w:rPr>
                <w:color w:val="auto"/>
              </w:rPr>
              <w:t>2）《</w:t>
            </w:r>
            <w:r>
              <w:rPr>
                <w:rFonts w:hint="eastAsia"/>
                <w:color w:val="auto"/>
                <w:lang w:val="en-US" w:eastAsia="zh-CN"/>
              </w:rPr>
              <w:t>生态环境部门审批意见</w:t>
            </w:r>
            <w:r>
              <w:rPr>
                <w:color w:val="auto"/>
              </w:rPr>
              <w:t>》（</w:t>
            </w:r>
            <w:r>
              <w:rPr>
                <w:rFonts w:hint="eastAsia"/>
                <w:color w:val="auto"/>
                <w:lang w:val="en-US" w:eastAsia="zh-CN"/>
              </w:rPr>
              <w:t>2021甬环海审（建）第062号，</w:t>
            </w:r>
            <w:r>
              <w:rPr>
                <w:rFonts w:hint="eastAsia" w:ascii="宋体" w:hAnsi="宋体"/>
                <w:bCs/>
                <w:color w:val="auto"/>
                <w:szCs w:val="21"/>
                <w:lang w:val="en-US" w:eastAsia="zh-CN"/>
              </w:rPr>
              <w:t>2021.9.24</w:t>
            </w:r>
            <w:r>
              <w:rPr>
                <w:color w:val="auto"/>
              </w:rPr>
              <w:t>）</w:t>
            </w:r>
            <w:r>
              <w:rPr>
                <w:rFonts w:hint="eastAsia"/>
                <w:color w:val="auto"/>
              </w:rPr>
              <w:t>；</w:t>
            </w:r>
          </w:p>
          <w:p>
            <w:pPr>
              <w:pStyle w:val="4"/>
              <w:rPr>
                <w:rFonts w:ascii="宋体"/>
                <w:sz w:val="21"/>
                <w:szCs w:val="21"/>
              </w:rPr>
            </w:pPr>
            <w:r>
              <w:t>3）其他有关项目情况等资料。其他有关项目情况等资料。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3" w:hRule="atLeast"/>
          <w:jc w:val="center"/>
        </w:trPr>
        <w:tc>
          <w:tcPr>
            <w:tcW w:w="1585" w:type="dxa"/>
            <w:vAlign w:val="center"/>
          </w:tcPr>
          <w:p>
            <w:pPr>
              <w:rPr>
                <w:rFonts w:ascii="宋体" w:hAnsi="宋体"/>
                <w:color w:val="000000"/>
                <w:szCs w:val="21"/>
              </w:rPr>
            </w:pPr>
            <w:r>
              <w:rPr>
                <w:rFonts w:ascii="宋体" w:hAnsi="宋体"/>
                <w:color w:val="000000"/>
                <w:szCs w:val="21"/>
              </w:rPr>
              <w:t>验收监测评价标准、标号、级别、限值</w:t>
            </w:r>
          </w:p>
        </w:tc>
        <w:tc>
          <w:tcPr>
            <w:tcW w:w="7339" w:type="dxa"/>
            <w:gridSpan w:val="5"/>
            <w:vAlign w:val="center"/>
          </w:tcPr>
          <w:p>
            <w:pPr>
              <w:pStyle w:val="5"/>
            </w:pPr>
            <w:bookmarkStart w:id="10" w:name="_Toc20478"/>
            <w:bookmarkStart w:id="11" w:name="_Toc508447101"/>
            <w:bookmarkStart w:id="12" w:name="_Toc11258"/>
            <w:r>
              <w:t>废气污染物排放标准</w:t>
            </w:r>
            <w:bookmarkEnd w:id="10"/>
            <w:bookmarkEnd w:id="11"/>
            <w:bookmarkEnd w:id="12"/>
          </w:p>
          <w:p>
            <w:pPr>
              <w:spacing w:line="360" w:lineRule="auto"/>
              <w:ind w:firstLine="480" w:firstLineChars="200"/>
              <w:rPr>
                <w:color w:val="auto"/>
                <w:sz w:val="24"/>
              </w:rPr>
            </w:pPr>
            <w:r>
              <w:rPr>
                <w:rFonts w:hint="eastAsia"/>
                <w:color w:val="auto"/>
                <w:sz w:val="24"/>
              </w:rPr>
              <w:t>项目</w:t>
            </w:r>
            <w:r>
              <w:rPr>
                <w:rFonts w:hint="eastAsia"/>
                <w:color w:val="auto"/>
                <w:sz w:val="24"/>
                <w:lang w:val="en-US" w:eastAsia="zh-CN"/>
              </w:rPr>
              <w:t>生产废气</w:t>
            </w:r>
            <w:r>
              <w:rPr>
                <w:rFonts w:hint="eastAsia"/>
                <w:color w:val="auto"/>
                <w:sz w:val="24"/>
              </w:rPr>
              <w:t>执行《大气污染物综合排放标准》（GB16297-1996）中二级标准，具体数值见表</w:t>
            </w:r>
            <w:r>
              <w:rPr>
                <w:color w:val="auto"/>
                <w:sz w:val="24"/>
              </w:rPr>
              <w:t>1</w:t>
            </w:r>
            <w:r>
              <w:rPr>
                <w:rFonts w:hint="eastAsia"/>
                <w:color w:val="auto"/>
                <w:sz w:val="24"/>
                <w:lang w:val="en-US" w:eastAsia="zh-CN"/>
              </w:rPr>
              <w:t>.4</w:t>
            </w:r>
            <w:r>
              <w:rPr>
                <w:color w:val="auto"/>
                <w:sz w:val="24"/>
              </w:rPr>
              <w:t>-1</w:t>
            </w:r>
            <w:r>
              <w:rPr>
                <w:rFonts w:hint="eastAsia"/>
                <w:color w:val="auto"/>
                <w:sz w:val="24"/>
              </w:rPr>
              <w:t>。</w:t>
            </w:r>
          </w:p>
          <w:p>
            <w:pPr>
              <w:adjustRightInd w:val="0"/>
              <w:snapToGrid w:val="0"/>
              <w:spacing w:line="360" w:lineRule="auto"/>
              <w:ind w:left="42" w:leftChars="20" w:right="42" w:rightChars="20"/>
              <w:jc w:val="center"/>
              <w:rPr>
                <w:rFonts w:hint="eastAsia"/>
                <w:b/>
                <w:bCs/>
                <w:color w:val="auto"/>
                <w:sz w:val="24"/>
              </w:rPr>
            </w:pPr>
            <w:r>
              <w:rPr>
                <w:rFonts w:hint="eastAsia"/>
                <w:b/>
                <w:color w:val="auto"/>
                <w:sz w:val="24"/>
              </w:rPr>
              <w:t>表</w:t>
            </w:r>
            <w:r>
              <w:rPr>
                <w:b/>
                <w:color w:val="auto"/>
                <w:sz w:val="24"/>
              </w:rPr>
              <w:t>1</w:t>
            </w:r>
            <w:r>
              <w:rPr>
                <w:rFonts w:hint="eastAsia"/>
                <w:b/>
                <w:color w:val="auto"/>
                <w:sz w:val="24"/>
                <w:lang w:val="en-US" w:eastAsia="zh-CN"/>
              </w:rPr>
              <w:t>.4</w:t>
            </w:r>
            <w:r>
              <w:rPr>
                <w:b/>
                <w:color w:val="auto"/>
                <w:sz w:val="24"/>
              </w:rPr>
              <w:t xml:space="preserve">-1 </w:t>
            </w:r>
            <w:r>
              <w:rPr>
                <w:rFonts w:hint="eastAsia"/>
                <w:b/>
                <w:bCs/>
                <w:color w:val="auto"/>
                <w:sz w:val="24"/>
              </w:rPr>
              <w:t>工艺废气污染物排放标准</w:t>
            </w:r>
          </w:p>
          <w:tbl>
            <w:tblPr>
              <w:tblStyle w:val="37"/>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8"/>
              <w:gridCol w:w="1931"/>
              <w:gridCol w:w="2456"/>
              <w:gridCol w:w="1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8" w:type="dxa"/>
                  <w:vMerge w:val="restart"/>
                  <w:noWrap w:val="0"/>
                  <w:vAlign w:val="center"/>
                </w:tcPr>
                <w:p>
                  <w:pPr>
                    <w:pStyle w:val="18"/>
                    <w:adjustRightInd w:val="0"/>
                    <w:spacing w:after="0"/>
                    <w:ind w:left="0" w:leftChars="0"/>
                    <w:jc w:val="center"/>
                    <w:rPr>
                      <w:rFonts w:ascii="Times New Roman" w:hAnsi="Times New Roman"/>
                      <w:color w:val="000000"/>
                      <w:szCs w:val="21"/>
                    </w:rPr>
                  </w:pPr>
                  <w:r>
                    <w:rPr>
                      <w:rFonts w:ascii="Times New Roman" w:hAnsi="Times New Roman"/>
                      <w:color w:val="000000"/>
                      <w:szCs w:val="21"/>
                    </w:rPr>
                    <w:t>污染物</w:t>
                  </w:r>
                </w:p>
              </w:tc>
              <w:tc>
                <w:tcPr>
                  <w:tcW w:w="1969" w:type="dxa"/>
                  <w:vMerge w:val="restart"/>
                  <w:noWrap w:val="0"/>
                  <w:vAlign w:val="center"/>
                </w:tcPr>
                <w:p>
                  <w:pPr>
                    <w:pStyle w:val="18"/>
                    <w:adjustRightInd w:val="0"/>
                    <w:spacing w:after="0"/>
                    <w:ind w:left="0" w:leftChars="0"/>
                    <w:jc w:val="center"/>
                    <w:rPr>
                      <w:rFonts w:ascii="Times New Roman" w:hAnsi="Times New Roman"/>
                      <w:color w:val="000000"/>
                      <w:szCs w:val="21"/>
                    </w:rPr>
                  </w:pPr>
                  <w:r>
                    <w:rPr>
                      <w:rFonts w:ascii="Times New Roman" w:hAnsi="Times New Roman"/>
                      <w:color w:val="000000"/>
                      <w:szCs w:val="21"/>
                    </w:rPr>
                    <w:t>最高容许排放浓度（mg/Nm</w:t>
                  </w:r>
                  <w:r>
                    <w:rPr>
                      <w:rFonts w:ascii="Times New Roman" w:hAnsi="Times New Roman"/>
                      <w:color w:val="000000"/>
                      <w:szCs w:val="21"/>
                      <w:vertAlign w:val="superscript"/>
                    </w:rPr>
                    <w:t>3</w:t>
                  </w:r>
                  <w:r>
                    <w:rPr>
                      <w:rFonts w:ascii="Times New Roman" w:hAnsi="Times New Roman"/>
                      <w:color w:val="000000"/>
                      <w:szCs w:val="21"/>
                    </w:rPr>
                    <w:t>）</w:t>
                  </w:r>
                </w:p>
              </w:tc>
              <w:tc>
                <w:tcPr>
                  <w:tcW w:w="2574" w:type="dxa"/>
                  <w:noWrap w:val="0"/>
                  <w:vAlign w:val="center"/>
                </w:tcPr>
                <w:p>
                  <w:pPr>
                    <w:pStyle w:val="18"/>
                    <w:adjustRightInd w:val="0"/>
                    <w:spacing w:after="0"/>
                    <w:ind w:left="0" w:leftChars="0"/>
                    <w:jc w:val="center"/>
                    <w:rPr>
                      <w:rFonts w:ascii="Times New Roman" w:hAnsi="Times New Roman"/>
                      <w:color w:val="000000"/>
                      <w:szCs w:val="21"/>
                    </w:rPr>
                  </w:pPr>
                  <w:r>
                    <w:rPr>
                      <w:rFonts w:ascii="Times New Roman" w:hAnsi="Times New Roman"/>
                      <w:color w:val="000000"/>
                      <w:szCs w:val="21"/>
                    </w:rPr>
                    <w:t>最高允许排放速率（kg/h）</w:t>
                  </w:r>
                </w:p>
              </w:tc>
              <w:tc>
                <w:tcPr>
                  <w:tcW w:w="1973" w:type="dxa"/>
                  <w:vMerge w:val="restart"/>
                  <w:noWrap w:val="0"/>
                  <w:vAlign w:val="center"/>
                </w:tcPr>
                <w:p>
                  <w:pPr>
                    <w:pStyle w:val="18"/>
                    <w:adjustRightInd w:val="0"/>
                    <w:spacing w:after="0"/>
                    <w:ind w:left="0" w:leftChars="0"/>
                    <w:jc w:val="center"/>
                    <w:rPr>
                      <w:rFonts w:ascii="Times New Roman" w:hAnsi="Times New Roman"/>
                      <w:color w:val="000000"/>
                      <w:szCs w:val="21"/>
                    </w:rPr>
                  </w:pPr>
                  <w:r>
                    <w:rPr>
                      <w:rFonts w:ascii="Times New Roman" w:hAnsi="Times New Roman"/>
                      <w:color w:val="000000"/>
                      <w:szCs w:val="21"/>
                    </w:rPr>
                    <w:t>无组织排放监控浓度限值（mg/Nm</w:t>
                  </w:r>
                  <w:r>
                    <w:rPr>
                      <w:rFonts w:ascii="Times New Roman" w:hAnsi="Times New Roman"/>
                      <w:color w:val="000000"/>
                      <w:szCs w:val="21"/>
                      <w:vertAlign w:val="superscript"/>
                    </w:rPr>
                    <w:t>3</w:t>
                  </w:r>
                  <w:r>
                    <w:rPr>
                      <w:rFonts w:ascii="Times New Roman" w:hAnsi="Times New Roman"/>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8" w:type="dxa"/>
                  <w:vMerge w:val="continue"/>
                  <w:noWrap w:val="0"/>
                  <w:vAlign w:val="center"/>
                </w:tcPr>
                <w:p>
                  <w:pPr>
                    <w:pStyle w:val="18"/>
                    <w:adjustRightInd w:val="0"/>
                    <w:spacing w:after="0"/>
                    <w:ind w:left="0" w:leftChars="0"/>
                    <w:jc w:val="center"/>
                    <w:rPr>
                      <w:rFonts w:ascii="Times New Roman" w:hAnsi="Times New Roman"/>
                      <w:color w:val="000000"/>
                      <w:szCs w:val="21"/>
                    </w:rPr>
                  </w:pPr>
                </w:p>
              </w:tc>
              <w:tc>
                <w:tcPr>
                  <w:tcW w:w="1969" w:type="dxa"/>
                  <w:vMerge w:val="continue"/>
                  <w:noWrap w:val="0"/>
                  <w:vAlign w:val="center"/>
                </w:tcPr>
                <w:p>
                  <w:pPr>
                    <w:pStyle w:val="18"/>
                    <w:adjustRightInd w:val="0"/>
                    <w:spacing w:after="0"/>
                    <w:ind w:left="0" w:leftChars="0"/>
                    <w:jc w:val="center"/>
                    <w:rPr>
                      <w:rFonts w:ascii="Times New Roman" w:hAnsi="Times New Roman"/>
                      <w:color w:val="000000"/>
                      <w:szCs w:val="21"/>
                    </w:rPr>
                  </w:pPr>
                </w:p>
              </w:tc>
              <w:tc>
                <w:tcPr>
                  <w:tcW w:w="2574" w:type="dxa"/>
                  <w:noWrap w:val="0"/>
                  <w:vAlign w:val="center"/>
                </w:tcPr>
                <w:p>
                  <w:pPr>
                    <w:pStyle w:val="18"/>
                    <w:adjustRightInd w:val="0"/>
                    <w:spacing w:after="0"/>
                    <w:ind w:left="0" w:leftChars="0"/>
                    <w:jc w:val="center"/>
                    <w:rPr>
                      <w:rFonts w:ascii="Times New Roman" w:hAnsi="Times New Roman"/>
                      <w:color w:val="000000"/>
                      <w:szCs w:val="21"/>
                    </w:rPr>
                  </w:pPr>
                  <w:r>
                    <w:rPr>
                      <w:rFonts w:ascii="Times New Roman" w:hAnsi="Times New Roman"/>
                      <w:color w:val="000000"/>
                      <w:szCs w:val="21"/>
                    </w:rPr>
                    <w:t>排气筒高度（m）</w:t>
                  </w:r>
                </w:p>
              </w:tc>
              <w:tc>
                <w:tcPr>
                  <w:tcW w:w="1973" w:type="dxa"/>
                  <w:vMerge w:val="continue"/>
                  <w:noWrap w:val="0"/>
                  <w:vAlign w:val="center"/>
                </w:tcPr>
                <w:p>
                  <w:pPr>
                    <w:pStyle w:val="18"/>
                    <w:adjustRightInd w:val="0"/>
                    <w:spacing w:after="0"/>
                    <w:ind w:left="0" w:leftChars="0"/>
                    <w:jc w:val="center"/>
                    <w:rPr>
                      <w:rFonts w:ascii="Times New Roman" w:hAnsi="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8" w:type="dxa"/>
                  <w:vMerge w:val="continue"/>
                  <w:noWrap w:val="0"/>
                  <w:vAlign w:val="center"/>
                </w:tcPr>
                <w:p>
                  <w:pPr>
                    <w:pStyle w:val="18"/>
                    <w:adjustRightInd w:val="0"/>
                    <w:spacing w:after="0"/>
                    <w:ind w:left="0" w:leftChars="0"/>
                    <w:jc w:val="center"/>
                    <w:rPr>
                      <w:rFonts w:ascii="Times New Roman" w:hAnsi="Times New Roman"/>
                      <w:color w:val="000000"/>
                      <w:szCs w:val="21"/>
                    </w:rPr>
                  </w:pPr>
                </w:p>
              </w:tc>
              <w:tc>
                <w:tcPr>
                  <w:tcW w:w="1969" w:type="dxa"/>
                  <w:vMerge w:val="continue"/>
                  <w:noWrap w:val="0"/>
                  <w:vAlign w:val="center"/>
                </w:tcPr>
                <w:p>
                  <w:pPr>
                    <w:pStyle w:val="18"/>
                    <w:adjustRightInd w:val="0"/>
                    <w:spacing w:after="0"/>
                    <w:ind w:left="0" w:leftChars="0"/>
                    <w:jc w:val="center"/>
                    <w:rPr>
                      <w:rFonts w:ascii="Times New Roman" w:hAnsi="Times New Roman"/>
                      <w:color w:val="000000"/>
                      <w:szCs w:val="21"/>
                    </w:rPr>
                  </w:pPr>
                </w:p>
              </w:tc>
              <w:tc>
                <w:tcPr>
                  <w:tcW w:w="2574" w:type="dxa"/>
                  <w:noWrap w:val="0"/>
                  <w:vAlign w:val="center"/>
                </w:tcPr>
                <w:p>
                  <w:pPr>
                    <w:pStyle w:val="18"/>
                    <w:adjustRightInd w:val="0"/>
                    <w:spacing w:after="0"/>
                    <w:ind w:left="0" w:leftChars="0"/>
                    <w:jc w:val="center"/>
                    <w:rPr>
                      <w:rFonts w:ascii="Times New Roman" w:hAnsi="Times New Roman"/>
                      <w:color w:val="000000"/>
                      <w:szCs w:val="21"/>
                    </w:rPr>
                  </w:pPr>
                  <w:r>
                    <w:rPr>
                      <w:rFonts w:ascii="Times New Roman" w:hAnsi="Times New Roman"/>
                      <w:color w:val="000000"/>
                      <w:szCs w:val="21"/>
                    </w:rPr>
                    <w:t>15</w:t>
                  </w:r>
                </w:p>
              </w:tc>
              <w:tc>
                <w:tcPr>
                  <w:tcW w:w="1973" w:type="dxa"/>
                  <w:vMerge w:val="continue"/>
                  <w:noWrap w:val="0"/>
                  <w:vAlign w:val="center"/>
                </w:tcPr>
                <w:p>
                  <w:pPr>
                    <w:pStyle w:val="18"/>
                    <w:adjustRightInd w:val="0"/>
                    <w:spacing w:after="0"/>
                    <w:ind w:left="0" w:leftChars="0"/>
                    <w:jc w:val="center"/>
                    <w:rPr>
                      <w:rFonts w:ascii="Times New Roman" w:hAnsi="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8"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颗粒物</w:t>
                  </w:r>
                </w:p>
              </w:tc>
              <w:tc>
                <w:tcPr>
                  <w:tcW w:w="1969"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120</w:t>
                  </w:r>
                </w:p>
              </w:tc>
              <w:tc>
                <w:tcPr>
                  <w:tcW w:w="2574"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3.5</w:t>
                  </w:r>
                </w:p>
              </w:tc>
              <w:tc>
                <w:tcPr>
                  <w:tcW w:w="1973"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1.0</w:t>
                  </w:r>
                </w:p>
              </w:tc>
            </w:tr>
          </w:tbl>
          <w:p>
            <w:pPr>
              <w:pStyle w:val="2"/>
            </w:pPr>
          </w:p>
          <w:p>
            <w:pPr>
              <w:pStyle w:val="5"/>
            </w:pPr>
            <w:bookmarkStart w:id="13" w:name="_Toc12407"/>
            <w:bookmarkStart w:id="14" w:name="_Toc21738"/>
            <w:r>
              <w:rPr>
                <w:rFonts w:hint="eastAsia"/>
              </w:rPr>
              <w:t>废水</w:t>
            </w:r>
            <w:r>
              <w:t>排放标准</w:t>
            </w:r>
            <w:bookmarkEnd w:id="13"/>
            <w:bookmarkEnd w:id="14"/>
          </w:p>
          <w:p>
            <w:pPr>
              <w:spacing w:line="360" w:lineRule="auto"/>
              <w:ind w:firstLine="480" w:firstLineChars="200"/>
              <w:rPr>
                <w:rFonts w:hint="eastAsia"/>
                <w:b/>
                <w:sz w:val="24"/>
              </w:rPr>
            </w:pPr>
            <w:r>
              <w:rPr>
                <w:rFonts w:hint="eastAsia" w:ascii="宋体" w:hAnsi="宋体" w:eastAsia="宋体" w:cs="宋体"/>
                <w:sz w:val="24"/>
                <w:highlight w:val="none"/>
              </w:rPr>
              <w:t>本项目营运期生活污水经化粪池预处理达《污水综合排放标准》（GB8978-1996）中的三级标准后排入市政污水管网，最终经鄞西污水处理厂处理达《城镇污水处理厂污染物排放标准》（GB18918-2002）一级A标准后排入奉化江。具体标准见表1</w:t>
            </w:r>
            <w:r>
              <w:rPr>
                <w:rFonts w:hint="eastAsia" w:ascii="宋体" w:hAnsi="宋体" w:eastAsia="宋体" w:cs="宋体"/>
                <w:sz w:val="24"/>
                <w:highlight w:val="none"/>
                <w:lang w:val="en-US" w:eastAsia="zh-CN"/>
              </w:rPr>
              <w:t>.</w:t>
            </w:r>
            <w:r>
              <w:rPr>
                <w:rFonts w:hint="eastAsia" w:ascii="宋体" w:hAnsi="宋体" w:cs="宋体"/>
                <w:sz w:val="24"/>
                <w:highlight w:val="none"/>
                <w:lang w:val="en-US" w:eastAsia="zh-CN"/>
              </w:rPr>
              <w:t>5</w:t>
            </w:r>
            <w:r>
              <w:rPr>
                <w:rFonts w:hint="eastAsia" w:ascii="宋体" w:hAnsi="宋体" w:eastAsia="宋体" w:cs="宋体"/>
                <w:sz w:val="24"/>
                <w:highlight w:val="none"/>
              </w:rPr>
              <w:t>-</w:t>
            </w:r>
            <w:r>
              <w:rPr>
                <w:rFonts w:hint="eastAsia" w:ascii="宋体" w:hAnsi="宋体" w:cs="宋体"/>
                <w:sz w:val="24"/>
                <w:highlight w:val="none"/>
                <w:lang w:val="en-US" w:eastAsia="zh-CN"/>
              </w:rPr>
              <w:t>1及表1.5-2</w:t>
            </w:r>
            <w:r>
              <w:rPr>
                <w:rFonts w:hint="eastAsia" w:ascii="宋体" w:hAnsi="宋体" w:eastAsia="宋体" w:cs="宋体"/>
                <w:sz w:val="24"/>
                <w:highlight w:val="none"/>
              </w:rPr>
              <w:t>。</w:t>
            </w:r>
          </w:p>
          <w:p>
            <w:pPr>
              <w:adjustRightInd w:val="0"/>
              <w:snapToGrid w:val="0"/>
              <w:spacing w:line="360" w:lineRule="auto"/>
              <w:ind w:left="42" w:leftChars="20" w:right="42" w:rightChars="20"/>
              <w:jc w:val="center"/>
              <w:rPr>
                <w:rFonts w:hint="eastAsia" w:asciiTheme="majorEastAsia" w:hAnsiTheme="majorEastAsia" w:eastAsiaTheme="majorEastAsia" w:cstheme="majorEastAsia"/>
                <w:b/>
                <w:sz w:val="24"/>
              </w:rPr>
            </w:pPr>
            <w:r>
              <w:rPr>
                <w:rFonts w:hint="eastAsia" w:asciiTheme="majorEastAsia" w:hAnsiTheme="majorEastAsia" w:eastAsiaTheme="majorEastAsia" w:cstheme="majorEastAsia"/>
                <w:b/>
                <w:sz w:val="24"/>
              </w:rPr>
              <w:t>表1</w:t>
            </w:r>
            <w:r>
              <w:rPr>
                <w:rFonts w:hint="eastAsia" w:asciiTheme="majorEastAsia" w:hAnsiTheme="majorEastAsia" w:eastAsiaTheme="majorEastAsia" w:cstheme="majorEastAsia"/>
                <w:b/>
                <w:sz w:val="24"/>
                <w:lang w:val="en-US" w:eastAsia="zh-CN"/>
              </w:rPr>
              <w:t>.5</w:t>
            </w:r>
            <w:r>
              <w:rPr>
                <w:rFonts w:hint="eastAsia" w:asciiTheme="majorEastAsia" w:hAnsiTheme="majorEastAsia" w:eastAsiaTheme="majorEastAsia" w:cstheme="majorEastAsia"/>
                <w:b/>
                <w:sz w:val="24"/>
              </w:rPr>
              <w:t>-</w:t>
            </w:r>
            <w:r>
              <w:rPr>
                <w:rFonts w:hint="eastAsia" w:asciiTheme="majorEastAsia" w:hAnsiTheme="majorEastAsia" w:eastAsiaTheme="majorEastAsia" w:cstheme="majorEastAsia"/>
                <w:b/>
                <w:sz w:val="24"/>
                <w:lang w:val="en-US" w:eastAsia="zh-CN"/>
              </w:rPr>
              <w:t>1</w:t>
            </w:r>
            <w:r>
              <w:rPr>
                <w:rFonts w:hint="eastAsia" w:asciiTheme="majorEastAsia" w:hAnsiTheme="majorEastAsia" w:eastAsiaTheme="majorEastAsia" w:cstheme="majorEastAsia"/>
                <w:b/>
                <w:sz w:val="24"/>
              </w:rPr>
              <w:t xml:space="preserve"> 《污水综合排放标准》（GB8978-1996）</w:t>
            </w:r>
            <w:r>
              <w:rPr>
                <w:rFonts w:hint="eastAsia" w:asciiTheme="majorEastAsia" w:hAnsiTheme="majorEastAsia" w:eastAsiaTheme="majorEastAsia" w:cstheme="majorEastAsia"/>
                <w:b/>
                <w:sz w:val="24"/>
                <w:lang w:eastAsia="zh-CN"/>
              </w:rPr>
              <w:t>三级</w:t>
            </w:r>
            <w:r>
              <w:rPr>
                <w:rFonts w:hint="eastAsia" w:asciiTheme="majorEastAsia" w:hAnsiTheme="majorEastAsia" w:eastAsiaTheme="majorEastAsia" w:cstheme="majorEastAsia"/>
                <w:b/>
                <w:sz w:val="24"/>
              </w:rPr>
              <w:t>标准</w:t>
            </w:r>
          </w:p>
          <w:tbl>
            <w:tblPr>
              <w:tblStyle w:val="37"/>
              <w:tblW w:w="82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88"/>
              <w:gridCol w:w="845"/>
              <w:gridCol w:w="993"/>
              <w:gridCol w:w="1011"/>
              <w:gridCol w:w="922"/>
              <w:gridCol w:w="840"/>
              <w:gridCol w:w="1119"/>
              <w:gridCol w:w="9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662"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参数</w:t>
                  </w:r>
                </w:p>
              </w:tc>
              <w:tc>
                <w:tcPr>
                  <w:tcW w:w="873"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pH</w:t>
                  </w:r>
                </w:p>
              </w:tc>
              <w:tc>
                <w:tcPr>
                  <w:tcW w:w="1022"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COD</w:t>
                  </w:r>
                </w:p>
              </w:tc>
              <w:tc>
                <w:tcPr>
                  <w:tcW w:w="1037"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BOD</w:t>
                  </w:r>
                  <w:r>
                    <w:rPr>
                      <w:rFonts w:ascii="Times New Roman" w:hAnsi="Times New Roman"/>
                      <w:color w:val="000000"/>
                      <w:szCs w:val="21"/>
                      <w:vertAlign w:val="subscript"/>
                    </w:rPr>
                    <w:t>5</w:t>
                  </w:r>
                </w:p>
              </w:tc>
              <w:tc>
                <w:tcPr>
                  <w:tcW w:w="954"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氨氮</w:t>
                  </w:r>
                </w:p>
              </w:tc>
              <w:tc>
                <w:tcPr>
                  <w:tcW w:w="873"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总磷</w:t>
                  </w:r>
                </w:p>
              </w:tc>
              <w:tc>
                <w:tcPr>
                  <w:tcW w:w="1156"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动植物油</w:t>
                  </w:r>
                </w:p>
              </w:tc>
              <w:tc>
                <w:tcPr>
                  <w:tcW w:w="927"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SS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662"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三级标准</w:t>
                  </w:r>
                </w:p>
              </w:tc>
              <w:tc>
                <w:tcPr>
                  <w:tcW w:w="873"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6～9</w:t>
                  </w:r>
                </w:p>
              </w:tc>
              <w:tc>
                <w:tcPr>
                  <w:tcW w:w="1022"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≤500</w:t>
                  </w:r>
                </w:p>
              </w:tc>
              <w:tc>
                <w:tcPr>
                  <w:tcW w:w="1037"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≤300</w:t>
                  </w:r>
                </w:p>
              </w:tc>
              <w:tc>
                <w:tcPr>
                  <w:tcW w:w="954"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≤35</w:t>
                  </w:r>
                </w:p>
              </w:tc>
              <w:tc>
                <w:tcPr>
                  <w:tcW w:w="873"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≤8</w:t>
                  </w:r>
                </w:p>
              </w:tc>
              <w:tc>
                <w:tcPr>
                  <w:tcW w:w="1156"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≤100</w:t>
                  </w:r>
                </w:p>
              </w:tc>
              <w:tc>
                <w:tcPr>
                  <w:tcW w:w="927"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≤400</w:t>
                  </w:r>
                </w:p>
              </w:tc>
            </w:tr>
          </w:tbl>
          <w:p>
            <w:pPr>
              <w:pStyle w:val="2"/>
              <w:rPr>
                <w:rFonts w:hint="eastAsia" w:asciiTheme="majorEastAsia" w:hAnsiTheme="majorEastAsia" w:eastAsiaTheme="majorEastAsia" w:cstheme="majorEastAsia"/>
                <w:b/>
                <w:sz w:val="24"/>
              </w:rPr>
            </w:pPr>
            <w:r>
              <w:rPr>
                <w:rFonts w:ascii="Times New Roman" w:hAnsi="Times New Roman"/>
                <w:color w:val="000000"/>
                <w:szCs w:val="21"/>
              </w:rPr>
              <w:t>注：氨氮、总磷参照地标《工业企业废水氮、磷污染物间接排放限值》（DB33/887-2013）执行。</w:t>
            </w:r>
          </w:p>
          <w:p>
            <w:pPr>
              <w:pStyle w:val="2"/>
              <w:jc w:val="center"/>
              <w:rPr>
                <w:rFonts w:hint="eastAsia" w:asciiTheme="majorEastAsia" w:hAnsiTheme="majorEastAsia" w:eastAsiaTheme="majorEastAsia" w:cstheme="majorEastAsia"/>
                <w:b/>
                <w:sz w:val="24"/>
              </w:rPr>
            </w:pPr>
            <w:r>
              <w:rPr>
                <w:rFonts w:hint="eastAsia" w:asciiTheme="majorEastAsia" w:hAnsiTheme="majorEastAsia" w:eastAsiaTheme="majorEastAsia" w:cstheme="majorEastAsia"/>
                <w:b/>
                <w:sz w:val="24"/>
              </w:rPr>
              <w:t>表1</w:t>
            </w:r>
            <w:r>
              <w:rPr>
                <w:rFonts w:hint="eastAsia" w:asciiTheme="majorEastAsia" w:hAnsiTheme="majorEastAsia" w:eastAsiaTheme="majorEastAsia" w:cstheme="majorEastAsia"/>
                <w:b/>
                <w:sz w:val="24"/>
                <w:lang w:val="en-US" w:eastAsia="zh-CN"/>
              </w:rPr>
              <w:t>.5</w:t>
            </w:r>
            <w:r>
              <w:rPr>
                <w:rFonts w:hint="eastAsia" w:asciiTheme="majorEastAsia" w:hAnsiTheme="majorEastAsia" w:eastAsiaTheme="majorEastAsia" w:cstheme="majorEastAsia"/>
                <w:b/>
                <w:sz w:val="24"/>
              </w:rPr>
              <w:t>-</w:t>
            </w:r>
            <w:r>
              <w:rPr>
                <w:rFonts w:hint="eastAsia" w:asciiTheme="majorEastAsia" w:hAnsiTheme="majorEastAsia" w:eastAsiaTheme="majorEastAsia" w:cstheme="majorEastAsia"/>
                <w:b/>
                <w:sz w:val="24"/>
                <w:lang w:val="en-US" w:eastAsia="zh-CN"/>
              </w:rPr>
              <w:t>2</w:t>
            </w:r>
            <w:r>
              <w:rPr>
                <w:rFonts w:hint="eastAsia" w:asciiTheme="majorEastAsia" w:hAnsiTheme="majorEastAsia" w:eastAsiaTheme="majorEastAsia" w:cstheme="majorEastAsia"/>
                <w:b/>
                <w:sz w:val="24"/>
              </w:rPr>
              <w:t xml:space="preserve"> 《城镇污水处理厂污染物排放标准》（GB18918-2002）</w:t>
            </w:r>
            <w:r>
              <w:rPr>
                <w:rFonts w:hint="eastAsia" w:asciiTheme="majorEastAsia" w:hAnsiTheme="majorEastAsia" w:eastAsiaTheme="majorEastAsia" w:cstheme="majorEastAsia"/>
                <w:b/>
                <w:sz w:val="24"/>
                <w:lang w:eastAsia="zh-CN"/>
              </w:rPr>
              <w:t>一级A</w:t>
            </w:r>
            <w:r>
              <w:rPr>
                <w:rFonts w:hint="eastAsia" w:asciiTheme="majorEastAsia" w:hAnsiTheme="majorEastAsia" w:eastAsiaTheme="majorEastAsia" w:cstheme="majorEastAsia"/>
                <w:b/>
                <w:sz w:val="24"/>
              </w:rPr>
              <w:t>标准</w:t>
            </w:r>
          </w:p>
          <w:tbl>
            <w:tblPr>
              <w:tblStyle w:val="37"/>
              <w:tblW w:w="82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82"/>
              <w:gridCol w:w="1160"/>
              <w:gridCol w:w="1179"/>
              <w:gridCol w:w="1091"/>
              <w:gridCol w:w="1132"/>
              <w:gridCol w:w="1168"/>
              <w:gridCol w:w="11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437"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参数</w:t>
                  </w:r>
                </w:p>
              </w:tc>
              <w:tc>
                <w:tcPr>
                  <w:tcW w:w="1200"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pH</w:t>
                  </w:r>
                </w:p>
              </w:tc>
              <w:tc>
                <w:tcPr>
                  <w:tcW w:w="1213"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COD</w:t>
                  </w:r>
                </w:p>
              </w:tc>
              <w:tc>
                <w:tcPr>
                  <w:tcW w:w="1118"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BOD</w:t>
                  </w:r>
                  <w:r>
                    <w:rPr>
                      <w:rFonts w:ascii="Times New Roman" w:hAnsi="Times New Roman"/>
                      <w:color w:val="000000"/>
                      <w:szCs w:val="21"/>
                      <w:vertAlign w:val="subscript"/>
                    </w:rPr>
                    <w:t>5</w:t>
                  </w:r>
                </w:p>
              </w:tc>
              <w:tc>
                <w:tcPr>
                  <w:tcW w:w="1160"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氨氮</w:t>
                  </w:r>
                </w:p>
              </w:tc>
              <w:tc>
                <w:tcPr>
                  <w:tcW w:w="1213"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动植物油</w:t>
                  </w:r>
                </w:p>
              </w:tc>
              <w:tc>
                <w:tcPr>
                  <w:tcW w:w="1149"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SS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437" w:type="dxa"/>
                  <w:noWrap w:val="0"/>
                  <w:vAlign w:val="center"/>
                </w:tcPr>
                <w:p>
                  <w:pPr>
                    <w:adjustRightInd w:val="0"/>
                    <w:jc w:val="center"/>
                    <w:rPr>
                      <w:rFonts w:ascii="Times New Roman" w:hAnsi="Times New Roman"/>
                      <w:color w:val="000000"/>
                      <w:szCs w:val="21"/>
                    </w:rPr>
                  </w:pPr>
                  <w:r>
                    <w:rPr>
                      <w:rFonts w:ascii="Times New Roman" w:hAnsi="Times New Roman"/>
                      <w:color w:val="000000"/>
                      <w:szCs w:val="21"/>
                    </w:rPr>
                    <w:t>一级A标准</w:t>
                  </w:r>
                </w:p>
              </w:tc>
              <w:tc>
                <w:tcPr>
                  <w:tcW w:w="1200" w:type="dxa"/>
                  <w:noWrap w:val="0"/>
                  <w:vAlign w:val="center"/>
                </w:tcPr>
                <w:p>
                  <w:pPr>
                    <w:jc w:val="center"/>
                    <w:rPr>
                      <w:rFonts w:ascii="Times New Roman" w:hAnsi="Times New Roman"/>
                      <w:color w:val="000000"/>
                      <w:szCs w:val="21"/>
                    </w:rPr>
                  </w:pPr>
                  <w:r>
                    <w:rPr>
                      <w:rFonts w:ascii="Times New Roman" w:hAnsi="Times New Roman"/>
                      <w:color w:val="000000"/>
                      <w:szCs w:val="21"/>
                    </w:rPr>
                    <w:t>6～9</w:t>
                  </w:r>
                </w:p>
              </w:tc>
              <w:tc>
                <w:tcPr>
                  <w:tcW w:w="1213" w:type="dxa"/>
                  <w:noWrap w:val="0"/>
                  <w:vAlign w:val="center"/>
                </w:tcPr>
                <w:p>
                  <w:pPr>
                    <w:jc w:val="center"/>
                    <w:rPr>
                      <w:rFonts w:ascii="Times New Roman" w:hAnsi="Times New Roman"/>
                      <w:color w:val="000000"/>
                      <w:szCs w:val="21"/>
                    </w:rPr>
                  </w:pPr>
                  <w:r>
                    <w:rPr>
                      <w:rFonts w:hint="eastAsia" w:ascii="Times New Roman" w:hAnsi="Times New Roman"/>
                      <w:color w:val="000000"/>
                      <w:szCs w:val="21"/>
                    </w:rPr>
                    <w:t>40*</w:t>
                  </w:r>
                </w:p>
              </w:tc>
              <w:tc>
                <w:tcPr>
                  <w:tcW w:w="1118" w:type="dxa"/>
                  <w:noWrap w:val="0"/>
                  <w:vAlign w:val="center"/>
                </w:tcPr>
                <w:p>
                  <w:pPr>
                    <w:jc w:val="center"/>
                    <w:rPr>
                      <w:rFonts w:ascii="Times New Roman" w:hAnsi="Times New Roman"/>
                      <w:color w:val="000000"/>
                      <w:szCs w:val="21"/>
                    </w:rPr>
                  </w:pPr>
                  <w:r>
                    <w:rPr>
                      <w:rFonts w:ascii="Times New Roman" w:hAnsi="Times New Roman"/>
                      <w:color w:val="000000"/>
                      <w:szCs w:val="21"/>
                    </w:rPr>
                    <w:t>10</w:t>
                  </w:r>
                </w:p>
              </w:tc>
              <w:tc>
                <w:tcPr>
                  <w:tcW w:w="1160" w:type="dxa"/>
                  <w:noWrap w:val="0"/>
                  <w:vAlign w:val="center"/>
                </w:tcPr>
                <w:p>
                  <w:pPr>
                    <w:jc w:val="center"/>
                    <w:rPr>
                      <w:rFonts w:ascii="Times New Roman" w:hAnsi="Times New Roman"/>
                      <w:color w:val="000000"/>
                      <w:szCs w:val="21"/>
                    </w:rPr>
                  </w:pPr>
                  <w:r>
                    <w:rPr>
                      <w:rFonts w:hint="eastAsia" w:ascii="Times New Roman" w:hAnsi="Times New Roman"/>
                      <w:color w:val="000000"/>
                      <w:szCs w:val="21"/>
                    </w:rPr>
                    <w:t>2（4）*</w:t>
                  </w:r>
                </w:p>
              </w:tc>
              <w:tc>
                <w:tcPr>
                  <w:tcW w:w="1213" w:type="dxa"/>
                  <w:noWrap w:val="0"/>
                  <w:vAlign w:val="center"/>
                </w:tcPr>
                <w:p>
                  <w:pPr>
                    <w:jc w:val="center"/>
                    <w:rPr>
                      <w:rFonts w:ascii="Times New Roman" w:hAnsi="Times New Roman"/>
                      <w:color w:val="000000"/>
                      <w:szCs w:val="21"/>
                    </w:rPr>
                  </w:pPr>
                  <w:r>
                    <w:rPr>
                      <w:rFonts w:ascii="Times New Roman" w:hAnsi="Times New Roman"/>
                      <w:color w:val="000000"/>
                      <w:szCs w:val="21"/>
                    </w:rPr>
                    <w:t>1</w:t>
                  </w:r>
                </w:p>
              </w:tc>
              <w:tc>
                <w:tcPr>
                  <w:tcW w:w="1149" w:type="dxa"/>
                  <w:noWrap w:val="0"/>
                  <w:vAlign w:val="center"/>
                </w:tcPr>
                <w:p>
                  <w:pPr>
                    <w:jc w:val="center"/>
                    <w:rPr>
                      <w:rFonts w:ascii="Times New Roman" w:hAnsi="Times New Roman"/>
                      <w:color w:val="000000"/>
                      <w:szCs w:val="21"/>
                    </w:rPr>
                  </w:pPr>
                  <w:r>
                    <w:rPr>
                      <w:rFonts w:ascii="Times New Roman" w:hAnsi="Times New Roman"/>
                      <w:color w:val="000000"/>
                      <w:szCs w:val="21"/>
                    </w:rPr>
                    <w:t>10</w:t>
                  </w:r>
                </w:p>
              </w:tc>
            </w:tr>
          </w:tbl>
          <w:p>
            <w:pPr>
              <w:pStyle w:val="2"/>
              <w:rPr>
                <w:rFonts w:hint="eastAsia" w:asciiTheme="majorEastAsia" w:hAnsiTheme="majorEastAsia" w:eastAsiaTheme="majorEastAsia" w:cstheme="majorEastAsia"/>
                <w:b/>
                <w:sz w:val="24"/>
              </w:rPr>
            </w:pPr>
            <w:r>
              <w:rPr>
                <w:rFonts w:hint="eastAsia" w:ascii="Times New Roman" w:hAnsi="Times New Roman"/>
                <w:color w:val="000000"/>
                <w:szCs w:val="21"/>
              </w:rPr>
              <w:t>注：COD及氨氮执行《城镇污水处理厂主要水污染物排放标准》（DB33/2169-2018）表1限值。</w:t>
            </w:r>
          </w:p>
          <w:p>
            <w:pPr>
              <w:pStyle w:val="5"/>
            </w:pPr>
            <w:bookmarkStart w:id="15" w:name="_Toc32336"/>
            <w:bookmarkStart w:id="16" w:name="_Toc25361"/>
            <w:r>
              <w:t>噪声排放标准</w:t>
            </w:r>
            <w:bookmarkEnd w:id="15"/>
            <w:bookmarkEnd w:id="16"/>
          </w:p>
          <w:p>
            <w:pPr>
              <w:pStyle w:val="18"/>
              <w:rPr>
                <w:rFonts w:hint="eastAsia" w:ascii="宋体" w:hAnsi="宋体" w:eastAsia="宋体" w:cs="宋体"/>
                <w:color w:val="auto"/>
                <w:lang w:val="en-US" w:eastAsia="zh-CN"/>
              </w:rPr>
            </w:pPr>
            <w:r>
              <w:rPr>
                <w:rFonts w:hint="eastAsia" w:ascii="宋体" w:hAnsi="宋体" w:eastAsia="宋体" w:cs="宋体"/>
                <w:color w:val="auto"/>
              </w:rPr>
              <w:t>本项目营运期四周厂界环境噪声排放限值执行《工业企业厂界环境噪声排放标准》（GB12348-2008）中</w:t>
            </w:r>
            <w:r>
              <w:rPr>
                <w:rFonts w:hint="eastAsia" w:ascii="宋体" w:hAnsi="宋体" w:eastAsia="宋体" w:cs="宋体"/>
                <w:lang w:val="en-US" w:eastAsia="zh-CN"/>
              </w:rPr>
              <w:t>Ⅲ</w:t>
            </w:r>
            <w:r>
              <w:rPr>
                <w:rFonts w:hint="eastAsia" w:ascii="宋体" w:hAnsi="宋体" w:eastAsia="宋体" w:cs="宋体"/>
                <w:color w:val="auto"/>
              </w:rPr>
              <w:t>类标准，具体见表1</w:t>
            </w:r>
            <w:r>
              <w:rPr>
                <w:rFonts w:hint="eastAsia" w:cs="宋体"/>
                <w:color w:val="auto"/>
                <w:lang w:val="en-US" w:eastAsia="zh-CN"/>
              </w:rPr>
              <w:t>.6</w:t>
            </w:r>
            <w:r>
              <w:rPr>
                <w:rFonts w:hint="eastAsia" w:ascii="宋体" w:hAnsi="宋体" w:eastAsia="宋体" w:cs="宋体"/>
                <w:color w:val="auto"/>
              </w:rPr>
              <w:t>-</w:t>
            </w:r>
            <w:r>
              <w:rPr>
                <w:rFonts w:hint="eastAsia" w:cs="宋体"/>
                <w:color w:val="auto"/>
                <w:lang w:val="en-US" w:eastAsia="zh-CN"/>
              </w:rPr>
              <w:t>1</w:t>
            </w:r>
            <w:r>
              <w:rPr>
                <w:rFonts w:hint="eastAsia" w:ascii="宋体" w:hAnsi="宋体" w:eastAsia="宋体" w:cs="宋体"/>
                <w:color w:val="auto"/>
                <w:lang w:eastAsia="zh-CN"/>
              </w:rPr>
              <w:t>。</w:t>
            </w:r>
          </w:p>
          <w:p>
            <w:pPr>
              <w:pStyle w:val="18"/>
              <w:ind w:firstLine="482"/>
              <w:jc w:val="center"/>
              <w:rPr>
                <w:rFonts w:hint="eastAsia"/>
                <w:b/>
                <w:bCs/>
                <w:color w:val="auto"/>
              </w:rPr>
            </w:pPr>
            <w:r>
              <w:rPr>
                <w:b/>
                <w:bCs/>
                <w:color w:val="auto"/>
              </w:rPr>
              <w:t>表1</w:t>
            </w:r>
            <w:r>
              <w:rPr>
                <w:rFonts w:hint="eastAsia"/>
                <w:b/>
                <w:bCs/>
                <w:color w:val="auto"/>
                <w:lang w:val="en-US" w:eastAsia="zh-CN"/>
              </w:rPr>
              <w:t>.6</w:t>
            </w:r>
            <w:r>
              <w:rPr>
                <w:rFonts w:hint="eastAsia"/>
                <w:b/>
                <w:bCs/>
                <w:color w:val="auto"/>
              </w:rPr>
              <w:t>-</w:t>
            </w:r>
            <w:r>
              <w:rPr>
                <w:rFonts w:hint="eastAsia"/>
                <w:b/>
                <w:bCs/>
                <w:color w:val="auto"/>
                <w:lang w:val="en-US" w:eastAsia="zh-CN"/>
              </w:rPr>
              <w:t>1</w:t>
            </w:r>
            <w:r>
              <w:rPr>
                <w:rFonts w:hint="eastAsia"/>
                <w:b/>
                <w:bCs/>
                <w:color w:val="auto"/>
              </w:rPr>
              <w:t>《工业企业厂界环境噪声排放标准》（GB12348-2008）</w:t>
            </w:r>
          </w:p>
          <w:p>
            <w:pPr>
              <w:pStyle w:val="18"/>
              <w:ind w:firstLine="482"/>
              <w:jc w:val="center"/>
              <w:rPr>
                <w:b/>
                <w:bCs/>
                <w:color w:val="auto"/>
              </w:rPr>
            </w:pPr>
            <w:r>
              <w:rPr>
                <w:b/>
                <w:bCs/>
                <w:color w:val="auto"/>
              </w:rPr>
              <w:t>单位：LeqdB</w:t>
            </w:r>
            <w:r>
              <w:rPr>
                <w:rFonts w:hint="eastAsia"/>
                <w:b/>
                <w:bCs/>
                <w:color w:val="auto"/>
              </w:rPr>
              <w:t>（</w:t>
            </w:r>
            <w:r>
              <w:rPr>
                <w:b/>
                <w:bCs/>
                <w:color w:val="auto"/>
              </w:rPr>
              <w:t>A</w:t>
            </w:r>
            <w:r>
              <w:rPr>
                <w:rFonts w:hint="eastAsia"/>
                <w:b/>
                <w:bCs/>
                <w:color w:val="auto"/>
              </w:rPr>
              <w:t>）</w:t>
            </w:r>
          </w:p>
          <w:tbl>
            <w:tblPr>
              <w:tblStyle w:val="37"/>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913"/>
              <w:gridCol w:w="2625"/>
              <w:gridCol w:w="240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13" w:type="dxa"/>
                  <w:vAlign w:val="center"/>
                </w:tcPr>
                <w:p>
                  <w:pPr>
                    <w:adjustRightInd w:val="0"/>
                    <w:snapToGrid w:val="0"/>
                    <w:jc w:val="center"/>
                    <w:rPr>
                      <w:bCs/>
                      <w:color w:val="auto"/>
                    </w:rPr>
                  </w:pPr>
                  <w:r>
                    <w:rPr>
                      <w:bCs/>
                      <w:color w:val="auto"/>
                    </w:rPr>
                    <w:t>厂界外声环境功能区类别</w:t>
                  </w:r>
                </w:p>
              </w:tc>
              <w:tc>
                <w:tcPr>
                  <w:tcW w:w="2625" w:type="dxa"/>
                  <w:vAlign w:val="center"/>
                </w:tcPr>
                <w:p>
                  <w:pPr>
                    <w:adjustRightInd w:val="0"/>
                    <w:snapToGrid w:val="0"/>
                    <w:jc w:val="center"/>
                    <w:rPr>
                      <w:bCs/>
                      <w:color w:val="auto"/>
                    </w:rPr>
                  </w:pPr>
                  <w:r>
                    <w:rPr>
                      <w:bCs/>
                      <w:color w:val="auto"/>
                    </w:rPr>
                    <w:t>昼间</w:t>
                  </w:r>
                </w:p>
              </w:tc>
              <w:tc>
                <w:tcPr>
                  <w:tcW w:w="2400" w:type="dxa"/>
                  <w:vAlign w:val="center"/>
                </w:tcPr>
                <w:p>
                  <w:pPr>
                    <w:adjustRightInd w:val="0"/>
                    <w:snapToGrid w:val="0"/>
                    <w:jc w:val="center"/>
                    <w:rPr>
                      <w:bCs/>
                      <w:color w:val="auto"/>
                    </w:rPr>
                  </w:pPr>
                  <w:r>
                    <w:rPr>
                      <w:rFonts w:hint="eastAsia"/>
                      <w:bCs/>
                      <w:color w:val="auto"/>
                    </w:rPr>
                    <w:t>夜间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913" w:type="dxa"/>
                  <w:vAlign w:val="center"/>
                </w:tcPr>
                <w:p>
                  <w:pPr>
                    <w:adjustRightInd w:val="0"/>
                    <w:snapToGrid w:val="0"/>
                    <w:jc w:val="center"/>
                    <w:rPr>
                      <w:bCs/>
                      <w:color w:val="auto"/>
                    </w:rPr>
                  </w:pPr>
                  <w:r>
                    <w:rPr>
                      <w:rFonts w:hint="eastAsia"/>
                      <w:bCs/>
                      <w:color w:val="auto"/>
                      <w:lang w:val="en-US" w:eastAsia="zh-CN"/>
                    </w:rPr>
                    <w:t>Ⅲ</w:t>
                  </w:r>
                  <w:r>
                    <w:rPr>
                      <w:rFonts w:hint="eastAsia"/>
                      <w:bCs/>
                      <w:color w:val="auto"/>
                    </w:rPr>
                    <w:t>类</w:t>
                  </w:r>
                </w:p>
              </w:tc>
              <w:tc>
                <w:tcPr>
                  <w:tcW w:w="2625" w:type="dxa"/>
                  <w:vAlign w:val="center"/>
                </w:tcPr>
                <w:p>
                  <w:pPr>
                    <w:adjustRightInd w:val="0"/>
                    <w:snapToGrid w:val="0"/>
                    <w:jc w:val="center"/>
                    <w:rPr>
                      <w:rFonts w:hint="eastAsia" w:eastAsia="宋体"/>
                      <w:bCs/>
                      <w:color w:val="auto"/>
                      <w:lang w:val="en-US" w:eastAsia="zh-CN"/>
                    </w:rPr>
                  </w:pPr>
                  <w:r>
                    <w:rPr>
                      <w:rFonts w:hint="eastAsia"/>
                      <w:bCs/>
                      <w:color w:val="auto"/>
                    </w:rPr>
                    <w:t>6</w:t>
                  </w:r>
                  <w:r>
                    <w:rPr>
                      <w:rFonts w:hint="eastAsia"/>
                      <w:bCs/>
                      <w:color w:val="auto"/>
                      <w:lang w:val="en-US" w:eastAsia="zh-CN"/>
                    </w:rPr>
                    <w:t>5</w:t>
                  </w:r>
                </w:p>
              </w:tc>
              <w:tc>
                <w:tcPr>
                  <w:tcW w:w="2400" w:type="dxa"/>
                  <w:vAlign w:val="center"/>
                </w:tcPr>
                <w:p>
                  <w:pPr>
                    <w:adjustRightInd w:val="0"/>
                    <w:snapToGrid w:val="0"/>
                    <w:jc w:val="center"/>
                    <w:rPr>
                      <w:rFonts w:hint="eastAsia" w:eastAsia="宋体"/>
                      <w:bCs/>
                      <w:color w:val="auto"/>
                      <w:lang w:val="en-US" w:eastAsia="zh-CN"/>
                    </w:rPr>
                  </w:pPr>
                  <w:r>
                    <w:rPr>
                      <w:rFonts w:hint="eastAsia"/>
                      <w:bCs/>
                      <w:color w:val="auto"/>
                    </w:rPr>
                    <w:t>5</w:t>
                  </w:r>
                  <w:r>
                    <w:rPr>
                      <w:rFonts w:hint="eastAsia"/>
                      <w:bCs/>
                      <w:color w:val="auto"/>
                      <w:lang w:val="en-US" w:eastAsia="zh-CN"/>
                    </w:rPr>
                    <w:t>5</w:t>
                  </w:r>
                </w:p>
              </w:tc>
            </w:tr>
          </w:tbl>
          <w:p>
            <w:pPr>
              <w:pStyle w:val="5"/>
            </w:pPr>
            <w:bookmarkStart w:id="17" w:name="_Toc26924"/>
            <w:bookmarkStart w:id="18" w:name="_Toc4771"/>
            <w:r>
              <w:rPr>
                <w:rFonts w:hint="eastAsia"/>
              </w:rPr>
              <w:t>固废排放标准</w:t>
            </w:r>
            <w:bookmarkEnd w:id="17"/>
            <w:bookmarkEnd w:id="18"/>
          </w:p>
          <w:p>
            <w:pPr>
              <w:spacing w:line="360" w:lineRule="auto"/>
              <w:ind w:firstLine="480" w:firstLineChars="200"/>
              <w:rPr>
                <w:sz w:val="24"/>
              </w:rPr>
            </w:pPr>
            <w:r>
              <w:rPr>
                <w:rFonts w:hint="eastAsia"/>
                <w:sz w:val="24"/>
              </w:rPr>
              <w:t>一般固体废弃物执行《一般工业固体废物贮存、处置场污染控制标准》（GB18599-20</w:t>
            </w:r>
            <w:r>
              <w:rPr>
                <w:rFonts w:hint="eastAsia"/>
                <w:sz w:val="24"/>
                <w:lang w:val="en-US" w:eastAsia="zh-CN"/>
              </w:rPr>
              <w:t>20</w:t>
            </w:r>
            <w:r>
              <w:rPr>
                <w:rFonts w:hint="eastAsia"/>
                <w:sz w:val="24"/>
              </w:rPr>
              <w:t>）及修改单和《中华人民共和国固体废物污染环境防治法》中的有关规定</w:t>
            </w:r>
            <w:r>
              <w:rPr>
                <w:sz w:val="24"/>
              </w:rPr>
              <w:t>。</w:t>
            </w:r>
          </w:p>
          <w:p>
            <w:pPr>
              <w:spacing w:line="360" w:lineRule="auto"/>
              <w:rPr>
                <w:sz w:val="24"/>
              </w:rPr>
            </w:pPr>
          </w:p>
          <w:p>
            <w:pPr>
              <w:spacing w:line="360" w:lineRule="auto"/>
              <w:rPr>
                <w:sz w:val="24"/>
              </w:rPr>
            </w:pPr>
          </w:p>
          <w:p>
            <w:pPr>
              <w:spacing w:line="360" w:lineRule="auto"/>
              <w:rPr>
                <w:sz w:val="24"/>
              </w:rPr>
            </w:pPr>
          </w:p>
        </w:tc>
      </w:tr>
    </w:tbl>
    <w:p>
      <w:pPr>
        <w:pStyle w:val="3"/>
      </w:pPr>
      <w:bookmarkStart w:id="19" w:name="_Toc1234"/>
      <w:bookmarkStart w:id="20" w:name="_Toc22282"/>
      <w:r>
        <w:rPr>
          <w:rFonts w:hint="eastAsia"/>
        </w:rPr>
        <w:t>工程建设内容</w:t>
      </w:r>
      <w:bookmarkEnd w:id="19"/>
      <w:bookmarkEnd w:id="20"/>
    </w:p>
    <w:tbl>
      <w:tblPr>
        <w:tblStyle w:val="37"/>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23" w:hRule="atLeast"/>
          <w:jc w:val="center"/>
        </w:trPr>
        <w:tc>
          <w:tcPr>
            <w:tcW w:w="9028" w:type="dxa"/>
          </w:tcPr>
          <w:p>
            <w:pPr>
              <w:pStyle w:val="5"/>
            </w:pPr>
            <w:bookmarkStart w:id="21" w:name="_Toc524703379"/>
            <w:bookmarkEnd w:id="21"/>
            <w:bookmarkStart w:id="22" w:name="_Toc519179405"/>
            <w:bookmarkEnd w:id="22"/>
            <w:bookmarkStart w:id="23" w:name="_Toc531881884"/>
            <w:bookmarkEnd w:id="23"/>
            <w:bookmarkStart w:id="24" w:name="_Toc519235273"/>
            <w:bookmarkEnd w:id="24"/>
            <w:bookmarkStart w:id="25" w:name="_Toc531879808"/>
            <w:bookmarkEnd w:id="25"/>
            <w:bookmarkStart w:id="26" w:name="_Toc524703312"/>
            <w:bookmarkEnd w:id="26"/>
            <w:bookmarkStart w:id="27" w:name="_Toc518567390"/>
            <w:bookmarkEnd w:id="27"/>
            <w:bookmarkStart w:id="28" w:name="_Toc529265072"/>
            <w:bookmarkEnd w:id="28"/>
            <w:bookmarkStart w:id="29" w:name="_Toc519235207"/>
            <w:bookmarkEnd w:id="29"/>
            <w:bookmarkStart w:id="30" w:name="_Toc20707"/>
            <w:bookmarkStart w:id="31" w:name="_Toc11505"/>
            <w:r>
              <w:rPr>
                <w:rFonts w:hint="eastAsia"/>
              </w:rPr>
              <w:t>现有项目概况</w:t>
            </w:r>
            <w:bookmarkEnd w:id="30"/>
            <w:bookmarkEnd w:id="31"/>
          </w:p>
          <w:p>
            <w:pPr>
              <w:pStyle w:val="4"/>
            </w:pPr>
            <w:r>
              <w:rPr>
                <w:rFonts w:hint="eastAsia"/>
              </w:rPr>
              <w:t>本项目位于</w:t>
            </w:r>
            <w:r>
              <w:rPr>
                <w:rFonts w:hint="eastAsia"/>
                <w:lang w:eastAsia="zh-CN"/>
              </w:rPr>
              <w:t>宁波市</w:t>
            </w:r>
            <w:r>
              <w:rPr>
                <w:rFonts w:hint="eastAsia"/>
                <w:lang w:val="en-US" w:eastAsia="zh-CN"/>
              </w:rPr>
              <w:t>海曙区古林镇葑水港村</w:t>
            </w:r>
            <w:r>
              <w:t>，地理位置见图2.1-1。</w:t>
            </w:r>
          </w:p>
          <w:p>
            <w:pPr>
              <w:pStyle w:val="4"/>
              <w:ind w:firstLine="0" w:firstLineChars="0"/>
              <w:jc w:val="center"/>
              <w:rPr>
                <w:rFonts w:hint="eastAsia" w:eastAsiaTheme="majorEastAsia"/>
                <w:lang w:eastAsia="zh-CN"/>
              </w:rPr>
            </w:pPr>
            <w:r>
              <w:rPr>
                <w:rFonts w:hint="eastAsia" w:eastAsiaTheme="majorEastAsia"/>
                <w:lang w:eastAsia="zh-CN"/>
              </w:rPr>
              <w:drawing>
                <wp:inline distT="0" distB="0" distL="114300" distR="114300">
                  <wp:extent cx="5755640" cy="4089400"/>
                  <wp:effectExtent l="0" t="0" r="16510" b="6350"/>
                  <wp:docPr id="22" name="图片 22" descr="1646201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46201781(1)"/>
                          <pic:cNvPicPr>
                            <a:picLocks noChangeAspect="1"/>
                          </pic:cNvPicPr>
                        </pic:nvPicPr>
                        <pic:blipFill>
                          <a:blip r:embed="rId10"/>
                          <a:stretch>
                            <a:fillRect/>
                          </a:stretch>
                        </pic:blipFill>
                        <pic:spPr>
                          <a:xfrm>
                            <a:off x="0" y="0"/>
                            <a:ext cx="5755640" cy="4089400"/>
                          </a:xfrm>
                          <a:prstGeom prst="rect">
                            <a:avLst/>
                          </a:prstGeom>
                        </pic:spPr>
                      </pic:pic>
                    </a:graphicData>
                  </a:graphic>
                </wp:inline>
              </w:drawing>
            </w:r>
            <w:r>
              <w:rPr>
                <w:sz w:val="24"/>
              </w:rPr>
              <mc:AlternateContent>
                <mc:Choice Requires="wps">
                  <w:drawing>
                    <wp:anchor distT="0" distB="0" distL="114300" distR="114300" simplePos="0" relativeHeight="251662336" behindDoc="0" locked="0" layoutInCell="1" allowOverlap="1">
                      <wp:simplePos x="0" y="0"/>
                      <wp:positionH relativeFrom="column">
                        <wp:posOffset>2303780</wp:posOffset>
                      </wp:positionH>
                      <wp:positionV relativeFrom="paragraph">
                        <wp:posOffset>3312795</wp:posOffset>
                      </wp:positionV>
                      <wp:extent cx="427990" cy="176530"/>
                      <wp:effectExtent l="133350" t="16510" r="147320" b="31750"/>
                      <wp:wrapNone/>
                      <wp:docPr id="5" name="矩形 5"/>
                      <wp:cNvGraphicFramePr/>
                      <a:graphic xmlns:a="http://schemas.openxmlformats.org/drawingml/2006/main">
                        <a:graphicData uri="http://schemas.microsoft.com/office/word/2010/wordprocessingShape">
                          <wps:wsp>
                            <wps:cNvSpPr/>
                            <wps:spPr>
                              <a:xfrm rot="2880000">
                                <a:off x="2554605" y="5039995"/>
                                <a:ext cx="427990" cy="1765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1.4pt;margin-top:260.85pt;height:13.9pt;width:33.7pt;rotation:3145728f;z-index:251662336;v-text-anchor:middle;mso-width-relative:page;mso-height-relative:page;" filled="f" stroked="t" coordsize="21600,21600" o:gfxdata="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2X5Yp9wAAAALAQAADwAAAAAAAAABACAAAAAiAAAAZHJz&#10;L2Rvd25yZXYueG1sUEsBAhQAFAAAAAgAh07iQK39adVyAgAAzQQAAA4AAAAAAAAAAQAgAAAAKwEA&#10;AGRycy9lMm9Eb2MueG1sUEsFBgAAAAAGAAYAWQEAAA8GAAAAAA==&#10;">
                      <v:fill on="f" focussize="0,0"/>
                      <v:stroke weight="2pt" color="#FF0000 [3204]" joinstyle="round"/>
                      <v:imagedata o:title=""/>
                      <o:lock v:ext="edit" aspectratio="f"/>
                    </v:rect>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2471420</wp:posOffset>
                      </wp:positionH>
                      <wp:positionV relativeFrom="paragraph">
                        <wp:posOffset>2602865</wp:posOffset>
                      </wp:positionV>
                      <wp:extent cx="658495" cy="311150"/>
                      <wp:effectExtent l="24130" t="12700" r="22225" b="476250"/>
                      <wp:wrapNone/>
                      <wp:docPr id="2" name="圆角矩形标注 2"/>
                      <wp:cNvGraphicFramePr/>
                      <a:graphic xmlns:a="http://schemas.openxmlformats.org/drawingml/2006/main">
                        <a:graphicData uri="http://schemas.microsoft.com/office/word/2010/wordprocessingShape">
                          <wps:wsp>
                            <wps:cNvSpPr/>
                            <wps:spPr>
                              <a:xfrm>
                                <a:off x="3399155" y="3592830"/>
                                <a:ext cx="658495" cy="311150"/>
                              </a:xfrm>
                              <a:prstGeom prst="wedgeRoundRectCallout">
                                <a:avLst>
                                  <a:gd name="adj1" fmla="val -51735"/>
                                  <a:gd name="adj2" fmla="val 195918"/>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lang w:val="en-US" w:eastAsia="zh-CN"/>
                                    </w:rPr>
                                  </w:pPr>
                                  <w:r>
                                    <w:rPr>
                                      <w:rFonts w:hint="eastAsia"/>
                                      <w:color w:val="FF0000"/>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4.6pt;margin-top:204.95pt;height:24.5pt;width:51.85pt;z-index:251659264;v-text-anchor:middle;mso-width-relative:page;mso-height-relative:page;" filled="f" stroked="t" coordsize="21600,21600" o:gfxdata="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HmXXDbcAAAACwEAAA8A&#10;AAAAAAAAAQAgAAAAIgAAAGRycy9kb3ducmV2LnhtbFBLAQIUABQAAAAIAIdO4kBx8F33vgIAAF4F&#10;AAAOAAAAAAAAAAEAIAAAACsBAABkcnMvZTJvRG9jLnhtbFBLBQYAAAAABgAGAFkBAABbBgAAAAA=&#10;" adj="-375,53118,14400">
                      <v:fill on="f" focussize="0,0"/>
                      <v:stroke weight="2pt" color="#000000 [3213]" joinstyle="round"/>
                      <v:imagedata o:title=""/>
                      <o:lock v:ext="edit" aspectratio="f"/>
                      <v:textbox>
                        <w:txbxContent>
                          <w:p>
                            <w:pPr>
                              <w:jc w:val="center"/>
                              <w:rPr>
                                <w:rFonts w:hint="eastAsia" w:eastAsia="宋体"/>
                                <w:color w:val="FF0000"/>
                                <w:lang w:val="en-US" w:eastAsia="zh-CN"/>
                              </w:rPr>
                            </w:pPr>
                            <w:r>
                              <w:rPr>
                                <w:rFonts w:hint="eastAsia"/>
                                <w:color w:val="FF0000"/>
                                <w:lang w:val="en-US" w:eastAsia="zh-CN"/>
                              </w:rPr>
                              <w:t>本项目</w:t>
                            </w:r>
                          </w:p>
                        </w:txbxContent>
                      </v:textbox>
                    </v:shape>
                  </w:pict>
                </mc:Fallback>
              </mc:AlternateContent>
            </w:r>
          </w:p>
          <w:p>
            <w:pPr>
              <w:pStyle w:val="15"/>
              <w:spacing w:line="360" w:lineRule="auto"/>
              <w:rPr>
                <w:highlight w:val="none"/>
              </w:rPr>
            </w:pPr>
            <w:r>
              <w:rPr>
                <w:rFonts w:hint="default" w:ascii="Times New Roman" w:hAnsi="Times New Roman" w:cs="Times New Roman"/>
                <w:highlight w:val="none"/>
              </w:rPr>
              <w:t>图2.1-1 项目地理位置图</w:t>
            </w:r>
          </w:p>
          <w:p>
            <w:pPr>
              <w:adjustRightInd w:val="0"/>
              <w:snapToGrid w:val="0"/>
              <w:spacing w:line="360" w:lineRule="auto"/>
              <w:ind w:firstLine="480" w:firstLineChars="200"/>
              <w:rPr>
                <w:rFonts w:hint="eastAsia" w:ascii="Times New Roman" w:hAnsi="Times New Roman" w:cs="Times New Roman" w:eastAsiaTheme="majorEastAsia"/>
                <w:bCs/>
                <w:color w:val="000000"/>
                <w:kern w:val="0"/>
                <w:sz w:val="24"/>
                <w:szCs w:val="24"/>
                <w:lang w:val="en-US" w:eastAsia="zh-CN" w:bidi="ar-SA"/>
              </w:rPr>
            </w:pPr>
            <w:r>
              <w:rPr>
                <w:rFonts w:hint="eastAsia" w:ascii="Times New Roman" w:hAnsi="Times New Roman" w:cs="Times New Roman" w:eastAsiaTheme="majorEastAsia"/>
                <w:bCs/>
                <w:color w:val="000000"/>
                <w:kern w:val="0"/>
                <w:sz w:val="24"/>
                <w:szCs w:val="24"/>
                <w:lang w:val="en-US" w:eastAsia="zh-CN" w:bidi="ar-SA"/>
              </w:rPr>
              <w:t>本项目位于宁波市海曙区古林镇葑水港村，项目东侧为空地；东南侧160m处为后仓村；南侧为道路，隔路为宁波美淘酒店用品有限公司；西侧及北侧均为农田，西北侧300m处为历江岸村。</w:t>
            </w:r>
          </w:p>
          <w:p>
            <w:pPr>
              <w:pStyle w:val="5"/>
            </w:pPr>
            <w:bookmarkStart w:id="32" w:name="_Toc12286067"/>
            <w:bookmarkStart w:id="33" w:name="_Toc13459"/>
            <w:bookmarkStart w:id="34" w:name="_Toc11417"/>
            <w:r>
              <w:rPr>
                <w:rFonts w:hint="eastAsia"/>
              </w:rPr>
              <w:t>建设内容与规模</w:t>
            </w:r>
            <w:bookmarkEnd w:id="32"/>
            <w:bookmarkEnd w:id="33"/>
            <w:bookmarkEnd w:id="34"/>
          </w:p>
          <w:p>
            <w:pPr>
              <w:pStyle w:val="4"/>
              <w:rPr>
                <w:rFonts w:hint="eastAsia" w:eastAsiaTheme="majorEastAsia"/>
                <w:lang w:eastAsia="zh-CN"/>
              </w:rPr>
            </w:pPr>
            <w:r>
              <w:rPr>
                <w:rFonts w:hint="eastAsia"/>
                <w:lang w:val="en-US" w:eastAsia="zh-CN"/>
              </w:rPr>
              <w:t>为规范设置建筑垃圾分拣、处置场所，构建完善的建筑垃圾收运、处置体系，提高建筑垃圾分类和资源利用化水平，在海曙区综合行政执法局的牵头协调下，宁波市海曙住建建筑垃圾处理服务有限公司拟投资1000万元，租用宁波市海曙区古林镇葑水港股份经济合作社所有的1座密闭钢结构厂房实施“建筑垃圾可循环处理项目”，该项目建成后设计年分拣、破碎、筛分建筑垃圾75万t/a。经分拣、破碎、筛分的建筑垃圾将再次作为原料用于建筑材料的生产、加工，能够有效提高建筑垃圾资源化水平。本项目总占地面积为6260m</w:t>
            </w:r>
            <w:r>
              <w:rPr>
                <w:rFonts w:hint="eastAsia"/>
                <w:vertAlign w:val="superscript"/>
                <w:lang w:val="en-US" w:eastAsia="zh-CN"/>
              </w:rPr>
              <w:t>2</w:t>
            </w:r>
            <w:r>
              <w:rPr>
                <w:rFonts w:hint="eastAsia"/>
                <w:lang w:val="en-US" w:eastAsia="zh-CN"/>
              </w:rPr>
              <w:t>，总建筑面积为3780.41m</w:t>
            </w:r>
            <w:r>
              <w:rPr>
                <w:rFonts w:hint="eastAsia"/>
                <w:vertAlign w:val="superscript"/>
                <w:lang w:val="en-US" w:eastAsia="zh-CN"/>
              </w:rPr>
              <w:t>2</w:t>
            </w:r>
            <w:r>
              <w:rPr>
                <w:rFonts w:hint="eastAsia"/>
                <w:lang w:val="en-US" w:eastAsia="zh-CN"/>
              </w:rPr>
              <w:t>，职工20人。</w:t>
            </w:r>
            <w:r>
              <w:t>项目验收时生产规模如下</w:t>
            </w:r>
            <w:r>
              <w:rPr>
                <w:rFonts w:hint="eastAsia"/>
                <w:lang w:eastAsia="zh-CN"/>
              </w:rPr>
              <w:t>：</w:t>
            </w:r>
          </w:p>
          <w:p>
            <w:pPr>
              <w:pStyle w:val="15"/>
              <w:rPr>
                <w:rFonts w:hint="default" w:ascii="Times New Roman" w:hAnsi="Times New Roman" w:cs="Times New Roman"/>
              </w:rPr>
            </w:pPr>
            <w:bookmarkStart w:id="35" w:name="_Toc318733084"/>
            <w:r>
              <w:rPr>
                <w:rFonts w:hint="default" w:ascii="Times New Roman" w:hAnsi="Times New Roman" w:cs="Times New Roman"/>
              </w:rPr>
              <w:t>表2.2-1 项目产品方案及生产规模</w:t>
            </w:r>
            <w:bookmarkEnd w:id="35"/>
            <w:r>
              <w:rPr>
                <w:rFonts w:hint="default" w:ascii="Times New Roman" w:hAnsi="Times New Roman" w:cs="Times New Roman"/>
              </w:rPr>
              <w:t>一览表</w:t>
            </w:r>
          </w:p>
          <w:tbl>
            <w:tblPr>
              <w:tblStyle w:val="37"/>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1272"/>
              <w:gridCol w:w="2039"/>
              <w:gridCol w:w="1997"/>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noWrap w:val="0"/>
                  <w:vAlign w:val="center"/>
                </w:tcPr>
                <w:p>
                  <w:pPr>
                    <w:pStyle w:val="58"/>
                    <w:rPr>
                      <w:rFonts w:ascii="Times New Roman" w:hAnsi="Times New Roman"/>
                      <w:color w:val="000000"/>
                    </w:rPr>
                  </w:pPr>
                  <w:bookmarkStart w:id="36" w:name="_Toc778"/>
                  <w:r>
                    <w:rPr>
                      <w:rFonts w:ascii="Times New Roman" w:hAnsi="Times New Roman"/>
                      <w:color w:val="000000"/>
                    </w:rPr>
                    <w:t>序号</w:t>
                  </w:r>
                </w:p>
              </w:tc>
              <w:tc>
                <w:tcPr>
                  <w:tcW w:w="774" w:type="pct"/>
                  <w:noWrap w:val="0"/>
                  <w:vAlign w:val="center"/>
                </w:tcPr>
                <w:p>
                  <w:pPr>
                    <w:pStyle w:val="58"/>
                    <w:rPr>
                      <w:rFonts w:ascii="Times New Roman" w:hAnsi="Times New Roman"/>
                      <w:color w:val="000000"/>
                    </w:rPr>
                  </w:pPr>
                  <w:r>
                    <w:rPr>
                      <w:rFonts w:ascii="Times New Roman" w:hAnsi="Times New Roman"/>
                      <w:color w:val="000000"/>
                    </w:rPr>
                    <w:t>产品名称</w:t>
                  </w:r>
                </w:p>
              </w:tc>
              <w:tc>
                <w:tcPr>
                  <w:tcW w:w="1240" w:type="pct"/>
                  <w:noWrap w:val="0"/>
                  <w:vAlign w:val="center"/>
                </w:tcPr>
                <w:p>
                  <w:pPr>
                    <w:pStyle w:val="58"/>
                    <w:rPr>
                      <w:rFonts w:ascii="Times New Roman" w:hAnsi="Times New Roman"/>
                      <w:color w:val="000000"/>
                    </w:rPr>
                  </w:pPr>
                  <w:r>
                    <w:rPr>
                      <w:rFonts w:ascii="Times New Roman" w:hAnsi="Times New Roman"/>
                      <w:color w:val="000000"/>
                    </w:rPr>
                    <w:t>规格型号（mm）</w:t>
                  </w:r>
                </w:p>
              </w:tc>
              <w:tc>
                <w:tcPr>
                  <w:tcW w:w="1215" w:type="pct"/>
                  <w:noWrap w:val="0"/>
                  <w:vAlign w:val="center"/>
                </w:tcPr>
                <w:p>
                  <w:pPr>
                    <w:pStyle w:val="58"/>
                    <w:rPr>
                      <w:rFonts w:ascii="Times New Roman" w:hAnsi="Times New Roman"/>
                      <w:color w:val="000000"/>
                    </w:rPr>
                  </w:pPr>
                  <w:r>
                    <w:rPr>
                      <w:rFonts w:ascii="Times New Roman" w:hAnsi="Times New Roman"/>
                      <w:color w:val="000000"/>
                    </w:rPr>
                    <w:t>年产量（万t/a）</w:t>
                  </w:r>
                </w:p>
              </w:tc>
              <w:tc>
                <w:tcPr>
                  <w:tcW w:w="1249" w:type="pct"/>
                  <w:noWrap w:val="0"/>
                  <w:vAlign w:val="center"/>
                </w:tcPr>
                <w:p>
                  <w:pPr>
                    <w:pStyle w:val="58"/>
                    <w:rPr>
                      <w:rFonts w:ascii="Times New Roman" w:hAnsi="Times New Roman"/>
                      <w:color w:val="000000"/>
                    </w:rPr>
                  </w:pPr>
                  <w:r>
                    <w:rPr>
                      <w:rFonts w:ascii="Times New Roman" w:hAnsi="Times New Roman"/>
                      <w:color w:val="000000"/>
                    </w:rPr>
                    <w:t>对应原料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Merge w:val="restart"/>
                  <w:noWrap w:val="0"/>
                  <w:vAlign w:val="center"/>
                </w:tcPr>
                <w:p>
                  <w:pPr>
                    <w:pStyle w:val="58"/>
                    <w:rPr>
                      <w:rFonts w:ascii="Times New Roman" w:hAnsi="Times New Roman"/>
                      <w:color w:val="000000"/>
                    </w:rPr>
                  </w:pPr>
                  <w:r>
                    <w:rPr>
                      <w:rFonts w:ascii="Times New Roman" w:hAnsi="Times New Roman"/>
                      <w:color w:val="000000"/>
                    </w:rPr>
                    <w:t>1</w:t>
                  </w:r>
                </w:p>
              </w:tc>
              <w:tc>
                <w:tcPr>
                  <w:tcW w:w="774" w:type="pct"/>
                  <w:noWrap w:val="0"/>
                  <w:vAlign w:val="center"/>
                </w:tcPr>
                <w:p>
                  <w:pPr>
                    <w:pStyle w:val="58"/>
                    <w:rPr>
                      <w:rFonts w:ascii="Times New Roman" w:hAnsi="Times New Roman"/>
                      <w:color w:val="000000"/>
                    </w:rPr>
                  </w:pPr>
                  <w:r>
                    <w:rPr>
                      <w:rFonts w:ascii="Times New Roman" w:hAnsi="Times New Roman"/>
                      <w:color w:val="000000"/>
                    </w:rPr>
                    <w:t>石子</w:t>
                  </w:r>
                </w:p>
              </w:tc>
              <w:tc>
                <w:tcPr>
                  <w:tcW w:w="1240" w:type="pct"/>
                  <w:noWrap w:val="0"/>
                  <w:vAlign w:val="center"/>
                </w:tcPr>
                <w:p>
                  <w:pPr>
                    <w:pStyle w:val="58"/>
                    <w:rPr>
                      <w:rFonts w:ascii="Times New Roman" w:hAnsi="Times New Roman"/>
                      <w:color w:val="000000"/>
                    </w:rPr>
                  </w:pPr>
                  <w:r>
                    <w:rPr>
                      <w:rFonts w:ascii="Times New Roman" w:hAnsi="Times New Roman"/>
                      <w:color w:val="000000"/>
                    </w:rPr>
                    <w:t>20-40</w:t>
                  </w:r>
                </w:p>
              </w:tc>
              <w:tc>
                <w:tcPr>
                  <w:tcW w:w="1215" w:type="pct"/>
                  <w:noWrap w:val="0"/>
                  <w:vAlign w:val="center"/>
                </w:tcPr>
                <w:p>
                  <w:pPr>
                    <w:pStyle w:val="58"/>
                    <w:rPr>
                      <w:rFonts w:ascii="Times New Roman" w:hAnsi="Times New Roman"/>
                      <w:color w:val="000000"/>
                    </w:rPr>
                  </w:pPr>
                  <w:r>
                    <w:rPr>
                      <w:rFonts w:ascii="Times New Roman" w:hAnsi="Times New Roman"/>
                      <w:color w:val="000000"/>
                    </w:rPr>
                    <w:t>15</w:t>
                  </w:r>
                </w:p>
              </w:tc>
              <w:tc>
                <w:tcPr>
                  <w:tcW w:w="1249" w:type="pct"/>
                  <w:vMerge w:val="restart"/>
                  <w:noWrap w:val="0"/>
                  <w:vAlign w:val="center"/>
                </w:tcPr>
                <w:p>
                  <w:pPr>
                    <w:pStyle w:val="58"/>
                    <w:rPr>
                      <w:rFonts w:ascii="Times New Roman" w:hAnsi="Times New Roman"/>
                      <w:color w:val="000000"/>
                    </w:rPr>
                  </w:pPr>
                  <w:r>
                    <w:rPr>
                      <w:rFonts w:ascii="Times New Roman" w:hAnsi="Times New Roman"/>
                      <w:color w:val="000000"/>
                    </w:rPr>
                    <w:t>交通道路工程建筑垃圾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Merge w:val="continue"/>
                  <w:noWrap w:val="0"/>
                  <w:vAlign w:val="center"/>
                </w:tcPr>
                <w:p>
                  <w:pPr>
                    <w:pStyle w:val="58"/>
                    <w:rPr>
                      <w:rFonts w:ascii="Times New Roman" w:hAnsi="Times New Roman"/>
                      <w:color w:val="000000"/>
                    </w:rPr>
                  </w:pPr>
                </w:p>
              </w:tc>
              <w:tc>
                <w:tcPr>
                  <w:tcW w:w="774" w:type="pct"/>
                  <w:noWrap w:val="0"/>
                  <w:vAlign w:val="center"/>
                </w:tcPr>
                <w:p>
                  <w:pPr>
                    <w:pStyle w:val="58"/>
                    <w:rPr>
                      <w:rFonts w:ascii="Times New Roman" w:hAnsi="Times New Roman"/>
                      <w:color w:val="000000"/>
                    </w:rPr>
                  </w:pPr>
                  <w:r>
                    <w:rPr>
                      <w:rFonts w:ascii="Times New Roman" w:hAnsi="Times New Roman"/>
                      <w:color w:val="000000"/>
                    </w:rPr>
                    <w:t>石粉</w:t>
                  </w:r>
                </w:p>
              </w:tc>
              <w:tc>
                <w:tcPr>
                  <w:tcW w:w="1240" w:type="pct"/>
                  <w:noWrap w:val="0"/>
                  <w:vAlign w:val="center"/>
                </w:tcPr>
                <w:p>
                  <w:pPr>
                    <w:pStyle w:val="58"/>
                    <w:rPr>
                      <w:rFonts w:ascii="Times New Roman" w:hAnsi="Times New Roman"/>
                      <w:color w:val="000000"/>
                    </w:rPr>
                  </w:pPr>
                  <w:r>
                    <w:rPr>
                      <w:rFonts w:ascii="Times New Roman" w:hAnsi="Times New Roman"/>
                      <w:color w:val="000000"/>
                    </w:rPr>
                    <w:t>＜5</w:t>
                  </w:r>
                </w:p>
              </w:tc>
              <w:tc>
                <w:tcPr>
                  <w:tcW w:w="1215" w:type="pct"/>
                  <w:noWrap w:val="0"/>
                  <w:vAlign w:val="center"/>
                </w:tcPr>
                <w:p>
                  <w:pPr>
                    <w:pStyle w:val="58"/>
                    <w:rPr>
                      <w:rFonts w:ascii="Times New Roman" w:hAnsi="Times New Roman"/>
                      <w:color w:val="000000"/>
                    </w:rPr>
                  </w:pPr>
                  <w:r>
                    <w:rPr>
                      <w:rFonts w:ascii="Times New Roman" w:hAnsi="Times New Roman"/>
                      <w:color w:val="000000"/>
                    </w:rPr>
                    <w:t>9</w:t>
                  </w:r>
                </w:p>
              </w:tc>
              <w:tc>
                <w:tcPr>
                  <w:tcW w:w="1249" w:type="pct"/>
                  <w:vMerge w:val="continue"/>
                  <w:noWrap w:val="0"/>
                  <w:vAlign w:val="center"/>
                </w:tcPr>
                <w:p>
                  <w:pPr>
                    <w:pStyle w:val="58"/>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Merge w:val="continue"/>
                  <w:noWrap w:val="0"/>
                  <w:vAlign w:val="center"/>
                </w:tcPr>
                <w:p>
                  <w:pPr>
                    <w:pStyle w:val="58"/>
                    <w:rPr>
                      <w:rFonts w:ascii="Times New Roman" w:hAnsi="Times New Roman"/>
                      <w:color w:val="000000"/>
                    </w:rPr>
                  </w:pPr>
                </w:p>
              </w:tc>
              <w:tc>
                <w:tcPr>
                  <w:tcW w:w="774" w:type="pct"/>
                  <w:noWrap w:val="0"/>
                  <w:vAlign w:val="center"/>
                </w:tcPr>
                <w:p>
                  <w:pPr>
                    <w:pStyle w:val="58"/>
                    <w:rPr>
                      <w:rFonts w:ascii="Times New Roman" w:hAnsi="Times New Roman"/>
                      <w:color w:val="000000"/>
                    </w:rPr>
                  </w:pPr>
                  <w:r>
                    <w:rPr>
                      <w:rFonts w:ascii="Times New Roman" w:hAnsi="Times New Roman"/>
                      <w:color w:val="000000"/>
                    </w:rPr>
                    <w:t>瓜子片</w:t>
                  </w:r>
                </w:p>
              </w:tc>
              <w:tc>
                <w:tcPr>
                  <w:tcW w:w="1240" w:type="pct"/>
                  <w:noWrap w:val="0"/>
                  <w:vAlign w:val="center"/>
                </w:tcPr>
                <w:p>
                  <w:pPr>
                    <w:pStyle w:val="58"/>
                    <w:rPr>
                      <w:rFonts w:ascii="Times New Roman" w:hAnsi="Times New Roman"/>
                      <w:color w:val="000000"/>
                    </w:rPr>
                  </w:pPr>
                  <w:r>
                    <w:rPr>
                      <w:rFonts w:ascii="Times New Roman" w:hAnsi="Times New Roman"/>
                      <w:color w:val="000000"/>
                    </w:rPr>
                    <w:t>5-10</w:t>
                  </w:r>
                </w:p>
              </w:tc>
              <w:tc>
                <w:tcPr>
                  <w:tcW w:w="1215" w:type="pct"/>
                  <w:noWrap w:val="0"/>
                  <w:vAlign w:val="center"/>
                </w:tcPr>
                <w:p>
                  <w:pPr>
                    <w:pStyle w:val="58"/>
                    <w:rPr>
                      <w:rFonts w:ascii="Times New Roman" w:hAnsi="Times New Roman"/>
                      <w:color w:val="000000"/>
                    </w:rPr>
                  </w:pPr>
                  <w:r>
                    <w:rPr>
                      <w:rFonts w:ascii="Times New Roman" w:hAnsi="Times New Roman"/>
                      <w:color w:val="000000"/>
                    </w:rPr>
                    <w:t>6</w:t>
                  </w:r>
                </w:p>
              </w:tc>
              <w:tc>
                <w:tcPr>
                  <w:tcW w:w="1249" w:type="pct"/>
                  <w:vMerge w:val="continue"/>
                  <w:noWrap w:val="0"/>
                  <w:vAlign w:val="center"/>
                </w:tcPr>
                <w:p>
                  <w:pPr>
                    <w:pStyle w:val="58"/>
                    <w:rPr>
                      <w:rFonts w:ascii="Times New Roman" w:hAnsi="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noWrap w:val="0"/>
                  <w:vAlign w:val="center"/>
                </w:tcPr>
                <w:p>
                  <w:pPr>
                    <w:pStyle w:val="58"/>
                    <w:rPr>
                      <w:rFonts w:ascii="Times New Roman" w:hAnsi="Times New Roman"/>
                      <w:color w:val="000000"/>
                    </w:rPr>
                  </w:pPr>
                  <w:r>
                    <w:rPr>
                      <w:rFonts w:ascii="Times New Roman" w:hAnsi="Times New Roman"/>
                      <w:color w:val="000000"/>
                    </w:rPr>
                    <w:t>2</w:t>
                  </w:r>
                </w:p>
              </w:tc>
              <w:tc>
                <w:tcPr>
                  <w:tcW w:w="774" w:type="pct"/>
                  <w:noWrap w:val="0"/>
                  <w:vAlign w:val="center"/>
                </w:tcPr>
                <w:p>
                  <w:pPr>
                    <w:pStyle w:val="58"/>
                    <w:rPr>
                      <w:rFonts w:ascii="Times New Roman" w:hAnsi="Times New Roman"/>
                      <w:color w:val="000000"/>
                    </w:rPr>
                  </w:pPr>
                  <w:r>
                    <w:rPr>
                      <w:rFonts w:ascii="Times New Roman" w:hAnsi="Times New Roman"/>
                      <w:color w:val="000000"/>
                    </w:rPr>
                    <w:t>石粉</w:t>
                  </w:r>
                </w:p>
              </w:tc>
              <w:tc>
                <w:tcPr>
                  <w:tcW w:w="1240" w:type="pct"/>
                  <w:noWrap w:val="0"/>
                  <w:vAlign w:val="center"/>
                </w:tcPr>
                <w:p>
                  <w:pPr>
                    <w:pStyle w:val="58"/>
                    <w:rPr>
                      <w:rFonts w:ascii="Times New Roman" w:hAnsi="Times New Roman"/>
                      <w:color w:val="000000"/>
                    </w:rPr>
                  </w:pPr>
                  <w:r>
                    <w:rPr>
                      <w:rFonts w:ascii="Times New Roman" w:hAnsi="Times New Roman"/>
                      <w:color w:val="000000"/>
                    </w:rPr>
                    <w:t>＜5</w:t>
                  </w:r>
                </w:p>
              </w:tc>
              <w:tc>
                <w:tcPr>
                  <w:tcW w:w="1215" w:type="pct"/>
                  <w:noWrap w:val="0"/>
                  <w:vAlign w:val="center"/>
                </w:tcPr>
                <w:p>
                  <w:pPr>
                    <w:pStyle w:val="58"/>
                    <w:rPr>
                      <w:rFonts w:ascii="Times New Roman" w:hAnsi="Times New Roman"/>
                      <w:color w:val="000000"/>
                    </w:rPr>
                  </w:pPr>
                  <w:r>
                    <w:rPr>
                      <w:rFonts w:ascii="Times New Roman" w:hAnsi="Times New Roman"/>
                      <w:color w:val="000000"/>
                    </w:rPr>
                    <w:t>15</w:t>
                  </w:r>
                </w:p>
              </w:tc>
              <w:tc>
                <w:tcPr>
                  <w:tcW w:w="1249" w:type="pct"/>
                  <w:noWrap w:val="0"/>
                  <w:vAlign w:val="center"/>
                </w:tcPr>
                <w:p>
                  <w:pPr>
                    <w:pStyle w:val="58"/>
                    <w:rPr>
                      <w:rFonts w:ascii="Times New Roman" w:hAnsi="Times New Roman"/>
                      <w:color w:val="000000"/>
                    </w:rPr>
                  </w:pPr>
                  <w:r>
                    <w:rPr>
                      <w:rFonts w:ascii="Times New Roman" w:hAnsi="Times New Roman"/>
                      <w:color w:val="000000"/>
                    </w:rPr>
                    <w:t>房产项目建筑垃圾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noWrap w:val="0"/>
                  <w:vAlign w:val="center"/>
                </w:tcPr>
                <w:p>
                  <w:pPr>
                    <w:pStyle w:val="58"/>
                    <w:rPr>
                      <w:rFonts w:ascii="Times New Roman" w:hAnsi="Times New Roman"/>
                      <w:color w:val="000000"/>
                    </w:rPr>
                  </w:pPr>
                  <w:r>
                    <w:rPr>
                      <w:rFonts w:ascii="Times New Roman" w:hAnsi="Times New Roman"/>
                      <w:color w:val="000000"/>
                    </w:rPr>
                    <w:t>3</w:t>
                  </w:r>
                </w:p>
              </w:tc>
              <w:tc>
                <w:tcPr>
                  <w:tcW w:w="774" w:type="pct"/>
                  <w:noWrap w:val="0"/>
                  <w:vAlign w:val="center"/>
                </w:tcPr>
                <w:p>
                  <w:pPr>
                    <w:pStyle w:val="58"/>
                    <w:rPr>
                      <w:rFonts w:ascii="Times New Roman" w:hAnsi="Times New Roman"/>
                      <w:color w:val="000000"/>
                    </w:rPr>
                  </w:pPr>
                  <w:r>
                    <w:rPr>
                      <w:rFonts w:ascii="Times New Roman" w:hAnsi="Times New Roman"/>
                      <w:color w:val="000000"/>
                    </w:rPr>
                    <w:t>木屑</w:t>
                  </w:r>
                </w:p>
              </w:tc>
              <w:tc>
                <w:tcPr>
                  <w:tcW w:w="1240" w:type="pct"/>
                  <w:noWrap w:val="0"/>
                  <w:vAlign w:val="center"/>
                </w:tcPr>
                <w:p>
                  <w:pPr>
                    <w:pStyle w:val="58"/>
                    <w:rPr>
                      <w:rFonts w:ascii="Times New Roman" w:hAnsi="Times New Roman"/>
                      <w:color w:val="000000"/>
                    </w:rPr>
                  </w:pPr>
                  <w:r>
                    <w:rPr>
                      <w:rFonts w:ascii="Times New Roman" w:hAnsi="Times New Roman"/>
                      <w:color w:val="000000"/>
                    </w:rPr>
                    <w:t>6</w:t>
                  </w:r>
                </w:p>
              </w:tc>
              <w:tc>
                <w:tcPr>
                  <w:tcW w:w="1215" w:type="pct"/>
                  <w:noWrap w:val="0"/>
                  <w:vAlign w:val="center"/>
                </w:tcPr>
                <w:p>
                  <w:pPr>
                    <w:pStyle w:val="58"/>
                    <w:rPr>
                      <w:rFonts w:ascii="Times New Roman" w:hAnsi="Times New Roman"/>
                      <w:color w:val="000000"/>
                    </w:rPr>
                  </w:pPr>
                  <w:r>
                    <w:rPr>
                      <w:rFonts w:ascii="Times New Roman" w:hAnsi="Times New Roman"/>
                      <w:color w:val="000000"/>
                    </w:rPr>
                    <w:t>30</w:t>
                  </w:r>
                </w:p>
              </w:tc>
              <w:tc>
                <w:tcPr>
                  <w:tcW w:w="1249" w:type="pct"/>
                  <w:noWrap w:val="0"/>
                  <w:vAlign w:val="center"/>
                </w:tcPr>
                <w:p>
                  <w:pPr>
                    <w:pStyle w:val="58"/>
                    <w:rPr>
                      <w:rFonts w:ascii="Times New Roman" w:hAnsi="Times New Roman"/>
                      <w:color w:val="000000"/>
                    </w:rPr>
                  </w:pPr>
                  <w:r>
                    <w:rPr>
                      <w:rFonts w:ascii="Times New Roman" w:hAnsi="Times New Roman"/>
                      <w:color w:val="000000"/>
                    </w:rPr>
                    <w:t>木质建筑垃圾</w:t>
                  </w:r>
                </w:p>
              </w:tc>
            </w:tr>
          </w:tbl>
          <w:p>
            <w:pPr>
              <w:pStyle w:val="6"/>
              <w:rPr>
                <w:rFonts w:hint="eastAsia"/>
              </w:rPr>
            </w:pPr>
          </w:p>
          <w:p>
            <w:pPr>
              <w:pStyle w:val="4"/>
              <w:rPr>
                <w:rFonts w:hint="eastAsia"/>
              </w:rPr>
            </w:pPr>
          </w:p>
          <w:p>
            <w:pPr>
              <w:pStyle w:val="6"/>
              <w:bidi w:val="0"/>
            </w:pPr>
            <w:bookmarkStart w:id="37" w:name="_Toc15411"/>
            <w:bookmarkStart w:id="38" w:name="_Toc10613"/>
            <w:r>
              <w:rPr>
                <w:rFonts w:hint="eastAsia"/>
              </w:rPr>
              <w:t>主要生产设备</w:t>
            </w:r>
            <w:bookmarkEnd w:id="36"/>
            <w:bookmarkEnd w:id="37"/>
            <w:bookmarkEnd w:id="38"/>
          </w:p>
          <w:p>
            <w:pPr>
              <w:pStyle w:val="4"/>
            </w:pPr>
            <w:r>
              <w:rPr>
                <w:rFonts w:hint="eastAsia"/>
              </w:rPr>
              <w:t>本项目验收时主要生产设备如下：</w:t>
            </w:r>
          </w:p>
          <w:p>
            <w:pPr>
              <w:pStyle w:val="15"/>
              <w:rPr>
                <w:rFonts w:hint="default" w:ascii="Times New Roman" w:hAnsi="Times New Roman" w:cs="Times New Roman"/>
              </w:rPr>
            </w:pPr>
            <w:r>
              <w:rPr>
                <w:rFonts w:hint="default" w:ascii="Times New Roman" w:hAnsi="Times New Roman" w:cs="Times New Roman"/>
              </w:rPr>
              <w:t>表2.2-2 主要生产设备与辅助设备</w:t>
            </w:r>
          </w:p>
          <w:tbl>
            <w:tblPr>
              <w:tblStyle w:val="37"/>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85"/>
              <w:gridCol w:w="2754"/>
              <w:gridCol w:w="1970"/>
              <w:gridCol w:w="1970"/>
              <w:gridCol w:w="118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53" w:type="pct"/>
                  <w:vAlign w:val="center"/>
                </w:tcPr>
                <w:p>
                  <w:pPr>
                    <w:jc w:val="center"/>
                    <w:rPr>
                      <w:szCs w:val="21"/>
                    </w:rPr>
                  </w:pPr>
                  <w:r>
                    <w:rPr>
                      <w:szCs w:val="21"/>
                    </w:rPr>
                    <w:t>序号</w:t>
                  </w:r>
                </w:p>
              </w:tc>
              <w:tc>
                <w:tcPr>
                  <w:tcW w:w="1518" w:type="pct"/>
                  <w:vAlign w:val="center"/>
                </w:tcPr>
                <w:p>
                  <w:pPr>
                    <w:jc w:val="center"/>
                    <w:rPr>
                      <w:szCs w:val="21"/>
                    </w:rPr>
                  </w:pPr>
                  <w:r>
                    <w:rPr>
                      <w:szCs w:val="21"/>
                    </w:rPr>
                    <w:t>名称</w:t>
                  </w:r>
                </w:p>
              </w:tc>
              <w:tc>
                <w:tcPr>
                  <w:tcW w:w="1086" w:type="pct"/>
                </w:tcPr>
                <w:p>
                  <w:pPr>
                    <w:jc w:val="center"/>
                    <w:rPr>
                      <w:szCs w:val="21"/>
                    </w:rPr>
                  </w:pPr>
                  <w:r>
                    <w:rPr>
                      <w:rFonts w:hint="eastAsia"/>
                      <w:szCs w:val="21"/>
                    </w:rPr>
                    <w:t>环评数量</w:t>
                  </w:r>
                </w:p>
              </w:tc>
              <w:tc>
                <w:tcPr>
                  <w:tcW w:w="1086" w:type="pct"/>
                  <w:vAlign w:val="center"/>
                </w:tcPr>
                <w:p>
                  <w:pPr>
                    <w:jc w:val="center"/>
                    <w:rPr>
                      <w:szCs w:val="21"/>
                    </w:rPr>
                  </w:pPr>
                  <w:r>
                    <w:rPr>
                      <w:rFonts w:hint="eastAsia"/>
                      <w:szCs w:val="21"/>
                    </w:rPr>
                    <w:t>实际数量</w:t>
                  </w:r>
                </w:p>
              </w:tc>
              <w:tc>
                <w:tcPr>
                  <w:tcW w:w="655" w:type="pct"/>
                  <w:vAlign w:val="center"/>
                </w:tcPr>
                <w:p>
                  <w:pPr>
                    <w:jc w:val="center"/>
                    <w:rPr>
                      <w:szCs w:val="21"/>
                    </w:rPr>
                  </w:pPr>
                  <w:r>
                    <w:rPr>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53" w:type="pct"/>
                  <w:vAlign w:val="center"/>
                </w:tcPr>
                <w:p>
                  <w:pPr>
                    <w:spacing w:before="60"/>
                    <w:jc w:val="center"/>
                    <w:rPr>
                      <w:szCs w:val="21"/>
                    </w:rPr>
                  </w:pPr>
                  <w:r>
                    <w:rPr>
                      <w:szCs w:val="21"/>
                    </w:rPr>
                    <w:t>1</w:t>
                  </w:r>
                </w:p>
              </w:tc>
              <w:tc>
                <w:tcPr>
                  <w:tcW w:w="1518" w:type="pct"/>
                  <w:vAlign w:val="center"/>
                </w:tcPr>
                <w:p>
                  <w:pPr>
                    <w:jc w:val="center"/>
                    <w:rPr>
                      <w:rFonts w:hint="default" w:eastAsia="宋体"/>
                      <w:szCs w:val="21"/>
                      <w:lang w:val="en-US" w:eastAsia="zh-CN"/>
                    </w:rPr>
                  </w:pPr>
                  <w:r>
                    <w:rPr>
                      <w:rFonts w:ascii="Times New Roman" w:hAnsi="Times New Roman"/>
                      <w:color w:val="000000"/>
                      <w:szCs w:val="21"/>
                    </w:rPr>
                    <w:t>木材破碎机</w:t>
                  </w:r>
                </w:p>
              </w:tc>
              <w:tc>
                <w:tcPr>
                  <w:tcW w:w="1970" w:type="dxa"/>
                  <w:vAlign w:val="center"/>
                </w:tcPr>
                <w:p>
                  <w:pPr>
                    <w:spacing w:line="300" w:lineRule="exact"/>
                    <w:jc w:val="center"/>
                    <w:rPr>
                      <w:rFonts w:hint="eastAsia" w:eastAsia="宋体"/>
                      <w:szCs w:val="21"/>
                      <w:lang w:val="en-US" w:eastAsia="zh-CN"/>
                    </w:rPr>
                  </w:pPr>
                  <w:r>
                    <w:rPr>
                      <w:rFonts w:ascii="Times New Roman" w:hAnsi="Times New Roman"/>
                      <w:color w:val="000000"/>
                      <w:szCs w:val="21"/>
                    </w:rPr>
                    <w:t>2</w:t>
                  </w:r>
                  <w:r>
                    <w:rPr>
                      <w:rFonts w:hint="eastAsia"/>
                      <w:color w:val="000000"/>
                      <w:szCs w:val="21"/>
                      <w:lang w:eastAsia="zh-CN"/>
                    </w:rPr>
                    <w:t>台</w:t>
                  </w:r>
                </w:p>
              </w:tc>
              <w:tc>
                <w:tcPr>
                  <w:tcW w:w="1970" w:type="dxa"/>
                  <w:vAlign w:val="center"/>
                </w:tcPr>
                <w:p>
                  <w:pPr>
                    <w:spacing w:line="300" w:lineRule="exact"/>
                    <w:jc w:val="center"/>
                    <w:rPr>
                      <w:rFonts w:ascii="Times New Roman" w:hAnsi="Times New Roman" w:eastAsia="宋体" w:cs="Times New Roman"/>
                      <w:kern w:val="2"/>
                      <w:sz w:val="21"/>
                      <w:szCs w:val="21"/>
                      <w:lang w:val="en-US" w:eastAsia="zh-CN" w:bidi="ar-SA"/>
                    </w:rPr>
                  </w:pPr>
                  <w:r>
                    <w:rPr>
                      <w:rFonts w:ascii="Times New Roman" w:hAnsi="Times New Roman"/>
                      <w:color w:val="000000"/>
                      <w:szCs w:val="21"/>
                    </w:rPr>
                    <w:t>2</w:t>
                  </w:r>
                  <w:r>
                    <w:rPr>
                      <w:rFonts w:hint="eastAsia"/>
                      <w:color w:val="000000"/>
                      <w:szCs w:val="21"/>
                      <w:lang w:eastAsia="zh-CN"/>
                    </w:rPr>
                    <w:t>台</w:t>
                  </w:r>
                </w:p>
              </w:tc>
              <w:tc>
                <w:tcPr>
                  <w:tcW w:w="655" w:type="pct"/>
                  <w:vAlign w:val="center"/>
                </w:tcPr>
                <w:p>
                  <w:pPr>
                    <w:jc w:val="center"/>
                    <w:rPr>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53" w:type="pct"/>
                  <w:vAlign w:val="center"/>
                </w:tcPr>
                <w:p>
                  <w:pPr>
                    <w:spacing w:before="60"/>
                    <w:jc w:val="center"/>
                    <w:rPr>
                      <w:szCs w:val="21"/>
                    </w:rPr>
                  </w:pPr>
                  <w:r>
                    <w:rPr>
                      <w:szCs w:val="21"/>
                    </w:rPr>
                    <w:t>2</w:t>
                  </w:r>
                </w:p>
              </w:tc>
              <w:tc>
                <w:tcPr>
                  <w:tcW w:w="1518" w:type="pct"/>
                  <w:vAlign w:val="center"/>
                </w:tcPr>
                <w:p>
                  <w:pPr>
                    <w:jc w:val="center"/>
                    <w:rPr>
                      <w:rFonts w:hint="default" w:eastAsia="宋体"/>
                      <w:szCs w:val="21"/>
                      <w:lang w:val="en-US" w:eastAsia="zh-CN"/>
                    </w:rPr>
                  </w:pPr>
                  <w:r>
                    <w:rPr>
                      <w:rFonts w:ascii="Times New Roman" w:hAnsi="Times New Roman"/>
                      <w:color w:val="000000"/>
                      <w:szCs w:val="21"/>
                    </w:rPr>
                    <w:t>制砂机</w:t>
                  </w:r>
                </w:p>
              </w:tc>
              <w:tc>
                <w:tcPr>
                  <w:tcW w:w="1970" w:type="dxa"/>
                  <w:vAlign w:val="center"/>
                </w:tcPr>
                <w:p>
                  <w:pPr>
                    <w:spacing w:line="300" w:lineRule="exact"/>
                    <w:jc w:val="center"/>
                    <w:rPr>
                      <w:rFonts w:hint="default" w:eastAsia="宋体"/>
                      <w:szCs w:val="21"/>
                      <w:lang w:val="en-US" w:eastAsia="zh-CN"/>
                    </w:rPr>
                  </w:pPr>
                  <w:r>
                    <w:rPr>
                      <w:rFonts w:ascii="Times New Roman" w:hAnsi="Times New Roman"/>
                      <w:color w:val="000000"/>
                      <w:szCs w:val="21"/>
                    </w:rPr>
                    <w:t>2</w:t>
                  </w:r>
                  <w:r>
                    <w:rPr>
                      <w:rFonts w:hint="eastAsia"/>
                      <w:color w:val="000000"/>
                      <w:szCs w:val="21"/>
                      <w:lang w:eastAsia="zh-CN"/>
                    </w:rPr>
                    <w:t>台</w:t>
                  </w:r>
                </w:p>
              </w:tc>
              <w:tc>
                <w:tcPr>
                  <w:tcW w:w="1970" w:type="dxa"/>
                  <w:vAlign w:val="center"/>
                </w:tcPr>
                <w:p>
                  <w:pPr>
                    <w:spacing w:line="300" w:lineRule="exact"/>
                    <w:jc w:val="center"/>
                    <w:rPr>
                      <w:rFonts w:ascii="Times New Roman" w:hAnsi="Times New Roman" w:eastAsia="宋体" w:cs="Times New Roman"/>
                      <w:kern w:val="2"/>
                      <w:sz w:val="21"/>
                      <w:szCs w:val="21"/>
                      <w:lang w:val="en-US" w:eastAsia="zh-CN" w:bidi="ar-SA"/>
                    </w:rPr>
                  </w:pPr>
                  <w:r>
                    <w:rPr>
                      <w:rFonts w:ascii="Times New Roman" w:hAnsi="Times New Roman"/>
                      <w:color w:val="000000"/>
                      <w:szCs w:val="21"/>
                    </w:rPr>
                    <w:t>2</w:t>
                  </w:r>
                  <w:r>
                    <w:rPr>
                      <w:rFonts w:hint="eastAsia"/>
                      <w:color w:val="000000"/>
                      <w:szCs w:val="21"/>
                      <w:lang w:eastAsia="zh-CN"/>
                    </w:rPr>
                    <w:t>台</w:t>
                  </w:r>
                </w:p>
              </w:tc>
              <w:tc>
                <w:tcPr>
                  <w:tcW w:w="655" w:type="pct"/>
                  <w:vAlign w:val="center"/>
                </w:tcPr>
                <w:p>
                  <w:pPr>
                    <w:jc w:val="center"/>
                    <w:rPr>
                      <w:color w:val="000000"/>
                      <w:szCs w:val="21"/>
                    </w:rPr>
                  </w:pPr>
                  <w:r>
                    <w:rPr>
                      <w:rFonts w:ascii="Times New Roman" w:hAnsi="Times New Roman"/>
                      <w:color w:val="000000"/>
                      <w:szCs w:val="21"/>
                    </w:rPr>
                    <w:t>150型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53" w:type="pct"/>
                  <w:vAlign w:val="center"/>
                </w:tcPr>
                <w:p>
                  <w:pPr>
                    <w:spacing w:before="60"/>
                    <w:jc w:val="center"/>
                    <w:rPr>
                      <w:szCs w:val="21"/>
                    </w:rPr>
                  </w:pPr>
                  <w:r>
                    <w:rPr>
                      <w:szCs w:val="21"/>
                    </w:rPr>
                    <w:t>3</w:t>
                  </w:r>
                </w:p>
              </w:tc>
              <w:tc>
                <w:tcPr>
                  <w:tcW w:w="1518" w:type="pct"/>
                  <w:vAlign w:val="center"/>
                </w:tcPr>
                <w:p>
                  <w:pPr>
                    <w:jc w:val="center"/>
                    <w:rPr>
                      <w:rFonts w:hint="default" w:eastAsia="宋体"/>
                      <w:szCs w:val="21"/>
                      <w:lang w:val="en-US" w:eastAsia="zh-CN"/>
                    </w:rPr>
                  </w:pPr>
                  <w:r>
                    <w:rPr>
                      <w:rFonts w:ascii="Times New Roman" w:hAnsi="Times New Roman"/>
                      <w:color w:val="000000"/>
                      <w:szCs w:val="21"/>
                    </w:rPr>
                    <w:t>鄂破机</w:t>
                  </w:r>
                </w:p>
              </w:tc>
              <w:tc>
                <w:tcPr>
                  <w:tcW w:w="1970" w:type="dxa"/>
                  <w:vAlign w:val="center"/>
                </w:tcPr>
                <w:p>
                  <w:pPr>
                    <w:spacing w:line="300" w:lineRule="exact"/>
                    <w:jc w:val="center"/>
                    <w:rPr>
                      <w:rFonts w:hint="default" w:eastAsia="宋体"/>
                      <w:szCs w:val="21"/>
                      <w:lang w:val="en-US" w:eastAsia="zh-CN"/>
                    </w:rPr>
                  </w:pPr>
                  <w:r>
                    <w:rPr>
                      <w:rFonts w:ascii="Times New Roman" w:hAnsi="Times New Roman"/>
                      <w:color w:val="000000"/>
                      <w:szCs w:val="21"/>
                    </w:rPr>
                    <w:t>2</w:t>
                  </w:r>
                  <w:r>
                    <w:rPr>
                      <w:rFonts w:hint="eastAsia"/>
                      <w:color w:val="000000"/>
                      <w:szCs w:val="21"/>
                      <w:lang w:eastAsia="zh-CN"/>
                    </w:rPr>
                    <w:t>台</w:t>
                  </w:r>
                </w:p>
              </w:tc>
              <w:tc>
                <w:tcPr>
                  <w:tcW w:w="1970" w:type="dxa"/>
                  <w:vAlign w:val="center"/>
                </w:tcPr>
                <w:p>
                  <w:pPr>
                    <w:spacing w:line="300" w:lineRule="exact"/>
                    <w:jc w:val="center"/>
                    <w:rPr>
                      <w:rFonts w:ascii="Times New Roman" w:hAnsi="Times New Roman" w:eastAsia="宋体" w:cs="Times New Roman"/>
                      <w:kern w:val="2"/>
                      <w:sz w:val="21"/>
                      <w:szCs w:val="21"/>
                      <w:lang w:val="en-US" w:eastAsia="zh-CN" w:bidi="ar-SA"/>
                    </w:rPr>
                  </w:pPr>
                  <w:r>
                    <w:rPr>
                      <w:rFonts w:ascii="Times New Roman" w:hAnsi="Times New Roman"/>
                      <w:color w:val="000000"/>
                      <w:szCs w:val="21"/>
                    </w:rPr>
                    <w:t>2</w:t>
                  </w:r>
                  <w:r>
                    <w:rPr>
                      <w:rFonts w:hint="eastAsia"/>
                      <w:color w:val="000000"/>
                      <w:szCs w:val="21"/>
                      <w:lang w:eastAsia="zh-CN"/>
                    </w:rPr>
                    <w:t>台</w:t>
                  </w:r>
                </w:p>
              </w:tc>
              <w:tc>
                <w:tcPr>
                  <w:tcW w:w="1188" w:type="dxa"/>
                  <w:vAlign w:val="center"/>
                </w:tcPr>
                <w:p>
                  <w:pPr>
                    <w:jc w:val="center"/>
                    <w:rPr>
                      <w:color w:val="000000"/>
                      <w:szCs w:val="21"/>
                    </w:rPr>
                  </w:pPr>
                  <w:r>
                    <w:rPr>
                      <w:rFonts w:ascii="Times New Roman" w:hAnsi="Times New Roman"/>
                      <w:color w:val="000000"/>
                      <w:szCs w:val="21"/>
                    </w:rPr>
                    <w:t>300×1300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53" w:type="pct"/>
                  <w:vAlign w:val="center"/>
                </w:tcPr>
                <w:p>
                  <w:pPr>
                    <w:spacing w:before="60"/>
                    <w:jc w:val="center"/>
                    <w:rPr>
                      <w:rFonts w:hint="eastAsia" w:eastAsia="宋体"/>
                      <w:szCs w:val="21"/>
                      <w:lang w:val="en-US" w:eastAsia="zh-CN"/>
                    </w:rPr>
                  </w:pPr>
                  <w:r>
                    <w:rPr>
                      <w:rFonts w:hint="eastAsia"/>
                      <w:szCs w:val="21"/>
                      <w:lang w:val="en-US" w:eastAsia="zh-CN"/>
                    </w:rPr>
                    <w:t>4</w:t>
                  </w:r>
                </w:p>
              </w:tc>
              <w:tc>
                <w:tcPr>
                  <w:tcW w:w="1518" w:type="pct"/>
                  <w:vAlign w:val="center"/>
                </w:tcPr>
                <w:p>
                  <w:pPr>
                    <w:jc w:val="center"/>
                    <w:rPr>
                      <w:rFonts w:hint="default" w:eastAsia="宋体"/>
                      <w:szCs w:val="21"/>
                      <w:lang w:val="en-US" w:eastAsia="zh-CN"/>
                    </w:rPr>
                  </w:pPr>
                  <w:r>
                    <w:rPr>
                      <w:rFonts w:ascii="Times New Roman" w:hAnsi="Times New Roman"/>
                      <w:color w:val="000000"/>
                      <w:szCs w:val="21"/>
                    </w:rPr>
                    <w:t>鄂破机</w:t>
                  </w:r>
                </w:p>
              </w:tc>
              <w:tc>
                <w:tcPr>
                  <w:tcW w:w="1970" w:type="dxa"/>
                  <w:vAlign w:val="center"/>
                </w:tcPr>
                <w:p>
                  <w:pPr>
                    <w:spacing w:line="300" w:lineRule="exact"/>
                    <w:jc w:val="center"/>
                    <w:rPr>
                      <w:rFonts w:hint="default" w:eastAsia="宋体"/>
                      <w:szCs w:val="21"/>
                      <w:lang w:val="en-US" w:eastAsia="zh-CN"/>
                    </w:rPr>
                  </w:pPr>
                  <w:r>
                    <w:rPr>
                      <w:rFonts w:ascii="Times New Roman" w:hAnsi="Times New Roman"/>
                      <w:color w:val="000000"/>
                      <w:szCs w:val="21"/>
                    </w:rPr>
                    <w:t>1</w:t>
                  </w:r>
                  <w:r>
                    <w:rPr>
                      <w:rFonts w:hint="eastAsia"/>
                      <w:color w:val="000000"/>
                      <w:szCs w:val="21"/>
                      <w:lang w:eastAsia="zh-CN"/>
                    </w:rPr>
                    <w:t>台</w:t>
                  </w:r>
                </w:p>
              </w:tc>
              <w:tc>
                <w:tcPr>
                  <w:tcW w:w="1970" w:type="dxa"/>
                  <w:vAlign w:val="center"/>
                </w:tcPr>
                <w:p>
                  <w:pPr>
                    <w:spacing w:line="300" w:lineRule="exact"/>
                    <w:jc w:val="center"/>
                    <w:rPr>
                      <w:rFonts w:ascii="Times New Roman" w:hAnsi="Times New Roman" w:eastAsia="宋体" w:cs="Times New Roman"/>
                      <w:kern w:val="2"/>
                      <w:sz w:val="21"/>
                      <w:szCs w:val="21"/>
                      <w:lang w:val="en-US" w:eastAsia="zh-CN" w:bidi="ar-SA"/>
                    </w:rPr>
                  </w:pPr>
                  <w:r>
                    <w:rPr>
                      <w:rFonts w:ascii="Times New Roman" w:hAnsi="Times New Roman"/>
                      <w:color w:val="000000"/>
                      <w:szCs w:val="21"/>
                    </w:rPr>
                    <w:t>1</w:t>
                  </w:r>
                  <w:r>
                    <w:rPr>
                      <w:rFonts w:hint="eastAsia"/>
                      <w:color w:val="000000"/>
                      <w:szCs w:val="21"/>
                      <w:lang w:eastAsia="zh-CN"/>
                    </w:rPr>
                    <w:t>台</w:t>
                  </w:r>
                </w:p>
              </w:tc>
              <w:tc>
                <w:tcPr>
                  <w:tcW w:w="1188" w:type="dxa"/>
                  <w:vAlign w:val="center"/>
                </w:tcPr>
                <w:p>
                  <w:pPr>
                    <w:jc w:val="center"/>
                    <w:rPr>
                      <w:szCs w:val="21"/>
                    </w:rPr>
                  </w:pPr>
                  <w:r>
                    <w:rPr>
                      <w:rFonts w:ascii="Times New Roman" w:hAnsi="Times New Roman"/>
                      <w:color w:val="000000"/>
                      <w:szCs w:val="21"/>
                    </w:rPr>
                    <w:t>600×900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53" w:type="pct"/>
                  <w:vAlign w:val="center"/>
                </w:tcPr>
                <w:p>
                  <w:pPr>
                    <w:spacing w:before="60"/>
                    <w:jc w:val="center"/>
                    <w:rPr>
                      <w:rFonts w:hint="eastAsia" w:eastAsia="宋体"/>
                      <w:szCs w:val="21"/>
                      <w:lang w:val="en-US" w:eastAsia="zh-CN"/>
                    </w:rPr>
                  </w:pPr>
                  <w:r>
                    <w:rPr>
                      <w:rFonts w:hint="eastAsia"/>
                      <w:szCs w:val="21"/>
                      <w:lang w:val="en-US" w:eastAsia="zh-CN"/>
                    </w:rPr>
                    <w:t>5</w:t>
                  </w:r>
                </w:p>
              </w:tc>
              <w:tc>
                <w:tcPr>
                  <w:tcW w:w="1518" w:type="pct"/>
                  <w:vAlign w:val="center"/>
                </w:tcPr>
                <w:p>
                  <w:pPr>
                    <w:jc w:val="center"/>
                    <w:rPr>
                      <w:rFonts w:hint="default" w:eastAsia="宋体"/>
                      <w:szCs w:val="21"/>
                      <w:lang w:val="en-US" w:eastAsia="zh-CN"/>
                    </w:rPr>
                  </w:pPr>
                  <w:r>
                    <w:rPr>
                      <w:rFonts w:ascii="Times New Roman" w:hAnsi="Times New Roman"/>
                      <w:color w:val="000000"/>
                      <w:szCs w:val="21"/>
                    </w:rPr>
                    <w:t>过滤筛</w:t>
                  </w:r>
                </w:p>
              </w:tc>
              <w:tc>
                <w:tcPr>
                  <w:tcW w:w="1970" w:type="dxa"/>
                  <w:vAlign w:val="center"/>
                </w:tcPr>
                <w:p>
                  <w:pPr>
                    <w:spacing w:line="300" w:lineRule="exact"/>
                    <w:jc w:val="center"/>
                    <w:rPr>
                      <w:rFonts w:hint="default" w:eastAsia="宋体"/>
                      <w:szCs w:val="21"/>
                      <w:lang w:val="en-US" w:eastAsia="zh-CN"/>
                    </w:rPr>
                  </w:pPr>
                  <w:r>
                    <w:rPr>
                      <w:rFonts w:ascii="Times New Roman" w:hAnsi="Times New Roman"/>
                      <w:color w:val="000000"/>
                      <w:szCs w:val="21"/>
                    </w:rPr>
                    <w:t>2</w:t>
                  </w:r>
                  <w:r>
                    <w:rPr>
                      <w:rFonts w:hint="eastAsia"/>
                      <w:color w:val="000000"/>
                      <w:szCs w:val="21"/>
                      <w:lang w:eastAsia="zh-CN"/>
                    </w:rPr>
                    <w:t>台</w:t>
                  </w:r>
                </w:p>
              </w:tc>
              <w:tc>
                <w:tcPr>
                  <w:tcW w:w="1970" w:type="dxa"/>
                  <w:vAlign w:val="center"/>
                </w:tcPr>
                <w:p>
                  <w:pPr>
                    <w:spacing w:line="300" w:lineRule="exact"/>
                    <w:jc w:val="center"/>
                    <w:rPr>
                      <w:rFonts w:ascii="Times New Roman" w:hAnsi="Times New Roman" w:eastAsia="宋体" w:cs="Times New Roman"/>
                      <w:kern w:val="2"/>
                      <w:sz w:val="21"/>
                      <w:szCs w:val="21"/>
                      <w:lang w:val="en-US" w:eastAsia="zh-CN" w:bidi="ar-SA"/>
                    </w:rPr>
                  </w:pPr>
                  <w:r>
                    <w:rPr>
                      <w:rFonts w:ascii="Times New Roman" w:hAnsi="Times New Roman"/>
                      <w:color w:val="000000"/>
                      <w:szCs w:val="21"/>
                    </w:rPr>
                    <w:t>2</w:t>
                  </w:r>
                  <w:r>
                    <w:rPr>
                      <w:rFonts w:hint="eastAsia"/>
                      <w:color w:val="000000"/>
                      <w:szCs w:val="21"/>
                      <w:lang w:eastAsia="zh-CN"/>
                    </w:rPr>
                    <w:t>台</w:t>
                  </w:r>
                </w:p>
              </w:tc>
              <w:tc>
                <w:tcPr>
                  <w:tcW w:w="655" w:type="pct"/>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53" w:type="pct"/>
                  <w:vAlign w:val="center"/>
                </w:tcPr>
                <w:p>
                  <w:pPr>
                    <w:spacing w:before="60"/>
                    <w:jc w:val="center"/>
                    <w:rPr>
                      <w:rFonts w:hint="eastAsia" w:eastAsia="宋体"/>
                      <w:szCs w:val="21"/>
                      <w:lang w:val="en-US" w:eastAsia="zh-CN"/>
                    </w:rPr>
                  </w:pPr>
                  <w:r>
                    <w:rPr>
                      <w:rFonts w:hint="eastAsia"/>
                      <w:szCs w:val="21"/>
                      <w:lang w:val="en-US" w:eastAsia="zh-CN"/>
                    </w:rPr>
                    <w:t>6</w:t>
                  </w:r>
                </w:p>
              </w:tc>
              <w:tc>
                <w:tcPr>
                  <w:tcW w:w="1518" w:type="pct"/>
                  <w:vAlign w:val="center"/>
                </w:tcPr>
                <w:p>
                  <w:pPr>
                    <w:jc w:val="center"/>
                    <w:rPr>
                      <w:rFonts w:hint="default" w:eastAsia="宋体"/>
                      <w:szCs w:val="21"/>
                      <w:lang w:val="en-US" w:eastAsia="zh-CN"/>
                    </w:rPr>
                  </w:pPr>
                  <w:r>
                    <w:rPr>
                      <w:rFonts w:ascii="Times New Roman" w:hAnsi="Times New Roman"/>
                      <w:color w:val="000000"/>
                      <w:szCs w:val="21"/>
                    </w:rPr>
                    <w:t>输送带</w:t>
                  </w:r>
                </w:p>
              </w:tc>
              <w:tc>
                <w:tcPr>
                  <w:tcW w:w="1970" w:type="dxa"/>
                  <w:vAlign w:val="center"/>
                </w:tcPr>
                <w:p>
                  <w:pPr>
                    <w:spacing w:line="300" w:lineRule="exact"/>
                    <w:jc w:val="center"/>
                    <w:rPr>
                      <w:rFonts w:hint="default" w:eastAsia="宋体"/>
                      <w:szCs w:val="21"/>
                      <w:lang w:val="en-US" w:eastAsia="zh-CN"/>
                    </w:rPr>
                  </w:pPr>
                  <w:r>
                    <w:rPr>
                      <w:rFonts w:ascii="Times New Roman" w:hAnsi="Times New Roman"/>
                      <w:color w:val="000000"/>
                      <w:szCs w:val="21"/>
                    </w:rPr>
                    <w:t>9</w:t>
                  </w:r>
                  <w:r>
                    <w:rPr>
                      <w:rFonts w:hint="eastAsia"/>
                      <w:color w:val="000000"/>
                      <w:szCs w:val="21"/>
                      <w:lang w:eastAsia="zh-CN"/>
                    </w:rPr>
                    <w:t>台</w:t>
                  </w:r>
                </w:p>
              </w:tc>
              <w:tc>
                <w:tcPr>
                  <w:tcW w:w="1970" w:type="dxa"/>
                  <w:vAlign w:val="center"/>
                </w:tcPr>
                <w:p>
                  <w:pPr>
                    <w:spacing w:line="300" w:lineRule="exact"/>
                    <w:jc w:val="center"/>
                    <w:rPr>
                      <w:rFonts w:ascii="Times New Roman" w:hAnsi="Times New Roman" w:eastAsia="宋体" w:cs="Times New Roman"/>
                      <w:kern w:val="2"/>
                      <w:sz w:val="21"/>
                      <w:szCs w:val="21"/>
                      <w:lang w:val="en-US" w:eastAsia="zh-CN" w:bidi="ar-SA"/>
                    </w:rPr>
                  </w:pPr>
                  <w:r>
                    <w:rPr>
                      <w:rFonts w:ascii="Times New Roman" w:hAnsi="Times New Roman"/>
                      <w:color w:val="000000"/>
                      <w:szCs w:val="21"/>
                    </w:rPr>
                    <w:t>9</w:t>
                  </w:r>
                  <w:r>
                    <w:rPr>
                      <w:rFonts w:hint="eastAsia"/>
                      <w:color w:val="000000"/>
                      <w:szCs w:val="21"/>
                      <w:lang w:eastAsia="zh-CN"/>
                    </w:rPr>
                    <w:t>台</w:t>
                  </w:r>
                </w:p>
              </w:tc>
              <w:tc>
                <w:tcPr>
                  <w:tcW w:w="655" w:type="pct"/>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53" w:type="pct"/>
                  <w:vAlign w:val="center"/>
                </w:tcPr>
                <w:p>
                  <w:pPr>
                    <w:spacing w:before="60"/>
                    <w:jc w:val="center"/>
                    <w:rPr>
                      <w:rFonts w:hint="eastAsia" w:eastAsia="宋体"/>
                      <w:szCs w:val="21"/>
                      <w:lang w:val="en-US" w:eastAsia="zh-CN"/>
                    </w:rPr>
                  </w:pPr>
                  <w:r>
                    <w:rPr>
                      <w:rFonts w:hint="eastAsia"/>
                      <w:szCs w:val="21"/>
                      <w:lang w:val="en-US" w:eastAsia="zh-CN"/>
                    </w:rPr>
                    <w:t>7</w:t>
                  </w:r>
                </w:p>
              </w:tc>
              <w:tc>
                <w:tcPr>
                  <w:tcW w:w="1518" w:type="pct"/>
                  <w:vAlign w:val="center"/>
                </w:tcPr>
                <w:p>
                  <w:pPr>
                    <w:jc w:val="center"/>
                    <w:rPr>
                      <w:rFonts w:hint="default" w:eastAsia="宋体"/>
                      <w:szCs w:val="21"/>
                      <w:lang w:val="en-US" w:eastAsia="zh-CN"/>
                    </w:rPr>
                  </w:pPr>
                  <w:r>
                    <w:rPr>
                      <w:rFonts w:ascii="Times New Roman" w:hAnsi="Times New Roman"/>
                      <w:color w:val="000000"/>
                      <w:szCs w:val="21"/>
                    </w:rPr>
                    <w:t>压缩机</w:t>
                  </w:r>
                </w:p>
              </w:tc>
              <w:tc>
                <w:tcPr>
                  <w:tcW w:w="1970" w:type="dxa"/>
                  <w:vAlign w:val="center"/>
                </w:tcPr>
                <w:p>
                  <w:pPr>
                    <w:spacing w:line="300" w:lineRule="exact"/>
                    <w:jc w:val="center"/>
                    <w:rPr>
                      <w:rFonts w:hint="default" w:eastAsia="宋体"/>
                      <w:szCs w:val="21"/>
                      <w:lang w:val="en-US" w:eastAsia="zh-CN"/>
                    </w:rPr>
                  </w:pPr>
                  <w:r>
                    <w:rPr>
                      <w:rFonts w:ascii="Times New Roman" w:hAnsi="Times New Roman"/>
                      <w:color w:val="000000"/>
                      <w:szCs w:val="21"/>
                    </w:rPr>
                    <w:t>1</w:t>
                  </w:r>
                  <w:r>
                    <w:rPr>
                      <w:rFonts w:hint="eastAsia"/>
                      <w:color w:val="000000"/>
                      <w:szCs w:val="21"/>
                      <w:lang w:eastAsia="zh-CN"/>
                    </w:rPr>
                    <w:t>台</w:t>
                  </w:r>
                </w:p>
              </w:tc>
              <w:tc>
                <w:tcPr>
                  <w:tcW w:w="1970" w:type="dxa"/>
                  <w:vAlign w:val="center"/>
                </w:tcPr>
                <w:p>
                  <w:pPr>
                    <w:spacing w:line="300" w:lineRule="exact"/>
                    <w:jc w:val="center"/>
                    <w:rPr>
                      <w:rFonts w:ascii="Times New Roman" w:hAnsi="Times New Roman" w:eastAsia="宋体" w:cs="Times New Roman"/>
                      <w:kern w:val="2"/>
                      <w:sz w:val="21"/>
                      <w:szCs w:val="21"/>
                      <w:lang w:val="en-US" w:eastAsia="zh-CN" w:bidi="ar-SA"/>
                    </w:rPr>
                  </w:pPr>
                  <w:r>
                    <w:rPr>
                      <w:rFonts w:ascii="Times New Roman" w:hAnsi="Times New Roman"/>
                      <w:color w:val="000000"/>
                      <w:szCs w:val="21"/>
                    </w:rPr>
                    <w:t>1</w:t>
                  </w:r>
                  <w:r>
                    <w:rPr>
                      <w:rFonts w:hint="eastAsia"/>
                      <w:color w:val="000000"/>
                      <w:szCs w:val="21"/>
                      <w:lang w:eastAsia="zh-CN"/>
                    </w:rPr>
                    <w:t>台</w:t>
                  </w:r>
                </w:p>
              </w:tc>
              <w:tc>
                <w:tcPr>
                  <w:tcW w:w="655" w:type="pct"/>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53" w:type="pct"/>
                  <w:vAlign w:val="center"/>
                </w:tcPr>
                <w:p>
                  <w:pPr>
                    <w:spacing w:before="60"/>
                    <w:jc w:val="center"/>
                    <w:rPr>
                      <w:rFonts w:hint="eastAsia" w:eastAsia="宋体"/>
                      <w:szCs w:val="21"/>
                      <w:lang w:val="en-US" w:eastAsia="zh-CN"/>
                    </w:rPr>
                  </w:pPr>
                  <w:r>
                    <w:rPr>
                      <w:rFonts w:hint="eastAsia"/>
                      <w:szCs w:val="21"/>
                      <w:lang w:val="en-US" w:eastAsia="zh-CN"/>
                    </w:rPr>
                    <w:t>8</w:t>
                  </w:r>
                </w:p>
              </w:tc>
              <w:tc>
                <w:tcPr>
                  <w:tcW w:w="1518" w:type="pct"/>
                  <w:vAlign w:val="center"/>
                </w:tcPr>
                <w:p>
                  <w:pPr>
                    <w:jc w:val="center"/>
                    <w:rPr>
                      <w:rFonts w:hint="default" w:eastAsia="宋体"/>
                      <w:szCs w:val="21"/>
                      <w:lang w:val="en-US" w:eastAsia="zh-CN"/>
                    </w:rPr>
                  </w:pPr>
                  <w:r>
                    <w:rPr>
                      <w:rFonts w:ascii="Times New Roman" w:hAnsi="Times New Roman"/>
                      <w:color w:val="000000"/>
                      <w:szCs w:val="21"/>
                    </w:rPr>
                    <w:t>送料机</w:t>
                  </w:r>
                </w:p>
              </w:tc>
              <w:tc>
                <w:tcPr>
                  <w:tcW w:w="1970" w:type="dxa"/>
                  <w:vAlign w:val="center"/>
                </w:tcPr>
                <w:p>
                  <w:pPr>
                    <w:spacing w:line="300" w:lineRule="exact"/>
                    <w:jc w:val="center"/>
                    <w:rPr>
                      <w:rFonts w:hint="default" w:eastAsia="宋体"/>
                      <w:szCs w:val="21"/>
                      <w:lang w:val="en-US" w:eastAsia="zh-CN"/>
                    </w:rPr>
                  </w:pPr>
                  <w:r>
                    <w:rPr>
                      <w:rFonts w:ascii="Times New Roman" w:hAnsi="Times New Roman"/>
                      <w:color w:val="000000"/>
                      <w:szCs w:val="21"/>
                    </w:rPr>
                    <w:t>2</w:t>
                  </w:r>
                  <w:r>
                    <w:rPr>
                      <w:rFonts w:hint="eastAsia"/>
                      <w:color w:val="000000"/>
                      <w:szCs w:val="21"/>
                      <w:lang w:eastAsia="zh-CN"/>
                    </w:rPr>
                    <w:t>台</w:t>
                  </w:r>
                </w:p>
              </w:tc>
              <w:tc>
                <w:tcPr>
                  <w:tcW w:w="1970" w:type="dxa"/>
                  <w:vAlign w:val="center"/>
                </w:tcPr>
                <w:p>
                  <w:pPr>
                    <w:spacing w:line="300" w:lineRule="exact"/>
                    <w:jc w:val="center"/>
                    <w:rPr>
                      <w:rFonts w:ascii="Times New Roman" w:hAnsi="Times New Roman" w:eastAsia="宋体" w:cs="Times New Roman"/>
                      <w:kern w:val="2"/>
                      <w:sz w:val="21"/>
                      <w:szCs w:val="21"/>
                      <w:lang w:val="en-US" w:eastAsia="zh-CN" w:bidi="ar-SA"/>
                    </w:rPr>
                  </w:pPr>
                  <w:r>
                    <w:rPr>
                      <w:rFonts w:ascii="Times New Roman" w:hAnsi="Times New Roman"/>
                      <w:color w:val="000000"/>
                      <w:szCs w:val="21"/>
                    </w:rPr>
                    <w:t>2</w:t>
                  </w:r>
                  <w:r>
                    <w:rPr>
                      <w:rFonts w:hint="eastAsia"/>
                      <w:color w:val="000000"/>
                      <w:szCs w:val="21"/>
                      <w:lang w:eastAsia="zh-CN"/>
                    </w:rPr>
                    <w:t>台</w:t>
                  </w:r>
                </w:p>
              </w:tc>
              <w:tc>
                <w:tcPr>
                  <w:tcW w:w="655" w:type="pct"/>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53" w:type="pct"/>
                  <w:vAlign w:val="center"/>
                </w:tcPr>
                <w:p>
                  <w:pPr>
                    <w:spacing w:before="60"/>
                    <w:jc w:val="center"/>
                    <w:rPr>
                      <w:rFonts w:hint="eastAsia" w:eastAsia="宋体"/>
                      <w:szCs w:val="21"/>
                      <w:lang w:val="en-US" w:eastAsia="zh-CN"/>
                    </w:rPr>
                  </w:pPr>
                  <w:r>
                    <w:rPr>
                      <w:rFonts w:hint="eastAsia"/>
                      <w:szCs w:val="21"/>
                      <w:lang w:val="en-US" w:eastAsia="zh-CN"/>
                    </w:rPr>
                    <w:t>9</w:t>
                  </w:r>
                </w:p>
              </w:tc>
              <w:tc>
                <w:tcPr>
                  <w:tcW w:w="1518" w:type="pct"/>
                  <w:vAlign w:val="center"/>
                </w:tcPr>
                <w:p>
                  <w:pPr>
                    <w:jc w:val="center"/>
                    <w:rPr>
                      <w:rFonts w:hint="default" w:eastAsia="宋体"/>
                      <w:szCs w:val="21"/>
                      <w:lang w:val="en-US" w:eastAsia="zh-CN"/>
                    </w:rPr>
                  </w:pPr>
                  <w:r>
                    <w:rPr>
                      <w:rFonts w:ascii="Times New Roman" w:hAnsi="Times New Roman"/>
                      <w:color w:val="000000"/>
                      <w:szCs w:val="21"/>
                    </w:rPr>
                    <w:t>铲车</w:t>
                  </w:r>
                </w:p>
              </w:tc>
              <w:tc>
                <w:tcPr>
                  <w:tcW w:w="1970" w:type="dxa"/>
                  <w:vAlign w:val="center"/>
                </w:tcPr>
                <w:p>
                  <w:pPr>
                    <w:spacing w:line="300" w:lineRule="exact"/>
                    <w:jc w:val="center"/>
                    <w:rPr>
                      <w:rFonts w:hint="eastAsia" w:eastAsia="宋体"/>
                      <w:szCs w:val="21"/>
                      <w:lang w:val="en-US" w:eastAsia="zh-CN"/>
                    </w:rPr>
                  </w:pPr>
                  <w:r>
                    <w:rPr>
                      <w:rFonts w:ascii="Times New Roman" w:hAnsi="Times New Roman"/>
                      <w:color w:val="000000"/>
                      <w:szCs w:val="21"/>
                    </w:rPr>
                    <w:t>5</w:t>
                  </w:r>
                  <w:r>
                    <w:rPr>
                      <w:rFonts w:hint="eastAsia"/>
                      <w:color w:val="000000"/>
                      <w:szCs w:val="21"/>
                      <w:lang w:eastAsia="zh-CN"/>
                    </w:rPr>
                    <w:t>辆</w:t>
                  </w:r>
                </w:p>
              </w:tc>
              <w:tc>
                <w:tcPr>
                  <w:tcW w:w="1970" w:type="dxa"/>
                  <w:vAlign w:val="center"/>
                </w:tcPr>
                <w:p>
                  <w:pPr>
                    <w:spacing w:line="300" w:lineRule="exact"/>
                    <w:jc w:val="center"/>
                    <w:rPr>
                      <w:rFonts w:ascii="Times New Roman" w:hAnsi="Times New Roman" w:eastAsia="宋体" w:cs="Times New Roman"/>
                      <w:kern w:val="2"/>
                      <w:sz w:val="21"/>
                      <w:szCs w:val="21"/>
                      <w:lang w:val="en-US" w:eastAsia="zh-CN" w:bidi="ar-SA"/>
                    </w:rPr>
                  </w:pPr>
                  <w:r>
                    <w:rPr>
                      <w:rFonts w:ascii="Times New Roman" w:hAnsi="Times New Roman"/>
                      <w:color w:val="000000"/>
                      <w:szCs w:val="21"/>
                    </w:rPr>
                    <w:t>5</w:t>
                  </w:r>
                  <w:r>
                    <w:rPr>
                      <w:rFonts w:hint="eastAsia"/>
                      <w:color w:val="000000"/>
                      <w:szCs w:val="21"/>
                      <w:lang w:eastAsia="zh-CN"/>
                    </w:rPr>
                    <w:t>辆</w:t>
                  </w:r>
                </w:p>
              </w:tc>
              <w:tc>
                <w:tcPr>
                  <w:tcW w:w="655" w:type="pct"/>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53" w:type="pct"/>
                  <w:vAlign w:val="center"/>
                </w:tcPr>
                <w:p>
                  <w:pPr>
                    <w:spacing w:before="60"/>
                    <w:jc w:val="center"/>
                    <w:rPr>
                      <w:rFonts w:hint="default" w:eastAsia="宋体"/>
                      <w:szCs w:val="21"/>
                      <w:lang w:val="en-US" w:eastAsia="zh-CN"/>
                    </w:rPr>
                  </w:pPr>
                  <w:r>
                    <w:rPr>
                      <w:rFonts w:hint="eastAsia"/>
                      <w:szCs w:val="21"/>
                      <w:lang w:val="en-US" w:eastAsia="zh-CN"/>
                    </w:rPr>
                    <w:t>10</w:t>
                  </w:r>
                </w:p>
              </w:tc>
              <w:tc>
                <w:tcPr>
                  <w:tcW w:w="1518" w:type="pct"/>
                  <w:vAlign w:val="center"/>
                </w:tcPr>
                <w:p>
                  <w:pPr>
                    <w:jc w:val="center"/>
                    <w:rPr>
                      <w:rFonts w:hint="default" w:eastAsia="宋体"/>
                      <w:szCs w:val="21"/>
                      <w:lang w:val="en-US" w:eastAsia="zh-CN"/>
                    </w:rPr>
                  </w:pPr>
                  <w:r>
                    <w:rPr>
                      <w:rFonts w:ascii="Times New Roman" w:hAnsi="Times New Roman"/>
                      <w:color w:val="000000"/>
                      <w:szCs w:val="21"/>
                    </w:rPr>
                    <w:t>挖机</w:t>
                  </w:r>
                </w:p>
              </w:tc>
              <w:tc>
                <w:tcPr>
                  <w:tcW w:w="1970" w:type="dxa"/>
                  <w:vAlign w:val="center"/>
                </w:tcPr>
                <w:p>
                  <w:pPr>
                    <w:spacing w:line="300" w:lineRule="exact"/>
                    <w:jc w:val="center"/>
                    <w:rPr>
                      <w:rFonts w:hint="eastAsia" w:eastAsia="宋体"/>
                      <w:szCs w:val="21"/>
                      <w:lang w:val="en-US" w:eastAsia="zh-CN"/>
                    </w:rPr>
                  </w:pPr>
                  <w:r>
                    <w:rPr>
                      <w:rFonts w:ascii="Times New Roman" w:hAnsi="Times New Roman"/>
                      <w:color w:val="000000"/>
                      <w:szCs w:val="21"/>
                    </w:rPr>
                    <w:t>2</w:t>
                  </w:r>
                  <w:r>
                    <w:rPr>
                      <w:rFonts w:hint="eastAsia"/>
                      <w:color w:val="000000"/>
                      <w:szCs w:val="21"/>
                      <w:lang w:eastAsia="zh-CN"/>
                    </w:rPr>
                    <w:t>辆</w:t>
                  </w:r>
                </w:p>
              </w:tc>
              <w:tc>
                <w:tcPr>
                  <w:tcW w:w="1970" w:type="dxa"/>
                  <w:vAlign w:val="center"/>
                </w:tcPr>
                <w:p>
                  <w:pPr>
                    <w:spacing w:line="300" w:lineRule="exact"/>
                    <w:jc w:val="center"/>
                    <w:rPr>
                      <w:rFonts w:ascii="Times New Roman" w:hAnsi="Times New Roman" w:eastAsia="宋体" w:cs="Times New Roman"/>
                      <w:kern w:val="2"/>
                      <w:sz w:val="21"/>
                      <w:szCs w:val="21"/>
                      <w:lang w:val="en-US" w:eastAsia="zh-CN" w:bidi="ar-SA"/>
                    </w:rPr>
                  </w:pPr>
                  <w:r>
                    <w:rPr>
                      <w:rFonts w:ascii="Times New Roman" w:hAnsi="Times New Roman"/>
                      <w:color w:val="000000"/>
                      <w:szCs w:val="21"/>
                    </w:rPr>
                    <w:t>2</w:t>
                  </w:r>
                  <w:r>
                    <w:rPr>
                      <w:rFonts w:hint="eastAsia"/>
                      <w:color w:val="000000"/>
                      <w:szCs w:val="21"/>
                      <w:lang w:eastAsia="zh-CN"/>
                    </w:rPr>
                    <w:t>辆</w:t>
                  </w:r>
                </w:p>
              </w:tc>
              <w:tc>
                <w:tcPr>
                  <w:tcW w:w="655" w:type="pct"/>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53" w:type="pct"/>
                  <w:vAlign w:val="center"/>
                </w:tcPr>
                <w:p>
                  <w:pPr>
                    <w:spacing w:before="60"/>
                    <w:jc w:val="center"/>
                    <w:rPr>
                      <w:rFonts w:hint="default" w:eastAsia="宋体"/>
                      <w:szCs w:val="21"/>
                      <w:lang w:val="en-US" w:eastAsia="zh-CN"/>
                    </w:rPr>
                  </w:pPr>
                  <w:r>
                    <w:rPr>
                      <w:rFonts w:hint="eastAsia"/>
                      <w:szCs w:val="21"/>
                      <w:lang w:val="en-US" w:eastAsia="zh-CN"/>
                    </w:rPr>
                    <w:t>11</w:t>
                  </w:r>
                </w:p>
              </w:tc>
              <w:tc>
                <w:tcPr>
                  <w:tcW w:w="1518" w:type="pct"/>
                  <w:vAlign w:val="center"/>
                </w:tcPr>
                <w:p>
                  <w:pPr>
                    <w:jc w:val="center"/>
                    <w:rPr>
                      <w:rFonts w:hint="default"/>
                      <w:szCs w:val="21"/>
                      <w:lang w:val="en-US" w:eastAsia="zh-CN"/>
                    </w:rPr>
                  </w:pPr>
                  <w:r>
                    <w:rPr>
                      <w:rFonts w:ascii="Times New Roman" w:hAnsi="Times New Roman"/>
                      <w:color w:val="000000"/>
                      <w:szCs w:val="21"/>
                    </w:rPr>
                    <w:t>布袋除尘器</w:t>
                  </w:r>
                </w:p>
              </w:tc>
              <w:tc>
                <w:tcPr>
                  <w:tcW w:w="1970" w:type="dxa"/>
                  <w:vAlign w:val="center"/>
                </w:tcPr>
                <w:p>
                  <w:pPr>
                    <w:spacing w:line="300" w:lineRule="exact"/>
                    <w:jc w:val="center"/>
                    <w:rPr>
                      <w:rFonts w:hint="default" w:eastAsia="宋体"/>
                      <w:szCs w:val="21"/>
                      <w:lang w:val="en-US" w:eastAsia="zh-CN"/>
                    </w:rPr>
                  </w:pPr>
                  <w:r>
                    <w:rPr>
                      <w:rFonts w:ascii="Times New Roman" w:hAnsi="Times New Roman"/>
                      <w:color w:val="000000"/>
                      <w:szCs w:val="21"/>
                    </w:rPr>
                    <w:t>1</w:t>
                  </w:r>
                  <w:r>
                    <w:rPr>
                      <w:rFonts w:hint="eastAsia"/>
                      <w:color w:val="000000"/>
                      <w:szCs w:val="21"/>
                      <w:lang w:eastAsia="zh-CN"/>
                    </w:rPr>
                    <w:t>台</w:t>
                  </w:r>
                </w:p>
              </w:tc>
              <w:tc>
                <w:tcPr>
                  <w:tcW w:w="1970" w:type="dxa"/>
                  <w:vAlign w:val="center"/>
                </w:tcPr>
                <w:p>
                  <w:pPr>
                    <w:spacing w:line="300" w:lineRule="exact"/>
                    <w:jc w:val="center"/>
                    <w:rPr>
                      <w:rFonts w:ascii="Times New Roman" w:hAnsi="Times New Roman" w:eastAsia="宋体" w:cs="Times New Roman"/>
                      <w:kern w:val="2"/>
                      <w:sz w:val="21"/>
                      <w:szCs w:val="21"/>
                      <w:lang w:val="en-US" w:eastAsia="zh-CN" w:bidi="ar-SA"/>
                    </w:rPr>
                  </w:pPr>
                  <w:r>
                    <w:rPr>
                      <w:rFonts w:ascii="Times New Roman" w:hAnsi="Times New Roman"/>
                      <w:color w:val="000000"/>
                      <w:szCs w:val="21"/>
                    </w:rPr>
                    <w:t>1</w:t>
                  </w:r>
                  <w:r>
                    <w:rPr>
                      <w:rFonts w:hint="eastAsia"/>
                      <w:color w:val="000000"/>
                      <w:szCs w:val="21"/>
                      <w:lang w:eastAsia="zh-CN"/>
                    </w:rPr>
                    <w:t>台</w:t>
                  </w:r>
                </w:p>
              </w:tc>
              <w:tc>
                <w:tcPr>
                  <w:tcW w:w="655" w:type="pct"/>
                  <w:vAlign w:val="center"/>
                </w:tcPr>
                <w:p>
                  <w:pPr>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53" w:type="pct"/>
                  <w:vAlign w:val="center"/>
                </w:tcPr>
                <w:p>
                  <w:pPr>
                    <w:spacing w:before="60"/>
                    <w:jc w:val="center"/>
                    <w:rPr>
                      <w:rFonts w:hint="default"/>
                      <w:lang w:val="en-US" w:eastAsia="zh-CN"/>
                    </w:rPr>
                  </w:pPr>
                  <w:r>
                    <w:rPr>
                      <w:rFonts w:hint="eastAsia"/>
                      <w:lang w:val="en-US" w:eastAsia="zh-CN"/>
                    </w:rPr>
                    <w:t>12</w:t>
                  </w:r>
                </w:p>
              </w:tc>
              <w:tc>
                <w:tcPr>
                  <w:tcW w:w="1518" w:type="pct"/>
                  <w:vAlign w:val="center"/>
                </w:tcPr>
                <w:p>
                  <w:pPr>
                    <w:jc w:val="center"/>
                    <w:rPr>
                      <w:rFonts w:hint="default"/>
                      <w:szCs w:val="21"/>
                      <w:lang w:val="en-US" w:eastAsia="zh-CN"/>
                    </w:rPr>
                  </w:pPr>
                  <w:r>
                    <w:rPr>
                      <w:rFonts w:ascii="Times New Roman" w:hAnsi="Times New Roman"/>
                      <w:color w:val="000000"/>
                      <w:szCs w:val="21"/>
                    </w:rPr>
                    <w:t>引风机</w:t>
                  </w:r>
                </w:p>
              </w:tc>
              <w:tc>
                <w:tcPr>
                  <w:tcW w:w="1970" w:type="dxa"/>
                  <w:vAlign w:val="center"/>
                </w:tcPr>
                <w:p>
                  <w:pPr>
                    <w:spacing w:line="300" w:lineRule="exact"/>
                    <w:jc w:val="center"/>
                    <w:rPr>
                      <w:rFonts w:hint="default" w:eastAsia="宋体"/>
                      <w:szCs w:val="21"/>
                      <w:lang w:val="en-US" w:eastAsia="zh-CN"/>
                    </w:rPr>
                  </w:pPr>
                  <w:r>
                    <w:rPr>
                      <w:rFonts w:hint="eastAsia" w:ascii="Times New Roman" w:hAnsi="Times New Roman"/>
                      <w:color w:val="000000"/>
                      <w:szCs w:val="21"/>
                      <w:lang w:val="en-US" w:eastAsia="zh-CN"/>
                    </w:rPr>
                    <w:t>1</w:t>
                  </w:r>
                  <w:r>
                    <w:rPr>
                      <w:rFonts w:hint="eastAsia"/>
                      <w:color w:val="000000"/>
                      <w:szCs w:val="21"/>
                      <w:lang w:eastAsia="zh-CN"/>
                    </w:rPr>
                    <w:t>台</w:t>
                  </w:r>
                </w:p>
              </w:tc>
              <w:tc>
                <w:tcPr>
                  <w:tcW w:w="1970" w:type="dxa"/>
                  <w:vAlign w:val="center"/>
                </w:tcPr>
                <w:p>
                  <w:pPr>
                    <w:spacing w:line="300" w:lineRule="exact"/>
                    <w:jc w:val="center"/>
                    <w:rPr>
                      <w:rFonts w:ascii="Times New Roman" w:hAnsi="Times New Roman" w:eastAsia="宋体" w:cs="Times New Roman"/>
                      <w:kern w:val="2"/>
                      <w:sz w:val="21"/>
                      <w:szCs w:val="21"/>
                      <w:lang w:val="en-US" w:eastAsia="zh-CN" w:bidi="ar-SA"/>
                    </w:rPr>
                  </w:pPr>
                  <w:r>
                    <w:rPr>
                      <w:rFonts w:hint="eastAsia" w:ascii="Times New Roman" w:hAnsi="Times New Roman"/>
                      <w:color w:val="000000"/>
                      <w:szCs w:val="21"/>
                      <w:lang w:val="en-US" w:eastAsia="zh-CN"/>
                    </w:rPr>
                    <w:t>1</w:t>
                  </w:r>
                  <w:r>
                    <w:rPr>
                      <w:rFonts w:hint="eastAsia"/>
                      <w:color w:val="000000"/>
                      <w:szCs w:val="21"/>
                      <w:lang w:eastAsia="zh-CN"/>
                    </w:rPr>
                    <w:t>台</w:t>
                  </w:r>
                </w:p>
              </w:tc>
              <w:tc>
                <w:tcPr>
                  <w:tcW w:w="655" w:type="pct"/>
                  <w:vAlign w:val="center"/>
                </w:tcPr>
                <w:p>
                  <w:pPr>
                    <w:jc w:val="center"/>
                    <w:rPr>
                      <w:szCs w:val="21"/>
                    </w:rPr>
                  </w:pPr>
                  <w:r>
                    <w:rPr>
                      <w:rFonts w:hint="eastAsia" w:ascii="Times New Roman" w:hAnsi="Times New Roman"/>
                      <w:color w:val="000000"/>
                      <w:szCs w:val="21"/>
                      <w:lang w:val="en-US" w:eastAsia="zh-CN"/>
                    </w:rPr>
                    <w:t>1</w:t>
                  </w:r>
                  <w:r>
                    <w:rPr>
                      <w:rFonts w:ascii="Times New Roman" w:hAnsi="Times New Roman"/>
                      <w:color w:val="000000"/>
                      <w:szCs w:val="21"/>
                    </w:rPr>
                    <w:t>0000m</w:t>
                  </w:r>
                  <w:r>
                    <w:rPr>
                      <w:rFonts w:ascii="Times New Roman" w:hAnsi="Times New Roman"/>
                      <w:color w:val="000000"/>
                      <w:szCs w:val="21"/>
                      <w:vertAlign w:val="superscript"/>
                    </w:rPr>
                    <w:t>3</w:t>
                  </w:r>
                  <w:r>
                    <w:rPr>
                      <w:rFonts w:ascii="Times New Roman" w:hAnsi="Times New Roman"/>
                      <w:color w:val="000000"/>
                      <w:szCs w:val="21"/>
                    </w:rPr>
                    <w:t>/h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53" w:type="pct"/>
                  <w:vAlign w:val="center"/>
                </w:tcPr>
                <w:p>
                  <w:pPr>
                    <w:spacing w:before="60"/>
                    <w:jc w:val="center"/>
                    <w:rPr>
                      <w:rFonts w:hint="default"/>
                      <w:szCs w:val="21"/>
                      <w:lang w:val="en-US" w:eastAsia="zh-CN"/>
                    </w:rPr>
                  </w:pPr>
                  <w:r>
                    <w:rPr>
                      <w:rFonts w:hint="eastAsia"/>
                      <w:szCs w:val="21"/>
                      <w:lang w:val="en-US" w:eastAsia="zh-CN"/>
                    </w:rPr>
                    <w:t>13</w:t>
                  </w:r>
                </w:p>
              </w:tc>
              <w:tc>
                <w:tcPr>
                  <w:tcW w:w="1518" w:type="pct"/>
                  <w:vAlign w:val="center"/>
                </w:tcPr>
                <w:p>
                  <w:pPr>
                    <w:jc w:val="center"/>
                    <w:rPr>
                      <w:rFonts w:hint="default"/>
                      <w:szCs w:val="21"/>
                      <w:lang w:val="en-US" w:eastAsia="zh-CN"/>
                    </w:rPr>
                  </w:pPr>
                  <w:r>
                    <w:rPr>
                      <w:rFonts w:hint="eastAsia" w:ascii="Times New Roman" w:hAnsi="Times New Roman"/>
                      <w:color w:val="000000"/>
                      <w:szCs w:val="21"/>
                      <w:lang w:val="en-US" w:eastAsia="zh-CN"/>
                    </w:rPr>
                    <w:t>磁选机</w:t>
                  </w:r>
                </w:p>
              </w:tc>
              <w:tc>
                <w:tcPr>
                  <w:tcW w:w="1970" w:type="dxa"/>
                  <w:vAlign w:val="center"/>
                </w:tcPr>
                <w:p>
                  <w:pPr>
                    <w:spacing w:line="300" w:lineRule="exact"/>
                    <w:jc w:val="center"/>
                    <w:rPr>
                      <w:rFonts w:hint="default" w:eastAsia="宋体"/>
                      <w:szCs w:val="21"/>
                      <w:lang w:val="en-US" w:eastAsia="zh-CN"/>
                    </w:rPr>
                  </w:pPr>
                  <w:r>
                    <w:rPr>
                      <w:rFonts w:hint="eastAsia" w:ascii="Times New Roman" w:hAnsi="Times New Roman"/>
                      <w:color w:val="000000"/>
                      <w:szCs w:val="21"/>
                      <w:lang w:val="en-US" w:eastAsia="zh-CN"/>
                    </w:rPr>
                    <w:t>2</w:t>
                  </w:r>
                  <w:r>
                    <w:rPr>
                      <w:rFonts w:hint="eastAsia"/>
                      <w:color w:val="000000"/>
                      <w:szCs w:val="21"/>
                      <w:lang w:val="en-US" w:eastAsia="zh-CN"/>
                    </w:rPr>
                    <w:t>套</w:t>
                  </w:r>
                </w:p>
              </w:tc>
              <w:tc>
                <w:tcPr>
                  <w:tcW w:w="1970" w:type="dxa"/>
                  <w:vAlign w:val="center"/>
                </w:tcPr>
                <w:p>
                  <w:pPr>
                    <w:spacing w:line="300" w:lineRule="exact"/>
                    <w:jc w:val="center"/>
                    <w:rPr>
                      <w:rFonts w:ascii="Times New Roman" w:hAnsi="Times New Roman" w:eastAsia="宋体" w:cs="Times New Roman"/>
                      <w:kern w:val="2"/>
                      <w:sz w:val="21"/>
                      <w:szCs w:val="21"/>
                      <w:lang w:val="en-US" w:eastAsia="zh-CN" w:bidi="ar-SA"/>
                    </w:rPr>
                  </w:pPr>
                  <w:r>
                    <w:rPr>
                      <w:rFonts w:hint="eastAsia" w:ascii="Times New Roman" w:hAnsi="Times New Roman"/>
                      <w:color w:val="000000"/>
                      <w:szCs w:val="21"/>
                      <w:lang w:val="en-US" w:eastAsia="zh-CN"/>
                    </w:rPr>
                    <w:t>2</w:t>
                  </w:r>
                  <w:r>
                    <w:rPr>
                      <w:rFonts w:hint="eastAsia"/>
                      <w:color w:val="000000"/>
                      <w:szCs w:val="21"/>
                      <w:lang w:val="en-US" w:eastAsia="zh-CN"/>
                    </w:rPr>
                    <w:t>套</w:t>
                  </w:r>
                </w:p>
              </w:tc>
              <w:tc>
                <w:tcPr>
                  <w:tcW w:w="655" w:type="pct"/>
                  <w:vAlign w:val="center"/>
                </w:tcPr>
                <w:p>
                  <w:pPr>
                    <w:jc w:val="center"/>
                    <w:rPr>
                      <w:szCs w:val="21"/>
                    </w:rPr>
                  </w:pPr>
                </w:p>
              </w:tc>
            </w:tr>
          </w:tbl>
          <w:p>
            <w:pPr>
              <w:pStyle w:val="6"/>
              <w:rPr>
                <w:rFonts w:hint="eastAsia"/>
              </w:rPr>
            </w:pPr>
            <w:bookmarkStart w:id="39" w:name="_Toc30590"/>
          </w:p>
          <w:p>
            <w:pPr>
              <w:pStyle w:val="4"/>
              <w:rPr>
                <w:rFonts w:hint="eastAsia"/>
              </w:rPr>
            </w:pPr>
          </w:p>
          <w:p>
            <w:pPr>
              <w:pStyle w:val="6"/>
            </w:pPr>
            <w:bookmarkStart w:id="40" w:name="_Toc30226"/>
            <w:bookmarkStart w:id="41" w:name="_Toc32665"/>
            <w:r>
              <w:rPr>
                <w:rFonts w:hint="eastAsia"/>
              </w:rPr>
              <w:t>原辅材料消耗：</w:t>
            </w:r>
            <w:bookmarkEnd w:id="39"/>
            <w:bookmarkEnd w:id="40"/>
            <w:bookmarkEnd w:id="41"/>
          </w:p>
          <w:p>
            <w:pPr>
              <w:pStyle w:val="4"/>
              <w:rPr>
                <w:rFonts w:hint="eastAsia"/>
              </w:rPr>
            </w:pPr>
            <w:r>
              <w:rPr>
                <w:rFonts w:hint="eastAsia"/>
              </w:rPr>
              <w:t>本项目验收时主要原辅材料消耗量，详见表2.2-3。</w:t>
            </w:r>
          </w:p>
          <w:p>
            <w:pPr>
              <w:pStyle w:val="4"/>
              <w:ind w:left="0" w:leftChars="0" w:firstLine="0" w:firstLineChars="0"/>
              <w:rPr>
                <w:rFonts w:hint="eastAsia"/>
              </w:rPr>
            </w:pPr>
          </w:p>
          <w:p>
            <w:pPr>
              <w:pStyle w:val="15"/>
              <w:rPr>
                <w:rFonts w:hint="default" w:ascii="Times New Roman" w:hAnsi="Times New Roman" w:cs="Times New Roman"/>
              </w:rPr>
            </w:pPr>
            <w:r>
              <w:rPr>
                <w:rFonts w:hint="default" w:ascii="Times New Roman" w:hAnsi="Times New Roman" w:cs="Times New Roman"/>
              </w:rPr>
              <w:t>表2.2-3 主要原辅材料消耗量</w:t>
            </w:r>
          </w:p>
          <w:tbl>
            <w:tblPr>
              <w:tblStyle w:val="37"/>
              <w:tblW w:w="82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480"/>
              <w:gridCol w:w="2526"/>
              <w:gridCol w:w="1025"/>
              <w:gridCol w:w="1075"/>
              <w:gridCol w:w="31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19" w:hRule="atLeast"/>
                <w:jc w:val="center"/>
              </w:trPr>
              <w:tc>
                <w:tcPr>
                  <w:tcW w:w="480" w:type="dxa"/>
                  <w:noWrap w:val="0"/>
                  <w:vAlign w:val="center"/>
                </w:tcPr>
                <w:p>
                  <w:pPr>
                    <w:widowControl/>
                    <w:jc w:val="center"/>
                    <w:textAlignment w:val="center"/>
                    <w:rPr>
                      <w:rFonts w:ascii="Times New Roman" w:hAnsi="Times New Roman"/>
                      <w:color w:val="000000"/>
                      <w:szCs w:val="21"/>
                    </w:rPr>
                  </w:pPr>
                  <w:bookmarkStart w:id="42" w:name="_Toc21837"/>
                  <w:r>
                    <w:rPr>
                      <w:rFonts w:ascii="Times New Roman" w:hAnsi="Times New Roman"/>
                      <w:color w:val="000000"/>
                      <w:szCs w:val="21"/>
                    </w:rPr>
                    <w:t>序号</w:t>
                  </w:r>
                </w:p>
              </w:tc>
              <w:tc>
                <w:tcPr>
                  <w:tcW w:w="2526" w:type="dxa"/>
                  <w:noWrap w:val="0"/>
                  <w:vAlign w:val="center"/>
                </w:tcPr>
                <w:p>
                  <w:pPr>
                    <w:widowControl/>
                    <w:jc w:val="center"/>
                    <w:textAlignment w:val="center"/>
                    <w:rPr>
                      <w:rFonts w:ascii="Times New Roman" w:hAnsi="Times New Roman"/>
                      <w:color w:val="000000"/>
                      <w:szCs w:val="21"/>
                    </w:rPr>
                  </w:pPr>
                  <w:r>
                    <w:rPr>
                      <w:rFonts w:ascii="Times New Roman" w:hAnsi="Times New Roman"/>
                      <w:color w:val="000000"/>
                      <w:szCs w:val="21"/>
                    </w:rPr>
                    <w:t>名称</w:t>
                  </w:r>
                </w:p>
              </w:tc>
              <w:tc>
                <w:tcPr>
                  <w:tcW w:w="1025" w:type="dxa"/>
                  <w:tcBorders>
                    <w:right w:val="single" w:color="auto" w:sz="4" w:space="0"/>
                  </w:tcBorders>
                  <w:noWrap w:val="0"/>
                  <w:vAlign w:val="center"/>
                </w:tcPr>
                <w:p>
                  <w:pPr>
                    <w:widowControl/>
                    <w:jc w:val="center"/>
                    <w:textAlignment w:val="center"/>
                    <w:rPr>
                      <w:rFonts w:ascii="Times New Roman" w:hAnsi="Times New Roman"/>
                      <w:color w:val="000000"/>
                      <w:szCs w:val="21"/>
                    </w:rPr>
                  </w:pPr>
                  <w:r>
                    <w:rPr>
                      <w:rFonts w:ascii="Times New Roman" w:hAnsi="Times New Roman"/>
                      <w:color w:val="000000"/>
                      <w:szCs w:val="21"/>
                    </w:rPr>
                    <w:t>单位</w:t>
                  </w:r>
                </w:p>
              </w:tc>
              <w:tc>
                <w:tcPr>
                  <w:tcW w:w="1075" w:type="dxa"/>
                  <w:tcBorders>
                    <w:left w:val="single" w:color="auto" w:sz="4" w:space="0"/>
                  </w:tcBorders>
                  <w:noWrap w:val="0"/>
                  <w:vAlign w:val="center"/>
                </w:tcPr>
                <w:p>
                  <w:pPr>
                    <w:widowControl/>
                    <w:snapToGrid w:val="0"/>
                    <w:jc w:val="center"/>
                    <w:textAlignment w:val="center"/>
                    <w:rPr>
                      <w:rFonts w:ascii="Times New Roman" w:hAnsi="Times New Roman"/>
                      <w:color w:val="000000"/>
                      <w:szCs w:val="21"/>
                    </w:rPr>
                  </w:pPr>
                  <w:r>
                    <w:rPr>
                      <w:rFonts w:ascii="Times New Roman" w:hAnsi="Times New Roman"/>
                      <w:color w:val="000000"/>
                      <w:szCs w:val="21"/>
                    </w:rPr>
                    <w:t>年总耗量</w:t>
                  </w:r>
                </w:p>
              </w:tc>
              <w:tc>
                <w:tcPr>
                  <w:tcW w:w="3114" w:type="dxa"/>
                  <w:noWrap w:val="0"/>
                  <w:vAlign w:val="center"/>
                </w:tcPr>
                <w:p>
                  <w:pPr>
                    <w:widowControl/>
                    <w:jc w:val="center"/>
                    <w:textAlignment w:val="center"/>
                    <w:rPr>
                      <w:rFonts w:ascii="Times New Roman" w:hAnsi="Times New Roman"/>
                      <w:color w:val="000000"/>
                      <w:szCs w:val="21"/>
                    </w:rPr>
                  </w:pPr>
                  <w:r>
                    <w:rPr>
                      <w:rFonts w:ascii="Times New Roman" w:hAnsi="Times New Roman"/>
                      <w:color w:val="00000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38" w:hRule="atLeast"/>
                <w:jc w:val="center"/>
              </w:trPr>
              <w:tc>
                <w:tcPr>
                  <w:tcW w:w="480" w:type="dxa"/>
                  <w:noWrap w:val="0"/>
                  <w:vAlign w:val="center"/>
                </w:tcPr>
                <w:p>
                  <w:pPr>
                    <w:tabs>
                      <w:tab w:val="left" w:pos="4830"/>
                    </w:tabs>
                    <w:snapToGrid w:val="0"/>
                    <w:jc w:val="center"/>
                    <w:rPr>
                      <w:rFonts w:ascii="Times New Roman" w:hAnsi="Times New Roman"/>
                      <w:color w:val="000000"/>
                      <w:szCs w:val="21"/>
                    </w:rPr>
                  </w:pPr>
                  <w:r>
                    <w:rPr>
                      <w:rFonts w:ascii="Times New Roman" w:hAnsi="Times New Roman"/>
                      <w:color w:val="000000"/>
                      <w:szCs w:val="21"/>
                    </w:rPr>
                    <w:t>1</w:t>
                  </w:r>
                </w:p>
              </w:tc>
              <w:tc>
                <w:tcPr>
                  <w:tcW w:w="2526" w:type="dxa"/>
                  <w:noWrap w:val="0"/>
                  <w:vAlign w:val="center"/>
                </w:tcPr>
                <w:p>
                  <w:pPr>
                    <w:jc w:val="center"/>
                    <w:rPr>
                      <w:rFonts w:ascii="Times New Roman" w:hAnsi="Times New Roman"/>
                      <w:color w:val="000000"/>
                      <w:szCs w:val="21"/>
                    </w:rPr>
                  </w:pPr>
                  <w:r>
                    <w:rPr>
                      <w:rFonts w:ascii="Times New Roman" w:hAnsi="Times New Roman"/>
                      <w:color w:val="000000"/>
                      <w:szCs w:val="21"/>
                    </w:rPr>
                    <w:t>交通道路工程建筑垃圾</w:t>
                  </w:r>
                </w:p>
              </w:tc>
              <w:tc>
                <w:tcPr>
                  <w:tcW w:w="1025" w:type="dxa"/>
                  <w:tcBorders>
                    <w:right w:val="single" w:color="auto" w:sz="4" w:space="0"/>
                  </w:tcBorders>
                  <w:noWrap w:val="0"/>
                  <w:vAlign w:val="center"/>
                </w:tcPr>
                <w:p>
                  <w:pPr>
                    <w:jc w:val="center"/>
                    <w:rPr>
                      <w:rFonts w:ascii="Times New Roman" w:hAnsi="Times New Roman"/>
                      <w:color w:val="000000"/>
                      <w:szCs w:val="21"/>
                    </w:rPr>
                  </w:pPr>
                  <w:r>
                    <w:rPr>
                      <w:rFonts w:ascii="Times New Roman" w:hAnsi="Times New Roman"/>
                      <w:color w:val="000000"/>
                      <w:szCs w:val="21"/>
                    </w:rPr>
                    <w:t>万t/a</w:t>
                  </w:r>
                </w:p>
              </w:tc>
              <w:tc>
                <w:tcPr>
                  <w:tcW w:w="1075" w:type="dxa"/>
                  <w:tcBorders>
                    <w:left w:val="single" w:color="auto" w:sz="4" w:space="0"/>
                  </w:tcBorders>
                  <w:noWrap w:val="0"/>
                  <w:vAlign w:val="center"/>
                </w:tcPr>
                <w:p>
                  <w:pPr>
                    <w:jc w:val="center"/>
                    <w:rPr>
                      <w:rFonts w:ascii="Times New Roman" w:hAnsi="Times New Roman"/>
                      <w:color w:val="000000"/>
                      <w:szCs w:val="21"/>
                    </w:rPr>
                  </w:pPr>
                  <w:r>
                    <w:rPr>
                      <w:rFonts w:ascii="Times New Roman" w:hAnsi="Times New Roman"/>
                      <w:color w:val="000000"/>
                      <w:szCs w:val="21"/>
                    </w:rPr>
                    <w:t>30</w:t>
                  </w:r>
                </w:p>
              </w:tc>
              <w:tc>
                <w:tcPr>
                  <w:tcW w:w="3114" w:type="dxa"/>
                  <w:noWrap w:val="0"/>
                  <w:vAlign w:val="center"/>
                </w:tcPr>
                <w:p>
                  <w:pPr>
                    <w:jc w:val="center"/>
                    <w:rPr>
                      <w:rFonts w:hint="default" w:ascii="Times New Roman" w:hAnsi="Times New Roman" w:eastAsia="宋体"/>
                      <w:color w:val="000000"/>
                      <w:szCs w:val="21"/>
                      <w:lang w:val="en-US" w:eastAsia="zh-CN"/>
                    </w:rPr>
                  </w:pPr>
                  <w:r>
                    <w:rPr>
                      <w:rFonts w:ascii="Times New Roman" w:hAnsi="Times New Roman"/>
                      <w:color w:val="000000"/>
                      <w:szCs w:val="21"/>
                    </w:rPr>
                    <w:t>主要为混凝土块及石块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38" w:hRule="atLeast"/>
                <w:jc w:val="center"/>
              </w:trPr>
              <w:tc>
                <w:tcPr>
                  <w:tcW w:w="480" w:type="dxa"/>
                  <w:noWrap w:val="0"/>
                  <w:vAlign w:val="center"/>
                </w:tcPr>
                <w:p>
                  <w:pPr>
                    <w:tabs>
                      <w:tab w:val="left" w:pos="4830"/>
                    </w:tabs>
                    <w:snapToGrid w:val="0"/>
                    <w:jc w:val="center"/>
                    <w:rPr>
                      <w:rFonts w:ascii="Times New Roman" w:hAnsi="Times New Roman"/>
                      <w:color w:val="000000"/>
                      <w:szCs w:val="21"/>
                    </w:rPr>
                  </w:pPr>
                  <w:r>
                    <w:rPr>
                      <w:rFonts w:ascii="Times New Roman" w:hAnsi="Times New Roman"/>
                      <w:color w:val="000000"/>
                      <w:szCs w:val="21"/>
                    </w:rPr>
                    <w:t>2</w:t>
                  </w:r>
                </w:p>
              </w:tc>
              <w:tc>
                <w:tcPr>
                  <w:tcW w:w="2526" w:type="dxa"/>
                  <w:noWrap w:val="0"/>
                  <w:vAlign w:val="center"/>
                </w:tcPr>
                <w:p>
                  <w:pPr>
                    <w:jc w:val="center"/>
                    <w:rPr>
                      <w:rFonts w:ascii="Times New Roman" w:hAnsi="Times New Roman"/>
                      <w:color w:val="000000"/>
                      <w:szCs w:val="21"/>
                    </w:rPr>
                  </w:pPr>
                  <w:r>
                    <w:rPr>
                      <w:rFonts w:ascii="Times New Roman" w:hAnsi="Times New Roman"/>
                      <w:color w:val="000000"/>
                      <w:szCs w:val="21"/>
                    </w:rPr>
                    <w:t>房产项目建筑垃圾</w:t>
                  </w:r>
                </w:p>
              </w:tc>
              <w:tc>
                <w:tcPr>
                  <w:tcW w:w="1025" w:type="dxa"/>
                  <w:tcBorders>
                    <w:right w:val="single" w:color="auto" w:sz="4" w:space="0"/>
                  </w:tcBorders>
                  <w:noWrap w:val="0"/>
                  <w:vAlign w:val="center"/>
                </w:tcPr>
                <w:p>
                  <w:pPr>
                    <w:jc w:val="center"/>
                    <w:rPr>
                      <w:rFonts w:ascii="Times New Roman" w:hAnsi="Times New Roman"/>
                      <w:color w:val="000000"/>
                      <w:szCs w:val="21"/>
                    </w:rPr>
                  </w:pPr>
                  <w:r>
                    <w:rPr>
                      <w:rFonts w:ascii="Times New Roman" w:hAnsi="Times New Roman"/>
                      <w:color w:val="000000"/>
                      <w:szCs w:val="21"/>
                    </w:rPr>
                    <w:t>万t/a</w:t>
                  </w:r>
                </w:p>
              </w:tc>
              <w:tc>
                <w:tcPr>
                  <w:tcW w:w="1075" w:type="dxa"/>
                  <w:tcBorders>
                    <w:left w:val="single" w:color="auto" w:sz="4" w:space="0"/>
                  </w:tcBorders>
                  <w:noWrap w:val="0"/>
                  <w:vAlign w:val="center"/>
                </w:tcPr>
                <w:p>
                  <w:pPr>
                    <w:jc w:val="center"/>
                    <w:rPr>
                      <w:rFonts w:ascii="Times New Roman" w:hAnsi="Times New Roman"/>
                      <w:color w:val="000000"/>
                      <w:szCs w:val="21"/>
                    </w:rPr>
                  </w:pPr>
                  <w:r>
                    <w:rPr>
                      <w:rFonts w:ascii="Times New Roman" w:hAnsi="Times New Roman"/>
                      <w:color w:val="000000"/>
                      <w:szCs w:val="21"/>
                    </w:rPr>
                    <w:t>15</w:t>
                  </w:r>
                </w:p>
              </w:tc>
              <w:tc>
                <w:tcPr>
                  <w:tcW w:w="3114" w:type="dxa"/>
                  <w:noWrap w:val="0"/>
                  <w:vAlign w:val="center"/>
                </w:tcPr>
                <w:p>
                  <w:pPr>
                    <w:jc w:val="center"/>
                    <w:rPr>
                      <w:rFonts w:ascii="Times New Roman" w:hAnsi="Times New Roman"/>
                      <w:color w:val="000000"/>
                      <w:szCs w:val="21"/>
                    </w:rPr>
                  </w:pPr>
                  <w:r>
                    <w:rPr>
                      <w:rFonts w:ascii="Times New Roman" w:hAnsi="Times New Roman"/>
                      <w:color w:val="000000"/>
                      <w:szCs w:val="21"/>
                    </w:rPr>
                    <w:t>主要为混凝土块、红砖、钢筋等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38" w:hRule="atLeast"/>
                <w:jc w:val="center"/>
              </w:trPr>
              <w:tc>
                <w:tcPr>
                  <w:tcW w:w="480" w:type="dxa"/>
                  <w:noWrap w:val="0"/>
                  <w:vAlign w:val="center"/>
                </w:tcPr>
                <w:p>
                  <w:pPr>
                    <w:tabs>
                      <w:tab w:val="left" w:pos="4830"/>
                    </w:tabs>
                    <w:snapToGrid w:val="0"/>
                    <w:jc w:val="center"/>
                    <w:rPr>
                      <w:rFonts w:ascii="Times New Roman" w:hAnsi="Times New Roman"/>
                      <w:color w:val="000000"/>
                      <w:szCs w:val="21"/>
                    </w:rPr>
                  </w:pPr>
                  <w:r>
                    <w:rPr>
                      <w:rFonts w:ascii="Times New Roman" w:hAnsi="Times New Roman"/>
                      <w:color w:val="000000"/>
                      <w:szCs w:val="21"/>
                    </w:rPr>
                    <w:t>3</w:t>
                  </w:r>
                </w:p>
              </w:tc>
              <w:tc>
                <w:tcPr>
                  <w:tcW w:w="2526" w:type="dxa"/>
                  <w:noWrap w:val="0"/>
                  <w:vAlign w:val="center"/>
                </w:tcPr>
                <w:p>
                  <w:pPr>
                    <w:jc w:val="center"/>
                    <w:rPr>
                      <w:rFonts w:ascii="Times New Roman" w:hAnsi="Times New Roman"/>
                      <w:color w:val="000000"/>
                      <w:szCs w:val="21"/>
                    </w:rPr>
                  </w:pPr>
                  <w:r>
                    <w:rPr>
                      <w:rFonts w:ascii="Times New Roman" w:hAnsi="Times New Roman"/>
                      <w:color w:val="000000"/>
                      <w:szCs w:val="21"/>
                    </w:rPr>
                    <w:t>木质建筑垃圾</w:t>
                  </w:r>
                </w:p>
              </w:tc>
              <w:tc>
                <w:tcPr>
                  <w:tcW w:w="1025" w:type="dxa"/>
                  <w:tcBorders>
                    <w:right w:val="single" w:color="auto" w:sz="4" w:space="0"/>
                  </w:tcBorders>
                  <w:noWrap w:val="0"/>
                  <w:vAlign w:val="center"/>
                </w:tcPr>
                <w:p>
                  <w:pPr>
                    <w:jc w:val="center"/>
                    <w:rPr>
                      <w:rFonts w:ascii="Times New Roman" w:hAnsi="Times New Roman"/>
                      <w:color w:val="000000"/>
                      <w:szCs w:val="21"/>
                    </w:rPr>
                  </w:pPr>
                  <w:r>
                    <w:rPr>
                      <w:rFonts w:ascii="Times New Roman" w:hAnsi="Times New Roman"/>
                      <w:color w:val="000000"/>
                      <w:szCs w:val="21"/>
                    </w:rPr>
                    <w:t>万t/a</w:t>
                  </w:r>
                </w:p>
              </w:tc>
              <w:tc>
                <w:tcPr>
                  <w:tcW w:w="1075" w:type="dxa"/>
                  <w:tcBorders>
                    <w:left w:val="single" w:color="auto" w:sz="4" w:space="0"/>
                  </w:tcBorders>
                  <w:noWrap w:val="0"/>
                  <w:vAlign w:val="center"/>
                </w:tcPr>
                <w:p>
                  <w:pPr>
                    <w:jc w:val="center"/>
                    <w:rPr>
                      <w:rFonts w:ascii="Times New Roman" w:hAnsi="Times New Roman"/>
                      <w:color w:val="000000"/>
                      <w:szCs w:val="21"/>
                    </w:rPr>
                  </w:pPr>
                  <w:r>
                    <w:rPr>
                      <w:rFonts w:ascii="Times New Roman" w:hAnsi="Times New Roman"/>
                      <w:color w:val="000000"/>
                      <w:szCs w:val="21"/>
                    </w:rPr>
                    <w:t>30</w:t>
                  </w:r>
                </w:p>
              </w:tc>
              <w:tc>
                <w:tcPr>
                  <w:tcW w:w="3114" w:type="dxa"/>
                  <w:noWrap w:val="0"/>
                  <w:vAlign w:val="center"/>
                </w:tcPr>
                <w:p>
                  <w:pPr>
                    <w:jc w:val="center"/>
                    <w:rPr>
                      <w:rFonts w:hint="default" w:ascii="Times New Roman" w:hAnsi="Times New Roman" w:eastAsia="宋体"/>
                      <w:color w:val="000000"/>
                      <w:szCs w:val="21"/>
                      <w:lang w:val="en-US" w:eastAsia="zh-CN"/>
                    </w:rPr>
                  </w:pPr>
                  <w:r>
                    <w:rPr>
                      <w:rFonts w:hint="eastAsia" w:ascii="Times New Roman" w:hAnsi="Times New Roman"/>
                      <w:color w:val="000000"/>
                      <w:szCs w:val="21"/>
                      <w:lang w:val="en-US" w:eastAsia="zh-CN"/>
                    </w:rPr>
                    <w:t>主要为装修过程中产生建筑垃圾</w:t>
                  </w:r>
                </w:p>
              </w:tc>
            </w:tr>
          </w:tbl>
          <w:p>
            <w:pPr>
              <w:bidi w:val="0"/>
            </w:pPr>
          </w:p>
          <w:p>
            <w:pPr>
              <w:bidi w:val="0"/>
            </w:pPr>
          </w:p>
          <w:p>
            <w:pPr>
              <w:pStyle w:val="5"/>
            </w:pPr>
            <w:bookmarkStart w:id="43" w:name="_Toc5745"/>
            <w:r>
              <w:rPr>
                <w:rFonts w:hint="eastAsia"/>
              </w:rPr>
              <w:t>项目变动情况</w:t>
            </w:r>
            <w:bookmarkEnd w:id="42"/>
            <w:bookmarkEnd w:id="43"/>
          </w:p>
          <w:p>
            <w:pPr>
              <w:pStyle w:val="15"/>
              <w:rPr>
                <w:rFonts w:hint="default" w:ascii="Times New Roman" w:hAnsi="Times New Roman" w:cs="Times New Roman"/>
              </w:rPr>
            </w:pPr>
            <w:r>
              <w:rPr>
                <w:rFonts w:hint="default" w:ascii="Times New Roman" w:hAnsi="Times New Roman" w:cs="Times New Roman"/>
              </w:rPr>
              <w:t>表2.3-1</w:t>
            </w:r>
            <w:r>
              <w:rPr>
                <w:rFonts w:hint="default" w:ascii="Times New Roman" w:hAnsi="Times New Roman" w:cs="Times New Roman"/>
                <w:lang w:val="en-US" w:eastAsia="zh-CN"/>
              </w:rPr>
              <w:t xml:space="preserve"> </w:t>
            </w:r>
            <w:r>
              <w:rPr>
                <w:rFonts w:hint="default" w:ascii="Times New Roman" w:hAnsi="Times New Roman" w:cs="Times New Roman"/>
              </w:rPr>
              <w:t>项目建设变化情况</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864"/>
              <w:gridCol w:w="1548"/>
              <w:gridCol w:w="4031"/>
              <w:gridCol w:w="1557"/>
              <w:gridCol w:w="5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76" w:type="pct"/>
                  <w:gridSpan w:val="2"/>
                  <w:shd w:val="clear" w:color="auto" w:fill="auto"/>
                  <w:vAlign w:val="center"/>
                </w:tcPr>
                <w:p>
                  <w:pPr>
                    <w:spacing w:line="360" w:lineRule="exact"/>
                    <w:jc w:val="center"/>
                    <w:rPr>
                      <w:szCs w:val="21"/>
                    </w:rPr>
                  </w:pPr>
                  <w:r>
                    <w:rPr>
                      <w:szCs w:val="21"/>
                    </w:rPr>
                    <w:t>工程建设</w:t>
                  </w:r>
                </w:p>
                <w:p>
                  <w:pPr>
                    <w:spacing w:line="360" w:lineRule="exact"/>
                    <w:jc w:val="center"/>
                    <w:rPr>
                      <w:szCs w:val="21"/>
                    </w:rPr>
                  </w:pPr>
                  <w:r>
                    <w:rPr>
                      <w:szCs w:val="21"/>
                    </w:rPr>
                    <w:t>内容</w:t>
                  </w:r>
                </w:p>
              </w:tc>
              <w:tc>
                <w:tcPr>
                  <w:tcW w:w="3074" w:type="pct"/>
                  <w:gridSpan w:val="2"/>
                  <w:shd w:val="clear" w:color="auto" w:fill="auto"/>
                  <w:vAlign w:val="center"/>
                </w:tcPr>
                <w:p>
                  <w:pPr>
                    <w:spacing w:line="360" w:lineRule="exact"/>
                    <w:jc w:val="center"/>
                    <w:rPr>
                      <w:szCs w:val="21"/>
                    </w:rPr>
                  </w:pPr>
                  <w:r>
                    <w:rPr>
                      <w:szCs w:val="21"/>
                    </w:rPr>
                    <w:t>环评设计情况</w:t>
                  </w:r>
                </w:p>
              </w:tc>
              <w:tc>
                <w:tcPr>
                  <w:tcW w:w="858" w:type="pct"/>
                  <w:shd w:val="clear" w:color="auto" w:fill="auto"/>
                  <w:vAlign w:val="center"/>
                </w:tcPr>
                <w:p>
                  <w:pPr>
                    <w:spacing w:line="360" w:lineRule="exact"/>
                    <w:jc w:val="center"/>
                    <w:rPr>
                      <w:szCs w:val="21"/>
                    </w:rPr>
                  </w:pPr>
                  <w:r>
                    <w:rPr>
                      <w:szCs w:val="21"/>
                    </w:rPr>
                    <w:t>实际建设情况</w:t>
                  </w:r>
                </w:p>
              </w:tc>
              <w:tc>
                <w:tcPr>
                  <w:tcW w:w="291" w:type="pct"/>
                  <w:shd w:val="clear" w:color="auto" w:fill="auto"/>
                  <w:vAlign w:val="center"/>
                </w:tcPr>
                <w:p>
                  <w:pPr>
                    <w:spacing w:line="360" w:lineRule="exact"/>
                    <w:jc w:val="center"/>
                    <w:rPr>
                      <w:szCs w:val="21"/>
                    </w:rPr>
                  </w:pPr>
                  <w:r>
                    <w:rPr>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00" w:type="pct"/>
                  <w:vMerge w:val="restart"/>
                  <w:shd w:val="clear" w:color="auto" w:fill="auto"/>
                  <w:vAlign w:val="center"/>
                </w:tcPr>
                <w:p>
                  <w:pPr>
                    <w:spacing w:line="360" w:lineRule="exact"/>
                    <w:jc w:val="center"/>
                    <w:rPr>
                      <w:szCs w:val="21"/>
                    </w:rPr>
                  </w:pPr>
                  <w:r>
                    <w:rPr>
                      <w:szCs w:val="21"/>
                    </w:rPr>
                    <w:t>建</w:t>
                  </w:r>
                </w:p>
                <w:p>
                  <w:pPr>
                    <w:spacing w:line="360" w:lineRule="exact"/>
                    <w:jc w:val="center"/>
                    <w:rPr>
                      <w:szCs w:val="21"/>
                    </w:rPr>
                  </w:pPr>
                  <w:r>
                    <w:rPr>
                      <w:szCs w:val="21"/>
                    </w:rPr>
                    <w:t>设</w:t>
                  </w:r>
                </w:p>
                <w:p>
                  <w:pPr>
                    <w:spacing w:line="360" w:lineRule="exact"/>
                    <w:jc w:val="center"/>
                    <w:rPr>
                      <w:szCs w:val="21"/>
                    </w:rPr>
                  </w:pPr>
                  <w:r>
                    <w:rPr>
                      <w:szCs w:val="21"/>
                    </w:rPr>
                    <w:t>内</w:t>
                  </w:r>
                </w:p>
                <w:p>
                  <w:pPr>
                    <w:spacing w:line="360" w:lineRule="exact"/>
                    <w:jc w:val="center"/>
                    <w:rPr>
                      <w:szCs w:val="21"/>
                    </w:rPr>
                  </w:pPr>
                  <w:r>
                    <w:rPr>
                      <w:szCs w:val="21"/>
                    </w:rPr>
                    <w:t>容</w:t>
                  </w:r>
                </w:p>
              </w:tc>
              <w:tc>
                <w:tcPr>
                  <w:tcW w:w="476" w:type="pct"/>
                  <w:shd w:val="clear" w:color="auto" w:fill="auto"/>
                  <w:vAlign w:val="center"/>
                </w:tcPr>
                <w:p>
                  <w:pPr>
                    <w:spacing w:line="360" w:lineRule="exact"/>
                    <w:jc w:val="center"/>
                    <w:rPr>
                      <w:szCs w:val="21"/>
                    </w:rPr>
                  </w:pPr>
                  <w:r>
                    <w:rPr>
                      <w:szCs w:val="21"/>
                    </w:rPr>
                    <w:t>主体</w:t>
                  </w:r>
                </w:p>
                <w:p>
                  <w:pPr>
                    <w:spacing w:line="360" w:lineRule="exact"/>
                    <w:jc w:val="center"/>
                    <w:rPr>
                      <w:szCs w:val="21"/>
                    </w:rPr>
                  </w:pPr>
                  <w:r>
                    <w:rPr>
                      <w:szCs w:val="21"/>
                    </w:rPr>
                    <w:t>工程</w:t>
                  </w:r>
                </w:p>
              </w:tc>
              <w:tc>
                <w:tcPr>
                  <w:tcW w:w="3074" w:type="pct"/>
                  <w:gridSpan w:val="2"/>
                  <w:shd w:val="clear" w:color="auto" w:fill="auto"/>
                  <w:vAlign w:val="center"/>
                </w:tcPr>
                <w:p>
                  <w:pPr>
                    <w:spacing w:line="360" w:lineRule="exact"/>
                    <w:jc w:val="left"/>
                    <w:rPr>
                      <w:szCs w:val="21"/>
                    </w:rPr>
                  </w:pPr>
                  <w:r>
                    <w:rPr>
                      <w:color w:val="000000"/>
                      <w:szCs w:val="21"/>
                    </w:rPr>
                    <w:t>本</w:t>
                  </w:r>
                  <w:r>
                    <w:rPr>
                      <w:color w:val="000000"/>
                      <w:szCs w:val="21"/>
                      <w:highlight w:val="none"/>
                    </w:rPr>
                    <w:t>项目总投资</w:t>
                  </w:r>
                  <w:r>
                    <w:rPr>
                      <w:rFonts w:hint="eastAsia"/>
                      <w:color w:val="000000"/>
                      <w:szCs w:val="21"/>
                      <w:highlight w:val="none"/>
                      <w:lang w:val="en-US" w:eastAsia="zh-CN"/>
                    </w:rPr>
                    <w:t>1000</w:t>
                  </w:r>
                  <w:r>
                    <w:rPr>
                      <w:color w:val="000000"/>
                      <w:szCs w:val="21"/>
                      <w:highlight w:val="none"/>
                    </w:rPr>
                    <w:t>万元，位于</w:t>
                  </w:r>
                  <w:r>
                    <w:rPr>
                      <w:rFonts w:hint="eastAsia"/>
                      <w:lang w:eastAsia="zh-CN"/>
                    </w:rPr>
                    <w:t>宁波市</w:t>
                  </w:r>
                  <w:r>
                    <w:rPr>
                      <w:rFonts w:hint="eastAsia"/>
                      <w:lang w:val="en-US" w:eastAsia="zh-CN"/>
                    </w:rPr>
                    <w:t>海曙区古林镇葑水港村</w:t>
                  </w:r>
                  <w:r>
                    <w:rPr>
                      <w:szCs w:val="21"/>
                      <w:highlight w:val="none"/>
                    </w:rPr>
                    <w:t>，实施</w:t>
                  </w:r>
                  <w:r>
                    <w:rPr>
                      <w:rFonts w:hint="eastAsia"/>
                      <w:szCs w:val="21"/>
                      <w:highlight w:val="none"/>
                      <w:lang w:eastAsia="zh-CN"/>
                    </w:rPr>
                    <w:t>“</w:t>
                  </w:r>
                  <w:r>
                    <w:rPr>
                      <w:rFonts w:hint="eastAsia"/>
                      <w:highlight w:val="none"/>
                      <w:lang w:val="en-US" w:eastAsia="zh-CN"/>
                    </w:rPr>
                    <w:t>建筑垃圾可循环处理项目</w:t>
                  </w:r>
                  <w:r>
                    <w:rPr>
                      <w:szCs w:val="21"/>
                      <w:highlight w:val="none"/>
                    </w:rPr>
                    <w:t>建设项目</w:t>
                  </w:r>
                  <w:r>
                    <w:rPr>
                      <w:rFonts w:hint="eastAsia"/>
                      <w:szCs w:val="21"/>
                      <w:highlight w:val="none"/>
                      <w:lang w:eastAsia="zh-CN"/>
                    </w:rPr>
                    <w:t>”</w:t>
                  </w:r>
                  <w:r>
                    <w:rPr>
                      <w:szCs w:val="21"/>
                      <w:highlight w:val="none"/>
                    </w:rPr>
                    <w:t>，建成后预计</w:t>
                  </w:r>
                  <w:r>
                    <w:rPr>
                      <w:rFonts w:hint="eastAsia"/>
                      <w:highlight w:val="none"/>
                    </w:rPr>
                    <w:t>年</w:t>
                  </w:r>
                  <w:r>
                    <w:rPr>
                      <w:rFonts w:hint="eastAsia"/>
                      <w:lang w:val="en-US" w:eastAsia="zh-CN"/>
                    </w:rPr>
                    <w:t>分拣、破碎、筛分建筑垃圾75万t/a</w:t>
                  </w:r>
                  <w:r>
                    <w:rPr>
                      <w:color w:val="000000"/>
                      <w:szCs w:val="21"/>
                      <w:highlight w:val="none"/>
                    </w:rPr>
                    <w:t>。</w:t>
                  </w:r>
                </w:p>
              </w:tc>
              <w:tc>
                <w:tcPr>
                  <w:tcW w:w="858" w:type="pct"/>
                  <w:shd w:val="clear" w:color="auto" w:fill="auto"/>
                  <w:vAlign w:val="center"/>
                </w:tcPr>
                <w:p>
                  <w:pPr>
                    <w:spacing w:line="360" w:lineRule="exact"/>
                    <w:jc w:val="center"/>
                    <w:rPr>
                      <w:szCs w:val="21"/>
                    </w:rPr>
                  </w:pPr>
                  <w:r>
                    <w:rPr>
                      <w:szCs w:val="21"/>
                    </w:rPr>
                    <w:t>相符</w:t>
                  </w:r>
                </w:p>
              </w:tc>
              <w:tc>
                <w:tcPr>
                  <w:tcW w:w="291" w:type="pct"/>
                  <w:shd w:val="clear" w:color="auto" w:fill="auto"/>
                  <w:vAlign w:val="center"/>
                </w:tcPr>
                <w:p>
                  <w:pPr>
                    <w:spacing w:line="360" w:lineRule="exact"/>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300" w:type="pct"/>
                  <w:vMerge w:val="continue"/>
                  <w:shd w:val="clear" w:color="auto" w:fill="auto"/>
                  <w:vAlign w:val="center"/>
                </w:tcPr>
                <w:p>
                  <w:pPr>
                    <w:spacing w:line="360" w:lineRule="exact"/>
                    <w:jc w:val="center"/>
                    <w:rPr>
                      <w:szCs w:val="21"/>
                    </w:rPr>
                  </w:pPr>
                </w:p>
              </w:tc>
              <w:tc>
                <w:tcPr>
                  <w:tcW w:w="476" w:type="pct"/>
                  <w:shd w:val="clear" w:color="auto" w:fill="auto"/>
                  <w:vAlign w:val="center"/>
                </w:tcPr>
                <w:p>
                  <w:pPr>
                    <w:spacing w:line="360" w:lineRule="exact"/>
                    <w:jc w:val="center"/>
                    <w:rPr>
                      <w:szCs w:val="21"/>
                    </w:rPr>
                  </w:pPr>
                  <w:r>
                    <w:rPr>
                      <w:szCs w:val="21"/>
                    </w:rPr>
                    <w:t>公用</w:t>
                  </w:r>
                </w:p>
                <w:p>
                  <w:pPr>
                    <w:spacing w:line="360" w:lineRule="exact"/>
                    <w:jc w:val="center"/>
                    <w:rPr>
                      <w:szCs w:val="21"/>
                    </w:rPr>
                  </w:pPr>
                  <w:r>
                    <w:rPr>
                      <w:szCs w:val="21"/>
                    </w:rPr>
                    <w:t>工程</w:t>
                  </w:r>
                </w:p>
              </w:tc>
              <w:tc>
                <w:tcPr>
                  <w:tcW w:w="3074" w:type="pct"/>
                  <w:gridSpan w:val="2"/>
                  <w:shd w:val="clear" w:color="auto" w:fill="auto"/>
                  <w:vAlign w:val="center"/>
                </w:tcPr>
                <w:p>
                  <w:pPr>
                    <w:spacing w:line="360" w:lineRule="exact"/>
                    <w:jc w:val="left"/>
                    <w:rPr>
                      <w:szCs w:val="21"/>
                    </w:rPr>
                  </w:pPr>
                  <w:r>
                    <w:rPr>
                      <w:rFonts w:hint="eastAsia"/>
                      <w:szCs w:val="21"/>
                    </w:rPr>
                    <w:t>供电：</w:t>
                  </w:r>
                  <w:r>
                    <w:rPr>
                      <w:rFonts w:hAnsi="宋体"/>
                      <w:szCs w:val="21"/>
                    </w:rPr>
                    <w:t>由当地供电系统供给</w:t>
                  </w:r>
                  <w:r>
                    <w:rPr>
                      <w:rFonts w:hint="eastAsia" w:hAnsi="宋体"/>
                      <w:szCs w:val="21"/>
                    </w:rPr>
                    <w:t>。</w:t>
                  </w:r>
                </w:p>
                <w:p>
                  <w:pPr>
                    <w:spacing w:line="360" w:lineRule="exact"/>
                    <w:jc w:val="left"/>
                    <w:rPr>
                      <w:szCs w:val="21"/>
                    </w:rPr>
                  </w:pPr>
                  <w:r>
                    <w:rPr>
                      <w:rFonts w:hint="eastAsia"/>
                      <w:szCs w:val="21"/>
                    </w:rPr>
                    <w:t>给水：由当地给水管网供给。</w:t>
                  </w:r>
                </w:p>
                <w:p>
                  <w:pPr>
                    <w:spacing w:line="360" w:lineRule="exact"/>
                    <w:rPr>
                      <w:szCs w:val="21"/>
                    </w:rPr>
                  </w:pPr>
                  <w:r>
                    <w:rPr>
                      <w:rFonts w:hint="eastAsia"/>
                      <w:szCs w:val="21"/>
                    </w:rPr>
                    <w:t>排水：</w:t>
                  </w:r>
                  <w:r>
                    <w:rPr>
                      <w:rFonts w:ascii="Times New Roman" w:hAnsi="Times New Roman"/>
                      <w:color w:val="000000"/>
                      <w:szCs w:val="21"/>
                    </w:rPr>
                    <w:t>纳入市政污水管网</w:t>
                  </w:r>
                  <w:r>
                    <w:rPr>
                      <w:rFonts w:hint="eastAsia" w:hAnsi="宋体"/>
                      <w:szCs w:val="21"/>
                    </w:rPr>
                    <w:t>。</w:t>
                  </w:r>
                </w:p>
              </w:tc>
              <w:tc>
                <w:tcPr>
                  <w:tcW w:w="858" w:type="pct"/>
                  <w:shd w:val="clear" w:color="auto" w:fill="auto"/>
                  <w:vAlign w:val="center"/>
                </w:tcPr>
                <w:p>
                  <w:pPr>
                    <w:spacing w:line="360" w:lineRule="exact"/>
                    <w:jc w:val="center"/>
                    <w:rPr>
                      <w:szCs w:val="21"/>
                    </w:rPr>
                  </w:pPr>
                  <w:r>
                    <w:rPr>
                      <w:szCs w:val="21"/>
                    </w:rPr>
                    <w:t>相符</w:t>
                  </w:r>
                </w:p>
              </w:tc>
              <w:tc>
                <w:tcPr>
                  <w:tcW w:w="291" w:type="pct"/>
                  <w:shd w:val="clear" w:color="auto" w:fill="auto"/>
                  <w:vAlign w:val="center"/>
                </w:tcPr>
                <w:p>
                  <w:pPr>
                    <w:spacing w:line="360" w:lineRule="exact"/>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00" w:type="pct"/>
                  <w:vMerge w:val="continue"/>
                  <w:shd w:val="clear" w:color="auto" w:fill="auto"/>
                  <w:vAlign w:val="center"/>
                </w:tcPr>
                <w:p>
                  <w:pPr>
                    <w:spacing w:line="360" w:lineRule="exact"/>
                    <w:jc w:val="center"/>
                    <w:rPr>
                      <w:szCs w:val="21"/>
                    </w:rPr>
                  </w:pPr>
                </w:p>
              </w:tc>
              <w:tc>
                <w:tcPr>
                  <w:tcW w:w="476" w:type="pct"/>
                  <w:vMerge w:val="restart"/>
                  <w:shd w:val="clear" w:color="auto" w:fill="auto"/>
                  <w:vAlign w:val="center"/>
                </w:tcPr>
                <w:p>
                  <w:pPr>
                    <w:spacing w:line="360" w:lineRule="exact"/>
                    <w:jc w:val="center"/>
                    <w:rPr>
                      <w:szCs w:val="21"/>
                    </w:rPr>
                  </w:pPr>
                  <w:r>
                    <w:rPr>
                      <w:szCs w:val="21"/>
                    </w:rPr>
                    <w:t>环保</w:t>
                  </w:r>
                </w:p>
                <w:p>
                  <w:pPr>
                    <w:spacing w:line="360" w:lineRule="exact"/>
                    <w:jc w:val="center"/>
                    <w:rPr>
                      <w:szCs w:val="21"/>
                    </w:rPr>
                  </w:pPr>
                  <w:r>
                    <w:rPr>
                      <w:szCs w:val="21"/>
                    </w:rPr>
                    <w:t>工程</w:t>
                  </w:r>
                </w:p>
              </w:tc>
              <w:tc>
                <w:tcPr>
                  <w:tcW w:w="853" w:type="pct"/>
                  <w:shd w:val="clear" w:color="auto" w:fill="auto"/>
                  <w:vAlign w:val="center"/>
                </w:tcPr>
                <w:p>
                  <w:pPr>
                    <w:pStyle w:val="104"/>
                    <w:spacing w:line="240" w:lineRule="auto"/>
                    <w:jc w:val="center"/>
                    <w:rPr>
                      <w:rFonts w:hint="eastAsia" w:ascii="Times New Roman" w:hAnsi="Times New Roman" w:eastAsia="宋体" w:cs="宋体"/>
                      <w:bCs/>
                      <w:color w:val="000000" w:themeColor="text1"/>
                      <w:kern w:val="0"/>
                      <w:sz w:val="21"/>
                      <w:szCs w:val="21"/>
                      <w:lang w:val="en-US" w:eastAsia="zh-CN" w:bidi="ar-SA"/>
                      <w14:textFill>
                        <w14:solidFill>
                          <w14:schemeClr w14:val="tx1"/>
                        </w14:solidFill>
                      </w14:textFill>
                    </w:rPr>
                  </w:pPr>
                  <w:r>
                    <w:rPr>
                      <w:rFonts w:ascii="Times New Roman" w:hAnsi="Times New Roman" w:cs="Times New Roman"/>
                      <w:color w:val="000000"/>
                    </w:rPr>
                    <w:t>废气治理工程</w:t>
                  </w:r>
                </w:p>
              </w:tc>
              <w:tc>
                <w:tcPr>
                  <w:tcW w:w="2220" w:type="pct"/>
                  <w:shd w:val="clear" w:color="auto" w:fill="auto"/>
                  <w:vAlign w:val="center"/>
                </w:tcPr>
                <w:p>
                  <w:pPr>
                    <w:pStyle w:val="104"/>
                    <w:spacing w:line="240" w:lineRule="auto"/>
                    <w:jc w:val="left"/>
                    <w:rPr>
                      <w:rFonts w:ascii="Times New Roman" w:hAnsi="Times New Roman" w:eastAsia="宋体" w:cs="宋体"/>
                      <w:spacing w:val="5"/>
                      <w:kern w:val="0"/>
                      <w:sz w:val="21"/>
                      <w:szCs w:val="21"/>
                      <w:lang w:val="en-US" w:eastAsia="zh-CN" w:bidi="ar-SA"/>
                    </w:rPr>
                  </w:pPr>
                  <w:r>
                    <w:rPr>
                      <w:rFonts w:ascii="Times New Roman" w:hAnsi="Times New Roman" w:cs="Times New Roman"/>
                      <w:color w:val="000000"/>
                    </w:rPr>
                    <w:t>分拣场密闭并定期洒水抑尘；筛选及粉碎设备上方安装集气设备（风机风量</w:t>
                  </w:r>
                  <w:r>
                    <w:rPr>
                      <w:rFonts w:hint="eastAsia" w:ascii="Times New Roman" w:hAnsi="Times New Roman" w:cs="Times New Roman"/>
                      <w:color w:val="000000"/>
                      <w:lang w:val="en-US" w:eastAsia="zh-CN"/>
                    </w:rPr>
                    <w:t>1</w:t>
                  </w:r>
                  <w:r>
                    <w:rPr>
                      <w:rFonts w:ascii="Times New Roman" w:hAnsi="Times New Roman" w:cs="Times New Roman"/>
                      <w:color w:val="000000"/>
                    </w:rPr>
                    <w:t>0000m</w:t>
                  </w:r>
                  <w:r>
                    <w:rPr>
                      <w:rFonts w:ascii="Times New Roman" w:hAnsi="Times New Roman" w:cs="Times New Roman"/>
                      <w:color w:val="000000"/>
                      <w:vertAlign w:val="superscript"/>
                    </w:rPr>
                    <w:t>3</w:t>
                  </w:r>
                  <w:r>
                    <w:rPr>
                      <w:rFonts w:ascii="Times New Roman" w:hAnsi="Times New Roman" w:cs="Times New Roman"/>
                      <w:color w:val="000000"/>
                    </w:rPr>
                    <w:t>/h），经布袋除尘器处理后排放；厂内运输道路定期洒水抑尘及清洁</w:t>
                  </w:r>
                </w:p>
              </w:tc>
              <w:tc>
                <w:tcPr>
                  <w:tcW w:w="858" w:type="pct"/>
                  <w:shd w:val="clear" w:color="auto" w:fill="auto"/>
                  <w:vAlign w:val="center"/>
                </w:tcPr>
                <w:p>
                  <w:pPr>
                    <w:spacing w:line="360" w:lineRule="exact"/>
                    <w:jc w:val="center"/>
                    <w:rPr>
                      <w:rFonts w:ascii="Times New Roman" w:hAnsi="Times New Roman" w:eastAsia="宋体" w:cs="Times New Roman"/>
                      <w:kern w:val="2"/>
                      <w:sz w:val="21"/>
                      <w:szCs w:val="21"/>
                      <w:lang w:val="en-US" w:eastAsia="zh-CN" w:bidi="ar-SA"/>
                    </w:rPr>
                  </w:pPr>
                  <w:r>
                    <w:rPr>
                      <w:szCs w:val="21"/>
                    </w:rPr>
                    <w:t>相符</w:t>
                  </w:r>
                </w:p>
              </w:tc>
              <w:tc>
                <w:tcPr>
                  <w:tcW w:w="291" w:type="pct"/>
                  <w:vMerge w:val="restart"/>
                  <w:shd w:val="clear" w:color="auto" w:fill="auto"/>
                  <w:vAlign w:val="center"/>
                </w:tcPr>
                <w:p>
                  <w:pPr>
                    <w:spacing w:line="360" w:lineRule="exact"/>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00" w:type="pct"/>
                  <w:vMerge w:val="continue"/>
                  <w:shd w:val="clear" w:color="auto" w:fill="auto"/>
                  <w:vAlign w:val="center"/>
                </w:tcPr>
                <w:p>
                  <w:pPr>
                    <w:spacing w:line="360" w:lineRule="exact"/>
                    <w:jc w:val="center"/>
                    <w:rPr>
                      <w:szCs w:val="21"/>
                    </w:rPr>
                  </w:pPr>
                </w:p>
              </w:tc>
              <w:tc>
                <w:tcPr>
                  <w:tcW w:w="476" w:type="pct"/>
                  <w:vMerge w:val="continue"/>
                  <w:shd w:val="clear" w:color="auto" w:fill="auto"/>
                  <w:vAlign w:val="center"/>
                </w:tcPr>
                <w:p>
                  <w:pPr>
                    <w:spacing w:line="360" w:lineRule="exact"/>
                    <w:jc w:val="center"/>
                    <w:rPr>
                      <w:szCs w:val="21"/>
                    </w:rPr>
                  </w:pPr>
                </w:p>
              </w:tc>
              <w:tc>
                <w:tcPr>
                  <w:tcW w:w="853" w:type="pct"/>
                  <w:shd w:val="clear" w:color="auto" w:fill="auto"/>
                  <w:vAlign w:val="center"/>
                </w:tcPr>
                <w:p>
                  <w:pPr>
                    <w:pStyle w:val="104"/>
                    <w:spacing w:line="240" w:lineRule="auto"/>
                    <w:jc w:val="center"/>
                    <w:rPr>
                      <w:rFonts w:hint="eastAsia" w:ascii="Times New Roman" w:hAnsi="Times New Roman" w:eastAsia="宋体" w:cs="Times New Roman"/>
                      <w:kern w:val="2"/>
                      <w:sz w:val="21"/>
                      <w:szCs w:val="21"/>
                      <w:lang w:val="en-US" w:eastAsia="zh-CN" w:bidi="ar-SA"/>
                    </w:rPr>
                  </w:pPr>
                  <w:r>
                    <w:rPr>
                      <w:rFonts w:ascii="Times New Roman" w:hAnsi="Times New Roman" w:cs="Times New Roman"/>
                      <w:color w:val="000000"/>
                    </w:rPr>
                    <w:t>废水治理工程</w:t>
                  </w:r>
                </w:p>
              </w:tc>
              <w:tc>
                <w:tcPr>
                  <w:tcW w:w="2220" w:type="pct"/>
                  <w:shd w:val="clear" w:color="auto" w:fill="auto"/>
                  <w:vAlign w:val="center"/>
                </w:tcPr>
                <w:p>
                  <w:pPr>
                    <w:pStyle w:val="104"/>
                    <w:spacing w:line="240" w:lineRule="auto"/>
                    <w:jc w:val="left"/>
                    <w:rPr>
                      <w:rFonts w:hint="default" w:ascii="Times New Roman" w:hAnsi="Times New Roman" w:eastAsia="宋体" w:cs="Times New Roman"/>
                      <w:kern w:val="2"/>
                      <w:sz w:val="21"/>
                      <w:szCs w:val="21"/>
                      <w:lang w:val="en-US" w:eastAsia="zh-CN" w:bidi="ar-SA"/>
                    </w:rPr>
                  </w:pPr>
                  <w:r>
                    <w:rPr>
                      <w:rFonts w:ascii="Times New Roman" w:hAnsi="Times New Roman" w:cs="Times New Roman"/>
                      <w:color w:val="000000"/>
                    </w:rPr>
                    <w:t>生活污水依托出租方化粪池处理后纳管</w:t>
                  </w:r>
                  <w:r>
                    <w:rPr>
                      <w:rFonts w:hint="eastAsia" w:ascii="Times New Roman" w:hAnsi="Times New Roman" w:cs="Times New Roman"/>
                      <w:color w:val="000000"/>
                      <w:lang w:eastAsia="zh-CN"/>
                    </w:rPr>
                    <w:t>；</w:t>
                  </w:r>
                  <w:r>
                    <w:rPr>
                      <w:rFonts w:hint="eastAsia" w:ascii="Times New Roman" w:hAnsi="Times New Roman" w:cs="Times New Roman"/>
                      <w:color w:val="000000"/>
                      <w:lang w:val="en-US" w:eastAsia="zh-CN"/>
                    </w:rPr>
                    <w:t>初期雨水经收集沉淀处理后用作洗车水；洗车废水经沉淀后用于厂区洒水抑尘；</w:t>
                  </w:r>
                </w:p>
              </w:tc>
              <w:tc>
                <w:tcPr>
                  <w:tcW w:w="858" w:type="pct"/>
                  <w:shd w:val="clear" w:color="auto" w:fill="auto"/>
                  <w:vAlign w:val="center"/>
                </w:tcPr>
                <w:p>
                  <w:pPr>
                    <w:spacing w:line="360" w:lineRule="exact"/>
                    <w:jc w:val="center"/>
                    <w:rPr>
                      <w:rFonts w:ascii="Times New Roman" w:hAnsi="Times New Roman" w:eastAsia="宋体" w:cs="Times New Roman"/>
                      <w:kern w:val="2"/>
                      <w:sz w:val="21"/>
                      <w:szCs w:val="21"/>
                      <w:lang w:val="en-US" w:eastAsia="zh-CN" w:bidi="ar-SA"/>
                    </w:rPr>
                  </w:pPr>
                  <w:r>
                    <w:rPr>
                      <w:szCs w:val="21"/>
                    </w:rPr>
                    <w:t>相符</w:t>
                  </w:r>
                </w:p>
              </w:tc>
              <w:tc>
                <w:tcPr>
                  <w:tcW w:w="291" w:type="pct"/>
                  <w:vMerge w:val="continue"/>
                  <w:shd w:val="clear" w:color="auto" w:fill="auto"/>
                  <w:vAlign w:val="center"/>
                </w:tcPr>
                <w:p>
                  <w:pPr>
                    <w:spacing w:line="36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300" w:type="pct"/>
                  <w:vMerge w:val="continue"/>
                  <w:shd w:val="clear" w:color="auto" w:fill="auto"/>
                  <w:vAlign w:val="center"/>
                </w:tcPr>
                <w:p>
                  <w:pPr>
                    <w:spacing w:line="360" w:lineRule="exact"/>
                    <w:jc w:val="center"/>
                    <w:rPr>
                      <w:szCs w:val="21"/>
                    </w:rPr>
                  </w:pPr>
                </w:p>
              </w:tc>
              <w:tc>
                <w:tcPr>
                  <w:tcW w:w="476" w:type="pct"/>
                  <w:vMerge w:val="continue"/>
                  <w:shd w:val="clear" w:color="auto" w:fill="auto"/>
                  <w:vAlign w:val="center"/>
                </w:tcPr>
                <w:p>
                  <w:pPr>
                    <w:spacing w:line="360" w:lineRule="exact"/>
                    <w:jc w:val="center"/>
                    <w:rPr>
                      <w:szCs w:val="21"/>
                    </w:rPr>
                  </w:pPr>
                </w:p>
              </w:tc>
              <w:tc>
                <w:tcPr>
                  <w:tcW w:w="3074" w:type="pct"/>
                  <w:gridSpan w:val="2"/>
                  <w:shd w:val="clear" w:color="auto" w:fill="auto"/>
                  <w:vAlign w:val="center"/>
                </w:tcPr>
                <w:p>
                  <w:pPr>
                    <w:pStyle w:val="58"/>
                    <w:spacing w:before="0"/>
                    <w:rPr>
                      <w:rFonts w:hint="eastAsia"/>
                      <w:bCs/>
                      <w:lang w:val="en-US" w:eastAsia="zh-CN"/>
                    </w:rPr>
                  </w:pPr>
                  <w:r>
                    <w:rPr>
                      <w:rFonts w:ascii="Times New Roman" w:hAnsi="Times New Roman" w:cs="Times New Roman"/>
                      <w:color w:val="000000"/>
                    </w:rPr>
                    <w:t>钢材</w:t>
                  </w:r>
                  <w:r>
                    <w:rPr>
                      <w:rFonts w:hint="eastAsia" w:ascii="Times New Roman" w:hAnsi="Times New Roman" w:cs="Times New Roman"/>
                      <w:color w:val="000000"/>
                      <w:lang w:eastAsia="zh-CN"/>
                    </w:rPr>
                    <w:t>、</w:t>
                  </w:r>
                  <w:r>
                    <w:rPr>
                      <w:rFonts w:ascii="Times New Roman" w:hAnsi="Times New Roman" w:cs="Times New Roman"/>
                      <w:color w:val="000000"/>
                    </w:rPr>
                    <w:t>塑料</w:t>
                  </w:r>
                  <w:r>
                    <w:rPr>
                      <w:rFonts w:hint="eastAsia" w:ascii="Times New Roman" w:hAnsi="Times New Roman" w:cs="Times New Roman"/>
                      <w:color w:val="000000"/>
                      <w:lang w:val="en-US" w:eastAsia="zh-CN"/>
                    </w:rPr>
                    <w:t>及除尘器集尘</w:t>
                  </w:r>
                  <w:r>
                    <w:rPr>
                      <w:rFonts w:ascii="Times New Roman" w:hAnsi="Times New Roman" w:cs="Times New Roman"/>
                      <w:color w:val="000000"/>
                    </w:rPr>
                    <w:t>定期交由物资回收部门处置；生活垃圾定期交由环卫部门处理。项目一般固废暂存点位于厂房南侧，占地面积约30m</w:t>
                  </w:r>
                  <w:r>
                    <w:rPr>
                      <w:rFonts w:ascii="Times New Roman" w:hAnsi="Times New Roman" w:cs="Times New Roman"/>
                      <w:color w:val="000000"/>
                      <w:vertAlign w:val="superscript"/>
                    </w:rPr>
                    <w:t>2</w:t>
                  </w:r>
                </w:p>
              </w:tc>
              <w:tc>
                <w:tcPr>
                  <w:tcW w:w="858" w:type="pct"/>
                  <w:shd w:val="clear" w:color="auto" w:fill="auto"/>
                  <w:vAlign w:val="center"/>
                </w:tcPr>
                <w:p>
                  <w:pPr>
                    <w:pStyle w:val="58"/>
                    <w:spacing w:before="0"/>
                    <w:rPr>
                      <w:rFonts w:hint="eastAsia"/>
                      <w:bCs/>
                      <w:lang w:val="en-US" w:eastAsia="zh-CN"/>
                    </w:rPr>
                  </w:pPr>
                  <w:r>
                    <w:rPr>
                      <w:szCs w:val="21"/>
                    </w:rPr>
                    <w:t>相符</w:t>
                  </w:r>
                </w:p>
              </w:tc>
              <w:tc>
                <w:tcPr>
                  <w:tcW w:w="291" w:type="pct"/>
                  <w:vMerge w:val="continue"/>
                  <w:shd w:val="clear" w:color="auto" w:fill="auto"/>
                  <w:vAlign w:val="center"/>
                </w:tcPr>
                <w:p>
                  <w:pPr>
                    <w:spacing w:line="36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00" w:type="pct"/>
                  <w:vMerge w:val="continue"/>
                  <w:shd w:val="clear" w:color="auto" w:fill="auto"/>
                  <w:vAlign w:val="center"/>
                </w:tcPr>
                <w:p>
                  <w:pPr>
                    <w:spacing w:line="360" w:lineRule="exact"/>
                    <w:jc w:val="center"/>
                    <w:rPr>
                      <w:szCs w:val="21"/>
                    </w:rPr>
                  </w:pPr>
                </w:p>
              </w:tc>
              <w:tc>
                <w:tcPr>
                  <w:tcW w:w="476" w:type="pct"/>
                  <w:vMerge w:val="continue"/>
                  <w:shd w:val="clear" w:color="auto" w:fill="auto"/>
                  <w:vAlign w:val="center"/>
                </w:tcPr>
                <w:p>
                  <w:pPr>
                    <w:spacing w:line="360" w:lineRule="exact"/>
                    <w:jc w:val="center"/>
                    <w:rPr>
                      <w:szCs w:val="21"/>
                    </w:rPr>
                  </w:pPr>
                </w:p>
              </w:tc>
              <w:tc>
                <w:tcPr>
                  <w:tcW w:w="3074" w:type="pct"/>
                  <w:gridSpan w:val="2"/>
                  <w:shd w:val="clear" w:color="auto" w:fill="auto"/>
                  <w:vAlign w:val="center"/>
                </w:tcPr>
                <w:p>
                  <w:pPr>
                    <w:spacing w:line="360" w:lineRule="exact"/>
                    <w:rPr>
                      <w:rFonts w:ascii="宋体" w:hAnsi="宋体"/>
                    </w:rPr>
                  </w:pPr>
                  <w:r>
                    <w:rPr>
                      <w:rFonts w:hint="eastAsia" w:ascii="宋体" w:hAnsi="宋体"/>
                    </w:rPr>
                    <w:t>①高噪设备安装基础减振垫；</w:t>
                  </w:r>
                </w:p>
                <w:p>
                  <w:pPr>
                    <w:spacing w:line="360" w:lineRule="exact"/>
                    <w:rPr>
                      <w:rFonts w:ascii="宋体" w:hAnsi="宋体"/>
                    </w:rPr>
                  </w:pPr>
                  <w:r>
                    <w:rPr>
                      <w:rFonts w:hint="eastAsia" w:ascii="宋体" w:hAnsi="宋体"/>
                    </w:rPr>
                    <w:t>②合理布局，将设备尽量布置于厂区中间，且要求车间实墙封闭处理；</w:t>
                  </w:r>
                </w:p>
                <w:p>
                  <w:pPr>
                    <w:spacing w:line="360" w:lineRule="exact"/>
                    <w:rPr>
                      <w:szCs w:val="21"/>
                    </w:rPr>
                  </w:pPr>
                  <w:r>
                    <w:rPr>
                      <w:rFonts w:hint="eastAsia" w:ascii="宋体" w:hAnsi="宋体"/>
                    </w:rPr>
                    <w:t>③设备应经常维护，加强管理。</w:t>
                  </w:r>
                </w:p>
              </w:tc>
              <w:tc>
                <w:tcPr>
                  <w:tcW w:w="858" w:type="pct"/>
                  <w:shd w:val="clear" w:color="auto" w:fill="auto"/>
                  <w:vAlign w:val="center"/>
                </w:tcPr>
                <w:p>
                  <w:pPr>
                    <w:jc w:val="center"/>
                    <w:rPr>
                      <w:szCs w:val="21"/>
                    </w:rPr>
                  </w:pPr>
                  <w:r>
                    <w:rPr>
                      <w:szCs w:val="21"/>
                    </w:rPr>
                    <w:t>相符</w:t>
                  </w:r>
                </w:p>
              </w:tc>
              <w:tc>
                <w:tcPr>
                  <w:tcW w:w="291" w:type="pct"/>
                  <w:vMerge w:val="continue"/>
                  <w:shd w:val="clear" w:color="auto" w:fill="auto"/>
                  <w:vAlign w:val="center"/>
                </w:tcPr>
                <w:p>
                  <w:pPr>
                    <w:spacing w:line="36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776" w:type="pct"/>
                  <w:gridSpan w:val="2"/>
                  <w:shd w:val="clear" w:color="auto" w:fill="auto"/>
                  <w:vAlign w:val="center"/>
                </w:tcPr>
                <w:p>
                  <w:pPr>
                    <w:spacing w:line="360" w:lineRule="exact"/>
                    <w:jc w:val="center"/>
                    <w:rPr>
                      <w:szCs w:val="21"/>
                    </w:rPr>
                  </w:pPr>
                  <w:r>
                    <w:rPr>
                      <w:szCs w:val="21"/>
                    </w:rPr>
                    <w:t>定员</w:t>
                  </w:r>
                </w:p>
              </w:tc>
              <w:tc>
                <w:tcPr>
                  <w:tcW w:w="3074" w:type="pct"/>
                  <w:gridSpan w:val="2"/>
                  <w:shd w:val="clear" w:color="auto" w:fill="auto"/>
                  <w:vAlign w:val="center"/>
                </w:tcPr>
                <w:p>
                  <w:pPr>
                    <w:spacing w:line="360" w:lineRule="exact"/>
                    <w:jc w:val="center"/>
                    <w:rPr>
                      <w:szCs w:val="21"/>
                    </w:rPr>
                  </w:pPr>
                  <w:r>
                    <w:rPr>
                      <w:szCs w:val="21"/>
                    </w:rPr>
                    <w:t>员工</w:t>
                  </w:r>
                  <w:r>
                    <w:rPr>
                      <w:rFonts w:hint="eastAsia"/>
                      <w:szCs w:val="21"/>
                      <w:lang w:val="en-US" w:eastAsia="zh-CN"/>
                    </w:rPr>
                    <w:t>20</w:t>
                  </w:r>
                  <w:r>
                    <w:rPr>
                      <w:szCs w:val="21"/>
                    </w:rPr>
                    <w:t>人</w:t>
                  </w:r>
                </w:p>
              </w:tc>
              <w:tc>
                <w:tcPr>
                  <w:tcW w:w="858" w:type="pct"/>
                  <w:shd w:val="clear" w:color="auto" w:fill="auto"/>
                  <w:vAlign w:val="center"/>
                </w:tcPr>
                <w:p>
                  <w:pPr>
                    <w:jc w:val="center"/>
                    <w:rPr>
                      <w:szCs w:val="21"/>
                    </w:rPr>
                  </w:pPr>
                  <w:r>
                    <w:rPr>
                      <w:szCs w:val="21"/>
                    </w:rPr>
                    <w:t>相符</w:t>
                  </w:r>
                </w:p>
              </w:tc>
              <w:tc>
                <w:tcPr>
                  <w:tcW w:w="291" w:type="pct"/>
                  <w:shd w:val="clear" w:color="auto" w:fill="auto"/>
                  <w:vAlign w:val="center"/>
                </w:tcPr>
                <w:p>
                  <w:pPr>
                    <w:spacing w:line="360" w:lineRule="exact"/>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76" w:type="pct"/>
                  <w:gridSpan w:val="2"/>
                  <w:shd w:val="clear" w:color="auto" w:fill="auto"/>
                  <w:vAlign w:val="center"/>
                </w:tcPr>
                <w:p>
                  <w:pPr>
                    <w:spacing w:line="360" w:lineRule="exact"/>
                    <w:jc w:val="center"/>
                    <w:rPr>
                      <w:szCs w:val="21"/>
                    </w:rPr>
                  </w:pPr>
                  <w:r>
                    <w:rPr>
                      <w:szCs w:val="21"/>
                    </w:rPr>
                    <w:t>年工作时间</w:t>
                  </w:r>
                </w:p>
              </w:tc>
              <w:tc>
                <w:tcPr>
                  <w:tcW w:w="3074" w:type="pct"/>
                  <w:gridSpan w:val="2"/>
                  <w:shd w:val="clear" w:color="auto" w:fill="auto"/>
                  <w:vAlign w:val="center"/>
                </w:tcPr>
                <w:p>
                  <w:pPr>
                    <w:spacing w:line="360" w:lineRule="exact"/>
                    <w:jc w:val="center"/>
                    <w:rPr>
                      <w:szCs w:val="21"/>
                    </w:rPr>
                  </w:pPr>
                  <w:r>
                    <w:rPr>
                      <w:rFonts w:hint="eastAsia"/>
                      <w:szCs w:val="21"/>
                    </w:rPr>
                    <w:t>年生产时间300天，每</w:t>
                  </w:r>
                  <w:r>
                    <w:rPr>
                      <w:rFonts w:hint="eastAsia"/>
                      <w:szCs w:val="21"/>
                      <w:lang w:val="en-US" w:eastAsia="zh-CN"/>
                    </w:rPr>
                    <w:t>天</w:t>
                  </w:r>
                  <w:r>
                    <w:rPr>
                      <w:rFonts w:hint="eastAsia"/>
                      <w:szCs w:val="21"/>
                    </w:rPr>
                    <w:t>工作8h</w:t>
                  </w:r>
                </w:p>
              </w:tc>
              <w:tc>
                <w:tcPr>
                  <w:tcW w:w="858" w:type="pct"/>
                  <w:shd w:val="clear" w:color="auto" w:fill="auto"/>
                  <w:vAlign w:val="center"/>
                </w:tcPr>
                <w:p>
                  <w:pPr>
                    <w:jc w:val="center"/>
                    <w:rPr>
                      <w:szCs w:val="21"/>
                    </w:rPr>
                  </w:pPr>
                  <w:r>
                    <w:rPr>
                      <w:rFonts w:hint="eastAsia"/>
                      <w:szCs w:val="21"/>
                    </w:rPr>
                    <w:t>相符</w:t>
                  </w:r>
                </w:p>
              </w:tc>
              <w:tc>
                <w:tcPr>
                  <w:tcW w:w="291" w:type="pct"/>
                  <w:shd w:val="clear" w:color="auto" w:fill="auto"/>
                  <w:vAlign w:val="center"/>
                </w:tcPr>
                <w:p>
                  <w:pPr>
                    <w:spacing w:line="360" w:lineRule="exact"/>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76" w:type="pct"/>
                  <w:gridSpan w:val="2"/>
                  <w:shd w:val="clear" w:color="auto" w:fill="auto"/>
                  <w:vAlign w:val="center"/>
                </w:tcPr>
                <w:p>
                  <w:pPr>
                    <w:spacing w:line="360" w:lineRule="exact"/>
                    <w:jc w:val="center"/>
                    <w:rPr>
                      <w:szCs w:val="21"/>
                    </w:rPr>
                  </w:pPr>
                  <w:r>
                    <w:rPr>
                      <w:szCs w:val="21"/>
                    </w:rPr>
                    <w:t>食宿设置</w:t>
                  </w:r>
                </w:p>
                <w:p>
                  <w:pPr>
                    <w:spacing w:line="360" w:lineRule="exact"/>
                    <w:jc w:val="center"/>
                    <w:rPr>
                      <w:szCs w:val="21"/>
                    </w:rPr>
                  </w:pPr>
                  <w:r>
                    <w:rPr>
                      <w:szCs w:val="21"/>
                    </w:rPr>
                    <w:t>情况</w:t>
                  </w:r>
                </w:p>
              </w:tc>
              <w:tc>
                <w:tcPr>
                  <w:tcW w:w="3074" w:type="pct"/>
                  <w:gridSpan w:val="2"/>
                  <w:shd w:val="clear" w:color="auto" w:fill="auto"/>
                  <w:vAlign w:val="center"/>
                </w:tcPr>
                <w:p>
                  <w:pPr>
                    <w:spacing w:line="360" w:lineRule="exact"/>
                    <w:jc w:val="center"/>
                    <w:rPr>
                      <w:rFonts w:hint="default" w:eastAsia="宋体"/>
                      <w:szCs w:val="21"/>
                      <w:lang w:val="en-US" w:eastAsia="zh-CN"/>
                    </w:rPr>
                  </w:pPr>
                  <w:r>
                    <w:rPr>
                      <w:rFonts w:hint="eastAsia"/>
                      <w:szCs w:val="21"/>
                      <w:lang w:val="en-US" w:eastAsia="zh-CN"/>
                    </w:rPr>
                    <w:t>无食堂与住宿</w:t>
                  </w:r>
                </w:p>
              </w:tc>
              <w:tc>
                <w:tcPr>
                  <w:tcW w:w="858" w:type="pct"/>
                  <w:shd w:val="clear" w:color="auto" w:fill="auto"/>
                  <w:vAlign w:val="center"/>
                </w:tcPr>
                <w:p>
                  <w:pPr>
                    <w:spacing w:line="360" w:lineRule="exact"/>
                    <w:jc w:val="center"/>
                    <w:rPr>
                      <w:szCs w:val="21"/>
                    </w:rPr>
                  </w:pPr>
                  <w:r>
                    <w:rPr>
                      <w:rFonts w:hint="eastAsia"/>
                      <w:szCs w:val="21"/>
                    </w:rPr>
                    <w:t>相符</w:t>
                  </w:r>
                </w:p>
              </w:tc>
              <w:tc>
                <w:tcPr>
                  <w:tcW w:w="291" w:type="pct"/>
                  <w:shd w:val="clear" w:color="auto" w:fill="auto"/>
                  <w:vAlign w:val="center"/>
                </w:tcPr>
                <w:p>
                  <w:pPr>
                    <w:spacing w:line="360" w:lineRule="exact"/>
                    <w:jc w:val="center"/>
                    <w:rPr>
                      <w:szCs w:val="21"/>
                    </w:rPr>
                  </w:pPr>
                  <w:r>
                    <w:rPr>
                      <w:szCs w:val="21"/>
                    </w:rPr>
                    <w:t>/</w:t>
                  </w:r>
                </w:p>
              </w:tc>
            </w:tr>
          </w:tbl>
          <w:p>
            <w:pPr>
              <w:spacing w:line="360" w:lineRule="exact"/>
              <w:rPr>
                <w:rFonts w:ascii="宋体" w:hAnsi="宋体"/>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9028" w:type="dxa"/>
          </w:tcPr>
          <w:p>
            <w:pPr>
              <w:pStyle w:val="5"/>
            </w:pPr>
            <w:bookmarkStart w:id="44" w:name="_Toc14925"/>
            <w:bookmarkStart w:id="45" w:name="_Toc18380"/>
            <w:r>
              <w:rPr>
                <w:rFonts w:hint="eastAsia"/>
              </w:rPr>
              <w:t>主要工艺流程及产污环节</w:t>
            </w:r>
            <w:bookmarkEnd w:id="44"/>
            <w:bookmarkEnd w:id="45"/>
          </w:p>
          <w:p>
            <w:pPr>
              <w:pStyle w:val="85"/>
            </w:pPr>
            <w:r>
              <w:rPr>
                <w:rFonts w:ascii="Times New Roman" w:hAnsi="Times New Roman"/>
                <w:color w:val="000000"/>
                <w:sz w:val="24"/>
              </w:rPr>
              <w:t>项目原料主要来源于交通道路工程及房产项目拆除、维修等工序产生的混凝土石块、红砖以及木材等建筑垃圾，其中交通道路工程产生的混凝土石块质量较高，且不含钢筋、木块、塑料等，故无需进行分选，进厂后可直接投入生产。</w:t>
            </w:r>
            <w:r>
              <w:rPr>
                <w:rFonts w:hint="eastAsia"/>
              </w:rPr>
              <w:t>具体工艺流程如下：</w:t>
            </w:r>
          </w:p>
          <w:p>
            <w:pPr>
              <w:pStyle w:val="4"/>
              <w:ind w:firstLine="0" w:firstLineChars="0"/>
              <w:jc w:val="center"/>
              <w:rPr>
                <w:rFonts w:hint="eastAsia" w:eastAsiaTheme="majorEastAsia"/>
                <w:lang w:eastAsia="zh-CN"/>
              </w:rPr>
            </w:pPr>
            <w:r>
              <w:rPr>
                <w:rFonts w:ascii="Times New Roman" w:hAnsi="Times New Roman" w:cs="Times New Roman"/>
                <w:color w:val="000000"/>
              </w:rPr>
              <w:object>
                <v:shape id="_x0000_i1025" o:spt="75" type="#_x0000_t75" style="height:236.6pt;width:379.65pt;" o:ole="t" filled="f" o:preferrelative="t" stroked="f" coordsize="21600,21600">
                  <v:path/>
                  <v:fill on="f" focussize="0,0"/>
                  <v:stroke on="f"/>
                  <v:imagedata r:id="rId12" o:title=""/>
                  <o:lock v:ext="edit" aspectratio="t"/>
                  <w10:wrap type="none"/>
                  <w10:anchorlock/>
                </v:shape>
                <o:OLEObject Type="Embed" ProgID="Visio.Drawing.11" ShapeID="_x0000_i1025" DrawAspect="Content" ObjectID="_1468075725" r:id="rId11">
                  <o:LockedField>false</o:LockedField>
                </o:OLEObject>
              </w:object>
            </w:r>
          </w:p>
          <w:p>
            <w:pPr>
              <w:pStyle w:val="4"/>
              <w:ind w:firstLine="0" w:firstLineChars="0"/>
              <w:jc w:val="center"/>
              <w:rPr>
                <w:rFonts w:hint="eastAsia"/>
                <w:b/>
              </w:rPr>
            </w:pPr>
            <w:r>
              <w:rPr>
                <w:rFonts w:hint="eastAsia"/>
                <w:b/>
              </w:rPr>
              <w:t xml:space="preserve">图2.4-1 </w:t>
            </w:r>
            <w:bookmarkStart w:id="46" w:name="_1507470147"/>
            <w:bookmarkEnd w:id="46"/>
            <w:r>
              <w:rPr>
                <w:rFonts w:hint="eastAsia"/>
                <w:b/>
                <w:lang w:val="en-US" w:eastAsia="zh-CN"/>
              </w:rPr>
              <w:t>交通道路工程及房产项目建筑垃圾处理工艺及产污环节图</w:t>
            </w:r>
          </w:p>
          <w:p>
            <w:pPr>
              <w:pStyle w:val="4"/>
              <w:ind w:firstLine="0" w:firstLineChars="0"/>
              <w:jc w:val="center"/>
              <w:rPr>
                <w:rFonts w:hint="eastAsia"/>
                <w:b/>
              </w:rPr>
            </w:pPr>
            <w:r>
              <w:rPr>
                <w:rFonts w:ascii="Times New Roman" w:hAnsi="Times New Roman"/>
                <w:color w:val="000000"/>
              </w:rPr>
              <w:object>
                <v:shape id="_x0000_i1026" o:spt="75" type="#_x0000_t75" style="height:107.7pt;width:359.9pt;" o:ole="t" filled="f" o:preferrelative="t" stroked="f" coordsize="21600,21600">
                  <v:path/>
                  <v:fill on="f" focussize="0,0"/>
                  <v:stroke on="f"/>
                  <v:imagedata r:id="rId14" o:title=""/>
                  <o:lock v:ext="edit" aspectratio="t"/>
                  <w10:wrap type="none"/>
                  <w10:anchorlock/>
                </v:shape>
                <o:OLEObject Type="Embed" ProgID="Visio.Drawing.11" ShapeID="_x0000_i1026" DrawAspect="Content" ObjectID="_1468075726" r:id="rId13">
                  <o:LockedField>false</o:LockedField>
                </o:OLEObject>
              </w:object>
            </w:r>
          </w:p>
          <w:p>
            <w:pPr>
              <w:pStyle w:val="4"/>
              <w:ind w:firstLine="0" w:firstLineChars="0"/>
              <w:jc w:val="center"/>
              <w:rPr>
                <w:rFonts w:hint="default" w:eastAsiaTheme="majorEastAsia"/>
                <w:b/>
                <w:lang w:val="en-US" w:eastAsia="zh-CN"/>
              </w:rPr>
            </w:pPr>
            <w:r>
              <w:rPr>
                <w:rFonts w:hint="eastAsia"/>
                <w:b/>
                <w:lang w:val="en-US" w:eastAsia="zh-CN"/>
              </w:rPr>
              <w:t>图2.4-2 木质建筑垃圾处理工艺及产污环节图</w:t>
            </w:r>
          </w:p>
          <w:p>
            <w:pPr>
              <w:pStyle w:val="4"/>
              <w:ind w:firstLine="0" w:firstLineChars="0"/>
              <w:jc w:val="center"/>
              <w:rPr>
                <w:rFonts w:hint="eastAsia"/>
                <w:b/>
              </w:rPr>
            </w:pPr>
          </w:p>
          <w:p>
            <w:pPr>
              <w:pStyle w:val="85"/>
              <w:spacing w:line="360" w:lineRule="auto"/>
              <w:ind w:firstLineChars="200"/>
              <w:jc w:val="both"/>
              <w:rPr>
                <w:rFonts w:hint="eastAsia"/>
                <w:b/>
                <w:bCs/>
                <w:highlight w:val="none"/>
                <w:lang w:val="en-US" w:eastAsia="zh-CN"/>
              </w:rPr>
            </w:pPr>
            <w:bookmarkStart w:id="47" w:name="_1502038820"/>
            <w:bookmarkEnd w:id="47"/>
          </w:p>
          <w:p>
            <w:pPr>
              <w:pStyle w:val="85"/>
              <w:spacing w:line="360" w:lineRule="auto"/>
              <w:ind w:firstLineChars="200"/>
              <w:jc w:val="both"/>
              <w:rPr>
                <w:rFonts w:hint="default"/>
                <w:b/>
                <w:bCs/>
                <w:highlight w:val="none"/>
                <w:lang w:val="en-US" w:eastAsia="zh-CN"/>
              </w:rPr>
            </w:pPr>
            <w:r>
              <w:rPr>
                <w:rFonts w:hint="eastAsia"/>
                <w:b/>
                <w:bCs/>
                <w:highlight w:val="none"/>
                <w:lang w:val="en-US" w:eastAsia="zh-CN"/>
              </w:rPr>
              <w:t>工艺说明：</w:t>
            </w:r>
          </w:p>
          <w:p>
            <w:pPr>
              <w:adjustRightInd w:val="0"/>
              <w:snapToGrid w:val="0"/>
              <w:spacing w:line="360" w:lineRule="auto"/>
              <w:ind w:firstLine="480" w:firstLineChars="200"/>
              <w:rPr>
                <w:rFonts w:ascii="Times New Roman" w:hAnsi="Times New Roman"/>
                <w:color w:val="000000"/>
                <w:sz w:val="24"/>
              </w:rPr>
            </w:pPr>
            <w:r>
              <w:rPr>
                <w:rFonts w:ascii="Times New Roman" w:hAnsi="Times New Roman"/>
                <w:color w:val="000000"/>
                <w:sz w:val="24"/>
              </w:rPr>
              <w:t>项目运营期处置的建筑垃圾，经渣土车运至分拣场后，根据类别分别暂存至各类建筑垃圾专用分拣场，其中，房产项目及木质建筑垃圾加工前需</w:t>
            </w:r>
            <w:r>
              <w:rPr>
                <w:rFonts w:hint="eastAsia" w:ascii="Times New Roman" w:hAnsi="Times New Roman"/>
                <w:color w:val="000000"/>
                <w:sz w:val="24"/>
                <w:lang w:val="en-US" w:eastAsia="zh-CN"/>
              </w:rPr>
              <w:t>分别</w:t>
            </w:r>
            <w:r>
              <w:rPr>
                <w:rFonts w:ascii="Times New Roman" w:hAnsi="Times New Roman"/>
                <w:color w:val="000000"/>
                <w:sz w:val="24"/>
              </w:rPr>
              <w:t>进行人工</w:t>
            </w:r>
            <w:r>
              <w:rPr>
                <w:rFonts w:hint="eastAsia" w:ascii="Times New Roman" w:hAnsi="Times New Roman"/>
                <w:color w:val="000000"/>
                <w:sz w:val="24"/>
                <w:lang w:eastAsia="zh-CN"/>
              </w:rPr>
              <w:t>、</w:t>
            </w:r>
            <w:r>
              <w:rPr>
                <w:rFonts w:hint="eastAsia" w:ascii="Times New Roman" w:hAnsi="Times New Roman"/>
                <w:color w:val="000000"/>
                <w:sz w:val="24"/>
                <w:lang w:val="en-US" w:eastAsia="zh-CN"/>
              </w:rPr>
              <w:t>磁选机</w:t>
            </w:r>
            <w:r>
              <w:rPr>
                <w:rFonts w:ascii="Times New Roman" w:hAnsi="Times New Roman"/>
                <w:color w:val="000000"/>
                <w:sz w:val="24"/>
              </w:rPr>
              <w:t>分选，分选后利用装载机上料，通过密闭式输送装置转移至破碎设备粉碎，粉碎后根据规格分别出售。</w:t>
            </w:r>
          </w:p>
          <w:p>
            <w:pPr>
              <w:adjustRightInd w:val="0"/>
              <w:snapToGrid w:val="0"/>
              <w:spacing w:line="360" w:lineRule="auto"/>
              <w:ind w:firstLine="480" w:firstLineChars="200"/>
              <w:rPr>
                <w:rFonts w:hint="default" w:ascii="Times New Roman" w:hAnsi="Times New Roman"/>
                <w:color w:val="000000"/>
                <w:sz w:val="24"/>
                <w:lang w:val="en-US" w:eastAsia="zh-CN"/>
              </w:rPr>
            </w:pPr>
            <w:r>
              <w:rPr>
                <w:rFonts w:ascii="Times New Roman" w:hAnsi="Times New Roman"/>
                <w:color w:val="000000"/>
                <w:sz w:val="24"/>
                <w:lang w:val="en-US" w:eastAsia="zh-CN"/>
              </w:rPr>
              <w:t>各建筑垃圾经分拣、处理后，能够再次作为原料回用至混凝土搅拌或木制品加工业，从而减少不可再生资源的损耗，降低原料开采对现有生态环境的破坏，为可持续发展做出有效贡献。</w:t>
            </w:r>
          </w:p>
          <w:p>
            <w:pPr>
              <w:pStyle w:val="85"/>
              <w:spacing w:line="360" w:lineRule="auto"/>
              <w:ind w:firstLineChars="200"/>
              <w:jc w:val="both"/>
              <w:rPr>
                <w:rFonts w:hint="eastAsia"/>
                <w:b/>
                <w:bCs/>
                <w:highlight w:val="red"/>
                <w:lang w:val="en-US" w:eastAsia="zh-CN"/>
              </w:rPr>
            </w:pPr>
          </w:p>
        </w:tc>
      </w:tr>
    </w:tbl>
    <w:p>
      <w:pPr>
        <w:spacing w:line="360" w:lineRule="auto"/>
        <w:rPr>
          <w:rFonts w:eastAsia="仿宋_GB2312"/>
          <w:color w:val="000000"/>
          <w:szCs w:val="21"/>
        </w:rPr>
        <w:sectPr>
          <w:footerReference r:id="rId4" w:type="default"/>
          <w:pgSz w:w="11906" w:h="16838"/>
          <w:pgMar w:top="1417" w:right="1417" w:bottom="1417" w:left="1417" w:header="708" w:footer="708" w:gutter="0"/>
          <w:pgBorders>
            <w:top w:val="none" w:sz="0" w:space="0"/>
            <w:left w:val="none" w:sz="0" w:space="0"/>
            <w:bottom w:val="none" w:sz="0" w:space="0"/>
            <w:right w:val="none" w:sz="0" w:space="0"/>
          </w:pgBorders>
          <w:pgNumType w:fmt="numberInDash" w:start="1"/>
          <w:cols w:space="720" w:num="1"/>
          <w:docGrid w:linePitch="360" w:charSpace="0"/>
        </w:sectPr>
      </w:pPr>
    </w:p>
    <w:p>
      <w:pPr>
        <w:pStyle w:val="3"/>
        <w:rPr>
          <w:rFonts w:eastAsia="仿宋_GB2312"/>
          <w:color w:val="000000"/>
        </w:rPr>
      </w:pPr>
      <w:bookmarkStart w:id="48" w:name="_Toc16433"/>
      <w:bookmarkStart w:id="49" w:name="_Toc19718"/>
      <w:r>
        <w:rPr>
          <w:rFonts w:hint="eastAsia"/>
        </w:rPr>
        <w:t>主要污染源、污染物处理和排放</w:t>
      </w:r>
      <w:bookmarkEnd w:id="48"/>
      <w:bookmarkEnd w:id="49"/>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tcPr>
          <w:p>
            <w:pPr>
              <w:pStyle w:val="5"/>
              <w:rPr>
                <w:rFonts w:hint="eastAsia"/>
                <w:lang w:eastAsia="zh-CN"/>
              </w:rPr>
            </w:pPr>
            <w:bookmarkStart w:id="50" w:name="_Toc524703387"/>
            <w:bookmarkEnd w:id="50"/>
            <w:bookmarkStart w:id="51" w:name="_Toc531881891"/>
            <w:bookmarkEnd w:id="51"/>
            <w:bookmarkStart w:id="52" w:name="_Toc529265080"/>
            <w:bookmarkEnd w:id="52"/>
            <w:bookmarkStart w:id="53" w:name="_Toc518567400"/>
            <w:bookmarkEnd w:id="53"/>
            <w:bookmarkStart w:id="54" w:name="_Toc519179415"/>
            <w:bookmarkEnd w:id="54"/>
            <w:bookmarkStart w:id="55" w:name="_Toc524703320"/>
            <w:bookmarkEnd w:id="55"/>
            <w:bookmarkStart w:id="56" w:name="_Toc519235217"/>
            <w:bookmarkEnd w:id="56"/>
            <w:bookmarkStart w:id="57" w:name="_Toc519235283"/>
            <w:bookmarkEnd w:id="57"/>
            <w:bookmarkStart w:id="58" w:name="_Toc531879816"/>
            <w:bookmarkEnd w:id="58"/>
            <w:bookmarkStart w:id="59" w:name="_Toc16198"/>
            <w:bookmarkStart w:id="60" w:name="_Toc16555"/>
            <w:r>
              <w:rPr>
                <w:rFonts w:hint="eastAsia"/>
              </w:rPr>
              <w:t>废气</w:t>
            </w:r>
            <w:bookmarkEnd w:id="59"/>
            <w:bookmarkEnd w:id="60"/>
          </w:p>
          <w:p>
            <w:pPr>
              <w:pStyle w:val="4"/>
              <w:rPr>
                <w:rFonts w:hint="default"/>
                <w:lang w:val="en-US" w:eastAsia="zh-CN"/>
              </w:rPr>
            </w:pPr>
            <w:r>
              <w:rPr>
                <w:rFonts w:ascii="Times New Roman" w:hAnsi="Times New Roman"/>
                <w:color w:val="000000"/>
                <w:sz w:val="24"/>
              </w:rPr>
              <w:t>项目运营期产生的废气</w:t>
            </w:r>
            <w:r>
              <w:rPr>
                <w:rFonts w:hint="eastAsia" w:ascii="Times New Roman" w:hAnsi="Times New Roman"/>
                <w:color w:val="000000"/>
                <w:sz w:val="24"/>
                <w:lang w:val="en-US" w:eastAsia="zh-CN"/>
              </w:rPr>
              <w:t>主要为</w:t>
            </w:r>
            <w:r>
              <w:rPr>
                <w:rFonts w:hint="eastAsia" w:ascii="Times New Roman" w:hAnsi="Times New Roman"/>
                <w:color w:val="000000"/>
                <w:sz w:val="24"/>
              </w:rPr>
              <w:t>破碎、分选粉尘、运输车辆动力扬尘、堆场扬尘</w:t>
            </w:r>
            <w:r>
              <w:rPr>
                <w:rFonts w:hint="eastAsia" w:ascii="Times New Roman" w:hAnsi="Times New Roman"/>
                <w:color w:val="000000"/>
                <w:sz w:val="24"/>
                <w:lang w:val="en-US" w:eastAsia="zh-CN"/>
              </w:rPr>
              <w:t>及</w:t>
            </w:r>
            <w:r>
              <w:rPr>
                <w:rFonts w:hint="eastAsia" w:ascii="Times New Roman" w:hAnsi="Times New Roman"/>
                <w:color w:val="000000"/>
                <w:sz w:val="24"/>
              </w:rPr>
              <w:t>装卸扬尘</w:t>
            </w:r>
            <w:r>
              <w:rPr>
                <w:rFonts w:ascii="Times New Roman" w:hAnsi="Times New Roman"/>
                <w:color w:val="000000"/>
                <w:sz w:val="24"/>
              </w:rPr>
              <w:t>，污染因子主要为颗粒物，执行《大气污染物综合排放标准》（GB16297-1996）中二级标准。</w:t>
            </w:r>
          </w:p>
          <w:p>
            <w:pPr>
              <w:pStyle w:val="5"/>
            </w:pPr>
            <w:bookmarkStart w:id="61" w:name="_Toc16758"/>
            <w:bookmarkStart w:id="62" w:name="_Toc11830"/>
            <w:r>
              <w:rPr>
                <w:rFonts w:hint="eastAsia"/>
              </w:rPr>
              <w:t>废水</w:t>
            </w:r>
            <w:bookmarkEnd w:id="61"/>
            <w:bookmarkEnd w:id="62"/>
          </w:p>
          <w:p>
            <w:pPr>
              <w:pStyle w:val="4"/>
              <w:rPr>
                <w:rFonts w:hint="default"/>
                <w:lang w:val="en-US" w:eastAsia="zh-CN"/>
              </w:rPr>
            </w:pPr>
            <w:r>
              <w:rPr>
                <w:rFonts w:hint="eastAsia"/>
                <w:color w:val="000000"/>
                <w:sz w:val="24"/>
              </w:rPr>
              <w:t>项目生活污水</w:t>
            </w:r>
            <w:r>
              <w:rPr>
                <w:color w:val="000000"/>
                <w:sz w:val="24"/>
              </w:rPr>
              <w:t>经</w:t>
            </w:r>
            <w:r>
              <w:rPr>
                <w:rFonts w:hint="eastAsia"/>
                <w:color w:val="000000"/>
                <w:sz w:val="24"/>
                <w:szCs w:val="22"/>
              </w:rPr>
              <w:t>化粪池</w:t>
            </w:r>
            <w:r>
              <w:rPr>
                <w:rFonts w:ascii="Times New Roman" w:hAnsi="Times New Roman"/>
                <w:color w:val="000000"/>
                <w:sz w:val="24"/>
              </w:rPr>
              <w:t>预处理</w:t>
            </w:r>
            <w:r>
              <w:rPr>
                <w:rFonts w:ascii="Times New Roman" w:hAnsi="Times New Roman"/>
                <w:color w:val="000000"/>
                <w:sz w:val="24"/>
                <w:szCs w:val="22"/>
              </w:rPr>
              <w:t>达《污水综合排放标准》（GB8978-1996）中的三级标准后排入市政污水管网，</w:t>
            </w:r>
            <w:r>
              <w:rPr>
                <w:rFonts w:hint="eastAsia" w:ascii="Times New Roman" w:hAnsi="Times New Roman"/>
                <w:color w:val="000000"/>
                <w:sz w:val="24"/>
                <w:szCs w:val="22"/>
              </w:rPr>
              <w:t>最终经鄞西污水处理厂</w:t>
            </w:r>
            <w:r>
              <w:rPr>
                <w:rFonts w:ascii="Times New Roman" w:hAnsi="Times New Roman"/>
                <w:color w:val="000000"/>
                <w:sz w:val="24"/>
                <w:szCs w:val="22"/>
              </w:rPr>
              <w:t>处理达《城镇污水处理厂污染物排放标准》（GB18918-2002）一级A标准后排入</w:t>
            </w:r>
            <w:r>
              <w:rPr>
                <w:rFonts w:hint="eastAsia" w:ascii="Times New Roman" w:hAnsi="Times New Roman"/>
                <w:color w:val="000000"/>
                <w:sz w:val="24"/>
                <w:szCs w:val="22"/>
              </w:rPr>
              <w:t>奉化江</w:t>
            </w:r>
            <w:r>
              <w:rPr>
                <w:rFonts w:ascii="Times New Roman" w:hAnsi="Times New Roman"/>
                <w:color w:val="000000"/>
                <w:sz w:val="24"/>
                <w:szCs w:val="22"/>
              </w:rPr>
              <w:t>。</w:t>
            </w:r>
          </w:p>
          <w:p>
            <w:pPr>
              <w:pStyle w:val="5"/>
            </w:pPr>
            <w:bookmarkStart w:id="63" w:name="_Toc26508"/>
            <w:bookmarkStart w:id="64" w:name="_Toc21717"/>
            <w:r>
              <w:t>噪声</w:t>
            </w:r>
            <w:bookmarkEnd w:id="63"/>
            <w:bookmarkEnd w:id="64"/>
          </w:p>
          <w:p>
            <w:pPr>
              <w:spacing w:line="360" w:lineRule="auto"/>
              <w:ind w:firstLine="480" w:firstLineChars="200"/>
              <w:rPr>
                <w:rFonts w:ascii="Times New Roman" w:hAnsi="Times New Roman"/>
                <w:color w:val="000000"/>
                <w:spacing w:val="4"/>
                <w:szCs w:val="22"/>
              </w:rPr>
            </w:pPr>
            <w:r>
              <w:rPr>
                <w:rFonts w:ascii="Times New Roman" w:hAnsi="Times New Roman"/>
                <w:color w:val="000000"/>
                <w:sz w:val="24"/>
              </w:rPr>
              <w:t>项目主要噪声源为设备运行时产生的噪声，源强在7</w:t>
            </w:r>
            <w:r>
              <w:rPr>
                <w:rFonts w:hint="eastAsia" w:ascii="Times New Roman" w:hAnsi="Times New Roman"/>
                <w:color w:val="000000"/>
                <w:sz w:val="24"/>
              </w:rPr>
              <w:t>5</w:t>
            </w:r>
            <w:r>
              <w:rPr>
                <w:rFonts w:ascii="Times New Roman" w:hAnsi="Times New Roman"/>
                <w:color w:val="000000"/>
                <w:sz w:val="24"/>
              </w:rPr>
              <w:t>~</w:t>
            </w:r>
            <w:r>
              <w:rPr>
                <w:rFonts w:hint="eastAsia" w:ascii="Times New Roman" w:hAnsi="Times New Roman"/>
                <w:color w:val="000000"/>
                <w:sz w:val="24"/>
              </w:rPr>
              <w:t>11</w:t>
            </w:r>
            <w:r>
              <w:rPr>
                <w:rFonts w:hint="eastAsia" w:ascii="Times New Roman" w:hAnsi="Times New Roman"/>
                <w:color w:val="000000"/>
                <w:sz w:val="24"/>
                <w:lang w:val="en-US" w:eastAsia="zh-CN"/>
              </w:rPr>
              <w:t>5</w:t>
            </w:r>
            <w:r>
              <w:rPr>
                <w:rFonts w:ascii="Times New Roman" w:hAnsi="Times New Roman"/>
                <w:color w:val="000000"/>
                <w:sz w:val="24"/>
              </w:rPr>
              <w:t>dB</w:t>
            </w:r>
            <w:r>
              <w:rPr>
                <w:rFonts w:ascii="Times New Roman" w:hAnsi="Times New Roman"/>
                <w:color w:val="000000"/>
                <w:sz w:val="24"/>
                <w:szCs w:val="22"/>
              </w:rPr>
              <w:t>A之间</w:t>
            </w:r>
            <w:r>
              <w:rPr>
                <w:rFonts w:hint="eastAsia" w:ascii="Times New Roman" w:hAnsi="Times New Roman"/>
                <w:color w:val="000000"/>
                <w:sz w:val="24"/>
                <w:szCs w:val="22"/>
              </w:rPr>
              <w:t>，项目运营期各设备均设置于密闭厂房内，且采取基础减震措施，经实体墙壁及距离衰减后，对周边环境影响较小。要求企业定期对设备进行检修、保养，以避免因设备故障产生噪声</w:t>
            </w:r>
            <w:r>
              <w:rPr>
                <w:rFonts w:hint="eastAsia" w:ascii="Times New Roman" w:hAnsi="Times New Roman"/>
                <w:color w:val="000000"/>
                <w:sz w:val="24"/>
                <w:szCs w:val="22"/>
                <w:lang w:eastAsia="zh-CN"/>
              </w:rPr>
              <w:t>，</w:t>
            </w:r>
            <w:r>
              <w:rPr>
                <w:rFonts w:hint="eastAsia" w:ascii="Times New Roman" w:hAnsi="Times New Roman"/>
                <w:color w:val="000000"/>
                <w:sz w:val="24"/>
                <w:szCs w:val="22"/>
                <w:lang w:val="en-US" w:eastAsia="zh-CN"/>
              </w:rPr>
              <w:t>同时加强对建筑垃圾运输车辆文明</w:t>
            </w:r>
            <w:r>
              <w:rPr>
                <w:rFonts w:hint="eastAsia" w:ascii="Times New Roman" w:hAnsi="Times New Roman"/>
                <w:color w:val="000000"/>
                <w:sz w:val="24"/>
                <w:szCs w:val="22"/>
              </w:rPr>
              <w:t>。</w:t>
            </w:r>
          </w:p>
          <w:p>
            <w:pPr>
              <w:adjustRightInd w:val="0"/>
              <w:snapToGrid w:val="0"/>
              <w:spacing w:line="360" w:lineRule="auto"/>
              <w:ind w:firstLine="480" w:firstLineChars="200"/>
              <w:rPr>
                <w:rFonts w:hint="eastAsia" w:ascii="Times New Roman" w:hAnsi="Times New Roman"/>
                <w:color w:val="000000"/>
                <w:sz w:val="24"/>
                <w:lang w:val="en-US" w:eastAsia="zh-CN"/>
              </w:rPr>
            </w:pPr>
            <w:r>
              <w:rPr>
                <w:rFonts w:hint="eastAsia" w:ascii="Times New Roman" w:hAnsi="Times New Roman"/>
                <w:color w:val="000000"/>
                <w:sz w:val="24"/>
                <w:lang w:val="en-US" w:eastAsia="zh-CN"/>
              </w:rPr>
              <w:t>运营期厂界噪声执行《工业企业厂界环境噪声排放标准》（GB12348-2008）3类标准。</w:t>
            </w:r>
            <w:bookmarkStart w:id="65" w:name="_Toc519840382"/>
            <w:bookmarkStart w:id="66" w:name="_Toc11912"/>
          </w:p>
          <w:p>
            <w:pPr>
              <w:pStyle w:val="5"/>
            </w:pPr>
            <w:bookmarkStart w:id="67" w:name="_Toc31012"/>
            <w:r>
              <w:rPr>
                <w:rFonts w:hint="eastAsia"/>
              </w:rPr>
              <w:t>固体废物</w:t>
            </w:r>
            <w:bookmarkEnd w:id="65"/>
            <w:bookmarkEnd w:id="66"/>
            <w:bookmarkEnd w:id="67"/>
          </w:p>
          <w:p>
            <w:pPr>
              <w:tabs>
                <w:tab w:val="left" w:pos="7485"/>
              </w:tabs>
              <w:spacing w:line="360" w:lineRule="auto"/>
              <w:ind w:firstLine="480" w:firstLineChars="200"/>
              <w:rPr>
                <w:rFonts w:hint="default"/>
              </w:rPr>
            </w:pPr>
            <w:r>
              <w:rPr>
                <w:rFonts w:hint="eastAsia"/>
                <w:sz w:val="24"/>
                <w:szCs w:val="24"/>
              </w:rPr>
              <w:t>本项目</w:t>
            </w:r>
            <w:r>
              <w:rPr>
                <w:rFonts w:hint="eastAsia"/>
                <w:sz w:val="24"/>
                <w:szCs w:val="24"/>
                <w:lang w:val="en-US" w:eastAsia="zh-CN"/>
              </w:rPr>
              <w:t>加工过程中会产生一般固废</w:t>
            </w:r>
            <w:r>
              <w:rPr>
                <w:rFonts w:hint="eastAsia"/>
                <w:sz w:val="24"/>
                <w:szCs w:val="24"/>
              </w:rPr>
              <w:t>。</w:t>
            </w:r>
            <w:r>
              <w:rPr>
                <w:rFonts w:hint="eastAsia"/>
                <w:sz w:val="24"/>
                <w:szCs w:val="24"/>
                <w:lang w:val="en-US" w:eastAsia="zh-CN"/>
              </w:rPr>
              <w:t>各类固体废物见表3.4-1。</w:t>
            </w:r>
          </w:p>
          <w:p>
            <w:pPr>
              <w:pStyle w:val="15"/>
              <w:rPr>
                <w:rFonts w:hint="default"/>
              </w:rPr>
            </w:pPr>
            <w:r>
              <w:rPr>
                <w:rFonts w:hint="default"/>
                <w:highlight w:val="none"/>
              </w:rPr>
              <w:t>表3.</w:t>
            </w:r>
            <w:r>
              <w:rPr>
                <w:rFonts w:hint="eastAsia"/>
                <w:highlight w:val="none"/>
                <w:lang w:val="en-US" w:eastAsia="zh-CN"/>
              </w:rPr>
              <w:t>4</w:t>
            </w:r>
            <w:r>
              <w:rPr>
                <w:rFonts w:hint="default"/>
                <w:highlight w:val="none"/>
              </w:rPr>
              <w:t>-1 固废产生量及处置方式</w:t>
            </w:r>
          </w:p>
          <w:tbl>
            <w:tblPr>
              <w:tblStyle w:val="3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801"/>
              <w:gridCol w:w="1555"/>
              <w:gridCol w:w="1442"/>
              <w:gridCol w:w="281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27" w:type="pct"/>
                  <w:vAlign w:val="center"/>
                </w:tcPr>
                <w:p>
                  <w:pPr>
                    <w:adjustRightInd w:val="0"/>
                    <w:snapToGrid w:val="0"/>
                    <w:jc w:val="center"/>
                    <w:rPr>
                      <w:rFonts w:hint="eastAsia"/>
                      <w:lang w:eastAsia="zh-CN"/>
                    </w:rPr>
                  </w:pPr>
                  <w:r>
                    <w:rPr>
                      <w:rFonts w:hint="eastAsia"/>
                      <w:lang w:val="en-US" w:eastAsia="zh-CN"/>
                    </w:rPr>
                    <w:t>类别</w:t>
                  </w:r>
                </w:p>
              </w:tc>
              <w:tc>
                <w:tcPr>
                  <w:tcW w:w="1034" w:type="pct"/>
                  <w:vAlign w:val="center"/>
                </w:tcPr>
                <w:p>
                  <w:pPr>
                    <w:adjustRightInd w:val="0"/>
                    <w:snapToGrid w:val="0"/>
                    <w:jc w:val="center"/>
                    <w:rPr>
                      <w:rFonts w:hint="default"/>
                      <w:lang w:val="en-US" w:eastAsia="zh-CN"/>
                    </w:rPr>
                  </w:pPr>
                  <w:r>
                    <w:rPr>
                      <w:rFonts w:hint="eastAsia"/>
                      <w:lang w:val="en-US" w:eastAsia="zh-CN"/>
                    </w:rPr>
                    <w:t>废物名称</w:t>
                  </w:r>
                </w:p>
              </w:tc>
              <w:tc>
                <w:tcPr>
                  <w:tcW w:w="893" w:type="pct"/>
                  <w:vAlign w:val="center"/>
                </w:tcPr>
                <w:p>
                  <w:pPr>
                    <w:adjustRightInd w:val="0"/>
                    <w:snapToGrid w:val="0"/>
                    <w:jc w:val="center"/>
                    <w:rPr>
                      <w:rFonts w:hint="default"/>
                      <w:lang w:val="en-US" w:eastAsia="zh-CN"/>
                    </w:rPr>
                  </w:pPr>
                  <w:r>
                    <w:rPr>
                      <w:rFonts w:hint="eastAsia"/>
                      <w:lang w:val="en-US" w:eastAsia="zh-CN"/>
                    </w:rPr>
                    <w:t>产生量（t/a）</w:t>
                  </w:r>
                </w:p>
              </w:tc>
              <w:tc>
                <w:tcPr>
                  <w:tcW w:w="828" w:type="pct"/>
                  <w:vAlign w:val="center"/>
                </w:tcPr>
                <w:p>
                  <w:pPr>
                    <w:adjustRightInd w:val="0"/>
                    <w:snapToGrid w:val="0"/>
                    <w:jc w:val="center"/>
                    <w:rPr>
                      <w:rFonts w:hint="default"/>
                      <w:lang w:val="en-US" w:eastAsia="zh-CN"/>
                    </w:rPr>
                  </w:pPr>
                  <w:r>
                    <w:rPr>
                      <w:rFonts w:hint="eastAsia"/>
                      <w:lang w:val="en-US" w:eastAsia="zh-CN"/>
                    </w:rPr>
                    <w:t>排放量（t/a）</w:t>
                  </w:r>
                </w:p>
              </w:tc>
              <w:tc>
                <w:tcPr>
                  <w:tcW w:w="1616" w:type="pct"/>
                  <w:vAlign w:val="center"/>
                </w:tcPr>
                <w:p>
                  <w:pPr>
                    <w:adjustRightInd w:val="0"/>
                    <w:snapToGrid w:val="0"/>
                    <w:jc w:val="center"/>
                    <w:rPr>
                      <w:rFonts w:hint="default"/>
                      <w:lang w:val="en-US" w:eastAsia="zh-CN"/>
                    </w:rPr>
                  </w:pPr>
                  <w:r>
                    <w:rPr>
                      <w:rFonts w:hint="eastAsia"/>
                      <w:lang w:val="en-US" w:eastAsia="zh-CN"/>
                    </w:rPr>
                    <w:t>处理方式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 w:type="pct"/>
                  <w:vMerge w:val="restart"/>
                  <w:vAlign w:val="center"/>
                </w:tcPr>
                <w:p>
                  <w:pPr>
                    <w:spacing w:before="60"/>
                    <w:jc w:val="center"/>
                    <w:rPr>
                      <w:rFonts w:hint="eastAsia"/>
                      <w:lang w:val="en-US" w:eastAsia="zh-CN"/>
                    </w:rPr>
                  </w:pPr>
                  <w:r>
                    <w:rPr>
                      <w:rFonts w:hint="eastAsia"/>
                      <w:lang w:val="en-US" w:eastAsia="zh-CN"/>
                    </w:rPr>
                    <w:t>一般固废</w:t>
                  </w:r>
                </w:p>
              </w:tc>
              <w:tc>
                <w:tcPr>
                  <w:tcW w:w="1034" w:type="pct"/>
                  <w:vAlign w:val="center"/>
                </w:tcPr>
                <w:p>
                  <w:pPr>
                    <w:spacing w:before="60"/>
                    <w:jc w:val="center"/>
                    <w:rPr>
                      <w:rFonts w:hint="default"/>
                      <w:lang w:val="en-US" w:eastAsia="zh-CN"/>
                    </w:rPr>
                  </w:pPr>
                  <w:r>
                    <w:rPr>
                      <w:color w:val="000000"/>
                    </w:rPr>
                    <w:t>钢筋、塑料等</w:t>
                  </w:r>
                </w:p>
              </w:tc>
              <w:tc>
                <w:tcPr>
                  <w:tcW w:w="893" w:type="pct"/>
                  <w:vAlign w:val="center"/>
                </w:tcPr>
                <w:p>
                  <w:pPr>
                    <w:spacing w:before="60"/>
                    <w:jc w:val="center"/>
                    <w:rPr>
                      <w:rFonts w:hint="default"/>
                      <w:color w:val="auto"/>
                      <w:lang w:val="en-US" w:eastAsia="zh-CN"/>
                    </w:rPr>
                  </w:pPr>
                  <w:r>
                    <w:rPr>
                      <w:rFonts w:hint="eastAsia"/>
                      <w:color w:val="auto"/>
                      <w:lang w:val="en-US" w:eastAsia="zh-CN"/>
                    </w:rPr>
                    <w:t>70</w:t>
                  </w:r>
                </w:p>
              </w:tc>
              <w:tc>
                <w:tcPr>
                  <w:tcW w:w="828" w:type="pct"/>
                  <w:vAlign w:val="center"/>
                </w:tcPr>
                <w:p>
                  <w:pPr>
                    <w:spacing w:before="60"/>
                    <w:jc w:val="center"/>
                    <w:rPr>
                      <w:rFonts w:hint="default"/>
                      <w:lang w:val="en-US" w:eastAsia="zh-CN"/>
                    </w:rPr>
                  </w:pPr>
                  <w:r>
                    <w:rPr>
                      <w:rFonts w:hint="eastAsia"/>
                      <w:lang w:val="en-US" w:eastAsia="zh-CN"/>
                    </w:rPr>
                    <w:t>0</w:t>
                  </w:r>
                </w:p>
              </w:tc>
              <w:tc>
                <w:tcPr>
                  <w:tcW w:w="1616" w:type="pct"/>
                  <w:vMerge w:val="restart"/>
                  <w:vAlign w:val="center"/>
                </w:tcPr>
                <w:p>
                  <w:pPr>
                    <w:spacing w:before="60"/>
                    <w:jc w:val="center"/>
                    <w:rPr>
                      <w:rFonts w:hint="default"/>
                      <w:lang w:val="en-US" w:eastAsia="zh-CN"/>
                    </w:rPr>
                  </w:pPr>
                  <w:r>
                    <w:rPr>
                      <w:rFonts w:hint="eastAsia"/>
                      <w:lang w:val="en-US" w:eastAsia="zh-CN"/>
                    </w:rPr>
                    <w:t>回收不排放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27" w:type="pct"/>
                  <w:vMerge w:val="continue"/>
                  <w:vAlign w:val="center"/>
                </w:tcPr>
                <w:p>
                  <w:pPr>
                    <w:spacing w:before="60"/>
                    <w:jc w:val="center"/>
                  </w:pPr>
                </w:p>
              </w:tc>
              <w:tc>
                <w:tcPr>
                  <w:tcW w:w="1034" w:type="pct"/>
                  <w:vAlign w:val="center"/>
                </w:tcPr>
                <w:p>
                  <w:pPr>
                    <w:spacing w:before="60"/>
                    <w:jc w:val="center"/>
                    <w:rPr>
                      <w:rFonts w:hint="eastAsia"/>
                      <w:lang w:val="en-US" w:eastAsia="zh-CN"/>
                    </w:rPr>
                  </w:pPr>
                  <w:r>
                    <w:rPr>
                      <w:rFonts w:hint="eastAsia" w:ascii="Times New Roman" w:hAnsi="Times New Roman"/>
                      <w:color w:val="000000"/>
                      <w:sz w:val="24"/>
                    </w:rPr>
                    <w:t>除尘器集尘</w:t>
                  </w:r>
                </w:p>
              </w:tc>
              <w:tc>
                <w:tcPr>
                  <w:tcW w:w="893" w:type="pct"/>
                  <w:vAlign w:val="center"/>
                </w:tcPr>
                <w:p>
                  <w:pPr>
                    <w:spacing w:before="60"/>
                    <w:jc w:val="center"/>
                    <w:rPr>
                      <w:rFonts w:hint="default"/>
                      <w:color w:val="auto"/>
                      <w:lang w:val="en-US" w:eastAsia="zh-CN"/>
                    </w:rPr>
                  </w:pPr>
                  <w:r>
                    <w:rPr>
                      <w:rFonts w:hint="eastAsia"/>
                      <w:color w:val="auto"/>
                      <w:lang w:val="en-US" w:eastAsia="zh-CN"/>
                    </w:rPr>
                    <w:t>16.7</w:t>
                  </w:r>
                </w:p>
              </w:tc>
              <w:tc>
                <w:tcPr>
                  <w:tcW w:w="828" w:type="pct"/>
                  <w:vAlign w:val="center"/>
                </w:tcPr>
                <w:p>
                  <w:pPr>
                    <w:spacing w:before="60"/>
                    <w:jc w:val="center"/>
                    <w:rPr>
                      <w:rFonts w:hint="default"/>
                      <w:lang w:val="en-US" w:eastAsia="zh-CN"/>
                    </w:rPr>
                  </w:pPr>
                  <w:r>
                    <w:rPr>
                      <w:rFonts w:hint="eastAsia"/>
                      <w:lang w:val="en-US" w:eastAsia="zh-CN"/>
                    </w:rPr>
                    <w:t>0</w:t>
                  </w:r>
                </w:p>
              </w:tc>
              <w:tc>
                <w:tcPr>
                  <w:tcW w:w="1616" w:type="pct"/>
                  <w:vMerge w:val="continue"/>
                  <w:vAlign w:val="center"/>
                </w:tcPr>
                <w:p>
                  <w:pPr>
                    <w:spacing w:before="60"/>
                    <w:jc w:val="center"/>
                    <w:rPr>
                      <w:rFonts w:hint="eastAsia"/>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27" w:type="pct"/>
                  <w:vMerge w:val="continue"/>
                  <w:vAlign w:val="center"/>
                </w:tcPr>
                <w:p>
                  <w:pPr>
                    <w:spacing w:before="60"/>
                    <w:jc w:val="center"/>
                  </w:pPr>
                </w:p>
              </w:tc>
              <w:tc>
                <w:tcPr>
                  <w:tcW w:w="1034" w:type="pct"/>
                  <w:vAlign w:val="center"/>
                </w:tcPr>
                <w:p>
                  <w:pPr>
                    <w:spacing w:before="60"/>
                    <w:jc w:val="center"/>
                    <w:rPr>
                      <w:rFonts w:hint="default"/>
                      <w:lang w:val="en-US" w:eastAsia="zh-CN"/>
                    </w:rPr>
                  </w:pPr>
                  <w:r>
                    <w:rPr>
                      <w:rFonts w:hint="eastAsia"/>
                      <w:lang w:val="en-US" w:eastAsia="zh-CN"/>
                    </w:rPr>
                    <w:t>生活垃圾</w:t>
                  </w:r>
                </w:p>
              </w:tc>
              <w:tc>
                <w:tcPr>
                  <w:tcW w:w="893" w:type="pct"/>
                  <w:vAlign w:val="center"/>
                </w:tcPr>
                <w:p>
                  <w:pPr>
                    <w:spacing w:before="60"/>
                    <w:jc w:val="center"/>
                    <w:rPr>
                      <w:rFonts w:hint="default"/>
                      <w:color w:val="auto"/>
                      <w:lang w:val="en-US" w:eastAsia="zh-CN"/>
                    </w:rPr>
                  </w:pPr>
                  <w:r>
                    <w:rPr>
                      <w:rFonts w:hint="eastAsia"/>
                      <w:color w:val="auto"/>
                      <w:lang w:val="en-US" w:eastAsia="zh-CN"/>
                    </w:rPr>
                    <w:t>6</w:t>
                  </w:r>
                </w:p>
              </w:tc>
              <w:tc>
                <w:tcPr>
                  <w:tcW w:w="828" w:type="pct"/>
                  <w:vAlign w:val="center"/>
                </w:tcPr>
                <w:p>
                  <w:pPr>
                    <w:spacing w:before="60"/>
                    <w:jc w:val="center"/>
                    <w:rPr>
                      <w:rFonts w:hint="default"/>
                      <w:lang w:val="en-US" w:eastAsia="zh-CN"/>
                    </w:rPr>
                  </w:pPr>
                  <w:r>
                    <w:rPr>
                      <w:rFonts w:hint="eastAsia"/>
                      <w:lang w:val="en-US" w:eastAsia="zh-CN"/>
                    </w:rPr>
                    <w:t>0</w:t>
                  </w:r>
                </w:p>
              </w:tc>
              <w:tc>
                <w:tcPr>
                  <w:tcW w:w="1616" w:type="pct"/>
                  <w:vAlign w:val="center"/>
                </w:tcPr>
                <w:p>
                  <w:pPr>
                    <w:spacing w:before="60"/>
                    <w:jc w:val="center"/>
                    <w:rPr>
                      <w:rFonts w:hint="default"/>
                      <w:lang w:val="en-US" w:eastAsia="zh-CN"/>
                    </w:rPr>
                  </w:pPr>
                  <w:r>
                    <w:rPr>
                      <w:rFonts w:hint="eastAsia"/>
                      <w:lang w:val="en-US" w:eastAsia="zh-CN"/>
                    </w:rPr>
                    <w:t>委托环卫部门清运、处置</w:t>
                  </w:r>
                </w:p>
              </w:tc>
            </w:tr>
          </w:tbl>
          <w:p>
            <w:pPr>
              <w:pStyle w:val="102"/>
              <w:spacing w:line="360" w:lineRule="auto"/>
              <w:ind w:left="0" w:leftChars="0" w:firstLine="0" w:firstLineChars="0"/>
            </w:pPr>
          </w:p>
          <w:p>
            <w:pPr>
              <w:pStyle w:val="5"/>
            </w:pPr>
            <w:bookmarkStart w:id="68" w:name="_Toc24461"/>
            <w:bookmarkStart w:id="69" w:name="_Toc20959"/>
            <w:r>
              <w:rPr>
                <w:rFonts w:hint="eastAsia"/>
              </w:rPr>
              <w:t>环保设施投资及“三同时”落实情况</w:t>
            </w:r>
            <w:bookmarkEnd w:id="68"/>
            <w:bookmarkEnd w:id="69"/>
          </w:p>
          <w:p>
            <w:pPr>
              <w:pStyle w:val="4"/>
            </w:pPr>
            <w:r>
              <w:t>1）</w:t>
            </w:r>
            <w:r>
              <w:rPr>
                <w:rFonts w:hint="eastAsia"/>
              </w:rPr>
              <w:t>环保设施投资</w:t>
            </w:r>
          </w:p>
          <w:p>
            <w:pPr>
              <w:spacing w:line="360" w:lineRule="auto"/>
              <w:ind w:firstLine="200"/>
              <w:rPr>
                <w:sz w:val="24"/>
                <w:szCs w:val="24"/>
              </w:rPr>
            </w:pPr>
            <w:r>
              <w:rPr>
                <w:rFonts w:hint="eastAsia"/>
                <w:sz w:val="24"/>
                <w:szCs w:val="24"/>
              </w:rPr>
              <w:t>本项目环保设施实际投资具体见表3.</w:t>
            </w:r>
            <w:r>
              <w:rPr>
                <w:rFonts w:hint="eastAsia"/>
                <w:sz w:val="24"/>
                <w:szCs w:val="24"/>
                <w:lang w:val="en-US" w:eastAsia="zh-CN"/>
              </w:rPr>
              <w:t>5</w:t>
            </w:r>
            <w:r>
              <w:rPr>
                <w:rFonts w:hint="eastAsia"/>
                <w:sz w:val="24"/>
                <w:szCs w:val="24"/>
              </w:rPr>
              <w:t>-1。</w:t>
            </w:r>
          </w:p>
          <w:p>
            <w:pPr>
              <w:spacing w:line="360" w:lineRule="exact"/>
              <w:jc w:val="center"/>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表3.</w:t>
            </w:r>
            <w:r>
              <w:rPr>
                <w:rFonts w:hint="eastAsia" w:asciiTheme="majorEastAsia" w:hAnsiTheme="majorEastAsia" w:eastAsiaTheme="majorEastAsia" w:cstheme="majorEastAsia"/>
                <w:b/>
                <w:bCs/>
                <w:sz w:val="24"/>
                <w:szCs w:val="24"/>
                <w:highlight w:val="none"/>
                <w:lang w:val="en-US" w:eastAsia="zh-CN"/>
              </w:rPr>
              <w:t>5</w:t>
            </w:r>
            <w:r>
              <w:rPr>
                <w:rFonts w:hint="eastAsia" w:asciiTheme="majorEastAsia" w:hAnsiTheme="majorEastAsia" w:eastAsiaTheme="majorEastAsia" w:cstheme="majorEastAsia"/>
                <w:b/>
                <w:bCs/>
                <w:sz w:val="24"/>
                <w:szCs w:val="24"/>
                <w:highlight w:val="none"/>
              </w:rPr>
              <w:t>-1 环保设施投资一览表</w:t>
            </w:r>
          </w:p>
          <w:tbl>
            <w:tblPr>
              <w:tblStyle w:val="3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1487"/>
              <w:gridCol w:w="1533"/>
              <w:gridCol w:w="1996"/>
              <w:gridCol w:w="31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3" w:type="pct"/>
                  <w:tcBorders>
                    <w:top w:val="single" w:color="auto" w:sz="12" w:space="0"/>
                    <w:bottom w:val="single" w:color="auto" w:sz="12" w:space="0"/>
                  </w:tcBorders>
                  <w:vAlign w:val="center"/>
                </w:tcPr>
                <w:p>
                  <w:pPr>
                    <w:widowControl/>
                    <w:jc w:val="center"/>
                  </w:pPr>
                  <w:r>
                    <w:t>序号</w:t>
                  </w:r>
                </w:p>
              </w:tc>
              <w:tc>
                <w:tcPr>
                  <w:tcW w:w="854" w:type="pct"/>
                  <w:tcBorders>
                    <w:top w:val="single" w:color="auto" w:sz="12" w:space="0"/>
                    <w:bottom w:val="single" w:color="auto" w:sz="12" w:space="0"/>
                  </w:tcBorders>
                  <w:vAlign w:val="center"/>
                </w:tcPr>
                <w:p>
                  <w:pPr>
                    <w:widowControl/>
                    <w:jc w:val="center"/>
                  </w:pPr>
                  <w:r>
                    <w:t>项目名称</w:t>
                  </w:r>
                </w:p>
              </w:tc>
              <w:tc>
                <w:tcPr>
                  <w:tcW w:w="880" w:type="pct"/>
                  <w:tcBorders>
                    <w:top w:val="single" w:color="auto" w:sz="12" w:space="0"/>
                    <w:bottom w:val="single" w:color="auto" w:sz="12" w:space="0"/>
                  </w:tcBorders>
                  <w:vAlign w:val="center"/>
                </w:tcPr>
                <w:p>
                  <w:pPr>
                    <w:widowControl/>
                    <w:jc w:val="center"/>
                  </w:pPr>
                  <w:r>
                    <w:t>环评预计环保投资(万元)</w:t>
                  </w:r>
                </w:p>
              </w:tc>
              <w:tc>
                <w:tcPr>
                  <w:tcW w:w="1146" w:type="pct"/>
                  <w:tcBorders>
                    <w:top w:val="single" w:color="auto" w:sz="12" w:space="0"/>
                    <w:bottom w:val="single" w:color="auto" w:sz="12" w:space="0"/>
                  </w:tcBorders>
                  <w:vAlign w:val="center"/>
                </w:tcPr>
                <w:p>
                  <w:pPr>
                    <w:widowControl/>
                    <w:jc w:val="center"/>
                  </w:pPr>
                  <w:r>
                    <w:t>实际投入建设环保投资(万元)</w:t>
                  </w:r>
                </w:p>
              </w:tc>
              <w:tc>
                <w:tcPr>
                  <w:tcW w:w="1815" w:type="pct"/>
                  <w:tcBorders>
                    <w:top w:val="single" w:color="auto" w:sz="12" w:space="0"/>
                    <w:bottom w:val="single" w:color="auto" w:sz="12" w:space="0"/>
                  </w:tcBorders>
                  <w:vAlign w:val="center"/>
                </w:tcPr>
                <w:p>
                  <w:pPr>
                    <w:widowControl/>
                    <w:jc w:val="center"/>
                  </w:pPr>
                  <w:r>
                    <w:rPr>
                      <w:rFonts w:hint="eastAsia"/>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3" w:type="pct"/>
                  <w:tcBorders>
                    <w:top w:val="single" w:color="auto" w:sz="12" w:space="0"/>
                  </w:tcBorders>
                  <w:vAlign w:val="center"/>
                </w:tcPr>
                <w:p>
                  <w:pPr>
                    <w:jc w:val="center"/>
                  </w:pPr>
                  <w:r>
                    <w:t>1</w:t>
                  </w:r>
                </w:p>
              </w:tc>
              <w:tc>
                <w:tcPr>
                  <w:tcW w:w="854" w:type="pct"/>
                  <w:tcBorders>
                    <w:top w:val="single" w:color="auto" w:sz="12" w:space="0"/>
                  </w:tcBorders>
                  <w:vAlign w:val="center"/>
                </w:tcPr>
                <w:p>
                  <w:pPr>
                    <w:pStyle w:val="58"/>
                    <w:rPr>
                      <w:rFonts w:hint="default"/>
                      <w:lang w:val="en-US" w:eastAsia="zh-CN"/>
                    </w:rPr>
                  </w:pPr>
                  <w:r>
                    <w:rPr>
                      <w:rFonts w:hint="eastAsia"/>
                      <w:lang w:val="en-US" w:eastAsia="zh-CN"/>
                    </w:rPr>
                    <w:t>废气净化装置</w:t>
                  </w:r>
                </w:p>
              </w:tc>
              <w:tc>
                <w:tcPr>
                  <w:tcW w:w="880" w:type="pct"/>
                  <w:tcBorders>
                    <w:top w:val="single" w:color="auto" w:sz="12" w:space="0"/>
                  </w:tcBorders>
                  <w:vAlign w:val="center"/>
                </w:tcPr>
                <w:p>
                  <w:pPr>
                    <w:pStyle w:val="58"/>
                    <w:rPr>
                      <w:rFonts w:hint="default"/>
                      <w:lang w:val="en-US" w:eastAsia="zh-CN"/>
                    </w:rPr>
                  </w:pPr>
                  <w:r>
                    <w:rPr>
                      <w:rFonts w:hint="eastAsia"/>
                      <w:lang w:val="en-US" w:eastAsia="zh-CN"/>
                    </w:rPr>
                    <w:t>44</w:t>
                  </w:r>
                </w:p>
              </w:tc>
              <w:tc>
                <w:tcPr>
                  <w:tcW w:w="1146" w:type="pct"/>
                  <w:tcBorders>
                    <w:top w:val="single" w:color="auto" w:sz="12" w:space="0"/>
                  </w:tcBorders>
                  <w:vAlign w:val="center"/>
                </w:tcPr>
                <w:p>
                  <w:pPr>
                    <w:pStyle w:val="58"/>
                    <w:rPr>
                      <w:rFonts w:hint="default" w:eastAsia="宋体"/>
                      <w:lang w:val="en-US" w:eastAsia="zh-CN"/>
                    </w:rPr>
                  </w:pPr>
                  <w:r>
                    <w:rPr>
                      <w:rFonts w:hint="eastAsia"/>
                      <w:lang w:val="en-US" w:eastAsia="zh-CN"/>
                    </w:rPr>
                    <w:t>44</w:t>
                  </w:r>
                </w:p>
              </w:tc>
              <w:tc>
                <w:tcPr>
                  <w:tcW w:w="1815" w:type="pct"/>
                  <w:tcBorders>
                    <w:top w:val="single" w:color="auto" w:sz="12" w:space="0"/>
                  </w:tcBorders>
                  <w:vAlign w:val="center"/>
                </w:tcPr>
                <w:p>
                  <w:pPr>
                    <w:pStyle w:val="58"/>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3" w:type="pct"/>
                  <w:vAlign w:val="center"/>
                </w:tcPr>
                <w:p>
                  <w:pPr>
                    <w:jc w:val="center"/>
                  </w:pPr>
                  <w:r>
                    <w:rPr>
                      <w:rFonts w:hint="eastAsia"/>
                    </w:rPr>
                    <w:t>2</w:t>
                  </w:r>
                </w:p>
              </w:tc>
              <w:tc>
                <w:tcPr>
                  <w:tcW w:w="854" w:type="pct"/>
                  <w:vAlign w:val="center"/>
                </w:tcPr>
                <w:p>
                  <w:pPr>
                    <w:pStyle w:val="58"/>
                    <w:rPr>
                      <w:rFonts w:hint="default"/>
                      <w:lang w:val="en-US" w:eastAsia="zh-CN"/>
                    </w:rPr>
                  </w:pPr>
                  <w:r>
                    <w:rPr>
                      <w:rFonts w:hint="eastAsia"/>
                      <w:lang w:val="en-US" w:eastAsia="zh-CN"/>
                    </w:rPr>
                    <w:t>固废处置</w:t>
                  </w:r>
                </w:p>
              </w:tc>
              <w:tc>
                <w:tcPr>
                  <w:tcW w:w="880" w:type="pct"/>
                  <w:vAlign w:val="center"/>
                </w:tcPr>
                <w:p>
                  <w:pPr>
                    <w:pStyle w:val="58"/>
                    <w:rPr>
                      <w:rFonts w:hint="default"/>
                      <w:lang w:val="en-US" w:eastAsia="zh-CN"/>
                    </w:rPr>
                  </w:pPr>
                  <w:r>
                    <w:rPr>
                      <w:rFonts w:hint="eastAsia"/>
                      <w:lang w:val="en-US" w:eastAsia="zh-CN"/>
                    </w:rPr>
                    <w:t>5</w:t>
                  </w:r>
                </w:p>
              </w:tc>
              <w:tc>
                <w:tcPr>
                  <w:tcW w:w="1146" w:type="pct"/>
                  <w:vAlign w:val="center"/>
                </w:tcPr>
                <w:p>
                  <w:pPr>
                    <w:pStyle w:val="58"/>
                    <w:rPr>
                      <w:rFonts w:hint="default" w:eastAsia="宋体"/>
                      <w:lang w:val="en-US" w:eastAsia="zh-CN"/>
                    </w:rPr>
                  </w:pPr>
                  <w:r>
                    <w:rPr>
                      <w:rFonts w:hint="eastAsia"/>
                      <w:lang w:val="en-US" w:eastAsia="zh-CN"/>
                    </w:rPr>
                    <w:t>5</w:t>
                  </w:r>
                </w:p>
              </w:tc>
              <w:tc>
                <w:tcPr>
                  <w:tcW w:w="1815" w:type="pct"/>
                  <w:vAlign w:val="center"/>
                </w:tcPr>
                <w:p>
                  <w:pPr>
                    <w:pStyle w:val="58"/>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3" w:type="pct"/>
                  <w:vAlign w:val="center"/>
                </w:tcPr>
                <w:p>
                  <w:pPr>
                    <w:widowControl/>
                    <w:jc w:val="center"/>
                  </w:pPr>
                  <w:r>
                    <w:rPr>
                      <w:rFonts w:hint="eastAsia"/>
                    </w:rPr>
                    <w:t>3</w:t>
                  </w:r>
                </w:p>
              </w:tc>
              <w:tc>
                <w:tcPr>
                  <w:tcW w:w="854" w:type="pct"/>
                  <w:vAlign w:val="center"/>
                </w:tcPr>
                <w:p>
                  <w:pPr>
                    <w:spacing w:before="60"/>
                    <w:jc w:val="center"/>
                    <w:rPr>
                      <w:rFonts w:hint="default"/>
                      <w:lang w:val="en-US" w:eastAsia="zh-CN"/>
                    </w:rPr>
                  </w:pPr>
                  <w:r>
                    <w:rPr>
                      <w:rFonts w:hint="eastAsia"/>
                      <w:lang w:val="en-US" w:eastAsia="zh-CN"/>
                    </w:rPr>
                    <w:t>生活垃圾清运</w:t>
                  </w:r>
                </w:p>
              </w:tc>
              <w:tc>
                <w:tcPr>
                  <w:tcW w:w="880" w:type="pct"/>
                  <w:vAlign w:val="center"/>
                </w:tcPr>
                <w:p>
                  <w:pPr>
                    <w:spacing w:before="60"/>
                    <w:jc w:val="center"/>
                    <w:rPr>
                      <w:rFonts w:hint="default"/>
                      <w:lang w:val="en-US" w:eastAsia="zh-CN"/>
                    </w:rPr>
                  </w:pPr>
                  <w:r>
                    <w:rPr>
                      <w:rFonts w:hint="eastAsia"/>
                      <w:lang w:val="en-US" w:eastAsia="zh-CN"/>
                    </w:rPr>
                    <w:t>1</w:t>
                  </w:r>
                </w:p>
              </w:tc>
              <w:tc>
                <w:tcPr>
                  <w:tcW w:w="1146" w:type="pct"/>
                  <w:vAlign w:val="center"/>
                </w:tcPr>
                <w:p>
                  <w:pPr>
                    <w:spacing w:before="60"/>
                    <w:jc w:val="center"/>
                    <w:rPr>
                      <w:rFonts w:hint="default" w:eastAsia="宋体"/>
                      <w:lang w:val="en-US" w:eastAsia="zh-CN"/>
                    </w:rPr>
                  </w:pPr>
                  <w:r>
                    <w:rPr>
                      <w:rFonts w:hint="eastAsia"/>
                      <w:lang w:val="en-US" w:eastAsia="zh-CN"/>
                    </w:rPr>
                    <w:t>1</w:t>
                  </w:r>
                </w:p>
              </w:tc>
              <w:tc>
                <w:tcPr>
                  <w:tcW w:w="1815" w:type="pct"/>
                  <w:vAlign w:val="center"/>
                </w:tcPr>
                <w:p>
                  <w:pPr>
                    <w:spacing w:before="60"/>
                    <w:jc w:val="center"/>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3" w:type="pct"/>
                  <w:vAlign w:val="center"/>
                </w:tcPr>
                <w:p>
                  <w:pPr>
                    <w:widowControl/>
                    <w:jc w:val="center"/>
                  </w:pPr>
                  <w:r>
                    <w:rPr>
                      <w:rFonts w:hint="eastAsia"/>
                    </w:rPr>
                    <w:t>4</w:t>
                  </w:r>
                </w:p>
              </w:tc>
              <w:tc>
                <w:tcPr>
                  <w:tcW w:w="854" w:type="pct"/>
                  <w:vAlign w:val="center"/>
                </w:tcPr>
                <w:p>
                  <w:pPr>
                    <w:widowControl/>
                    <w:jc w:val="center"/>
                    <w:rPr>
                      <w:lang w:val="en-US" w:eastAsia="zh-CN"/>
                    </w:rPr>
                  </w:pPr>
                  <w:r>
                    <w:rPr>
                      <w:rFonts w:hint="eastAsia"/>
                    </w:rPr>
                    <w:t>合计</w:t>
                  </w:r>
                </w:p>
              </w:tc>
              <w:tc>
                <w:tcPr>
                  <w:tcW w:w="880" w:type="pct"/>
                  <w:vAlign w:val="center"/>
                </w:tcPr>
                <w:p>
                  <w:pPr>
                    <w:widowControl/>
                    <w:jc w:val="center"/>
                    <w:rPr>
                      <w:rFonts w:hint="default"/>
                      <w:lang w:val="en-US" w:eastAsia="zh-CN"/>
                    </w:rPr>
                  </w:pPr>
                  <w:r>
                    <w:rPr>
                      <w:rFonts w:hint="eastAsia"/>
                      <w:lang w:val="en-US" w:eastAsia="zh-CN"/>
                    </w:rPr>
                    <w:t>50</w:t>
                  </w:r>
                </w:p>
              </w:tc>
              <w:tc>
                <w:tcPr>
                  <w:tcW w:w="1146" w:type="pct"/>
                  <w:vAlign w:val="center"/>
                </w:tcPr>
                <w:p>
                  <w:pPr>
                    <w:widowControl/>
                    <w:jc w:val="center"/>
                    <w:rPr>
                      <w:rFonts w:hint="default" w:eastAsia="宋体"/>
                      <w:lang w:val="en-US" w:eastAsia="zh-CN"/>
                    </w:rPr>
                  </w:pPr>
                  <w:r>
                    <w:rPr>
                      <w:rFonts w:hint="eastAsia"/>
                      <w:lang w:val="en-US" w:eastAsia="zh-CN"/>
                    </w:rPr>
                    <w:t>50</w:t>
                  </w:r>
                </w:p>
              </w:tc>
              <w:tc>
                <w:tcPr>
                  <w:tcW w:w="1815" w:type="pct"/>
                  <w:vAlign w:val="center"/>
                </w:tcPr>
                <w:p>
                  <w:pPr>
                    <w:pStyle w:val="58"/>
                  </w:pPr>
                  <w:r>
                    <w:rPr>
                      <w:rFonts w:hint="eastAsia"/>
                    </w:rPr>
                    <w:t>/</w:t>
                  </w:r>
                </w:p>
              </w:tc>
            </w:tr>
          </w:tbl>
          <w:p>
            <w:pPr>
              <w:pStyle w:val="4"/>
            </w:pPr>
            <w:r>
              <w:t>2）</w:t>
            </w:r>
            <w:r>
              <w:rPr>
                <w:rFonts w:hint="eastAsia"/>
              </w:rPr>
              <w:t>环保设施“三同时”落实情况</w:t>
            </w:r>
          </w:p>
          <w:p>
            <w:pPr>
              <w:spacing w:line="360" w:lineRule="auto"/>
              <w:ind w:firstLine="480" w:firstLineChars="200"/>
              <w:rPr>
                <w:sz w:val="24"/>
                <w:szCs w:val="24"/>
              </w:rPr>
            </w:pPr>
            <w:r>
              <w:rPr>
                <w:sz w:val="24"/>
                <w:szCs w:val="24"/>
              </w:rPr>
              <w:t>本项目基本执行了竣工环保</w:t>
            </w:r>
            <w:r>
              <w:rPr>
                <w:rFonts w:hint="eastAsia"/>
                <w:sz w:val="24"/>
                <w:szCs w:val="24"/>
                <w:lang w:eastAsia="zh-CN"/>
              </w:rPr>
              <w:t>“</w:t>
            </w:r>
            <w:r>
              <w:rPr>
                <w:sz w:val="24"/>
                <w:szCs w:val="24"/>
              </w:rPr>
              <w:t>三同时</w:t>
            </w:r>
            <w:r>
              <w:rPr>
                <w:rFonts w:hint="eastAsia"/>
                <w:sz w:val="24"/>
                <w:szCs w:val="24"/>
                <w:lang w:eastAsia="zh-CN"/>
              </w:rPr>
              <w:t>”</w:t>
            </w:r>
            <w:r>
              <w:rPr>
                <w:sz w:val="24"/>
                <w:szCs w:val="24"/>
              </w:rPr>
              <w:t>的有关规定。做到了环保设施与项目同时设计、同时施工、同时投入运行。与本项目有关的环保设施“三同时”落实情况如表3.</w:t>
            </w:r>
            <w:r>
              <w:rPr>
                <w:rFonts w:hint="eastAsia"/>
                <w:sz w:val="24"/>
                <w:szCs w:val="24"/>
                <w:lang w:val="en-US" w:eastAsia="zh-CN"/>
              </w:rPr>
              <w:t>5</w:t>
            </w:r>
            <w:r>
              <w:rPr>
                <w:sz w:val="24"/>
                <w:szCs w:val="24"/>
              </w:rPr>
              <w:t>-2</w:t>
            </w:r>
            <w:r>
              <w:rPr>
                <w:rFonts w:hint="eastAsia"/>
                <w:sz w:val="24"/>
                <w:szCs w:val="24"/>
              </w:rPr>
              <w:t>。</w:t>
            </w:r>
          </w:p>
          <w:p>
            <w:pPr>
              <w:pStyle w:val="15"/>
              <w:rPr>
                <w:rFonts w:hint="default" w:ascii="Times New Roman" w:hAnsi="Times New Roman" w:eastAsia="宋体" w:cs="Times New Roman"/>
              </w:rPr>
            </w:pPr>
            <w:r>
              <w:rPr>
                <w:rFonts w:hint="default" w:ascii="Times New Roman" w:hAnsi="Times New Roman" w:eastAsia="宋体" w:cs="Times New Roman"/>
                <w:lang w:val="en-US" w:eastAsia="zh-CN"/>
              </w:rPr>
              <w:t>表3.5-2 环保设施“三同时”落实情况一览表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71"/>
              <w:gridCol w:w="1263"/>
              <w:gridCol w:w="1770"/>
              <w:gridCol w:w="2662"/>
              <w:gridCol w:w="19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5" w:type="pct"/>
                  <w:tcBorders>
                    <w:bottom w:val="single" w:color="auto" w:sz="12" w:space="0"/>
                  </w:tcBorders>
                  <w:vAlign w:val="center"/>
                </w:tcPr>
                <w:p>
                  <w:pPr>
                    <w:pStyle w:val="58"/>
                  </w:pPr>
                  <w:r>
                    <w:rPr>
                      <w:rFonts w:hint="eastAsia"/>
                    </w:rPr>
                    <w:t>序号</w:t>
                  </w:r>
                </w:p>
              </w:tc>
              <w:tc>
                <w:tcPr>
                  <w:tcW w:w="385" w:type="pct"/>
                  <w:tcBorders>
                    <w:bottom w:val="single" w:color="auto" w:sz="12" w:space="0"/>
                  </w:tcBorders>
                  <w:vAlign w:val="center"/>
                </w:tcPr>
                <w:p>
                  <w:pPr>
                    <w:pStyle w:val="58"/>
                    <w:rPr>
                      <w:rFonts w:hint="eastAsia"/>
                      <w:lang w:val="en-US" w:eastAsia="zh-CN"/>
                    </w:rPr>
                  </w:pPr>
                  <w:r>
                    <w:rPr>
                      <w:rFonts w:hint="eastAsia"/>
                      <w:lang w:val="en-US" w:eastAsia="zh-CN"/>
                    </w:rPr>
                    <w:t>内容</w:t>
                  </w:r>
                </w:p>
              </w:tc>
              <w:tc>
                <w:tcPr>
                  <w:tcW w:w="725" w:type="pct"/>
                  <w:tcBorders>
                    <w:bottom w:val="single" w:color="auto" w:sz="12" w:space="0"/>
                  </w:tcBorders>
                  <w:vAlign w:val="center"/>
                </w:tcPr>
                <w:p>
                  <w:pPr>
                    <w:pStyle w:val="58"/>
                    <w:rPr>
                      <w:lang w:val="en-US" w:eastAsia="zh-CN"/>
                    </w:rPr>
                  </w:pPr>
                  <w:r>
                    <w:rPr>
                      <w:rFonts w:hint="eastAsia"/>
                      <w:lang w:val="en-US" w:eastAsia="zh-CN"/>
                    </w:rPr>
                    <w:t>排放源</w:t>
                  </w:r>
                </w:p>
              </w:tc>
              <w:tc>
                <w:tcPr>
                  <w:tcW w:w="1016" w:type="pct"/>
                  <w:tcBorders>
                    <w:bottom w:val="single" w:color="auto" w:sz="12" w:space="0"/>
                  </w:tcBorders>
                  <w:vAlign w:val="center"/>
                </w:tcPr>
                <w:p>
                  <w:pPr>
                    <w:pStyle w:val="58"/>
                    <w:rPr>
                      <w:lang w:val="en-US" w:eastAsia="zh-CN"/>
                    </w:rPr>
                  </w:pPr>
                  <w:r>
                    <w:rPr>
                      <w:rFonts w:hint="eastAsia"/>
                    </w:rPr>
                    <w:t>污染物名称</w:t>
                  </w:r>
                </w:p>
              </w:tc>
              <w:tc>
                <w:tcPr>
                  <w:tcW w:w="1527" w:type="pct"/>
                  <w:tcBorders>
                    <w:bottom w:val="single" w:color="auto" w:sz="12" w:space="0"/>
                  </w:tcBorders>
                  <w:vAlign w:val="center"/>
                </w:tcPr>
                <w:p>
                  <w:pPr>
                    <w:pStyle w:val="58"/>
                    <w:rPr>
                      <w:lang w:val="en-US" w:eastAsia="zh-CN"/>
                    </w:rPr>
                  </w:pPr>
                  <w:r>
                    <w:rPr>
                      <w:rFonts w:hint="eastAsia"/>
                    </w:rPr>
                    <w:t>环评相关内容</w:t>
                  </w:r>
                </w:p>
              </w:tc>
              <w:tc>
                <w:tcPr>
                  <w:tcW w:w="1100" w:type="pct"/>
                  <w:tcBorders>
                    <w:bottom w:val="single" w:color="auto" w:sz="12" w:space="0"/>
                  </w:tcBorders>
                  <w:vAlign w:val="center"/>
                </w:tcPr>
                <w:p>
                  <w:pPr>
                    <w:pStyle w:val="58"/>
                  </w:pPr>
                  <w:r>
                    <w:rPr>
                      <w:rFonts w:hint="eastAsia"/>
                    </w:rPr>
                    <w:t>实际建设情况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5" w:type="pct"/>
                  <w:vAlign w:val="center"/>
                </w:tcPr>
                <w:p>
                  <w:pPr>
                    <w:pStyle w:val="58"/>
                  </w:pPr>
                  <w:r>
                    <w:rPr>
                      <w:rFonts w:hint="eastAsia"/>
                    </w:rPr>
                    <w:t>1</w:t>
                  </w:r>
                </w:p>
              </w:tc>
              <w:tc>
                <w:tcPr>
                  <w:tcW w:w="385" w:type="pct"/>
                  <w:vAlign w:val="center"/>
                </w:tcPr>
                <w:p>
                  <w:pPr>
                    <w:pStyle w:val="58"/>
                  </w:pPr>
                  <w:r>
                    <w:rPr>
                      <w:rFonts w:hint="eastAsia"/>
                    </w:rPr>
                    <w:t>废气</w:t>
                  </w:r>
                </w:p>
              </w:tc>
              <w:tc>
                <w:tcPr>
                  <w:tcW w:w="725" w:type="pct"/>
                  <w:vAlign w:val="center"/>
                </w:tcPr>
                <w:p>
                  <w:pPr>
                    <w:pStyle w:val="58"/>
                    <w:spacing w:before="0"/>
                    <w:rPr>
                      <w:rFonts w:hint="default"/>
                      <w:lang w:val="en-US" w:eastAsia="zh-CN"/>
                    </w:rPr>
                  </w:pPr>
                  <w:r>
                    <w:rPr>
                      <w:rFonts w:ascii="Times New Roman" w:hAnsi="Times New Roman"/>
                      <w:color w:val="000000"/>
                      <w:sz w:val="24"/>
                    </w:rPr>
                    <w:t>破碎、分选粉尘</w:t>
                  </w:r>
                </w:p>
              </w:tc>
              <w:tc>
                <w:tcPr>
                  <w:tcW w:w="1016" w:type="pct"/>
                  <w:vAlign w:val="center"/>
                </w:tcPr>
                <w:p>
                  <w:pPr>
                    <w:jc w:val="center"/>
                    <w:rPr>
                      <w:rFonts w:hint="default"/>
                      <w:lang w:val="en-US" w:eastAsia="zh-CN"/>
                    </w:rPr>
                  </w:pPr>
                  <w:r>
                    <w:rPr>
                      <w:rFonts w:hint="eastAsia"/>
                      <w:lang w:val="en-US" w:eastAsia="zh-CN"/>
                    </w:rPr>
                    <w:t>颗粒物</w:t>
                  </w:r>
                </w:p>
              </w:tc>
              <w:tc>
                <w:tcPr>
                  <w:tcW w:w="1527" w:type="pct"/>
                  <w:vAlign w:val="center"/>
                </w:tcPr>
                <w:p>
                  <w:pPr>
                    <w:pStyle w:val="58"/>
                    <w:rPr>
                      <w:rFonts w:hint="default"/>
                      <w:lang w:val="en-US" w:eastAsia="zh-CN"/>
                    </w:rPr>
                  </w:pPr>
                  <w:r>
                    <w:rPr>
                      <w:rFonts w:hint="eastAsia" w:ascii="Times New Roman" w:hAnsi="Times New Roman"/>
                      <w:color w:val="000000"/>
                      <w:sz w:val="24"/>
                      <w:lang w:val="en-US" w:eastAsia="zh-CN"/>
                    </w:rPr>
                    <w:t>雾化水喷淋抑尘</w:t>
                  </w:r>
                  <w:r>
                    <w:rPr>
                      <w:rFonts w:ascii="Times New Roman" w:hAnsi="Times New Roman"/>
                      <w:color w:val="000000"/>
                      <w:sz w:val="24"/>
                    </w:rPr>
                    <w:t>、布袋除尘器</w:t>
                  </w:r>
                  <w:r>
                    <w:rPr>
                      <w:rFonts w:hint="eastAsia" w:ascii="Times New Roman" w:hAnsi="Times New Roman"/>
                      <w:color w:val="000000"/>
                      <w:sz w:val="24"/>
                      <w:lang w:val="en-US" w:eastAsia="zh-CN"/>
                    </w:rPr>
                    <w:t>净化</w:t>
                  </w:r>
                  <w:r>
                    <w:rPr>
                      <w:rFonts w:hint="eastAsia" w:ascii="Times New Roman" w:hAnsi="Times New Roman"/>
                      <w:color w:val="000000"/>
                      <w:sz w:val="24"/>
                    </w:rPr>
                    <w:t>后15m高排放</w:t>
                  </w:r>
                </w:p>
              </w:tc>
              <w:tc>
                <w:tcPr>
                  <w:tcW w:w="1100" w:type="pct"/>
                  <w:vAlign w:val="center"/>
                </w:tcPr>
                <w:p>
                  <w:pPr>
                    <w:jc w:val="center"/>
                    <w:rPr>
                      <w:lang w:val="en-US" w:eastAsia="zh-CN"/>
                    </w:rPr>
                  </w:pPr>
                  <w:r>
                    <w:rPr>
                      <w:rFonts w:hint="eastAsia"/>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5" w:type="pct"/>
                  <w:vAlign w:val="center"/>
                </w:tcPr>
                <w:p>
                  <w:pPr>
                    <w:pStyle w:val="58"/>
                  </w:pPr>
                  <w:r>
                    <w:rPr>
                      <w:rFonts w:hint="eastAsia"/>
                    </w:rPr>
                    <w:t>2</w:t>
                  </w:r>
                </w:p>
              </w:tc>
              <w:tc>
                <w:tcPr>
                  <w:tcW w:w="385" w:type="pct"/>
                  <w:vAlign w:val="center"/>
                </w:tcPr>
                <w:p>
                  <w:pPr>
                    <w:pStyle w:val="58"/>
                  </w:pPr>
                  <w:r>
                    <w:rPr>
                      <w:rFonts w:hint="eastAsia"/>
                    </w:rPr>
                    <w:t>废水</w:t>
                  </w:r>
                </w:p>
              </w:tc>
              <w:tc>
                <w:tcPr>
                  <w:tcW w:w="725" w:type="pct"/>
                  <w:vAlign w:val="center"/>
                </w:tcPr>
                <w:p>
                  <w:pPr>
                    <w:pStyle w:val="58"/>
                  </w:pPr>
                  <w:r>
                    <w:rPr>
                      <w:rFonts w:hint="eastAsia"/>
                    </w:rPr>
                    <w:t>生活污水</w:t>
                  </w:r>
                </w:p>
              </w:tc>
              <w:tc>
                <w:tcPr>
                  <w:tcW w:w="1016" w:type="pct"/>
                  <w:vAlign w:val="center"/>
                </w:tcPr>
                <w:p>
                  <w:pPr>
                    <w:adjustRightInd w:val="0"/>
                    <w:snapToGrid w:val="0"/>
                    <w:rPr>
                      <w:rFonts w:hint="default"/>
                      <w:lang w:val="en-US" w:eastAsia="zh-CN"/>
                    </w:rPr>
                  </w:pPr>
                  <w:r>
                    <w:rPr>
                      <w:rFonts w:hint="eastAsia"/>
                      <w:lang w:val="en-US" w:eastAsia="zh-CN"/>
                    </w:rPr>
                    <w:t>COD</w:t>
                  </w:r>
                  <w:r>
                    <w:rPr>
                      <w:rFonts w:hint="eastAsia"/>
                      <w:vertAlign w:val="subscript"/>
                      <w:lang w:val="en-US" w:eastAsia="zh-CN"/>
                    </w:rPr>
                    <w:t>cr</w:t>
                  </w:r>
                  <w:r>
                    <w:rPr>
                      <w:rFonts w:hint="eastAsia"/>
                      <w:lang w:val="en-US" w:eastAsia="zh-CN"/>
                    </w:rPr>
                    <w:t>、NH3-N、BOD</w:t>
                  </w:r>
                  <w:r>
                    <w:rPr>
                      <w:rFonts w:hint="eastAsia"/>
                      <w:vertAlign w:val="subscript"/>
                      <w:lang w:val="en-US" w:eastAsia="zh-CN"/>
                    </w:rPr>
                    <w:t>5</w:t>
                  </w:r>
                </w:p>
              </w:tc>
              <w:tc>
                <w:tcPr>
                  <w:tcW w:w="1527" w:type="pct"/>
                  <w:vAlign w:val="center"/>
                </w:tcPr>
                <w:p>
                  <w:pPr>
                    <w:pStyle w:val="58"/>
                    <w:rPr>
                      <w:rFonts w:hint="default" w:eastAsia="宋体"/>
                      <w:lang w:val="en-US" w:eastAsia="zh-CN"/>
                    </w:rPr>
                  </w:pPr>
                  <w:r>
                    <w:rPr>
                      <w:rFonts w:hint="eastAsia" w:ascii="Times New Roman" w:hAnsi="Times New Roman"/>
                      <w:color w:val="000000"/>
                      <w:sz w:val="24"/>
                    </w:rPr>
                    <w:t>化粪池预处理后</w:t>
                  </w:r>
                  <w:r>
                    <w:rPr>
                      <w:rFonts w:ascii="Times New Roman" w:hAnsi="Times New Roman"/>
                      <w:color w:val="000000"/>
                      <w:sz w:val="24"/>
                    </w:rPr>
                    <w:t>纳管</w:t>
                  </w:r>
                </w:p>
              </w:tc>
              <w:tc>
                <w:tcPr>
                  <w:tcW w:w="1100" w:type="pct"/>
                  <w:vAlign w:val="center"/>
                </w:tcPr>
                <w:p>
                  <w:pPr>
                    <w:jc w:val="center"/>
                  </w:pPr>
                  <w:r>
                    <w:rPr>
                      <w:rFonts w:hint="eastAsia"/>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5" w:type="pct"/>
                  <w:vMerge w:val="restart"/>
                  <w:vAlign w:val="center"/>
                </w:tcPr>
                <w:p>
                  <w:pPr>
                    <w:pStyle w:val="58"/>
                    <w:rPr>
                      <w:rFonts w:hint="eastAsia"/>
                      <w:lang w:eastAsia="zh-CN"/>
                    </w:rPr>
                  </w:pPr>
                  <w:r>
                    <w:rPr>
                      <w:rFonts w:hint="eastAsia"/>
                      <w:lang w:val="en-US" w:eastAsia="zh-CN"/>
                    </w:rPr>
                    <w:t>3</w:t>
                  </w:r>
                </w:p>
              </w:tc>
              <w:tc>
                <w:tcPr>
                  <w:tcW w:w="385" w:type="pct"/>
                  <w:vMerge w:val="restart"/>
                  <w:vAlign w:val="center"/>
                </w:tcPr>
                <w:p>
                  <w:pPr>
                    <w:pStyle w:val="58"/>
                  </w:pPr>
                  <w:r>
                    <w:rPr>
                      <w:rFonts w:hint="eastAsia"/>
                    </w:rPr>
                    <w:t>固废</w:t>
                  </w:r>
                </w:p>
              </w:tc>
              <w:tc>
                <w:tcPr>
                  <w:tcW w:w="725" w:type="pct"/>
                  <w:vAlign w:val="center"/>
                </w:tcPr>
                <w:p>
                  <w:pPr>
                    <w:spacing w:before="60"/>
                    <w:jc w:val="center"/>
                    <w:rPr>
                      <w:rFonts w:hint="eastAsia"/>
                      <w:lang w:val="en-US" w:eastAsia="zh-CN"/>
                    </w:rPr>
                  </w:pPr>
                  <w:r>
                    <w:rPr>
                      <w:rFonts w:hint="eastAsia" w:ascii="Times New Roman" w:hAnsi="Times New Roman"/>
                      <w:color w:val="000000"/>
                      <w:sz w:val="24"/>
                    </w:rPr>
                    <w:t>分拣</w:t>
                  </w:r>
                </w:p>
              </w:tc>
              <w:tc>
                <w:tcPr>
                  <w:tcW w:w="1016" w:type="pct"/>
                  <w:vAlign w:val="center"/>
                </w:tcPr>
                <w:p>
                  <w:pPr>
                    <w:pStyle w:val="58"/>
                    <w:spacing w:before="0"/>
                    <w:rPr>
                      <w:rFonts w:hint="default"/>
                      <w:lang w:val="en-US" w:eastAsia="zh-CN"/>
                    </w:rPr>
                  </w:pPr>
                  <w:r>
                    <w:rPr>
                      <w:rFonts w:hint="eastAsia" w:ascii="Times New Roman" w:hAnsi="Times New Roman"/>
                      <w:color w:val="000000"/>
                      <w:sz w:val="24"/>
                    </w:rPr>
                    <w:t>钢筋、塑料等</w:t>
                  </w:r>
                </w:p>
              </w:tc>
              <w:tc>
                <w:tcPr>
                  <w:tcW w:w="1527" w:type="pct"/>
                  <w:vMerge w:val="restart"/>
                  <w:vAlign w:val="center"/>
                </w:tcPr>
                <w:p>
                  <w:pPr>
                    <w:pStyle w:val="58"/>
                    <w:spacing w:before="0"/>
                    <w:rPr>
                      <w:rFonts w:hint="eastAsia" w:eastAsia="宋体"/>
                      <w:lang w:val="en-US" w:eastAsia="zh-CN"/>
                    </w:rPr>
                  </w:pPr>
                  <w:r>
                    <w:rPr>
                      <w:rFonts w:hint="eastAsia"/>
                      <w:bCs/>
                      <w:color w:val="000000"/>
                    </w:rPr>
                    <w:t>物资回收部门综合处置</w:t>
                  </w:r>
                </w:p>
              </w:tc>
              <w:tc>
                <w:tcPr>
                  <w:tcW w:w="1100" w:type="pct"/>
                  <w:vMerge w:val="restart"/>
                  <w:vAlign w:val="center"/>
                </w:tcPr>
                <w:p>
                  <w:pPr>
                    <w:pStyle w:val="58"/>
                  </w:pPr>
                  <w:r>
                    <w:rPr>
                      <w:rFonts w:hint="eastAsia"/>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5" w:type="pct"/>
                  <w:vMerge w:val="continue"/>
                  <w:vAlign w:val="center"/>
                </w:tcPr>
                <w:p>
                  <w:pPr>
                    <w:pStyle w:val="58"/>
                    <w:rPr>
                      <w:rFonts w:hint="eastAsia"/>
                      <w:lang w:val="en-US" w:eastAsia="zh-CN"/>
                    </w:rPr>
                  </w:pPr>
                </w:p>
              </w:tc>
              <w:tc>
                <w:tcPr>
                  <w:tcW w:w="385" w:type="pct"/>
                  <w:vMerge w:val="continue"/>
                  <w:vAlign w:val="center"/>
                </w:tcPr>
                <w:p>
                  <w:pPr>
                    <w:pStyle w:val="58"/>
                    <w:rPr>
                      <w:rFonts w:hint="eastAsia"/>
                    </w:rPr>
                  </w:pPr>
                </w:p>
              </w:tc>
              <w:tc>
                <w:tcPr>
                  <w:tcW w:w="725" w:type="pct"/>
                  <w:vAlign w:val="center"/>
                </w:tcPr>
                <w:p>
                  <w:pPr>
                    <w:spacing w:before="60"/>
                    <w:jc w:val="center"/>
                    <w:rPr>
                      <w:rFonts w:hint="eastAsia"/>
                      <w:lang w:val="en-US" w:eastAsia="zh-CN"/>
                    </w:rPr>
                  </w:pPr>
                  <w:r>
                    <w:rPr>
                      <w:rFonts w:hint="eastAsia" w:ascii="Times New Roman" w:hAnsi="Times New Roman"/>
                      <w:color w:val="000000"/>
                      <w:sz w:val="24"/>
                    </w:rPr>
                    <w:t>粉尘净化设备</w:t>
                  </w:r>
                </w:p>
              </w:tc>
              <w:tc>
                <w:tcPr>
                  <w:tcW w:w="1016" w:type="pct"/>
                  <w:vAlign w:val="center"/>
                </w:tcPr>
                <w:p>
                  <w:pPr>
                    <w:pStyle w:val="58"/>
                    <w:spacing w:before="0"/>
                    <w:rPr>
                      <w:rFonts w:hint="default"/>
                      <w:lang w:val="en-US" w:eastAsia="zh-CN"/>
                    </w:rPr>
                  </w:pPr>
                  <w:r>
                    <w:rPr>
                      <w:rFonts w:hint="eastAsia"/>
                      <w:lang w:val="en-US" w:eastAsia="zh-CN"/>
                    </w:rPr>
                    <w:t>粉尘</w:t>
                  </w:r>
                </w:p>
              </w:tc>
              <w:tc>
                <w:tcPr>
                  <w:tcW w:w="1527" w:type="pct"/>
                  <w:vMerge w:val="continue"/>
                  <w:vAlign w:val="center"/>
                </w:tcPr>
                <w:p>
                  <w:pPr>
                    <w:pStyle w:val="58"/>
                    <w:spacing w:before="0"/>
                    <w:rPr>
                      <w:rFonts w:hint="default"/>
                      <w:lang w:val="en-US" w:eastAsia="zh-CN"/>
                    </w:rPr>
                  </w:pPr>
                </w:p>
              </w:tc>
              <w:tc>
                <w:tcPr>
                  <w:tcW w:w="1100" w:type="pct"/>
                  <w:vMerge w:val="continue"/>
                  <w:vAlign w:val="center"/>
                </w:tcPr>
                <w:p>
                  <w:pPr>
                    <w:pStyle w:val="58"/>
                    <w:rPr>
                      <w:rFonts w:hint="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5" w:type="pct"/>
                  <w:vMerge w:val="continue"/>
                  <w:vAlign w:val="center"/>
                </w:tcPr>
                <w:p>
                  <w:pPr>
                    <w:pStyle w:val="58"/>
                  </w:pPr>
                </w:p>
              </w:tc>
              <w:tc>
                <w:tcPr>
                  <w:tcW w:w="385" w:type="pct"/>
                  <w:vMerge w:val="continue"/>
                  <w:vAlign w:val="center"/>
                </w:tcPr>
                <w:p>
                  <w:pPr>
                    <w:pStyle w:val="58"/>
                  </w:pPr>
                </w:p>
              </w:tc>
              <w:tc>
                <w:tcPr>
                  <w:tcW w:w="1741" w:type="pct"/>
                  <w:gridSpan w:val="2"/>
                  <w:vAlign w:val="center"/>
                </w:tcPr>
                <w:p>
                  <w:pPr>
                    <w:pStyle w:val="58"/>
                    <w:spacing w:before="0"/>
                  </w:pPr>
                  <w:r>
                    <w:rPr>
                      <w:rFonts w:hint="eastAsia"/>
                    </w:rPr>
                    <w:t>生活垃圾</w:t>
                  </w:r>
                </w:p>
              </w:tc>
              <w:tc>
                <w:tcPr>
                  <w:tcW w:w="1527" w:type="pct"/>
                  <w:vAlign w:val="center"/>
                </w:tcPr>
                <w:p>
                  <w:pPr>
                    <w:pStyle w:val="58"/>
                    <w:spacing w:before="0"/>
                    <w:rPr>
                      <w:rFonts w:hint="eastAsia"/>
                      <w:lang w:val="en-US" w:eastAsia="zh-CN"/>
                    </w:rPr>
                  </w:pPr>
                  <w:r>
                    <w:t>委托环卫部门及时清运、处置</w:t>
                  </w:r>
                </w:p>
              </w:tc>
              <w:tc>
                <w:tcPr>
                  <w:tcW w:w="1100" w:type="pct"/>
                  <w:vAlign w:val="center"/>
                </w:tcPr>
                <w:p>
                  <w:pPr>
                    <w:pStyle w:val="58"/>
                  </w:pPr>
                  <w:r>
                    <w:rPr>
                      <w:rFonts w:hint="eastAsia"/>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5" w:type="pct"/>
                  <w:vAlign w:val="center"/>
                </w:tcPr>
                <w:p>
                  <w:pPr>
                    <w:pStyle w:val="58"/>
                    <w:rPr>
                      <w:rFonts w:hint="eastAsia"/>
                      <w:lang w:val="en-US" w:eastAsia="zh-CN"/>
                    </w:rPr>
                  </w:pPr>
                  <w:r>
                    <w:rPr>
                      <w:rFonts w:hint="eastAsia"/>
                      <w:lang w:val="en-US" w:eastAsia="zh-CN"/>
                    </w:rPr>
                    <w:t>4</w:t>
                  </w:r>
                </w:p>
              </w:tc>
              <w:tc>
                <w:tcPr>
                  <w:tcW w:w="3654" w:type="pct"/>
                  <w:gridSpan w:val="4"/>
                  <w:vAlign w:val="center"/>
                </w:tcPr>
                <w:p>
                  <w:pPr>
                    <w:pStyle w:val="58"/>
                    <w:spacing w:before="0"/>
                    <w:jc w:val="left"/>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高噪设备安装基础减振垫；</w:t>
                  </w:r>
                </w:p>
                <w:p>
                  <w:pPr>
                    <w:pStyle w:val="58"/>
                    <w:spacing w:before="0"/>
                    <w:jc w:val="left"/>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合理布局，将生产设备尽量布置于厂区中间，且要求车间实墙封闭处理；</w:t>
                  </w:r>
                </w:p>
                <w:p>
                  <w:pPr>
                    <w:pStyle w:val="58"/>
                    <w:jc w:val="both"/>
                    <w:rPr>
                      <w:rFonts w:hint="eastAsia"/>
                      <w:lang w:val="en-US" w:eastAsia="zh-CN"/>
                    </w:rPr>
                  </w:pPr>
                  <w:r>
                    <w:fldChar w:fldCharType="begin"/>
                  </w:r>
                  <w:r>
                    <w:instrText xml:space="preserve"> </w:instrText>
                  </w:r>
                  <w:r>
                    <w:rPr>
                      <w:rFonts w:hint="eastAsia"/>
                    </w:rPr>
                    <w:instrText xml:space="preserve">= 3 \* GB3</w:instrText>
                  </w:r>
                  <w:r>
                    <w:instrText xml:space="preserve"> </w:instrText>
                  </w:r>
                  <w:r>
                    <w:fldChar w:fldCharType="separate"/>
                  </w:r>
                  <w:r>
                    <w:rPr>
                      <w:rFonts w:hint="eastAsia"/>
                    </w:rPr>
                    <w:t>③</w:t>
                  </w:r>
                  <w:r>
                    <w:fldChar w:fldCharType="end"/>
                  </w:r>
                  <w:r>
                    <w:rPr>
                      <w:rFonts w:hint="eastAsia"/>
                    </w:rPr>
                    <w:t>设备应经常维护，加强管理。</w:t>
                  </w:r>
                </w:p>
              </w:tc>
              <w:tc>
                <w:tcPr>
                  <w:tcW w:w="1100" w:type="pct"/>
                  <w:vAlign w:val="center"/>
                </w:tcPr>
                <w:p>
                  <w:pPr>
                    <w:pStyle w:val="58"/>
                    <w:rPr>
                      <w:rFonts w:hint="eastAsia"/>
                      <w:lang w:val="en-US" w:eastAsia="zh-CN"/>
                    </w:rPr>
                  </w:pPr>
                  <w:r>
                    <w:rPr>
                      <w:rFonts w:hint="eastAsia"/>
                    </w:rPr>
                    <w:t>与环评一致</w:t>
                  </w:r>
                </w:p>
              </w:tc>
            </w:tr>
          </w:tbl>
          <w:p>
            <w:pPr>
              <w:pStyle w:val="5"/>
              <w:numPr>
                <w:ilvl w:val="0"/>
                <w:numId w:val="0"/>
              </w:numPr>
            </w:pPr>
            <w:bookmarkStart w:id="70" w:name="_Toc18963"/>
            <w:bookmarkStart w:id="71" w:name="_Toc28175604"/>
            <w:bookmarkStart w:id="72" w:name="_Toc3115"/>
            <w:r>
              <w:rPr>
                <w:rFonts w:hint="eastAsia"/>
              </w:rPr>
              <w:t>3.</w:t>
            </w:r>
            <w:r>
              <w:rPr>
                <w:rFonts w:hint="eastAsia"/>
                <w:lang w:val="en-US" w:eastAsia="zh-CN"/>
              </w:rPr>
              <w:t>6</w:t>
            </w:r>
            <w:r>
              <w:rPr>
                <w:rFonts w:hint="eastAsia"/>
              </w:rPr>
              <w:t>污染物排放总量控制指标</w:t>
            </w:r>
            <w:bookmarkEnd w:id="70"/>
            <w:bookmarkEnd w:id="71"/>
            <w:bookmarkEnd w:id="72"/>
          </w:p>
          <w:p>
            <w:pPr>
              <w:spacing w:line="360" w:lineRule="auto"/>
              <w:ind w:firstLine="480" w:firstLineChars="200"/>
              <w:rPr>
                <w:rFonts w:eastAsia="仿宋_GB2312"/>
                <w:color w:val="000000"/>
                <w:szCs w:val="21"/>
              </w:rPr>
            </w:pPr>
            <w:r>
              <w:rPr>
                <w:rFonts w:hint="eastAsia"/>
                <w:sz w:val="24"/>
                <w:szCs w:val="24"/>
                <w:highlight w:val="none"/>
                <w:lang w:val="en-US" w:eastAsia="zh-CN"/>
              </w:rPr>
              <w:t>环评批复中未对</w:t>
            </w:r>
            <w:r>
              <w:rPr>
                <w:rFonts w:hint="eastAsia"/>
                <w:sz w:val="24"/>
                <w:szCs w:val="24"/>
                <w:highlight w:val="none"/>
              </w:rPr>
              <w:t>项目总量指标</w:t>
            </w:r>
            <w:r>
              <w:rPr>
                <w:rFonts w:hint="eastAsia"/>
                <w:sz w:val="24"/>
                <w:szCs w:val="24"/>
                <w:highlight w:val="none"/>
                <w:lang w:val="en-US" w:eastAsia="zh-CN"/>
              </w:rPr>
              <w:t>提出</w:t>
            </w:r>
            <w:r>
              <w:rPr>
                <w:rFonts w:hint="eastAsia"/>
                <w:sz w:val="24"/>
                <w:szCs w:val="24"/>
                <w:highlight w:val="none"/>
              </w:rPr>
              <w:t>要求。</w:t>
            </w:r>
          </w:p>
        </w:tc>
      </w:tr>
    </w:tbl>
    <w:p>
      <w:pPr>
        <w:bidi w:val="0"/>
      </w:pPr>
      <w:bookmarkStart w:id="73" w:name="_Toc8146"/>
    </w:p>
    <w:p>
      <w:pPr>
        <w:pStyle w:val="3"/>
      </w:pPr>
      <w:bookmarkStart w:id="74" w:name="_Toc3970"/>
      <w:r>
        <w:rPr>
          <w:rFonts w:hint="eastAsia"/>
        </w:rPr>
        <w:t>建设项目环境影响报告表主要结论及审批部门审批决定：</w:t>
      </w:r>
      <w:bookmarkEnd w:id="73"/>
      <w:bookmarkEnd w:id="74"/>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6" w:hRule="atLeast"/>
          <w:jc w:val="center"/>
        </w:trPr>
        <w:tc>
          <w:tcPr>
            <w:tcW w:w="8924" w:type="dxa"/>
          </w:tcPr>
          <w:p>
            <w:pPr>
              <w:pStyle w:val="5"/>
            </w:pPr>
            <w:bookmarkStart w:id="75" w:name="_Toc531881898"/>
            <w:bookmarkEnd w:id="75"/>
            <w:bookmarkStart w:id="76" w:name="_Toc518567406"/>
            <w:bookmarkEnd w:id="76"/>
            <w:bookmarkStart w:id="77" w:name="_Toc524703394"/>
            <w:bookmarkEnd w:id="77"/>
            <w:bookmarkStart w:id="78" w:name="_Toc524703327"/>
            <w:bookmarkEnd w:id="78"/>
            <w:bookmarkStart w:id="79" w:name="_Toc531879823"/>
            <w:bookmarkEnd w:id="79"/>
            <w:bookmarkStart w:id="80" w:name="_Toc519235289"/>
            <w:bookmarkEnd w:id="80"/>
            <w:bookmarkStart w:id="81" w:name="_Toc529265087"/>
            <w:bookmarkEnd w:id="81"/>
            <w:bookmarkStart w:id="82" w:name="_Toc519179421"/>
            <w:bookmarkEnd w:id="82"/>
            <w:bookmarkStart w:id="83" w:name="_Toc519235223"/>
            <w:bookmarkEnd w:id="83"/>
            <w:bookmarkStart w:id="84" w:name="_Toc508447093"/>
            <w:bookmarkStart w:id="85" w:name="_Toc9230"/>
            <w:bookmarkStart w:id="86" w:name="_Toc12217"/>
            <w:r>
              <w:rPr>
                <w:rFonts w:hint="eastAsia"/>
              </w:rPr>
              <w:t>建设项目环评报告书（表）的主要结论与建议</w:t>
            </w:r>
            <w:bookmarkEnd w:id="84"/>
            <w:bookmarkEnd w:id="85"/>
            <w:bookmarkEnd w:id="86"/>
          </w:p>
          <w:p>
            <w:pPr>
              <w:pStyle w:val="4"/>
            </w:pPr>
            <w:r>
              <w:t>《</w:t>
            </w:r>
            <w:r>
              <w:rPr>
                <w:rFonts w:hint="eastAsia"/>
                <w:color w:val="auto"/>
                <w:lang w:val="en-US" w:eastAsia="zh-CN"/>
              </w:rPr>
              <w:t>建设项目环境影响报告表</w:t>
            </w:r>
            <w:r>
              <w:t>》中提出的主要结论如下：</w:t>
            </w:r>
          </w:p>
          <w:p>
            <w:pPr>
              <w:pStyle w:val="4"/>
              <w:numPr>
                <w:ilvl w:val="0"/>
                <w:numId w:val="0"/>
              </w:numPr>
              <w:ind w:firstLine="480" w:firstLineChars="200"/>
              <w:rPr>
                <w:rFonts w:hint="default"/>
                <w:lang w:val="en-US" w:eastAsia="zh-CN"/>
              </w:rPr>
            </w:pPr>
            <w:r>
              <w:rPr>
                <w:rFonts w:ascii="Times New Roman" w:hAnsi="Times New Roman"/>
                <w:color w:val="000000"/>
                <w:sz w:val="24"/>
              </w:rPr>
              <w:t>综上所述，</w:t>
            </w:r>
            <w:r>
              <w:rPr>
                <w:rFonts w:hint="eastAsia" w:ascii="Times New Roman" w:hAnsi="Times New Roman"/>
                <w:color w:val="000000"/>
                <w:sz w:val="24"/>
              </w:rPr>
              <w:t>宁波海曙住建建筑垃圾处理服务有限公司建筑垃圾可循环处理项目</w:t>
            </w:r>
            <w:r>
              <w:rPr>
                <w:rFonts w:ascii="Times New Roman" w:hAnsi="Times New Roman"/>
                <w:color w:val="000000"/>
                <w:sz w:val="24"/>
              </w:rPr>
              <w:t>，符合污染物排放标准、符合主要污染物排放总量控制指标、符合维持环境质量要求、符合清洁生产要求、符合相关产业政策、符合“三线一单”</w:t>
            </w:r>
            <w:r>
              <w:rPr>
                <w:rFonts w:hint="eastAsia" w:ascii="Times New Roman" w:hAnsi="Times New Roman"/>
                <w:color w:val="000000"/>
                <w:sz w:val="24"/>
                <w:lang w:eastAsia="zh-CN"/>
              </w:rPr>
              <w:t>、</w:t>
            </w:r>
            <w:r>
              <w:rPr>
                <w:rFonts w:hint="eastAsia" w:ascii="Times New Roman" w:hAnsi="Times New Roman"/>
                <w:color w:val="000000"/>
                <w:sz w:val="24"/>
                <w:lang w:val="en-US" w:eastAsia="zh-CN"/>
              </w:rPr>
              <w:t>符合宁波市建筑垃圾管理办法要求</w:t>
            </w:r>
            <w:r>
              <w:rPr>
                <w:rFonts w:ascii="Times New Roman" w:hAnsi="Times New Roman"/>
                <w:color w:val="000000"/>
                <w:sz w:val="24"/>
              </w:rPr>
              <w:t>，项目污染物在达标排放情况下对周围环境影响较小，区域环境质量能维持现状，只要建设单位重视环保工作，认真落实企业目前的各项污染防治对策，加强对污染物的治理工作，做到环保工作专人分管，责任到人，加强对各类污染源的管理，加强污染防治设施的维护管理，则该项目的实施，可以做到在较高的生产效益的同时，又能达到环境保护的目标。因此该项目从环境影响角度来说是可行的。</w:t>
            </w:r>
          </w:p>
          <w:p>
            <w:pPr>
              <w:pStyle w:val="4"/>
              <w:numPr>
                <w:ilvl w:val="0"/>
                <w:numId w:val="0"/>
              </w:numPr>
              <w:rPr>
                <w:rFonts w:hint="default"/>
                <w:lang w:val="en-US" w:eastAsia="zh-CN"/>
              </w:rPr>
            </w:pPr>
          </w:p>
          <w:p>
            <w:pPr>
              <w:pStyle w:val="5"/>
            </w:pPr>
            <w:bookmarkStart w:id="87" w:name="_Toc508447098"/>
            <w:bookmarkStart w:id="88" w:name="_Toc17757"/>
            <w:bookmarkStart w:id="89" w:name="_Toc19851"/>
            <w:r>
              <w:rPr>
                <w:rFonts w:hint="eastAsia"/>
              </w:rPr>
              <w:t>审批部门审批决定</w:t>
            </w:r>
            <w:bookmarkEnd w:id="87"/>
            <w:bookmarkEnd w:id="88"/>
            <w:bookmarkEnd w:id="89"/>
          </w:p>
          <w:p>
            <w:pPr>
              <w:pStyle w:val="4"/>
              <w:numPr>
                <w:ilvl w:val="0"/>
                <w:numId w:val="0"/>
              </w:numPr>
              <w:ind w:leftChars="200"/>
              <w:jc w:val="center"/>
              <w:rPr>
                <w:rFonts w:hint="eastAsia"/>
                <w:lang w:val="en-US" w:eastAsia="zh-CN"/>
              </w:rPr>
            </w:pPr>
            <w:r>
              <w:rPr>
                <w:rFonts w:hint="eastAsia"/>
                <w:lang w:val="en-US" w:eastAsia="zh-CN"/>
              </w:rPr>
              <w:t>生态环境部门审批意见</w:t>
            </w:r>
          </w:p>
          <w:p>
            <w:pPr>
              <w:pStyle w:val="4"/>
              <w:numPr>
                <w:ilvl w:val="0"/>
                <w:numId w:val="0"/>
              </w:numPr>
              <w:jc w:val="left"/>
              <w:rPr>
                <w:rFonts w:hint="eastAsia"/>
                <w:lang w:val="en-US" w:eastAsia="zh-CN"/>
              </w:rPr>
            </w:pPr>
            <w:r>
              <w:rPr>
                <w:rFonts w:hint="eastAsia"/>
                <w:lang w:val="en-US" w:eastAsia="zh-CN"/>
              </w:rPr>
              <w:t>项目名称：建筑垃圾可循环处理项目</w:t>
            </w:r>
          </w:p>
          <w:p>
            <w:pPr>
              <w:pStyle w:val="4"/>
              <w:numPr>
                <w:ilvl w:val="0"/>
                <w:numId w:val="0"/>
              </w:numPr>
              <w:jc w:val="left"/>
              <w:rPr>
                <w:rFonts w:hint="eastAsia"/>
                <w:lang w:val="en-US" w:eastAsia="zh-CN"/>
              </w:rPr>
            </w:pPr>
            <w:r>
              <w:rPr>
                <w:rFonts w:hint="eastAsia"/>
                <w:lang w:val="en-US" w:eastAsia="zh-CN"/>
              </w:rPr>
              <w:t>项目地址：海曙区古林镇葑水港村</w:t>
            </w:r>
          </w:p>
          <w:p>
            <w:pPr>
              <w:pStyle w:val="4"/>
              <w:numPr>
                <w:ilvl w:val="0"/>
                <w:numId w:val="0"/>
              </w:numPr>
              <w:jc w:val="left"/>
              <w:rPr>
                <w:rFonts w:hint="eastAsia"/>
                <w:lang w:val="en-US" w:eastAsia="zh-CN"/>
              </w:rPr>
            </w:pPr>
            <w:r>
              <w:rPr>
                <w:rFonts w:hint="eastAsia"/>
                <w:lang w:val="en-US" w:eastAsia="zh-CN"/>
              </w:rPr>
              <w:t>建设单位：宁波市海曙住建建筑垃圾处理服务有限公司</w:t>
            </w:r>
          </w:p>
          <w:p>
            <w:pPr>
              <w:pStyle w:val="4"/>
              <w:rPr>
                <w:rFonts w:hint="eastAsia"/>
                <w:lang w:val="en-US" w:eastAsia="zh-CN"/>
              </w:rPr>
            </w:pPr>
            <w:r>
              <w:rPr>
                <w:rFonts w:hint="eastAsia"/>
                <w:lang w:val="en-US" w:eastAsia="zh-CN"/>
              </w:rPr>
              <w:t>根据《宁波市海曙住建建筑垃圾处理服务有限公司建筑垃圾可循环处理项目环境影响报告表》（以下简称《报告表》）以及本项目环评行政许可公示意见反馈情况，在符合国土规划、产业政策、宁波市“三线一单”生态环境分区管控方案等前提下，原则同意宁波市海曙住建建筑垃圾处理服务有限公司按《报告表》的内容在宁波市海曙区古林镇葑水港村进行建筑垃圾可循环处理项目建设。项目总投资1000万元，用地面积6260平方米。为切实保护环境，确保项目的顺利进行，应重点做好以下工作：</w:t>
            </w:r>
          </w:p>
          <w:p>
            <w:pPr>
              <w:pStyle w:val="4"/>
              <w:rPr>
                <w:rFonts w:hint="eastAsia"/>
                <w:lang w:val="en-US" w:eastAsia="zh-CN"/>
              </w:rPr>
            </w:pPr>
            <w:r>
              <w:rPr>
                <w:rFonts w:hint="eastAsia"/>
                <w:lang w:val="en-US" w:eastAsia="zh-CN"/>
              </w:rPr>
              <w:t>一、废气防治要求</w:t>
            </w:r>
          </w:p>
          <w:p>
            <w:pPr>
              <w:pStyle w:val="4"/>
              <w:rPr>
                <w:rFonts w:hint="eastAsia"/>
                <w:lang w:val="en-US" w:eastAsia="zh-CN"/>
              </w:rPr>
            </w:pPr>
            <w:r>
              <w:rPr>
                <w:rFonts w:hint="eastAsia"/>
                <w:lang w:val="en-US" w:eastAsia="zh-CN"/>
              </w:rPr>
              <w:t>加强粉尘的收集治理，粉尘（颗粒物）排放执行《大气污染物综合排放标准》（GB16297-1996）中二级标准。</w:t>
            </w:r>
          </w:p>
          <w:p>
            <w:pPr>
              <w:pStyle w:val="4"/>
              <w:rPr>
                <w:rFonts w:hint="eastAsia"/>
                <w:lang w:val="en-US" w:eastAsia="zh-CN"/>
              </w:rPr>
            </w:pPr>
            <w:r>
              <w:rPr>
                <w:rFonts w:hint="eastAsia"/>
                <w:lang w:val="en-US" w:eastAsia="zh-CN"/>
              </w:rPr>
              <w:t>二、废水防治要求</w:t>
            </w:r>
          </w:p>
          <w:p>
            <w:pPr>
              <w:pStyle w:val="4"/>
              <w:rPr>
                <w:rFonts w:hint="eastAsia"/>
                <w:lang w:val="en-US" w:eastAsia="zh-CN"/>
              </w:rPr>
            </w:pPr>
            <w:r>
              <w:rPr>
                <w:rFonts w:hint="eastAsia"/>
                <w:lang w:val="en-US" w:eastAsia="zh-CN"/>
              </w:rPr>
              <w:t>加强废水的收集治理，生活污水经化粪池处理后，纳入市政污水管网，排放执行《污水综合排放标准》（GB8978-1996）三级标准（其中氨氮、总磷达到《工业企业废水氮、磷污染物间接排放限制》（DB33/887-2013））。</w:t>
            </w:r>
          </w:p>
          <w:p>
            <w:pPr>
              <w:pStyle w:val="4"/>
              <w:rPr>
                <w:rFonts w:hint="default"/>
                <w:lang w:val="en-US" w:eastAsia="zh-CN"/>
              </w:rPr>
            </w:pPr>
            <w:r>
              <w:rPr>
                <w:rFonts w:hint="eastAsia"/>
                <w:lang w:val="en-US" w:eastAsia="zh-CN"/>
              </w:rPr>
              <w:t>三、噪声防治要求</w:t>
            </w:r>
          </w:p>
          <w:p>
            <w:pPr>
              <w:pStyle w:val="4"/>
              <w:rPr>
                <w:rFonts w:hint="eastAsia"/>
                <w:lang w:val="en-US" w:eastAsia="zh-CN"/>
              </w:rPr>
            </w:pPr>
            <w:r>
              <w:rPr>
                <w:rFonts w:hint="eastAsia"/>
                <w:lang w:val="en-US" w:eastAsia="zh-CN"/>
              </w:rPr>
              <w:t>厂界噪声执行《工业企业厂界环境噪声排放标准》（GB12348-2008）3类标准。</w:t>
            </w:r>
          </w:p>
          <w:p>
            <w:pPr>
              <w:pStyle w:val="4"/>
              <w:rPr>
                <w:rFonts w:hint="default"/>
                <w:lang w:val="en-US" w:eastAsia="zh-CN"/>
              </w:rPr>
            </w:pPr>
            <w:r>
              <w:rPr>
                <w:rFonts w:hint="eastAsia"/>
                <w:lang w:val="en-US" w:eastAsia="zh-CN"/>
              </w:rPr>
              <w:t>四、固废防治要求</w:t>
            </w:r>
          </w:p>
          <w:p>
            <w:pPr>
              <w:pStyle w:val="4"/>
              <w:rPr>
                <w:rFonts w:hint="eastAsia"/>
                <w:lang w:val="en-US" w:eastAsia="zh-CN"/>
              </w:rPr>
            </w:pPr>
            <w:r>
              <w:rPr>
                <w:rFonts w:hint="eastAsia"/>
                <w:lang w:val="en-US" w:eastAsia="zh-CN"/>
              </w:rPr>
              <w:t>项目产生的各类固体废弃物分类收集后作无害化或资源化处理。</w:t>
            </w:r>
          </w:p>
          <w:p>
            <w:pPr>
              <w:pStyle w:val="4"/>
              <w:numPr>
                <w:ilvl w:val="0"/>
                <w:numId w:val="2"/>
              </w:numPr>
              <w:rPr>
                <w:rFonts w:hint="eastAsia"/>
                <w:lang w:val="en-US" w:eastAsia="zh-CN"/>
              </w:rPr>
            </w:pPr>
            <w:r>
              <w:rPr>
                <w:rFonts w:hint="eastAsia"/>
                <w:lang w:val="en-US" w:eastAsia="zh-CN"/>
              </w:rPr>
              <w:t>严格按照《报告表》要求落实风险事故防范对策措施。</w:t>
            </w:r>
          </w:p>
          <w:p>
            <w:pPr>
              <w:pStyle w:val="4"/>
              <w:numPr>
                <w:ilvl w:val="0"/>
                <w:numId w:val="2"/>
              </w:numPr>
              <w:rPr>
                <w:rFonts w:hint="eastAsia"/>
                <w:lang w:val="en-US" w:eastAsia="zh-CN"/>
              </w:rPr>
            </w:pPr>
            <w:r>
              <w:rPr>
                <w:rFonts w:hint="eastAsia"/>
                <w:lang w:val="en-US" w:eastAsia="zh-CN"/>
              </w:rPr>
              <w:t>今后项目规模如有扩大或重大技术变革须另行报批。</w:t>
            </w:r>
          </w:p>
          <w:p>
            <w:pPr>
              <w:pStyle w:val="4"/>
              <w:numPr>
                <w:ilvl w:val="0"/>
                <w:numId w:val="2"/>
              </w:numPr>
              <w:rPr>
                <w:rFonts w:hint="eastAsia"/>
                <w:lang w:val="en-US" w:eastAsia="zh-CN"/>
              </w:rPr>
            </w:pPr>
            <w:r>
              <w:rPr>
                <w:rFonts w:hint="eastAsia"/>
                <w:lang w:val="en-US" w:eastAsia="zh-CN"/>
              </w:rPr>
              <w:t>本项目应严格执行环保“三同时”制度，项目竣工后按相关要求做好环境保护竣工验收工作。</w:t>
            </w:r>
          </w:p>
          <w:p>
            <w:pPr>
              <w:pStyle w:val="4"/>
              <w:rPr>
                <w:rFonts w:hint="eastAsia"/>
                <w:lang w:val="en-US" w:eastAsia="zh-CN"/>
              </w:rPr>
            </w:pPr>
          </w:p>
          <w:p>
            <w:pPr>
              <w:pStyle w:val="4"/>
              <w:numPr>
                <w:ilvl w:val="0"/>
                <w:numId w:val="0"/>
              </w:numPr>
              <w:jc w:val="both"/>
              <w:rPr>
                <w:rFonts w:hint="default"/>
                <w:highlight w:val="red"/>
                <w:lang w:val="en-US" w:eastAsia="zh-CN"/>
              </w:rPr>
            </w:pPr>
          </w:p>
          <w:p>
            <w:pPr>
              <w:pStyle w:val="4"/>
              <w:numPr>
                <w:ilvl w:val="0"/>
                <w:numId w:val="0"/>
              </w:numPr>
              <w:jc w:val="right"/>
              <w:rPr>
                <w:rFonts w:hint="default"/>
                <w:lang w:val="en-US" w:eastAsia="zh-CN"/>
              </w:rPr>
            </w:pPr>
            <w:r>
              <w:rPr>
                <w:rFonts w:hint="eastAsia"/>
                <w:lang w:val="en-US" w:eastAsia="zh-CN"/>
              </w:rPr>
              <w:t>2021年9月24日</w:t>
            </w:r>
          </w:p>
          <w:p>
            <w:pPr>
              <w:pStyle w:val="5"/>
            </w:pPr>
            <w:bookmarkStart w:id="90" w:name="_Toc12715"/>
            <w:bookmarkStart w:id="91" w:name="_Toc16671"/>
            <w:r>
              <w:rPr>
                <w:rFonts w:hint="eastAsia"/>
              </w:rPr>
              <w:t>环境保护措施落实情况</w:t>
            </w:r>
            <w:bookmarkEnd w:id="90"/>
            <w:bookmarkEnd w:id="91"/>
          </w:p>
          <w:p>
            <w:pPr>
              <w:pStyle w:val="6"/>
            </w:pPr>
            <w:bookmarkStart w:id="92" w:name="_Toc18546"/>
            <w:bookmarkStart w:id="93" w:name="_Toc16792"/>
            <w:bookmarkStart w:id="94" w:name="_Toc7771"/>
            <w:bookmarkStart w:id="95" w:name="_Toc26102"/>
            <w:r>
              <w:rPr>
                <w:rFonts w:hint="eastAsia"/>
              </w:rPr>
              <w:t>废气治理措施</w:t>
            </w:r>
            <w:bookmarkEnd w:id="92"/>
            <w:bookmarkEnd w:id="93"/>
            <w:bookmarkEnd w:id="94"/>
            <w:bookmarkEnd w:id="95"/>
          </w:p>
          <w:p>
            <w:pPr>
              <w:pStyle w:val="4"/>
            </w:pPr>
            <w:r>
              <w:rPr>
                <w:rFonts w:hint="eastAsia"/>
                <w:lang w:val="en-US" w:eastAsia="zh-CN"/>
              </w:rPr>
              <w:t>破碎、分选粉尘</w:t>
            </w:r>
            <w:r>
              <w:rPr>
                <w:rFonts w:hint="eastAsia"/>
              </w:rPr>
              <w:t>：</w:t>
            </w:r>
            <w:r>
              <w:rPr>
                <w:rFonts w:hint="eastAsia"/>
                <w:lang w:val="en-US" w:eastAsia="zh-CN"/>
              </w:rPr>
              <w:t>生产过程中采取湿法抑尘，即先利用雾化水喷淋设备打湿物料再转入破碎、分选工序，粉尘经收集后利用布袋除尘器净化，净化后通过15m高排气筒高空排放</w:t>
            </w:r>
            <w:r>
              <w:rPr>
                <w:rFonts w:hint="eastAsia"/>
              </w:rPr>
              <w:t>。</w:t>
            </w:r>
          </w:p>
          <w:p>
            <w:pPr>
              <w:pStyle w:val="6"/>
            </w:pPr>
            <w:bookmarkStart w:id="96" w:name="_Toc3196"/>
            <w:bookmarkStart w:id="97" w:name="_Toc24282"/>
            <w:bookmarkStart w:id="98" w:name="_Toc18059"/>
            <w:bookmarkStart w:id="99" w:name="_Toc1195"/>
            <w:r>
              <w:rPr>
                <w:rFonts w:hint="eastAsia"/>
              </w:rPr>
              <w:t>废水治理措施</w:t>
            </w:r>
            <w:bookmarkEnd w:id="96"/>
            <w:bookmarkEnd w:id="97"/>
            <w:bookmarkEnd w:id="98"/>
            <w:bookmarkEnd w:id="99"/>
          </w:p>
          <w:p>
            <w:pPr>
              <w:adjustRightInd w:val="0"/>
              <w:snapToGrid w:val="0"/>
              <w:spacing w:line="360" w:lineRule="auto"/>
              <w:ind w:firstLine="480" w:firstLineChars="200"/>
              <w:rPr>
                <w:rFonts w:hint="eastAsia" w:hAnsi="宋体"/>
                <w:sz w:val="24"/>
                <w:lang w:val="en-US" w:eastAsia="zh-CN"/>
              </w:rPr>
            </w:pPr>
            <w:r>
              <w:rPr>
                <w:rFonts w:hint="eastAsia" w:hAnsi="宋体"/>
                <w:sz w:val="24"/>
                <w:lang w:val="en-US" w:eastAsia="zh-CN"/>
              </w:rPr>
              <w:t>洗车废水：经沉淀池沉淀后用于地面洒水抑尘，不外排。</w:t>
            </w:r>
          </w:p>
          <w:p>
            <w:pPr>
              <w:adjustRightInd w:val="0"/>
              <w:snapToGrid w:val="0"/>
              <w:spacing w:line="360" w:lineRule="auto"/>
              <w:ind w:firstLine="480" w:firstLineChars="200"/>
              <w:rPr>
                <w:rFonts w:hint="eastAsia" w:hAnsi="宋体"/>
                <w:sz w:val="24"/>
                <w:lang w:eastAsia="zh-CN"/>
              </w:rPr>
            </w:pPr>
            <w:r>
              <w:rPr>
                <w:rFonts w:hint="eastAsia" w:hAnsi="宋体"/>
                <w:sz w:val="24"/>
                <w:lang w:val="en-US" w:eastAsia="zh-CN"/>
              </w:rPr>
              <w:t>生活污水：</w:t>
            </w:r>
            <w:r>
              <w:rPr>
                <w:rFonts w:hint="eastAsia" w:hAnsi="宋体"/>
                <w:sz w:val="24"/>
              </w:rPr>
              <w:t>经化粪池预处理后</w:t>
            </w:r>
            <w:r>
              <w:rPr>
                <w:rFonts w:hint="eastAsia" w:hAnsi="宋体"/>
                <w:sz w:val="24"/>
                <w:lang w:eastAsia="zh-CN"/>
              </w:rPr>
              <w:t>纳管排放。</w:t>
            </w:r>
          </w:p>
          <w:p>
            <w:pPr>
              <w:pStyle w:val="6"/>
            </w:pPr>
            <w:bookmarkStart w:id="100" w:name="_Toc24050"/>
            <w:bookmarkStart w:id="101" w:name="_Toc5360"/>
            <w:bookmarkStart w:id="102" w:name="_Toc22040"/>
            <w:bookmarkStart w:id="103" w:name="_Toc7438"/>
            <w:r>
              <w:rPr>
                <w:rFonts w:hint="eastAsia"/>
              </w:rPr>
              <w:t>噪声治理措施</w:t>
            </w:r>
            <w:bookmarkEnd w:id="100"/>
            <w:bookmarkEnd w:id="101"/>
            <w:bookmarkEnd w:id="102"/>
            <w:bookmarkEnd w:id="103"/>
          </w:p>
          <w:p>
            <w:pPr>
              <w:adjustRightInd w:val="0"/>
              <w:snapToGrid w:val="0"/>
              <w:spacing w:line="360" w:lineRule="auto"/>
              <w:ind w:firstLine="480" w:firstLineChars="200"/>
              <w:rPr>
                <w:rFonts w:hAnsi="宋体"/>
                <w:sz w:val="24"/>
              </w:rPr>
            </w:pPr>
            <w:r>
              <w:rPr>
                <w:rFonts w:hint="eastAsia" w:hAnsi="宋体"/>
                <w:sz w:val="24"/>
              </w:rPr>
              <w:t>项目噪声源主要为生产设备及风机等运行产生的噪声</w:t>
            </w:r>
            <w:r>
              <w:rPr>
                <w:rFonts w:hAnsi="宋体"/>
                <w:sz w:val="24"/>
              </w:rPr>
              <w:t>。</w:t>
            </w:r>
            <w:r>
              <w:rPr>
                <w:rFonts w:hint="eastAsia" w:hAnsi="宋体"/>
                <w:sz w:val="24"/>
              </w:rPr>
              <w:t>为确保厂界噪声达标，企业采取以下措施：</w:t>
            </w:r>
          </w:p>
          <w:p>
            <w:pPr>
              <w:adjustRightInd w:val="0"/>
              <w:snapToGrid w:val="0"/>
              <w:spacing w:line="360" w:lineRule="auto"/>
              <w:ind w:firstLine="480" w:firstLineChars="200"/>
              <w:rPr>
                <w:rFonts w:hAnsi="宋体"/>
                <w:sz w:val="24"/>
              </w:rPr>
            </w:pPr>
            <w:r>
              <w:rPr>
                <w:rFonts w:hint="eastAsia" w:hAnsi="宋体"/>
                <w:sz w:val="24"/>
              </w:rPr>
              <w:t>a、高噪设备安装基础减振垫。</w:t>
            </w:r>
          </w:p>
          <w:p>
            <w:pPr>
              <w:adjustRightInd w:val="0"/>
              <w:snapToGrid w:val="0"/>
              <w:spacing w:line="360" w:lineRule="auto"/>
              <w:ind w:firstLine="480" w:firstLineChars="200"/>
              <w:rPr>
                <w:rFonts w:hAnsi="宋体"/>
                <w:sz w:val="24"/>
              </w:rPr>
            </w:pPr>
            <w:r>
              <w:rPr>
                <w:rFonts w:hint="eastAsia" w:hAnsi="宋体"/>
                <w:sz w:val="24"/>
              </w:rPr>
              <w:t>b、合理布局，将生产设备布置于厂区中间，且车间实墙封闭处理。</w:t>
            </w:r>
          </w:p>
          <w:p>
            <w:pPr>
              <w:adjustRightInd w:val="0"/>
              <w:snapToGrid w:val="0"/>
              <w:spacing w:line="360" w:lineRule="auto"/>
              <w:ind w:firstLine="480" w:firstLineChars="200"/>
              <w:rPr>
                <w:rFonts w:hAnsi="宋体"/>
                <w:sz w:val="24"/>
              </w:rPr>
            </w:pPr>
            <w:r>
              <w:rPr>
                <w:rFonts w:hint="eastAsia" w:hAnsi="宋体"/>
                <w:sz w:val="24"/>
              </w:rPr>
              <w:t>c、设备经常维护，加强管理。</w:t>
            </w:r>
          </w:p>
          <w:p>
            <w:pPr>
              <w:adjustRightInd w:val="0"/>
              <w:snapToGrid w:val="0"/>
              <w:spacing w:line="360" w:lineRule="auto"/>
              <w:ind w:firstLine="480" w:firstLineChars="200"/>
              <w:rPr>
                <w:rFonts w:hint="eastAsia" w:hAnsi="宋体"/>
                <w:sz w:val="24"/>
              </w:rPr>
            </w:pPr>
            <w:r>
              <w:rPr>
                <w:rFonts w:hint="eastAsia" w:hAnsi="宋体"/>
                <w:sz w:val="24"/>
              </w:rPr>
              <w:t>由监测数据可知，本项目营运期厂界噪声排放均能够稳定达到《工业企业厂界环境噪声排放标准》（GB12348-2008）</w:t>
            </w:r>
            <w:r>
              <w:rPr>
                <w:rFonts w:hint="eastAsia"/>
                <w:lang w:val="en-US" w:eastAsia="zh-CN"/>
              </w:rPr>
              <w:t>Ⅱ</w:t>
            </w:r>
            <w:r>
              <w:rPr>
                <w:rFonts w:hint="eastAsia" w:hAnsi="宋体"/>
                <w:sz w:val="24"/>
                <w:lang w:val="en-US" w:eastAsia="zh-CN"/>
              </w:rPr>
              <w:t>类区标准，即昼间60dB、夜间50dB</w:t>
            </w:r>
            <w:r>
              <w:rPr>
                <w:rFonts w:hint="eastAsia" w:hAnsi="宋体"/>
                <w:sz w:val="24"/>
              </w:rPr>
              <w:t>。</w:t>
            </w:r>
          </w:p>
          <w:p>
            <w:pPr>
              <w:pStyle w:val="6"/>
            </w:pPr>
            <w:bookmarkStart w:id="104" w:name="_Toc11460"/>
            <w:bookmarkStart w:id="105" w:name="_Toc29904"/>
            <w:bookmarkStart w:id="106" w:name="_Toc15176"/>
            <w:bookmarkStart w:id="107" w:name="_Toc25033"/>
            <w:r>
              <w:rPr>
                <w:rFonts w:hint="eastAsia"/>
              </w:rPr>
              <w:t>固废治理措施</w:t>
            </w:r>
            <w:bookmarkEnd w:id="104"/>
            <w:bookmarkEnd w:id="105"/>
            <w:bookmarkEnd w:id="106"/>
            <w:bookmarkEnd w:id="107"/>
          </w:p>
          <w:p>
            <w:pPr>
              <w:pStyle w:val="4"/>
            </w:pPr>
            <w:r>
              <w:rPr>
                <w:rFonts w:hint="eastAsia"/>
                <w:bCs/>
                <w:lang w:val="en-US" w:eastAsia="zh-CN"/>
              </w:rPr>
              <w:t>本项目一般工业固废</w:t>
            </w:r>
            <w:r>
              <w:rPr>
                <w:rFonts w:hint="eastAsia" w:ascii="Times New Roman" w:hAnsi="Times New Roman"/>
                <w:color w:val="000000"/>
                <w:sz w:val="24"/>
              </w:rPr>
              <w:t>钢筋、塑料等</w:t>
            </w:r>
            <w:r>
              <w:rPr>
                <w:rFonts w:hint="eastAsia"/>
                <w:bCs/>
                <w:lang w:val="en-US" w:eastAsia="zh-CN"/>
              </w:rPr>
              <w:t>收集后出售；生活垃圾经厂区内收集后委托环卫部门统一清运。</w:t>
            </w:r>
          </w:p>
          <w:p>
            <w:pPr>
              <w:pStyle w:val="6"/>
              <w:rPr>
                <w:rFonts w:hint="default"/>
                <w:lang w:val="en-US" w:eastAsia="zh-CN"/>
              </w:rPr>
            </w:pPr>
            <w:bookmarkStart w:id="108" w:name="_Toc2977"/>
            <w:bookmarkStart w:id="109" w:name="_Toc26526"/>
            <w:r>
              <w:rPr>
                <w:rFonts w:hint="eastAsia"/>
                <w:lang w:eastAsia="zh-CN"/>
              </w:rPr>
              <w:t>项目现场情况</w:t>
            </w:r>
            <w:bookmarkEnd w:id="108"/>
            <w:bookmarkEnd w:id="109"/>
          </w:p>
          <w:p>
            <w:pPr>
              <w:pStyle w:val="4"/>
              <w:ind w:left="0" w:leftChars="0" w:firstLine="0" w:firstLineChars="0"/>
              <w:jc w:val="center"/>
              <w:rPr>
                <w:rFonts w:hint="eastAsia" w:eastAsiaTheme="majorEastAsia"/>
                <w:lang w:eastAsia="zh-CN"/>
              </w:rPr>
            </w:pPr>
            <w:r>
              <w:rPr>
                <w:rFonts w:hint="eastAsia" w:eastAsiaTheme="majorEastAsia"/>
                <w:lang w:eastAsia="zh-CN"/>
              </w:rPr>
              <w:drawing>
                <wp:inline distT="0" distB="0" distL="114300" distR="114300">
                  <wp:extent cx="4706620" cy="3529965"/>
                  <wp:effectExtent l="0" t="0" r="17780" b="13335"/>
                  <wp:docPr id="23" name="图片 23" descr="a2bc38d538dcd51fd88a4f27c5af6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2bc38d538dcd51fd88a4f27c5af6db"/>
                          <pic:cNvPicPr>
                            <a:picLocks noChangeAspect="1"/>
                          </pic:cNvPicPr>
                        </pic:nvPicPr>
                        <pic:blipFill>
                          <a:blip r:embed="rId15"/>
                          <a:stretch>
                            <a:fillRect/>
                          </a:stretch>
                        </pic:blipFill>
                        <pic:spPr>
                          <a:xfrm>
                            <a:off x="0" y="0"/>
                            <a:ext cx="4706620" cy="3529965"/>
                          </a:xfrm>
                          <a:prstGeom prst="rect">
                            <a:avLst/>
                          </a:prstGeom>
                        </pic:spPr>
                      </pic:pic>
                    </a:graphicData>
                  </a:graphic>
                </wp:inline>
              </w:drawing>
            </w:r>
          </w:p>
          <w:p>
            <w:pPr>
              <w:pStyle w:val="4"/>
              <w:ind w:left="0" w:leftChars="0" w:firstLine="0" w:firstLineChars="0"/>
              <w:jc w:val="center"/>
              <w:rPr>
                <w:rFonts w:hint="eastAsia" w:eastAsiaTheme="majorEastAsia"/>
                <w:lang w:eastAsia="zh-CN"/>
              </w:rPr>
            </w:pPr>
            <w:r>
              <w:rPr>
                <w:rFonts w:hint="eastAsia" w:eastAsiaTheme="majorEastAsia"/>
                <w:lang w:eastAsia="zh-CN"/>
              </w:rPr>
              <w:drawing>
                <wp:inline distT="0" distB="0" distL="114300" distR="114300">
                  <wp:extent cx="4700270" cy="3525520"/>
                  <wp:effectExtent l="0" t="0" r="5080" b="17780"/>
                  <wp:docPr id="24" name="图片 24" descr="cdf176e9944c3ea252031f73acbdc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df176e9944c3ea252031f73acbdca4"/>
                          <pic:cNvPicPr>
                            <a:picLocks noChangeAspect="1"/>
                          </pic:cNvPicPr>
                        </pic:nvPicPr>
                        <pic:blipFill>
                          <a:blip r:embed="rId16"/>
                          <a:stretch>
                            <a:fillRect/>
                          </a:stretch>
                        </pic:blipFill>
                        <pic:spPr>
                          <a:xfrm>
                            <a:off x="0" y="0"/>
                            <a:ext cx="4700270" cy="3525520"/>
                          </a:xfrm>
                          <a:prstGeom prst="rect">
                            <a:avLst/>
                          </a:prstGeom>
                        </pic:spPr>
                      </pic:pic>
                    </a:graphicData>
                  </a:graphic>
                </wp:inline>
              </w:drawing>
            </w:r>
          </w:p>
        </w:tc>
      </w:tr>
    </w:tbl>
    <w:p>
      <w:pPr>
        <w:spacing w:line="360" w:lineRule="auto"/>
        <w:rPr>
          <w:rFonts w:eastAsia="仿宋_GB2312"/>
          <w:color w:val="000000"/>
          <w:szCs w:val="21"/>
        </w:rPr>
        <w:sectPr>
          <w:pgSz w:w="11906" w:h="16838"/>
          <w:pgMar w:top="1417" w:right="1417" w:bottom="1417" w:left="1417" w:header="708" w:footer="708" w:gutter="0"/>
          <w:pgBorders>
            <w:top w:val="none" w:sz="0" w:space="0"/>
            <w:left w:val="none" w:sz="0" w:space="0"/>
            <w:bottom w:val="none" w:sz="0" w:space="0"/>
            <w:right w:val="none" w:sz="0" w:space="0"/>
          </w:pgBorders>
          <w:pgNumType w:fmt="numberInDash"/>
          <w:cols w:space="720" w:num="1"/>
          <w:docGrid w:linePitch="360" w:charSpace="0"/>
        </w:sectPr>
      </w:pPr>
    </w:p>
    <w:p>
      <w:pPr>
        <w:pStyle w:val="3"/>
        <w:rPr>
          <w:rFonts w:eastAsia="仿宋_GB2312"/>
        </w:rPr>
      </w:pPr>
      <w:bookmarkStart w:id="110" w:name="_Toc17576"/>
      <w:bookmarkStart w:id="111" w:name="_Toc8450"/>
      <w:r>
        <w:rPr>
          <w:rFonts w:hint="eastAsia"/>
        </w:rPr>
        <w:t>验收监测质量保证及质量控制：</w:t>
      </w:r>
      <w:bookmarkEnd w:id="110"/>
      <w:bookmarkEnd w:id="111"/>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6" w:hRule="atLeast"/>
          <w:jc w:val="center"/>
        </w:trPr>
        <w:tc>
          <w:tcPr>
            <w:tcW w:w="8924" w:type="dxa"/>
          </w:tcPr>
          <w:p>
            <w:pPr>
              <w:pStyle w:val="5"/>
            </w:pPr>
            <w:bookmarkStart w:id="112" w:name="_Toc519235236"/>
            <w:bookmarkEnd w:id="112"/>
            <w:bookmarkStart w:id="113" w:name="_Toc531881911"/>
            <w:bookmarkEnd w:id="113"/>
            <w:bookmarkStart w:id="114" w:name="_Toc531879836"/>
            <w:bookmarkEnd w:id="114"/>
            <w:bookmarkStart w:id="115" w:name="_Toc524703340"/>
            <w:bookmarkEnd w:id="115"/>
            <w:bookmarkStart w:id="116" w:name="_Toc529265100"/>
            <w:bookmarkEnd w:id="116"/>
            <w:bookmarkStart w:id="117" w:name="_Toc518567419"/>
            <w:bookmarkEnd w:id="117"/>
            <w:bookmarkStart w:id="118" w:name="_Toc519179434"/>
            <w:bookmarkEnd w:id="118"/>
            <w:bookmarkStart w:id="119" w:name="_Toc524703407"/>
            <w:bookmarkEnd w:id="119"/>
            <w:bookmarkStart w:id="120" w:name="_Toc519235302"/>
            <w:bookmarkEnd w:id="120"/>
            <w:bookmarkStart w:id="121" w:name="_Toc13607"/>
            <w:bookmarkStart w:id="122" w:name="_Toc508447116"/>
            <w:bookmarkStart w:id="123" w:name="_Toc32610"/>
            <w:r>
              <w:rPr>
                <w:rFonts w:hint="eastAsia"/>
              </w:rPr>
              <w:t>监测分析方法</w:t>
            </w:r>
            <w:bookmarkEnd w:id="121"/>
            <w:bookmarkEnd w:id="122"/>
            <w:bookmarkEnd w:id="123"/>
          </w:p>
          <w:p>
            <w:pPr>
              <w:pStyle w:val="4"/>
            </w:pPr>
            <w:r>
              <w:rPr>
                <w:rFonts w:hint="eastAsia"/>
              </w:rPr>
              <w:t>具体见表5.1-1。</w:t>
            </w:r>
          </w:p>
          <w:p>
            <w:pPr>
              <w:pStyle w:val="15"/>
              <w:rPr>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表5.1-1  检测依据一览表</w:t>
            </w:r>
          </w:p>
          <w:tbl>
            <w:tblPr>
              <w:tblStyle w:val="3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8"/>
              <w:gridCol w:w="1677"/>
              <w:gridCol w:w="58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64" w:type="pct"/>
                  <w:vAlign w:val="center"/>
                </w:tcPr>
                <w:p>
                  <w:pPr>
                    <w:spacing w:line="360" w:lineRule="auto"/>
                    <w:jc w:val="center"/>
                    <w:rPr>
                      <w:rFonts w:eastAsiaTheme="minorEastAsia"/>
                      <w:color w:val="000000" w:themeColor="text1"/>
                      <w:sz w:val="21"/>
                      <w:szCs w:val="21"/>
                      <w14:textFill>
                        <w14:solidFill>
                          <w14:schemeClr w14:val="tx1"/>
                        </w14:solidFill>
                      </w14:textFill>
                    </w:rPr>
                  </w:pPr>
                  <w:bookmarkStart w:id="124" w:name="_Toc508447117"/>
                  <w:r>
                    <w:rPr>
                      <w:rFonts w:eastAsiaTheme="minorEastAsia"/>
                      <w:color w:val="000000" w:themeColor="text1"/>
                      <w:sz w:val="21"/>
                      <w:szCs w:val="21"/>
                      <w14:textFill>
                        <w14:solidFill>
                          <w14:schemeClr w14:val="tx1"/>
                        </w14:solidFill>
                      </w14:textFill>
                    </w:rPr>
                    <w:t>项目类别</w:t>
                  </w:r>
                </w:p>
              </w:tc>
              <w:tc>
                <w:tcPr>
                  <w:tcW w:w="924" w:type="pct"/>
                  <w:vAlign w:val="center"/>
                </w:tcPr>
                <w:p>
                  <w:pPr>
                    <w:spacing w:line="360" w:lineRule="auto"/>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检测项目</w:t>
                  </w:r>
                </w:p>
              </w:tc>
              <w:tc>
                <w:tcPr>
                  <w:tcW w:w="3211" w:type="pct"/>
                  <w:vAlign w:val="center"/>
                </w:tcPr>
                <w:p>
                  <w:pPr>
                    <w:spacing w:line="360" w:lineRule="auto"/>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检测标准（方法）名称及编号（含年号）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64" w:type="pct"/>
                  <w:vAlign w:val="center"/>
                </w:tcPr>
                <w:p>
                  <w:pPr>
                    <w:spacing w:line="360" w:lineRule="auto"/>
                    <w:jc w:val="center"/>
                    <w:rPr>
                      <w:rFonts w:hint="eastAsia"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有组织废气</w:t>
                  </w:r>
                </w:p>
              </w:tc>
              <w:tc>
                <w:tcPr>
                  <w:tcW w:w="924" w:type="pct"/>
                  <w:vAlign w:val="center"/>
                </w:tcPr>
                <w:p>
                  <w:pPr>
                    <w:spacing w:after="0"/>
                    <w:jc w:val="center"/>
                    <w:rPr>
                      <w:rFonts w:hint="eastAsia" w:ascii="Times New Roman" w:hAnsi="宋体" w:eastAsia="宋体"/>
                      <w:color w:val="000000" w:themeColor="text1"/>
                      <w:sz w:val="21"/>
                      <w:szCs w:val="21"/>
                      <w:lang w:eastAsia="zh-CN"/>
                      <w14:textFill>
                        <w14:solidFill>
                          <w14:schemeClr w14:val="tx1"/>
                        </w14:solidFill>
                      </w14:textFill>
                    </w:rPr>
                  </w:pPr>
                  <w:r>
                    <w:rPr>
                      <w:rFonts w:hint="eastAsia" w:hAnsi="宋体"/>
                      <w:color w:val="000000" w:themeColor="text1"/>
                      <w:sz w:val="21"/>
                      <w:szCs w:val="21"/>
                      <w:lang w:eastAsia="zh-CN"/>
                      <w14:textFill>
                        <w14:solidFill>
                          <w14:schemeClr w14:val="tx1"/>
                        </w14:solidFill>
                      </w14:textFill>
                    </w:rPr>
                    <w:t>颗粒物</w:t>
                  </w:r>
                </w:p>
              </w:tc>
              <w:tc>
                <w:tcPr>
                  <w:tcW w:w="3211" w:type="pct"/>
                  <w:vAlign w:val="center"/>
                </w:tcPr>
                <w:p>
                  <w:pPr>
                    <w:spacing w:after="0"/>
                    <w:rPr>
                      <w:rFonts w:hint="default" w:ascii="Times New Roman" w:hAnsi="宋体" w:eastAsia="宋体"/>
                      <w:color w:val="000000" w:themeColor="text1"/>
                      <w:sz w:val="21"/>
                      <w:szCs w:val="21"/>
                      <w:lang w:val="en-US" w:eastAsia="zh-CN"/>
                      <w14:textFill>
                        <w14:solidFill>
                          <w14:schemeClr w14:val="tx1"/>
                        </w14:solidFill>
                      </w14:textFill>
                    </w:rPr>
                  </w:pPr>
                  <w:r>
                    <w:rPr>
                      <w:rFonts w:hint="eastAsia" w:hAnsi="宋体"/>
                      <w:color w:val="000000" w:themeColor="text1"/>
                      <w:sz w:val="21"/>
                      <w:szCs w:val="21"/>
                      <w:lang w:eastAsia="zh-CN"/>
                      <w14:textFill>
                        <w14:solidFill>
                          <w14:schemeClr w14:val="tx1"/>
                        </w14:solidFill>
                      </w14:textFill>
                    </w:rPr>
                    <w:t>固定污染源排气中颗粒物测定与气态污染物采样方法</w:t>
                  </w:r>
                  <w:r>
                    <w:rPr>
                      <w:rFonts w:hint="eastAsia" w:hAnsi="宋体"/>
                      <w:color w:val="000000" w:themeColor="text1"/>
                      <w:sz w:val="21"/>
                      <w:szCs w:val="21"/>
                      <w:lang w:val="en-US" w:eastAsia="zh-CN"/>
                      <w14:textFill>
                        <w14:solidFill>
                          <w14:schemeClr w14:val="tx1"/>
                        </w14:solidFill>
                      </w14:textFill>
                    </w:rPr>
                    <w:t xml:space="preserve">  GB/T16157-1996及修改单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64" w:type="pct"/>
                  <w:vAlign w:val="center"/>
                </w:tcPr>
                <w:p>
                  <w:pPr>
                    <w:spacing w:line="360" w:lineRule="auto"/>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无</w:t>
                  </w:r>
                  <w:r>
                    <w:rPr>
                      <w:rFonts w:eastAsiaTheme="minorEastAsia"/>
                      <w:color w:val="000000" w:themeColor="text1"/>
                      <w:sz w:val="21"/>
                      <w:szCs w:val="21"/>
                      <w14:textFill>
                        <w14:solidFill>
                          <w14:schemeClr w14:val="tx1"/>
                        </w14:solidFill>
                      </w14:textFill>
                    </w:rPr>
                    <w:t>组织废气</w:t>
                  </w:r>
                </w:p>
              </w:tc>
              <w:tc>
                <w:tcPr>
                  <w:tcW w:w="924" w:type="pct"/>
                  <w:vAlign w:val="center"/>
                </w:tcPr>
                <w:p>
                  <w:pPr>
                    <w:spacing w:after="0"/>
                    <w:jc w:val="center"/>
                    <w:rPr>
                      <w:rFonts w:eastAsiaTheme="minorEastAsia"/>
                      <w:color w:val="000000" w:themeColor="text1"/>
                      <w:sz w:val="21"/>
                      <w:szCs w:val="21"/>
                      <w14:textFill>
                        <w14:solidFill>
                          <w14:schemeClr w14:val="tx1"/>
                        </w14:solidFill>
                      </w14:textFill>
                    </w:rPr>
                  </w:pPr>
                  <w:r>
                    <w:rPr>
                      <w:rFonts w:hint="eastAsia" w:ascii="Times New Roman" w:hAnsi="宋体"/>
                      <w:color w:val="000000" w:themeColor="text1"/>
                      <w:sz w:val="21"/>
                      <w:szCs w:val="21"/>
                      <w14:textFill>
                        <w14:solidFill>
                          <w14:schemeClr w14:val="tx1"/>
                        </w14:solidFill>
                      </w14:textFill>
                    </w:rPr>
                    <w:t>总悬浮颗粒物</w:t>
                  </w:r>
                </w:p>
              </w:tc>
              <w:tc>
                <w:tcPr>
                  <w:tcW w:w="3211" w:type="pct"/>
                  <w:vAlign w:val="center"/>
                </w:tcPr>
                <w:p>
                  <w:pPr>
                    <w:spacing w:after="0"/>
                    <w:rPr>
                      <w:rFonts w:eastAsiaTheme="minorEastAsia"/>
                      <w:color w:val="000000" w:themeColor="text1"/>
                      <w:spacing w:val="-6"/>
                      <w:sz w:val="21"/>
                      <w:szCs w:val="21"/>
                      <w14:textFill>
                        <w14:solidFill>
                          <w14:schemeClr w14:val="tx1"/>
                        </w14:solidFill>
                      </w14:textFill>
                    </w:rPr>
                  </w:pPr>
                  <w:r>
                    <w:rPr>
                      <w:rFonts w:hint="eastAsia" w:ascii="Times New Roman" w:hAnsi="宋体"/>
                      <w:color w:val="000000" w:themeColor="text1"/>
                      <w:sz w:val="21"/>
                      <w:szCs w:val="21"/>
                      <w14:textFill>
                        <w14:solidFill>
                          <w14:schemeClr w14:val="tx1"/>
                        </w14:solidFill>
                      </w14:textFill>
                    </w:rPr>
                    <w:t>环境空气  总悬浮颗粒物的测定 重量法 GB/T  15432-1995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64" w:type="pct"/>
                  <w:vAlign w:val="center"/>
                </w:tcPr>
                <w:p>
                  <w:pPr>
                    <w:spacing w:line="360" w:lineRule="auto"/>
                    <w:jc w:val="center"/>
                    <w:rPr>
                      <w:rFonts w:eastAsiaTheme="minorEastAsia"/>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噪声</w:t>
                  </w:r>
                </w:p>
              </w:tc>
              <w:tc>
                <w:tcPr>
                  <w:tcW w:w="924" w:type="pct"/>
                  <w:vAlign w:val="center"/>
                </w:tcPr>
                <w:p>
                  <w:pPr>
                    <w:spacing w:line="360" w:lineRule="auto"/>
                    <w:jc w:val="center"/>
                    <w:rPr>
                      <w:rFonts w:eastAsiaTheme="minorEastAsia"/>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工业企业厂界环境噪声</w:t>
                  </w:r>
                </w:p>
              </w:tc>
              <w:tc>
                <w:tcPr>
                  <w:tcW w:w="3211" w:type="pct"/>
                  <w:vAlign w:val="center"/>
                </w:tcPr>
                <w:p>
                  <w:pPr>
                    <w:spacing w:line="360" w:lineRule="auto"/>
                    <w:jc w:val="left"/>
                    <w:rPr>
                      <w:rFonts w:eastAsiaTheme="minorEastAsia"/>
                      <w:color w:val="000000" w:themeColor="text1"/>
                      <w:spacing w:val="-6"/>
                      <w:sz w:val="21"/>
                      <w:szCs w:val="21"/>
                      <w14:textFill>
                        <w14:solidFill>
                          <w14:schemeClr w14:val="tx1"/>
                        </w14:solidFill>
                      </w14:textFill>
                    </w:rPr>
                  </w:pPr>
                  <w:r>
                    <w:rPr>
                      <w:rFonts w:eastAsiaTheme="minorEastAsia"/>
                      <w:color w:val="000000" w:themeColor="text1"/>
                      <w:spacing w:val="-6"/>
                      <w:sz w:val="21"/>
                      <w:szCs w:val="21"/>
                      <w14:textFill>
                        <w14:solidFill>
                          <w14:schemeClr w14:val="tx1"/>
                        </w14:solidFill>
                      </w14:textFill>
                    </w:rPr>
                    <w:t>工业企业厂界环境噪声排放标准 GB 12348-2008</w:t>
                  </w:r>
                </w:p>
              </w:tc>
            </w:tr>
          </w:tbl>
          <w:p>
            <w:pPr>
              <w:pStyle w:val="5"/>
            </w:pPr>
            <w:bookmarkStart w:id="125" w:name="_Toc30794"/>
            <w:bookmarkStart w:id="126" w:name="_Toc17162"/>
            <w:r>
              <w:rPr>
                <w:rFonts w:hint="eastAsia"/>
              </w:rPr>
              <w:t>监测仪器</w:t>
            </w:r>
            <w:bookmarkEnd w:id="124"/>
            <w:bookmarkEnd w:id="125"/>
            <w:bookmarkEnd w:id="126"/>
          </w:p>
          <w:p>
            <w:pPr>
              <w:pStyle w:val="4"/>
            </w:pPr>
            <w:r>
              <w:rPr>
                <w:rFonts w:hint="eastAsia"/>
              </w:rPr>
              <w:t>监测仪器均经有资质的单位检定、校准合格后使用，保证监测数据的有效。</w:t>
            </w:r>
          </w:p>
          <w:p>
            <w:pPr>
              <w:pStyle w:val="5"/>
            </w:pPr>
            <w:bookmarkStart w:id="127" w:name="_Toc4849"/>
            <w:bookmarkStart w:id="128" w:name="_Toc508447118"/>
            <w:bookmarkStart w:id="129" w:name="_Toc8294"/>
            <w:r>
              <w:rPr>
                <w:rFonts w:hint="eastAsia"/>
              </w:rPr>
              <w:t>人员资质</w:t>
            </w:r>
            <w:bookmarkEnd w:id="127"/>
            <w:bookmarkEnd w:id="128"/>
            <w:bookmarkEnd w:id="129"/>
          </w:p>
          <w:p>
            <w:pPr>
              <w:pStyle w:val="4"/>
            </w:pPr>
            <w:r>
              <w:rPr>
                <w:rFonts w:hint="eastAsia"/>
              </w:rPr>
              <w:t>监测人员经过考核并持有合格证书。</w:t>
            </w:r>
          </w:p>
          <w:p>
            <w:pPr>
              <w:pStyle w:val="5"/>
            </w:pPr>
            <w:bookmarkStart w:id="130" w:name="_Toc28922"/>
            <w:bookmarkStart w:id="131" w:name="_Toc508447119"/>
            <w:bookmarkStart w:id="132" w:name="_Toc329"/>
            <w:r>
              <w:rPr>
                <w:rFonts w:hint="eastAsia"/>
              </w:rPr>
              <w:t>质量保证和质量控制</w:t>
            </w:r>
            <w:bookmarkEnd w:id="130"/>
            <w:bookmarkEnd w:id="131"/>
            <w:bookmarkEnd w:id="132"/>
          </w:p>
          <w:p>
            <w:pPr>
              <w:pStyle w:val="4"/>
            </w:pPr>
            <w:r>
              <w:rPr>
                <w:rFonts w:hint="eastAsia"/>
              </w:rPr>
              <w:t>1）环保设施竣工验收现场监测，按规定满足相应的工况条件，否则负责验收监测的单位立即停止现场采用和测试；</w:t>
            </w:r>
          </w:p>
          <w:p>
            <w:pPr>
              <w:pStyle w:val="4"/>
            </w:pPr>
            <w:r>
              <w:rPr>
                <w:rFonts w:hint="eastAsia"/>
              </w:rPr>
              <w:t>2）现场采用和测试严格按《验收监测方案》进行，并对监测期间发生的各种异常情况进行详细记录，对未能按《验收监测方案》进行现场采样和测试的原因予以详细说明；</w:t>
            </w:r>
          </w:p>
          <w:p>
            <w:pPr>
              <w:pStyle w:val="4"/>
            </w:pPr>
            <w:r>
              <w:rPr>
                <w:rFonts w:hint="eastAsia"/>
              </w:rPr>
              <w:t>3）环保设施竣工验收监测中使用的布点、采样、分析测试方法，首先选择目前适用的国家和行业标准分析方法、监测技术规范，其次是国家环保部推荐的统一分析方法或试行分析方法以及有关规定等；</w:t>
            </w:r>
          </w:p>
          <w:p>
            <w:pPr>
              <w:pStyle w:val="4"/>
            </w:pPr>
            <w:r>
              <w:rPr>
                <w:rFonts w:hint="eastAsia"/>
              </w:rPr>
              <w:t>4）环保设施竣工验收的质量保证和质量控制，按国家有关规定、监测技术规范和有关质量控制手册进行；</w:t>
            </w:r>
          </w:p>
          <w:p>
            <w:pPr>
              <w:pStyle w:val="4"/>
            </w:pPr>
            <w:r>
              <w:rPr>
                <w:rFonts w:hint="eastAsia"/>
              </w:rPr>
              <w:t>5）参加环保设施竣工验收监测采样和测试的人员，按国家有关规定持证上岗；</w:t>
            </w:r>
          </w:p>
          <w:p>
            <w:pPr>
              <w:pStyle w:val="4"/>
            </w:pPr>
            <w:r>
              <w:rPr>
                <w:rFonts w:hint="eastAsia"/>
              </w:rPr>
              <w:t>6）气体监测分析过程中的质量保证和质量控制；采样器在进现场前对气体分析、采样器流量计等进行校核；</w:t>
            </w:r>
          </w:p>
          <w:p>
            <w:pPr>
              <w:pStyle w:val="4"/>
            </w:pPr>
            <w:r>
              <w:rPr>
                <w:rFonts w:hint="eastAsia"/>
              </w:rPr>
              <w:t>7）噪声监测分析过程中的质量保证和质量控制；监测时使用经计量部门检定、并在有效使用期内的声级计；</w:t>
            </w:r>
          </w:p>
          <w:p>
            <w:pPr>
              <w:pStyle w:val="4"/>
            </w:pPr>
            <w:r>
              <w:rPr>
                <w:rFonts w:hint="eastAsia"/>
              </w:rPr>
              <w:t>8）验收监测的采样记录及分析测试结果，按国家标准和监测技术规范有关要求进行数据处理和填报，并按有关规定和要求进行三级审核。</w:t>
            </w:r>
          </w:p>
          <w:p>
            <w:pPr>
              <w:spacing w:before="48" w:beforeLines="20" w:line="360" w:lineRule="auto"/>
              <w:rPr>
                <w:rFonts w:eastAsia="仿宋_GB2312"/>
                <w:color w:val="000000"/>
                <w:szCs w:val="21"/>
              </w:rPr>
            </w:pPr>
          </w:p>
        </w:tc>
      </w:tr>
    </w:tbl>
    <w:p>
      <w:pPr>
        <w:spacing w:line="360" w:lineRule="auto"/>
        <w:rPr>
          <w:rFonts w:eastAsia="仿宋_GB2312"/>
          <w:color w:val="000000"/>
          <w:szCs w:val="21"/>
        </w:rPr>
        <w:sectPr>
          <w:pgSz w:w="11906" w:h="16838"/>
          <w:pgMar w:top="1417" w:right="1417" w:bottom="1417" w:left="1417" w:header="708" w:footer="708" w:gutter="0"/>
          <w:pgBorders>
            <w:top w:val="none" w:sz="0" w:space="0"/>
            <w:left w:val="none" w:sz="0" w:space="0"/>
            <w:bottom w:val="none" w:sz="0" w:space="0"/>
            <w:right w:val="none" w:sz="0" w:space="0"/>
          </w:pgBorders>
          <w:pgNumType w:fmt="numberInDash"/>
          <w:cols w:space="720" w:num="1"/>
          <w:docGrid w:linePitch="360" w:charSpace="0"/>
        </w:sectPr>
      </w:pPr>
    </w:p>
    <w:p>
      <w:pPr>
        <w:pStyle w:val="3"/>
      </w:pPr>
      <w:bookmarkStart w:id="133" w:name="_Toc32341"/>
      <w:bookmarkStart w:id="134" w:name="_Toc24049"/>
      <w:r>
        <w:rPr>
          <w:rFonts w:hint="eastAsia"/>
        </w:rPr>
        <w:t>验收监测内容</w:t>
      </w:r>
      <w:bookmarkEnd w:id="133"/>
      <w:bookmarkEnd w:id="134"/>
    </w:p>
    <w:tbl>
      <w:tblPr>
        <w:tblStyle w:val="37"/>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8924" w:type="dxa"/>
          </w:tcPr>
          <w:p>
            <w:pPr>
              <w:pStyle w:val="85"/>
            </w:pPr>
            <w:r>
              <w:rPr>
                <w:rFonts w:hint="eastAsia"/>
              </w:rPr>
              <w:t>验收监测方案根据《建设项目竣工环境保护验收技术指南 污染影响类》中的验收监测技术要求。</w:t>
            </w:r>
          </w:p>
          <w:p>
            <w:pPr>
              <w:pStyle w:val="5"/>
            </w:pPr>
            <w:bookmarkStart w:id="135" w:name="_Toc519235308"/>
            <w:bookmarkEnd w:id="135"/>
            <w:bookmarkStart w:id="136" w:name="_Toc529265106"/>
            <w:bookmarkEnd w:id="136"/>
            <w:bookmarkStart w:id="137" w:name="_Toc524703346"/>
            <w:bookmarkEnd w:id="137"/>
            <w:bookmarkStart w:id="138" w:name="_Toc519179440"/>
            <w:bookmarkEnd w:id="138"/>
            <w:bookmarkStart w:id="139" w:name="_Toc531879842"/>
            <w:bookmarkEnd w:id="139"/>
            <w:bookmarkStart w:id="140" w:name="_Toc518567425"/>
            <w:bookmarkEnd w:id="140"/>
            <w:bookmarkStart w:id="141" w:name="_Toc519235242"/>
            <w:bookmarkEnd w:id="141"/>
            <w:bookmarkStart w:id="142" w:name="_Toc531881917"/>
            <w:bookmarkEnd w:id="142"/>
            <w:bookmarkStart w:id="143" w:name="_Toc524703413"/>
            <w:bookmarkEnd w:id="143"/>
            <w:bookmarkStart w:id="144" w:name="_Toc508447110"/>
            <w:bookmarkStart w:id="145" w:name="_Toc2957"/>
            <w:bookmarkStart w:id="146" w:name="_Toc19315"/>
            <w:r>
              <w:rPr>
                <w:rFonts w:hint="eastAsia"/>
              </w:rPr>
              <w:t>污染物达标排放及环境保护设施运行效率监测内容</w:t>
            </w:r>
            <w:bookmarkEnd w:id="144"/>
            <w:bookmarkEnd w:id="145"/>
            <w:bookmarkEnd w:id="146"/>
          </w:p>
          <w:p>
            <w:pPr>
              <w:pStyle w:val="6"/>
            </w:pPr>
            <w:bookmarkStart w:id="147" w:name="_Toc508447111"/>
            <w:bookmarkStart w:id="148" w:name="_Toc246"/>
            <w:bookmarkStart w:id="149" w:name="_Toc14174211"/>
            <w:bookmarkStart w:id="150" w:name="_Toc14177045"/>
            <w:bookmarkStart w:id="151" w:name="_Toc29489"/>
            <w:bookmarkStart w:id="152" w:name="_Toc11663955"/>
            <w:bookmarkStart w:id="153" w:name="_Toc13356"/>
            <w:r>
              <w:rPr>
                <w:rFonts w:hint="eastAsia"/>
              </w:rPr>
              <w:t>废气</w:t>
            </w:r>
            <w:bookmarkEnd w:id="147"/>
            <w:bookmarkEnd w:id="148"/>
            <w:bookmarkEnd w:id="149"/>
            <w:bookmarkEnd w:id="150"/>
            <w:bookmarkEnd w:id="151"/>
            <w:bookmarkEnd w:id="152"/>
            <w:bookmarkEnd w:id="153"/>
          </w:p>
          <w:p>
            <w:pPr>
              <w:pStyle w:val="6"/>
              <w:ind w:firstLine="480" w:firstLineChars="200"/>
              <w:rPr>
                <w:rFonts w:ascii="Times New Roman" w:hAnsi="Times New Roman"/>
                <w:b w:val="0"/>
              </w:rPr>
            </w:pPr>
            <w:bookmarkStart w:id="154" w:name="_Toc29494"/>
            <w:bookmarkStart w:id="155" w:name="_Toc21179"/>
            <w:bookmarkStart w:id="156" w:name="_Toc14683711"/>
            <w:bookmarkStart w:id="157" w:name="_Toc31872"/>
            <w:bookmarkStart w:id="158" w:name="_Toc14177046"/>
            <w:bookmarkStart w:id="159" w:name="_Toc11663957"/>
            <w:bookmarkStart w:id="160" w:name="_Toc14174212"/>
            <w:bookmarkStart w:id="161" w:name="_Toc508447113"/>
            <w:r>
              <w:rPr>
                <w:rFonts w:hint="eastAsia" w:ascii="Times New Roman" w:hAnsi="Times New Roman"/>
                <w:b w:val="0"/>
                <w:lang w:eastAsia="zh-CN"/>
              </w:rPr>
              <w:t>有</w:t>
            </w:r>
            <w:r>
              <w:rPr>
                <w:rFonts w:ascii="Times New Roman" w:hAnsi="Times New Roman"/>
                <w:b w:val="0"/>
              </w:rPr>
              <w:t>组织排放监测内容具体见表6.1-</w:t>
            </w:r>
            <w:r>
              <w:rPr>
                <w:rFonts w:hint="eastAsia" w:ascii="Times New Roman" w:hAnsi="Times New Roman"/>
                <w:b w:val="0"/>
              </w:rPr>
              <w:t>1</w:t>
            </w:r>
            <w:r>
              <w:rPr>
                <w:rFonts w:ascii="Times New Roman" w:hAnsi="Times New Roman"/>
                <w:b w:val="0"/>
              </w:rPr>
              <w:t>。</w:t>
            </w:r>
            <w:bookmarkEnd w:id="154"/>
          </w:p>
          <w:p>
            <w:pPr>
              <w:pStyle w:val="4"/>
              <w:ind w:firstLine="0" w:firstLineChars="0"/>
              <w:jc w:val="center"/>
              <w:rPr>
                <w:b/>
              </w:rPr>
            </w:pPr>
            <w:r>
              <w:rPr>
                <w:rFonts w:hint="eastAsia"/>
                <w:b/>
              </w:rPr>
              <w:t xml:space="preserve">表6.1-1 </w:t>
            </w:r>
            <w:r>
              <w:rPr>
                <w:rFonts w:hint="eastAsia"/>
                <w:b/>
                <w:lang w:eastAsia="zh-CN"/>
              </w:rPr>
              <w:t>有</w:t>
            </w:r>
            <w:r>
              <w:rPr>
                <w:rFonts w:hint="eastAsia"/>
                <w:b/>
              </w:rPr>
              <w:t>组织工业废气排放监测内容</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7"/>
              <w:gridCol w:w="2865"/>
              <w:gridCol w:w="2464"/>
              <w:gridCol w:w="16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003" w:type="pct"/>
                  <w:vAlign w:val="center"/>
                </w:tcPr>
                <w:p>
                  <w:pPr>
                    <w:spacing w:line="360" w:lineRule="auto"/>
                    <w:jc w:val="center"/>
                    <w:rPr>
                      <w:szCs w:val="21"/>
                    </w:rPr>
                  </w:pPr>
                  <w:r>
                    <w:rPr>
                      <w:szCs w:val="21"/>
                    </w:rPr>
                    <w:t>监测对象</w:t>
                  </w:r>
                </w:p>
              </w:tc>
              <w:tc>
                <w:tcPr>
                  <w:tcW w:w="1645" w:type="pct"/>
                  <w:vAlign w:val="center"/>
                </w:tcPr>
                <w:p>
                  <w:pPr>
                    <w:spacing w:line="360" w:lineRule="auto"/>
                    <w:jc w:val="center"/>
                    <w:rPr>
                      <w:szCs w:val="21"/>
                    </w:rPr>
                  </w:pPr>
                  <w:r>
                    <w:rPr>
                      <w:szCs w:val="21"/>
                    </w:rPr>
                    <w:t>污染物名称</w:t>
                  </w:r>
                </w:p>
              </w:tc>
              <w:tc>
                <w:tcPr>
                  <w:tcW w:w="1415" w:type="pct"/>
                  <w:vAlign w:val="center"/>
                </w:tcPr>
                <w:p>
                  <w:pPr>
                    <w:spacing w:line="360" w:lineRule="auto"/>
                    <w:jc w:val="center"/>
                    <w:rPr>
                      <w:szCs w:val="21"/>
                    </w:rPr>
                  </w:pPr>
                  <w:r>
                    <w:rPr>
                      <w:szCs w:val="21"/>
                    </w:rPr>
                    <w:t>监测点位</w:t>
                  </w:r>
                </w:p>
              </w:tc>
              <w:tc>
                <w:tcPr>
                  <w:tcW w:w="938" w:type="pct"/>
                  <w:vAlign w:val="center"/>
                </w:tcPr>
                <w:p>
                  <w:pPr>
                    <w:spacing w:line="360" w:lineRule="auto"/>
                    <w:jc w:val="center"/>
                    <w:rPr>
                      <w:szCs w:val="21"/>
                    </w:rPr>
                  </w:pPr>
                  <w:r>
                    <w:rPr>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003" w:type="pct"/>
                  <w:vAlign w:val="center"/>
                </w:tcPr>
                <w:p>
                  <w:pPr>
                    <w:spacing w:line="360" w:lineRule="auto"/>
                    <w:jc w:val="center"/>
                    <w:rPr>
                      <w:szCs w:val="21"/>
                    </w:rPr>
                  </w:pPr>
                  <w:r>
                    <w:rPr>
                      <w:rFonts w:hint="eastAsia"/>
                      <w:szCs w:val="21"/>
                      <w:lang w:eastAsia="zh-CN"/>
                    </w:rPr>
                    <w:t>有</w:t>
                  </w:r>
                  <w:r>
                    <w:rPr>
                      <w:szCs w:val="21"/>
                    </w:rPr>
                    <w:t>组织</w:t>
                  </w:r>
                  <w:r>
                    <w:rPr>
                      <w:rFonts w:hint="eastAsia"/>
                      <w:szCs w:val="21"/>
                    </w:rPr>
                    <w:t>废气</w:t>
                  </w:r>
                </w:p>
              </w:tc>
              <w:tc>
                <w:tcPr>
                  <w:tcW w:w="1645" w:type="pct"/>
                  <w:vAlign w:val="center"/>
                </w:tcPr>
                <w:p>
                  <w:pPr>
                    <w:spacing w:line="360" w:lineRule="auto"/>
                    <w:jc w:val="center"/>
                    <w:rPr>
                      <w:rFonts w:hint="default" w:eastAsia="宋体"/>
                      <w:szCs w:val="21"/>
                      <w:lang w:val="en-US" w:eastAsia="zh-CN"/>
                    </w:rPr>
                  </w:pPr>
                  <w:r>
                    <w:rPr>
                      <w:rFonts w:hint="eastAsia"/>
                      <w:szCs w:val="21"/>
                      <w:lang w:val="en-US" w:eastAsia="zh-CN"/>
                    </w:rPr>
                    <w:t>颗粒物</w:t>
                  </w:r>
                </w:p>
              </w:tc>
              <w:tc>
                <w:tcPr>
                  <w:tcW w:w="1415" w:type="pct"/>
                  <w:vAlign w:val="center"/>
                </w:tcPr>
                <w:p>
                  <w:pPr>
                    <w:spacing w:line="360" w:lineRule="auto"/>
                    <w:jc w:val="center"/>
                    <w:rPr>
                      <w:rFonts w:hint="default" w:eastAsia="宋体"/>
                      <w:szCs w:val="21"/>
                      <w:lang w:val="en-US" w:eastAsia="zh-CN"/>
                    </w:rPr>
                  </w:pPr>
                  <w:r>
                    <w:rPr>
                      <w:rFonts w:hint="eastAsia"/>
                      <w:szCs w:val="21"/>
                      <w:lang w:eastAsia="zh-CN"/>
                    </w:rPr>
                    <w:t>出口</w:t>
                  </w:r>
                  <w:r>
                    <w:rPr>
                      <w:rFonts w:hint="eastAsia"/>
                      <w:szCs w:val="21"/>
                      <w:lang w:val="en-US" w:eastAsia="zh-CN"/>
                    </w:rPr>
                    <w:t>1个</w:t>
                  </w:r>
                </w:p>
              </w:tc>
              <w:tc>
                <w:tcPr>
                  <w:tcW w:w="938" w:type="pct"/>
                  <w:vAlign w:val="center"/>
                </w:tcPr>
                <w:p>
                  <w:pPr>
                    <w:spacing w:line="360" w:lineRule="auto"/>
                    <w:jc w:val="center"/>
                    <w:rPr>
                      <w:szCs w:val="21"/>
                    </w:rPr>
                  </w:pPr>
                  <w:r>
                    <w:rPr>
                      <w:szCs w:val="21"/>
                    </w:rPr>
                    <w:t>3次/天，共2天</w:t>
                  </w:r>
                </w:p>
              </w:tc>
            </w:tr>
          </w:tbl>
          <w:p>
            <w:pPr>
              <w:pStyle w:val="6"/>
              <w:rPr>
                <w:rFonts w:ascii="Times New Roman" w:hAnsi="Times New Roman"/>
                <w:b w:val="0"/>
              </w:rPr>
            </w:pPr>
          </w:p>
          <w:p>
            <w:pPr>
              <w:pStyle w:val="6"/>
              <w:ind w:firstLine="480" w:firstLineChars="200"/>
              <w:rPr>
                <w:rFonts w:ascii="Times New Roman" w:hAnsi="Times New Roman"/>
                <w:b w:val="0"/>
              </w:rPr>
            </w:pPr>
            <w:bookmarkStart w:id="162" w:name="_Toc25514"/>
            <w:r>
              <w:rPr>
                <w:rFonts w:ascii="Times New Roman" w:hAnsi="Times New Roman"/>
                <w:b w:val="0"/>
              </w:rPr>
              <w:t>无组织排放监测内容具体见表6.1-</w:t>
            </w:r>
            <w:r>
              <w:rPr>
                <w:rFonts w:hint="eastAsia" w:ascii="Times New Roman" w:hAnsi="Times New Roman"/>
                <w:b w:val="0"/>
                <w:lang w:val="en-US" w:eastAsia="zh-CN"/>
              </w:rPr>
              <w:t>2</w:t>
            </w:r>
            <w:r>
              <w:rPr>
                <w:rFonts w:ascii="Times New Roman" w:hAnsi="Times New Roman"/>
                <w:b w:val="0"/>
              </w:rPr>
              <w:t>。</w:t>
            </w:r>
            <w:bookmarkEnd w:id="155"/>
            <w:bookmarkEnd w:id="156"/>
            <w:bookmarkEnd w:id="157"/>
            <w:bookmarkEnd w:id="162"/>
          </w:p>
          <w:p>
            <w:pPr>
              <w:pStyle w:val="4"/>
              <w:ind w:firstLine="0" w:firstLineChars="0"/>
              <w:jc w:val="center"/>
              <w:rPr>
                <w:b/>
              </w:rPr>
            </w:pPr>
            <w:r>
              <w:rPr>
                <w:rFonts w:hint="eastAsia"/>
                <w:b/>
              </w:rPr>
              <w:t>表6.1-</w:t>
            </w:r>
            <w:r>
              <w:rPr>
                <w:rFonts w:hint="eastAsia"/>
                <w:b/>
                <w:lang w:val="en-US" w:eastAsia="zh-CN"/>
              </w:rPr>
              <w:t>2</w:t>
            </w:r>
            <w:r>
              <w:rPr>
                <w:rFonts w:hint="eastAsia"/>
                <w:b/>
              </w:rPr>
              <w:t xml:space="preserve"> 无组织工业废气排放监测内容</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7"/>
              <w:gridCol w:w="2865"/>
              <w:gridCol w:w="2464"/>
              <w:gridCol w:w="16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003" w:type="pct"/>
                  <w:vAlign w:val="center"/>
                </w:tcPr>
                <w:p>
                  <w:pPr>
                    <w:spacing w:line="360" w:lineRule="auto"/>
                    <w:jc w:val="center"/>
                    <w:rPr>
                      <w:szCs w:val="21"/>
                    </w:rPr>
                  </w:pPr>
                  <w:r>
                    <w:rPr>
                      <w:szCs w:val="21"/>
                    </w:rPr>
                    <w:t>监测对象</w:t>
                  </w:r>
                </w:p>
              </w:tc>
              <w:tc>
                <w:tcPr>
                  <w:tcW w:w="1645" w:type="pct"/>
                  <w:vAlign w:val="center"/>
                </w:tcPr>
                <w:p>
                  <w:pPr>
                    <w:spacing w:line="360" w:lineRule="auto"/>
                    <w:jc w:val="center"/>
                    <w:rPr>
                      <w:szCs w:val="21"/>
                    </w:rPr>
                  </w:pPr>
                  <w:r>
                    <w:rPr>
                      <w:szCs w:val="21"/>
                    </w:rPr>
                    <w:t>污染物名称</w:t>
                  </w:r>
                </w:p>
              </w:tc>
              <w:tc>
                <w:tcPr>
                  <w:tcW w:w="1415" w:type="pct"/>
                  <w:vAlign w:val="center"/>
                </w:tcPr>
                <w:p>
                  <w:pPr>
                    <w:spacing w:line="360" w:lineRule="auto"/>
                    <w:jc w:val="center"/>
                    <w:rPr>
                      <w:szCs w:val="21"/>
                    </w:rPr>
                  </w:pPr>
                  <w:r>
                    <w:rPr>
                      <w:szCs w:val="21"/>
                    </w:rPr>
                    <w:t>监测点位</w:t>
                  </w:r>
                </w:p>
              </w:tc>
              <w:tc>
                <w:tcPr>
                  <w:tcW w:w="938" w:type="pct"/>
                  <w:vAlign w:val="center"/>
                </w:tcPr>
                <w:p>
                  <w:pPr>
                    <w:spacing w:line="360" w:lineRule="auto"/>
                    <w:jc w:val="center"/>
                    <w:rPr>
                      <w:szCs w:val="21"/>
                    </w:rPr>
                  </w:pPr>
                  <w:r>
                    <w:rPr>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1003" w:type="pct"/>
                  <w:vAlign w:val="center"/>
                </w:tcPr>
                <w:p>
                  <w:pPr>
                    <w:spacing w:line="360" w:lineRule="auto"/>
                    <w:jc w:val="center"/>
                    <w:rPr>
                      <w:szCs w:val="21"/>
                    </w:rPr>
                  </w:pPr>
                  <w:r>
                    <w:rPr>
                      <w:szCs w:val="21"/>
                    </w:rPr>
                    <w:t>无组织</w:t>
                  </w:r>
                  <w:r>
                    <w:rPr>
                      <w:rFonts w:hint="eastAsia"/>
                      <w:szCs w:val="21"/>
                    </w:rPr>
                    <w:t>废气</w:t>
                  </w:r>
                </w:p>
              </w:tc>
              <w:tc>
                <w:tcPr>
                  <w:tcW w:w="1645" w:type="pct"/>
                  <w:vAlign w:val="center"/>
                </w:tcPr>
                <w:p>
                  <w:pPr>
                    <w:spacing w:line="360" w:lineRule="auto"/>
                    <w:jc w:val="center"/>
                    <w:rPr>
                      <w:rFonts w:hint="default" w:eastAsia="宋体"/>
                      <w:szCs w:val="21"/>
                      <w:lang w:val="en-US" w:eastAsia="zh-CN"/>
                    </w:rPr>
                  </w:pPr>
                  <w:r>
                    <w:rPr>
                      <w:rFonts w:hint="eastAsia"/>
                      <w:szCs w:val="21"/>
                      <w:lang w:val="en-US" w:eastAsia="zh-CN"/>
                    </w:rPr>
                    <w:t>总悬浮颗粒物</w:t>
                  </w:r>
                </w:p>
              </w:tc>
              <w:tc>
                <w:tcPr>
                  <w:tcW w:w="1415" w:type="pct"/>
                  <w:vAlign w:val="center"/>
                </w:tcPr>
                <w:p>
                  <w:pPr>
                    <w:spacing w:line="360" w:lineRule="auto"/>
                    <w:jc w:val="center"/>
                    <w:rPr>
                      <w:rFonts w:hint="eastAsia" w:eastAsia="宋体"/>
                      <w:szCs w:val="21"/>
                      <w:lang w:eastAsia="zh-CN"/>
                    </w:rPr>
                  </w:pPr>
                  <w:r>
                    <w:rPr>
                      <w:rFonts w:hint="eastAsia"/>
                      <w:szCs w:val="21"/>
                      <w:lang w:eastAsia="zh-CN"/>
                    </w:rPr>
                    <w:t>厂界（东南西北）</w:t>
                  </w:r>
                </w:p>
              </w:tc>
              <w:tc>
                <w:tcPr>
                  <w:tcW w:w="938" w:type="pct"/>
                  <w:vAlign w:val="center"/>
                </w:tcPr>
                <w:p>
                  <w:pPr>
                    <w:spacing w:line="360" w:lineRule="auto"/>
                    <w:jc w:val="center"/>
                    <w:rPr>
                      <w:szCs w:val="21"/>
                    </w:rPr>
                  </w:pPr>
                  <w:r>
                    <w:rPr>
                      <w:rFonts w:hint="eastAsia"/>
                      <w:szCs w:val="21"/>
                      <w:lang w:val="en-US" w:eastAsia="zh-CN"/>
                    </w:rPr>
                    <w:t>1</w:t>
                  </w:r>
                  <w:r>
                    <w:rPr>
                      <w:szCs w:val="21"/>
                    </w:rPr>
                    <w:t>次/天，共2天</w:t>
                  </w:r>
                </w:p>
              </w:tc>
            </w:tr>
          </w:tbl>
          <w:p>
            <w:pPr>
              <w:pStyle w:val="6"/>
            </w:pPr>
            <w:bookmarkStart w:id="163" w:name="_Toc12034"/>
            <w:bookmarkStart w:id="164" w:name="_Toc27616"/>
            <w:bookmarkStart w:id="165" w:name="_Toc32263"/>
            <w:r>
              <w:rPr>
                <w:rFonts w:hint="eastAsia"/>
              </w:rPr>
              <w:t>噪声</w:t>
            </w:r>
            <w:bookmarkEnd w:id="158"/>
            <w:bookmarkEnd w:id="159"/>
            <w:bookmarkEnd w:id="160"/>
            <w:bookmarkEnd w:id="161"/>
            <w:bookmarkEnd w:id="163"/>
            <w:bookmarkEnd w:id="164"/>
            <w:bookmarkEnd w:id="165"/>
          </w:p>
          <w:p>
            <w:pPr>
              <w:pStyle w:val="85"/>
              <w:spacing w:line="360" w:lineRule="auto"/>
            </w:pPr>
            <w:r>
              <w:rPr>
                <w:rFonts w:hint="eastAsia"/>
              </w:rPr>
              <w:t>厂界噪声监测内容具体见表6.1-</w:t>
            </w:r>
            <w:r>
              <w:rPr>
                <w:rFonts w:hint="eastAsia"/>
                <w:lang w:val="en-US"/>
              </w:rPr>
              <w:t>2</w:t>
            </w:r>
            <w:r>
              <w:rPr>
                <w:rFonts w:hint="eastAsia"/>
              </w:rPr>
              <w:t>。</w:t>
            </w:r>
          </w:p>
          <w:p>
            <w:pPr>
              <w:pStyle w:val="15"/>
              <w:spacing w:line="360" w:lineRule="auto"/>
            </w:pPr>
            <w:r>
              <w:rPr>
                <w:rFonts w:hint="eastAsia" w:ascii="Times New Roman" w:hAnsi="Times New Roman" w:cs="Times New Roman" w:eastAsiaTheme="majorEastAsia"/>
                <w:b/>
                <w:bCs/>
                <w:color w:val="000000"/>
                <w:kern w:val="0"/>
                <w:sz w:val="24"/>
                <w:szCs w:val="24"/>
                <w:lang w:val="en-US" w:eastAsia="zh-CN" w:bidi="ar-SA"/>
              </w:rPr>
              <w:t>表 6.1-2  厂界噪声排放监测内容一览表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1554"/>
              <w:gridCol w:w="1400"/>
              <w:gridCol w:w="3114"/>
              <w:gridCol w:w="17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shd w:val="clear" w:color="auto" w:fill="auto"/>
                  <w:vAlign w:val="center"/>
                </w:tcPr>
                <w:p>
                  <w:pPr>
                    <w:pStyle w:val="58"/>
                  </w:pPr>
                  <w:r>
                    <w:rPr>
                      <w:rFonts w:hint="eastAsia"/>
                    </w:rPr>
                    <w:t>序号</w:t>
                  </w:r>
                </w:p>
              </w:tc>
              <w:tc>
                <w:tcPr>
                  <w:tcW w:w="892" w:type="pct"/>
                  <w:shd w:val="clear" w:color="auto" w:fill="auto"/>
                  <w:vAlign w:val="center"/>
                </w:tcPr>
                <w:p>
                  <w:pPr>
                    <w:pStyle w:val="58"/>
                  </w:pPr>
                  <w:r>
                    <w:rPr>
                      <w:rFonts w:hint="eastAsia"/>
                    </w:rPr>
                    <w:t>监测点位</w:t>
                  </w:r>
                </w:p>
              </w:tc>
              <w:tc>
                <w:tcPr>
                  <w:tcW w:w="804" w:type="pct"/>
                  <w:shd w:val="clear" w:color="auto" w:fill="auto"/>
                  <w:vAlign w:val="center"/>
                </w:tcPr>
                <w:p>
                  <w:pPr>
                    <w:pStyle w:val="58"/>
                  </w:pPr>
                  <w:r>
                    <w:rPr>
                      <w:rFonts w:hint="eastAsia"/>
                    </w:rPr>
                    <w:t>监测项目</w:t>
                  </w:r>
                </w:p>
              </w:tc>
              <w:tc>
                <w:tcPr>
                  <w:tcW w:w="1788" w:type="pct"/>
                  <w:shd w:val="clear" w:color="auto" w:fill="auto"/>
                  <w:vAlign w:val="center"/>
                </w:tcPr>
                <w:p>
                  <w:pPr>
                    <w:pStyle w:val="58"/>
                  </w:pPr>
                  <w:r>
                    <w:rPr>
                      <w:rFonts w:hint="eastAsia"/>
                    </w:rPr>
                    <w:t>监测天数和频次</w:t>
                  </w:r>
                </w:p>
              </w:tc>
              <w:tc>
                <w:tcPr>
                  <w:tcW w:w="1006" w:type="pct"/>
                  <w:vAlign w:val="center"/>
                </w:tcPr>
                <w:p>
                  <w:pPr>
                    <w:pStyle w:val="58"/>
                  </w:pPr>
                  <w:r>
                    <w:rPr>
                      <w:rFonts w:hint="eastAsia"/>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shd w:val="clear" w:color="auto" w:fill="auto"/>
                  <w:vAlign w:val="center"/>
                </w:tcPr>
                <w:p>
                  <w:pPr>
                    <w:pStyle w:val="58"/>
                  </w:pPr>
                  <w:r>
                    <w:rPr>
                      <w:rFonts w:hint="eastAsia"/>
                    </w:rPr>
                    <w:t>1</w:t>
                  </w:r>
                </w:p>
              </w:tc>
              <w:tc>
                <w:tcPr>
                  <w:tcW w:w="892" w:type="pct"/>
                  <w:shd w:val="clear" w:color="auto" w:fill="auto"/>
                  <w:vAlign w:val="center"/>
                </w:tcPr>
                <w:p>
                  <w:pPr>
                    <w:pStyle w:val="58"/>
                  </w:pPr>
                  <w:r>
                    <w:rPr>
                      <w:rFonts w:hint="eastAsia"/>
                    </w:rPr>
                    <w:t>厂界四周</w:t>
                  </w:r>
                </w:p>
              </w:tc>
              <w:tc>
                <w:tcPr>
                  <w:tcW w:w="804" w:type="pct"/>
                  <w:shd w:val="clear" w:color="auto" w:fill="auto"/>
                  <w:vAlign w:val="center"/>
                </w:tcPr>
                <w:p>
                  <w:pPr>
                    <w:pStyle w:val="58"/>
                  </w:pPr>
                  <w:r>
                    <w:rPr>
                      <w:rFonts w:hint="eastAsia"/>
                    </w:rPr>
                    <w:t>L</w:t>
                  </w:r>
                  <w:r>
                    <w:rPr>
                      <w:rFonts w:hint="eastAsia"/>
                      <w:vertAlign w:val="subscript"/>
                    </w:rPr>
                    <w:t>Aeq</w:t>
                  </w:r>
                </w:p>
              </w:tc>
              <w:tc>
                <w:tcPr>
                  <w:tcW w:w="1788" w:type="pct"/>
                  <w:shd w:val="clear" w:color="auto" w:fill="auto"/>
                  <w:vAlign w:val="center"/>
                </w:tcPr>
                <w:p>
                  <w:pPr>
                    <w:pStyle w:val="58"/>
                  </w:pPr>
                  <w:r>
                    <w:rPr>
                      <w:rFonts w:hint="eastAsia"/>
                    </w:rPr>
                    <w:t>2天，每天昼间、夜间各测1次</w:t>
                  </w:r>
                </w:p>
              </w:tc>
              <w:tc>
                <w:tcPr>
                  <w:tcW w:w="1006" w:type="pct"/>
                  <w:vAlign w:val="center"/>
                </w:tcPr>
                <w:p>
                  <w:pPr>
                    <w:pStyle w:val="58"/>
                  </w:pPr>
                  <w:r>
                    <w:rPr>
                      <w:rFonts w:hint="eastAsia"/>
                    </w:rPr>
                    <w:t>/</w:t>
                  </w:r>
                </w:p>
              </w:tc>
            </w:tr>
          </w:tbl>
          <w:p>
            <w:pPr>
              <w:spacing w:before="48" w:beforeLines="20" w:line="360" w:lineRule="auto"/>
              <w:rPr>
                <w:rFonts w:eastAsia="仿宋_GB2312"/>
                <w:szCs w:val="21"/>
              </w:rPr>
            </w:pPr>
          </w:p>
          <w:p>
            <w:pPr>
              <w:spacing w:before="48" w:beforeLines="20" w:line="360" w:lineRule="auto"/>
              <w:rPr>
                <w:rFonts w:eastAsia="仿宋_GB2312"/>
                <w:color w:val="000000"/>
                <w:szCs w:val="21"/>
              </w:rPr>
            </w:pPr>
          </w:p>
        </w:tc>
      </w:tr>
    </w:tbl>
    <w:p>
      <w:pPr>
        <w:pStyle w:val="3"/>
      </w:pPr>
      <w:bookmarkStart w:id="166" w:name="_Toc18371"/>
      <w:bookmarkStart w:id="167" w:name="_Toc20084"/>
      <w:r>
        <w:rPr>
          <w:rFonts w:hint="eastAsia"/>
        </w:rPr>
        <w:t>验收监测期间生产工况记录：</w:t>
      </w:r>
      <w:bookmarkEnd w:id="166"/>
      <w:bookmarkEnd w:id="167"/>
    </w:p>
    <w:tbl>
      <w:tblPr>
        <w:tblStyle w:val="37"/>
        <w:tblW w:w="91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9182" w:type="dxa"/>
          </w:tcPr>
          <w:p>
            <w:pPr>
              <w:pStyle w:val="5"/>
            </w:pPr>
            <w:bookmarkStart w:id="168" w:name="_Toc524703352"/>
            <w:bookmarkEnd w:id="168"/>
            <w:bookmarkStart w:id="169" w:name="_Toc531879848"/>
            <w:bookmarkEnd w:id="169"/>
            <w:bookmarkStart w:id="170" w:name="_Toc531881923"/>
            <w:bookmarkEnd w:id="170"/>
            <w:bookmarkStart w:id="171" w:name="_Toc519235313"/>
            <w:bookmarkEnd w:id="171"/>
            <w:bookmarkStart w:id="172" w:name="_Toc518567431"/>
            <w:bookmarkEnd w:id="172"/>
            <w:bookmarkStart w:id="173" w:name="_Toc524703419"/>
            <w:bookmarkEnd w:id="173"/>
            <w:bookmarkStart w:id="174" w:name="_Toc529265112"/>
            <w:bookmarkEnd w:id="174"/>
            <w:bookmarkStart w:id="175" w:name="_Toc519235247"/>
            <w:bookmarkEnd w:id="175"/>
            <w:bookmarkStart w:id="176" w:name="_Toc519179445"/>
            <w:bookmarkEnd w:id="176"/>
            <w:bookmarkStart w:id="177" w:name="_Toc1559"/>
            <w:bookmarkStart w:id="178" w:name="_Toc5773"/>
            <w:r>
              <w:rPr>
                <w:rFonts w:hint="eastAsia"/>
              </w:rPr>
              <w:t>验收工况</w:t>
            </w:r>
            <w:bookmarkEnd w:id="177"/>
            <w:bookmarkEnd w:id="178"/>
          </w:p>
          <w:p>
            <w:pPr>
              <w:pStyle w:val="4"/>
              <w:rPr>
                <w:rFonts w:hint="default" w:eastAsiaTheme="majorEastAsia"/>
                <w:lang w:val="en-US" w:eastAsia="zh-CN"/>
              </w:rPr>
            </w:pPr>
            <w:r>
              <w:rPr>
                <w:rFonts w:hint="eastAsia"/>
              </w:rPr>
              <w:t>验收监测期间，企业记录了生产工况，具体见表7.1-1。</w:t>
            </w:r>
          </w:p>
          <w:p>
            <w:pPr>
              <w:pStyle w:val="4"/>
              <w:ind w:firstLine="0" w:firstLineChars="0"/>
              <w:jc w:val="center"/>
              <w:rPr>
                <w:rFonts w:hint="eastAsia"/>
                <w:b/>
              </w:rPr>
            </w:pPr>
            <w:r>
              <w:rPr>
                <w:rFonts w:hint="eastAsia"/>
                <w:b/>
              </w:rPr>
              <w:t>表7.1-1 验收监测期间</w:t>
            </w:r>
            <w:r>
              <w:rPr>
                <w:rFonts w:hint="eastAsia"/>
                <w:b/>
                <w:lang w:val="en-US" w:eastAsia="zh-CN"/>
              </w:rPr>
              <w:t>建筑垃圾可循环处理项目</w:t>
            </w:r>
            <w:r>
              <w:rPr>
                <w:rFonts w:hint="eastAsia"/>
                <w:b/>
              </w:rPr>
              <w:t>生产工况统计表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58"/>
              <w:gridCol w:w="1253"/>
              <w:gridCol w:w="1653"/>
              <w:gridCol w:w="1289"/>
              <w:gridCol w:w="1689"/>
              <w:gridCol w:w="11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092" w:type="pct"/>
                  <w:vMerge w:val="restart"/>
                  <w:tcBorders>
                    <w:top w:val="single" w:color="auto" w:sz="12" w:space="0"/>
                    <w:bottom w:val="single" w:color="auto" w:sz="4" w:space="0"/>
                  </w:tcBorders>
                  <w:shd w:val="clear" w:color="auto" w:fill="auto"/>
                  <w:vAlign w:val="center"/>
                </w:tcPr>
                <w:p>
                  <w:pPr>
                    <w:jc w:val="center"/>
                    <w:rPr>
                      <w:color w:val="000000"/>
                      <w:szCs w:val="21"/>
                      <w:highlight w:val="none"/>
                    </w:rPr>
                  </w:pPr>
                  <w:r>
                    <w:rPr>
                      <w:color w:val="000000"/>
                      <w:szCs w:val="21"/>
                      <w:highlight w:val="none"/>
                    </w:rPr>
                    <w:t>主要产品名称</w:t>
                  </w:r>
                </w:p>
              </w:tc>
              <w:tc>
                <w:tcPr>
                  <w:tcW w:w="699" w:type="pct"/>
                  <w:vMerge w:val="restart"/>
                  <w:tcBorders>
                    <w:top w:val="single" w:color="auto" w:sz="12" w:space="0"/>
                    <w:bottom w:val="single" w:color="auto" w:sz="4" w:space="0"/>
                  </w:tcBorders>
                  <w:shd w:val="clear" w:color="auto" w:fill="auto"/>
                  <w:vAlign w:val="center"/>
                </w:tcPr>
                <w:p>
                  <w:pPr>
                    <w:jc w:val="center"/>
                    <w:rPr>
                      <w:color w:val="000000"/>
                      <w:szCs w:val="21"/>
                      <w:highlight w:val="none"/>
                    </w:rPr>
                  </w:pPr>
                  <w:r>
                    <w:rPr>
                      <w:color w:val="000000"/>
                      <w:szCs w:val="21"/>
                      <w:highlight w:val="none"/>
                    </w:rPr>
                    <w:t>批复产量</w:t>
                  </w:r>
                  <w:r>
                    <w:rPr>
                      <w:rFonts w:hint="eastAsia"/>
                      <w:color w:val="000000"/>
                      <w:szCs w:val="21"/>
                      <w:highlight w:val="none"/>
                    </w:rPr>
                    <w:t>（</w:t>
                  </w:r>
                  <w:r>
                    <w:rPr>
                      <w:rFonts w:hint="eastAsia"/>
                      <w:color w:val="000000"/>
                      <w:szCs w:val="21"/>
                      <w:highlight w:val="none"/>
                      <w:lang w:eastAsia="zh-CN"/>
                    </w:rPr>
                    <w:t>万</w:t>
                  </w:r>
                  <w:r>
                    <w:rPr>
                      <w:rFonts w:hint="eastAsia"/>
                      <w:szCs w:val="21"/>
                      <w:highlight w:val="none"/>
                      <w:lang w:val="en-US" w:eastAsia="zh-CN"/>
                    </w:rPr>
                    <w:t>吨</w:t>
                  </w:r>
                  <w:r>
                    <w:rPr>
                      <w:rFonts w:hint="eastAsia"/>
                      <w:szCs w:val="21"/>
                      <w:highlight w:val="none"/>
                    </w:rPr>
                    <w:t>/a</w:t>
                  </w:r>
                  <w:r>
                    <w:rPr>
                      <w:rFonts w:hint="eastAsia"/>
                      <w:color w:val="000000"/>
                      <w:szCs w:val="21"/>
                      <w:highlight w:val="none"/>
                    </w:rPr>
                    <w:t>）</w:t>
                  </w:r>
                </w:p>
              </w:tc>
              <w:tc>
                <w:tcPr>
                  <w:tcW w:w="1641" w:type="pct"/>
                  <w:gridSpan w:val="2"/>
                  <w:tcBorders>
                    <w:top w:val="single" w:color="auto" w:sz="12" w:space="0"/>
                    <w:bottom w:val="single" w:color="auto" w:sz="4" w:space="0"/>
                  </w:tcBorders>
                  <w:shd w:val="clear" w:color="auto" w:fill="auto"/>
                  <w:vAlign w:val="center"/>
                </w:tcPr>
                <w:p>
                  <w:pPr>
                    <w:jc w:val="center"/>
                    <w:rPr>
                      <w:szCs w:val="21"/>
                      <w:highlight w:val="none"/>
                    </w:rPr>
                  </w:pPr>
                  <w:r>
                    <w:rPr>
                      <w:rFonts w:hint="eastAsia"/>
                      <w:szCs w:val="21"/>
                      <w:highlight w:val="none"/>
                      <w:lang w:val="en-US" w:eastAsia="zh-CN"/>
                    </w:rPr>
                    <w:t>2</w:t>
                  </w:r>
                  <w:r>
                    <w:rPr>
                      <w:szCs w:val="21"/>
                      <w:highlight w:val="none"/>
                    </w:rPr>
                    <w:t>月</w:t>
                  </w:r>
                  <w:r>
                    <w:rPr>
                      <w:rFonts w:hint="eastAsia"/>
                      <w:szCs w:val="21"/>
                      <w:highlight w:val="none"/>
                      <w:lang w:val="en-US" w:eastAsia="zh-CN"/>
                    </w:rPr>
                    <w:t>28</w:t>
                  </w:r>
                  <w:r>
                    <w:rPr>
                      <w:szCs w:val="21"/>
                      <w:highlight w:val="none"/>
                    </w:rPr>
                    <w:t>日</w:t>
                  </w:r>
                </w:p>
              </w:tc>
              <w:tc>
                <w:tcPr>
                  <w:tcW w:w="1568" w:type="pct"/>
                  <w:gridSpan w:val="2"/>
                  <w:tcBorders>
                    <w:top w:val="single" w:color="auto" w:sz="12" w:space="0"/>
                    <w:bottom w:val="single" w:color="auto" w:sz="4" w:space="0"/>
                  </w:tcBorders>
                  <w:shd w:val="clear" w:color="auto" w:fill="auto"/>
                  <w:vAlign w:val="center"/>
                </w:tcPr>
                <w:p>
                  <w:pPr>
                    <w:jc w:val="center"/>
                    <w:rPr>
                      <w:szCs w:val="21"/>
                      <w:highlight w:val="none"/>
                    </w:rPr>
                  </w:pPr>
                  <w:r>
                    <w:rPr>
                      <w:rFonts w:hint="eastAsia"/>
                      <w:szCs w:val="21"/>
                      <w:highlight w:val="none"/>
                      <w:lang w:val="en-US" w:eastAsia="zh-CN"/>
                    </w:rPr>
                    <w:t>3</w:t>
                  </w:r>
                  <w:r>
                    <w:rPr>
                      <w:szCs w:val="21"/>
                      <w:highlight w:val="none"/>
                    </w:rPr>
                    <w:t>月</w:t>
                  </w:r>
                  <w:r>
                    <w:rPr>
                      <w:rFonts w:hint="eastAsia"/>
                      <w:szCs w:val="21"/>
                      <w:highlight w:val="none"/>
                      <w:lang w:val="en-US" w:eastAsia="zh-CN"/>
                    </w:rPr>
                    <w:t>1</w:t>
                  </w:r>
                  <w:r>
                    <w:rPr>
                      <w:szCs w:val="21"/>
                      <w:highlight w:val="none"/>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1092" w:type="pct"/>
                  <w:vMerge w:val="continue"/>
                  <w:tcBorders>
                    <w:top w:val="single" w:color="auto" w:sz="4" w:space="0"/>
                    <w:bottom w:val="single" w:color="auto" w:sz="4" w:space="0"/>
                  </w:tcBorders>
                  <w:shd w:val="clear" w:color="auto" w:fill="auto"/>
                  <w:vAlign w:val="center"/>
                </w:tcPr>
                <w:p>
                  <w:pPr>
                    <w:jc w:val="center"/>
                    <w:rPr>
                      <w:color w:val="000000"/>
                      <w:szCs w:val="21"/>
                      <w:highlight w:val="none"/>
                    </w:rPr>
                  </w:pPr>
                </w:p>
              </w:tc>
              <w:tc>
                <w:tcPr>
                  <w:tcW w:w="699" w:type="pct"/>
                  <w:vMerge w:val="continue"/>
                  <w:tcBorders>
                    <w:top w:val="single" w:color="auto" w:sz="4" w:space="0"/>
                    <w:bottom w:val="single" w:color="auto" w:sz="4" w:space="0"/>
                  </w:tcBorders>
                  <w:shd w:val="clear" w:color="auto" w:fill="auto"/>
                  <w:vAlign w:val="center"/>
                </w:tcPr>
                <w:p>
                  <w:pPr>
                    <w:jc w:val="center"/>
                    <w:rPr>
                      <w:color w:val="000000"/>
                      <w:szCs w:val="21"/>
                      <w:highlight w:val="none"/>
                    </w:rPr>
                  </w:pPr>
                </w:p>
              </w:tc>
              <w:tc>
                <w:tcPr>
                  <w:tcW w:w="922" w:type="pct"/>
                  <w:tcBorders>
                    <w:top w:val="single" w:color="auto" w:sz="4" w:space="0"/>
                    <w:bottom w:val="single" w:color="auto" w:sz="4" w:space="0"/>
                  </w:tcBorders>
                  <w:shd w:val="clear" w:color="auto" w:fill="auto"/>
                  <w:vAlign w:val="center"/>
                </w:tcPr>
                <w:p>
                  <w:pPr>
                    <w:jc w:val="center"/>
                    <w:rPr>
                      <w:szCs w:val="21"/>
                      <w:highlight w:val="none"/>
                    </w:rPr>
                  </w:pPr>
                  <w:r>
                    <w:rPr>
                      <w:szCs w:val="21"/>
                      <w:highlight w:val="none"/>
                    </w:rPr>
                    <w:t>实际产量</w:t>
                  </w:r>
                  <w:r>
                    <w:rPr>
                      <w:rFonts w:hint="eastAsia"/>
                      <w:szCs w:val="21"/>
                      <w:highlight w:val="none"/>
                    </w:rPr>
                    <w:t>（</w:t>
                  </w:r>
                  <w:r>
                    <w:rPr>
                      <w:rFonts w:hint="eastAsia"/>
                      <w:szCs w:val="21"/>
                      <w:highlight w:val="none"/>
                      <w:lang w:val="en-US" w:eastAsia="zh-CN"/>
                    </w:rPr>
                    <w:t>吨</w:t>
                  </w:r>
                  <w:r>
                    <w:rPr>
                      <w:rFonts w:hint="eastAsia"/>
                      <w:szCs w:val="21"/>
                      <w:highlight w:val="none"/>
                    </w:rPr>
                    <w:t>/d）</w:t>
                  </w:r>
                </w:p>
              </w:tc>
              <w:tc>
                <w:tcPr>
                  <w:tcW w:w="719" w:type="pct"/>
                  <w:tcBorders>
                    <w:top w:val="single" w:color="auto" w:sz="4" w:space="0"/>
                    <w:bottom w:val="single" w:color="auto" w:sz="4" w:space="0"/>
                  </w:tcBorders>
                  <w:shd w:val="clear" w:color="auto" w:fill="auto"/>
                  <w:vAlign w:val="center"/>
                </w:tcPr>
                <w:p>
                  <w:pPr>
                    <w:jc w:val="center"/>
                    <w:rPr>
                      <w:szCs w:val="21"/>
                      <w:highlight w:val="none"/>
                    </w:rPr>
                  </w:pPr>
                  <w:r>
                    <w:rPr>
                      <w:szCs w:val="21"/>
                      <w:highlight w:val="none"/>
                    </w:rPr>
                    <w:t>生产负荷</w:t>
                  </w:r>
                </w:p>
              </w:tc>
              <w:tc>
                <w:tcPr>
                  <w:tcW w:w="942" w:type="pct"/>
                  <w:tcBorders>
                    <w:top w:val="single" w:color="auto" w:sz="4" w:space="0"/>
                    <w:bottom w:val="single" w:color="auto" w:sz="4" w:space="0"/>
                  </w:tcBorders>
                  <w:shd w:val="clear" w:color="auto" w:fill="auto"/>
                  <w:vAlign w:val="center"/>
                </w:tcPr>
                <w:p>
                  <w:pPr>
                    <w:jc w:val="center"/>
                    <w:rPr>
                      <w:szCs w:val="21"/>
                      <w:highlight w:val="none"/>
                    </w:rPr>
                  </w:pPr>
                  <w:r>
                    <w:rPr>
                      <w:szCs w:val="21"/>
                      <w:highlight w:val="none"/>
                    </w:rPr>
                    <w:t>实际产量</w:t>
                  </w:r>
                  <w:r>
                    <w:rPr>
                      <w:rFonts w:hint="eastAsia"/>
                      <w:szCs w:val="21"/>
                      <w:highlight w:val="none"/>
                    </w:rPr>
                    <w:t>（</w:t>
                  </w:r>
                  <w:r>
                    <w:rPr>
                      <w:rFonts w:hint="eastAsia"/>
                      <w:szCs w:val="21"/>
                      <w:highlight w:val="none"/>
                      <w:lang w:val="en-US" w:eastAsia="zh-CN"/>
                    </w:rPr>
                    <w:t>吨</w:t>
                  </w:r>
                  <w:r>
                    <w:rPr>
                      <w:rFonts w:hint="eastAsia"/>
                      <w:szCs w:val="21"/>
                      <w:highlight w:val="none"/>
                    </w:rPr>
                    <w:t>/d）</w:t>
                  </w:r>
                </w:p>
              </w:tc>
              <w:tc>
                <w:tcPr>
                  <w:tcW w:w="626" w:type="pct"/>
                  <w:tcBorders>
                    <w:top w:val="single" w:color="auto" w:sz="4" w:space="0"/>
                    <w:bottom w:val="single" w:color="auto" w:sz="4" w:space="0"/>
                  </w:tcBorders>
                  <w:shd w:val="clear" w:color="auto" w:fill="auto"/>
                  <w:vAlign w:val="center"/>
                </w:tcPr>
                <w:p>
                  <w:pPr>
                    <w:jc w:val="center"/>
                    <w:rPr>
                      <w:szCs w:val="21"/>
                      <w:highlight w:val="none"/>
                    </w:rPr>
                  </w:pPr>
                  <w:r>
                    <w:rPr>
                      <w:szCs w:val="21"/>
                      <w:highlight w:val="none"/>
                    </w:rPr>
                    <w:t>生产负荷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exact"/>
                <w:jc w:val="center"/>
              </w:trPr>
              <w:tc>
                <w:tcPr>
                  <w:tcW w:w="1092" w:type="pct"/>
                  <w:tcBorders>
                    <w:top w:val="single" w:color="auto" w:sz="4" w:space="0"/>
                    <w:bottom w:val="single" w:color="auto" w:sz="12" w:space="0"/>
                  </w:tcBorders>
                  <w:shd w:val="clear" w:color="auto" w:fill="auto"/>
                  <w:vAlign w:val="center"/>
                </w:tcPr>
                <w:p>
                  <w:pPr>
                    <w:ind w:left="-107" w:leftChars="-51" w:right="-113" w:rightChars="-54"/>
                    <w:jc w:val="center"/>
                    <w:rPr>
                      <w:rFonts w:hint="default" w:eastAsia="宋体"/>
                      <w:szCs w:val="21"/>
                      <w:highlight w:val="none"/>
                      <w:lang w:val="en-US" w:eastAsia="zh-CN"/>
                    </w:rPr>
                  </w:pPr>
                  <w:r>
                    <w:rPr>
                      <w:rFonts w:hint="eastAsia"/>
                      <w:szCs w:val="21"/>
                      <w:highlight w:val="none"/>
                      <w:lang w:val="en-US" w:eastAsia="zh-CN"/>
                    </w:rPr>
                    <w:t>石子、石粉</w:t>
                  </w:r>
                </w:p>
              </w:tc>
              <w:tc>
                <w:tcPr>
                  <w:tcW w:w="699" w:type="pct"/>
                  <w:tcBorders>
                    <w:top w:val="single" w:color="auto" w:sz="4" w:space="0"/>
                    <w:bottom w:val="single" w:color="auto" w:sz="12" w:space="0"/>
                  </w:tcBorders>
                  <w:shd w:val="clear" w:color="auto" w:fill="auto"/>
                  <w:vAlign w:val="center"/>
                </w:tcPr>
                <w:p>
                  <w:pPr>
                    <w:ind w:left="-107" w:leftChars="-51" w:right="-94" w:rightChars="-45"/>
                    <w:jc w:val="center"/>
                    <w:rPr>
                      <w:rFonts w:hint="default" w:eastAsia="宋体"/>
                      <w:szCs w:val="21"/>
                      <w:highlight w:val="none"/>
                      <w:lang w:val="en-US" w:eastAsia="zh-CN"/>
                    </w:rPr>
                  </w:pPr>
                  <w:r>
                    <w:rPr>
                      <w:rFonts w:hint="eastAsia"/>
                      <w:color w:val="000000" w:themeColor="text1"/>
                      <w:szCs w:val="21"/>
                      <w:highlight w:val="none"/>
                      <w:lang w:val="en-US" w:eastAsia="zh-CN"/>
                      <w14:textFill>
                        <w14:solidFill>
                          <w14:schemeClr w14:val="tx1"/>
                        </w14:solidFill>
                      </w14:textFill>
                    </w:rPr>
                    <w:t>39</w:t>
                  </w:r>
                </w:p>
              </w:tc>
              <w:tc>
                <w:tcPr>
                  <w:tcW w:w="922" w:type="pct"/>
                  <w:tcBorders>
                    <w:top w:val="single" w:color="auto" w:sz="4" w:space="0"/>
                    <w:bottom w:val="single" w:color="auto" w:sz="12" w:space="0"/>
                  </w:tcBorders>
                  <w:shd w:val="clear" w:color="auto" w:fill="auto"/>
                  <w:vAlign w:val="center"/>
                </w:tcPr>
                <w:p>
                  <w:pPr>
                    <w:jc w:val="center"/>
                    <w:rPr>
                      <w:rFonts w:hint="default" w:eastAsia="宋体"/>
                      <w:color w:val="000000"/>
                      <w:szCs w:val="21"/>
                      <w:highlight w:val="none"/>
                      <w:lang w:val="en-US" w:eastAsia="zh-CN"/>
                    </w:rPr>
                  </w:pPr>
                  <w:r>
                    <w:rPr>
                      <w:rFonts w:hint="eastAsia"/>
                      <w:color w:val="000000" w:themeColor="text1"/>
                      <w:szCs w:val="21"/>
                      <w:highlight w:val="none"/>
                      <w:lang w:val="en-US" w:eastAsia="zh-CN"/>
                      <w14:textFill>
                        <w14:solidFill>
                          <w14:schemeClr w14:val="tx1"/>
                        </w14:solidFill>
                      </w14:textFill>
                    </w:rPr>
                    <w:t>900</w:t>
                  </w:r>
                </w:p>
              </w:tc>
              <w:tc>
                <w:tcPr>
                  <w:tcW w:w="719" w:type="pct"/>
                  <w:tcBorders>
                    <w:top w:val="single" w:color="auto" w:sz="4" w:space="0"/>
                    <w:bottom w:val="single" w:color="auto" w:sz="12" w:space="0"/>
                  </w:tcBorders>
                  <w:shd w:val="clear" w:color="auto" w:fill="auto"/>
                  <w:vAlign w:val="center"/>
                </w:tcPr>
                <w:p>
                  <w:pPr>
                    <w:jc w:val="center"/>
                    <w:rPr>
                      <w:color w:val="000000"/>
                      <w:szCs w:val="21"/>
                      <w:highlight w:val="none"/>
                    </w:rPr>
                  </w:pPr>
                  <w:r>
                    <w:rPr>
                      <w:rFonts w:hint="eastAsia"/>
                      <w:color w:val="000000"/>
                      <w:szCs w:val="21"/>
                      <w:highlight w:val="none"/>
                      <w:lang w:val="en-US" w:eastAsia="zh-CN"/>
                    </w:rPr>
                    <w:t>69.2</w:t>
                  </w:r>
                  <w:r>
                    <w:rPr>
                      <w:rFonts w:hint="eastAsia"/>
                      <w:color w:val="000000"/>
                      <w:szCs w:val="21"/>
                      <w:highlight w:val="none"/>
                    </w:rPr>
                    <w:t>%</w:t>
                  </w:r>
                </w:p>
              </w:tc>
              <w:tc>
                <w:tcPr>
                  <w:tcW w:w="942" w:type="pct"/>
                  <w:tcBorders>
                    <w:top w:val="single" w:color="auto" w:sz="4" w:space="0"/>
                    <w:bottom w:val="single" w:color="auto" w:sz="12" w:space="0"/>
                  </w:tcBorders>
                  <w:shd w:val="clear" w:color="auto" w:fill="auto"/>
                  <w:vAlign w:val="center"/>
                </w:tcPr>
                <w:p>
                  <w:pPr>
                    <w:jc w:val="center"/>
                    <w:rPr>
                      <w:rFonts w:hint="default" w:eastAsia="宋体"/>
                      <w:color w:val="000000"/>
                      <w:szCs w:val="21"/>
                      <w:highlight w:val="none"/>
                      <w:lang w:val="en-US" w:eastAsia="zh-CN"/>
                    </w:rPr>
                  </w:pPr>
                  <w:r>
                    <w:rPr>
                      <w:rFonts w:hint="eastAsia"/>
                      <w:color w:val="000000"/>
                      <w:szCs w:val="21"/>
                      <w:highlight w:val="none"/>
                      <w:lang w:val="en-US" w:eastAsia="zh-CN"/>
                    </w:rPr>
                    <w:t>900</w:t>
                  </w:r>
                </w:p>
              </w:tc>
              <w:tc>
                <w:tcPr>
                  <w:tcW w:w="626" w:type="pct"/>
                  <w:tcBorders>
                    <w:top w:val="single" w:color="auto" w:sz="4" w:space="0"/>
                    <w:bottom w:val="single" w:color="auto" w:sz="12" w:space="0"/>
                  </w:tcBorders>
                  <w:shd w:val="clear" w:color="auto" w:fill="auto"/>
                  <w:vAlign w:val="center"/>
                </w:tcPr>
                <w:p>
                  <w:pPr>
                    <w:jc w:val="center"/>
                    <w:rPr>
                      <w:color w:val="000000"/>
                      <w:szCs w:val="21"/>
                      <w:highlight w:val="none"/>
                    </w:rPr>
                  </w:pPr>
                  <w:r>
                    <w:rPr>
                      <w:rFonts w:hint="eastAsia"/>
                      <w:color w:val="000000"/>
                      <w:szCs w:val="21"/>
                      <w:highlight w:val="none"/>
                      <w:lang w:val="en-US" w:eastAsia="zh-CN"/>
                    </w:rPr>
                    <w:t>69.2</w:t>
                  </w:r>
                  <w:r>
                    <w:rPr>
                      <w:rFonts w:hint="eastAsia"/>
                      <w:color w:val="000000"/>
                      <w:szCs w:val="21"/>
                      <w:highlight w:val="none"/>
                    </w:rPr>
                    <w:t>%</w:t>
                  </w:r>
                </w:p>
              </w:tc>
            </w:tr>
          </w:tbl>
          <w:p>
            <w:pPr>
              <w:pStyle w:val="4"/>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9182" w:type="dxa"/>
          </w:tcPr>
          <w:p>
            <w:pPr>
              <w:pStyle w:val="5"/>
            </w:pPr>
            <w:bookmarkStart w:id="179" w:name="_Toc15702"/>
            <w:bookmarkStart w:id="180" w:name="_Toc2643"/>
            <w:r>
              <w:rPr>
                <w:rFonts w:hint="eastAsia"/>
              </w:rPr>
              <w:t>验收监测结果</w:t>
            </w:r>
            <w:bookmarkEnd w:id="179"/>
            <w:bookmarkEnd w:id="180"/>
          </w:p>
          <w:p>
            <w:pPr>
              <w:pStyle w:val="6"/>
            </w:pPr>
            <w:bookmarkStart w:id="181" w:name="_Toc508394839"/>
            <w:bookmarkStart w:id="182" w:name="_Toc508447123"/>
            <w:bookmarkStart w:id="183" w:name="_Toc28537"/>
            <w:bookmarkStart w:id="184" w:name="_Toc18517"/>
            <w:bookmarkStart w:id="185" w:name="_Toc8770"/>
            <w:r>
              <w:rPr>
                <w:rFonts w:hint="eastAsia"/>
              </w:rPr>
              <w:t>污染物达标排放监测结果</w:t>
            </w:r>
            <w:bookmarkEnd w:id="181"/>
            <w:bookmarkEnd w:id="182"/>
            <w:bookmarkEnd w:id="183"/>
            <w:bookmarkEnd w:id="184"/>
            <w:bookmarkEnd w:id="185"/>
          </w:p>
          <w:p>
            <w:pPr>
              <w:pStyle w:val="7"/>
            </w:pPr>
            <w:r>
              <w:rPr>
                <w:rFonts w:hint="eastAsia"/>
              </w:rPr>
              <w:t>废气</w:t>
            </w:r>
          </w:p>
          <w:p>
            <w:pPr>
              <w:pStyle w:val="85"/>
              <w:spacing w:line="360" w:lineRule="auto"/>
              <w:ind w:firstLineChars="200"/>
              <w:jc w:val="both"/>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有</w:t>
            </w:r>
            <w:r>
              <w:rPr>
                <w:color w:val="000000" w:themeColor="text1"/>
                <w14:textFill>
                  <w14:solidFill>
                    <w14:schemeClr w14:val="tx1"/>
                  </w14:solidFill>
                </w14:textFill>
              </w:rPr>
              <w:t>组织废气检测情况具体见表7.2-</w:t>
            </w:r>
            <w:r>
              <w:rPr>
                <w:rFonts w:hint="eastAsia"/>
                <w:color w:val="000000" w:themeColor="text1"/>
                <w:lang w:val="en-US"/>
                <w14:textFill>
                  <w14:solidFill>
                    <w14:schemeClr w14:val="tx1"/>
                  </w14:solidFill>
                </w14:textFill>
              </w:rPr>
              <w:t>1</w:t>
            </w:r>
            <w:r>
              <w:rPr>
                <w:color w:val="000000" w:themeColor="text1"/>
                <w14:textFill>
                  <w14:solidFill>
                    <w14:schemeClr w14:val="tx1"/>
                  </w14:solidFill>
                </w14:textFill>
              </w:rPr>
              <w:t>。</w:t>
            </w:r>
          </w:p>
          <w:p>
            <w:pPr>
              <w:pStyle w:val="85"/>
              <w:spacing w:line="360" w:lineRule="auto"/>
              <w:ind w:firstLine="2409" w:firstLineChars="1000"/>
              <w:rPr>
                <w:b/>
              </w:rPr>
            </w:pPr>
            <w:r>
              <w:rPr>
                <w:rFonts w:hint="eastAsia"/>
                <w:b/>
              </w:rPr>
              <w:t>表 7.2-</w:t>
            </w:r>
            <w:r>
              <w:rPr>
                <w:rFonts w:hint="eastAsia"/>
                <w:b/>
                <w:lang w:val="en-US"/>
              </w:rPr>
              <w:t>1</w:t>
            </w:r>
            <w:r>
              <w:rPr>
                <w:rFonts w:hint="eastAsia"/>
                <w:b/>
              </w:rPr>
              <w:t xml:space="preserve"> </w:t>
            </w:r>
            <w:r>
              <w:rPr>
                <w:rFonts w:hint="eastAsia"/>
                <w:b/>
                <w:lang w:eastAsia="zh-CN"/>
              </w:rPr>
              <w:t>有</w:t>
            </w:r>
            <w:r>
              <w:rPr>
                <w:rFonts w:hint="eastAsia"/>
                <w:b/>
              </w:rPr>
              <w:t>组织工业废气监测结果一览表</w:t>
            </w:r>
          </w:p>
          <w:tbl>
            <w:tblPr>
              <w:tblStyle w:val="37"/>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56"/>
              <w:gridCol w:w="1535"/>
              <w:gridCol w:w="1207"/>
              <w:gridCol w:w="1513"/>
              <w:gridCol w:w="686"/>
              <w:gridCol w:w="686"/>
              <w:gridCol w:w="689"/>
              <w:gridCol w:w="1207"/>
              <w:gridCol w:w="8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311" w:type="pct"/>
                  <w:vMerge w:val="restart"/>
                  <w:noWrap w:val="0"/>
                  <w:vAlign w:val="center"/>
                </w:tcPr>
                <w:p>
                  <w:pPr>
                    <w:pStyle w:val="103"/>
                    <w:ind w:left="-105" w:leftChars="-50" w:right="-105" w:rightChars="-50"/>
                    <w:jc w:val="center"/>
                    <w:rPr>
                      <w:rFonts w:ascii="Times New Roman" w:hAnsi="Times New Roman"/>
                      <w:sz w:val="21"/>
                      <w:szCs w:val="21"/>
                    </w:rPr>
                  </w:pPr>
                  <w:r>
                    <w:rPr>
                      <w:rFonts w:ascii="Times New Roman" w:hAnsi="Times New Roman"/>
                      <w:sz w:val="21"/>
                      <w:szCs w:val="21"/>
                    </w:rPr>
                    <w:t>序号</w:t>
                  </w:r>
                </w:p>
              </w:tc>
              <w:tc>
                <w:tcPr>
                  <w:tcW w:w="858" w:type="pct"/>
                  <w:vMerge w:val="restart"/>
                  <w:noWrap w:val="0"/>
                  <w:vAlign w:val="center"/>
                </w:tcPr>
                <w:p>
                  <w:pPr>
                    <w:pStyle w:val="103"/>
                    <w:ind w:left="-105" w:leftChars="-50" w:right="-105" w:rightChars="-50"/>
                    <w:jc w:val="center"/>
                    <w:rPr>
                      <w:rFonts w:ascii="Times New Roman" w:hAnsi="Times New Roman"/>
                      <w:sz w:val="21"/>
                      <w:szCs w:val="21"/>
                    </w:rPr>
                  </w:pPr>
                  <w:r>
                    <w:rPr>
                      <w:rFonts w:ascii="Times New Roman" w:hAnsi="Times New Roman"/>
                      <w:sz w:val="21"/>
                      <w:szCs w:val="21"/>
                    </w:rPr>
                    <w:t>检测项目</w:t>
                  </w:r>
                </w:p>
              </w:tc>
              <w:tc>
                <w:tcPr>
                  <w:tcW w:w="674" w:type="pct"/>
                  <w:vMerge w:val="restart"/>
                  <w:noWrap w:val="0"/>
                  <w:vAlign w:val="center"/>
                </w:tcPr>
                <w:p>
                  <w:pPr>
                    <w:pStyle w:val="103"/>
                    <w:ind w:left="-105" w:leftChars="-50" w:right="-105" w:rightChars="-50"/>
                    <w:jc w:val="center"/>
                    <w:rPr>
                      <w:rFonts w:ascii="Times New Roman" w:hAnsi="Times New Roman"/>
                      <w:sz w:val="21"/>
                      <w:szCs w:val="21"/>
                    </w:rPr>
                  </w:pPr>
                  <w:r>
                    <w:rPr>
                      <w:rFonts w:ascii="Times New Roman" w:hAnsi="Times New Roman"/>
                      <w:sz w:val="21"/>
                      <w:szCs w:val="21"/>
                    </w:rPr>
                    <w:t>采样日期</w:t>
                  </w:r>
                </w:p>
              </w:tc>
              <w:tc>
                <w:tcPr>
                  <w:tcW w:w="845" w:type="pct"/>
                  <w:vMerge w:val="restart"/>
                  <w:noWrap w:val="0"/>
                  <w:vAlign w:val="center"/>
                </w:tcPr>
                <w:p>
                  <w:pPr>
                    <w:pStyle w:val="103"/>
                    <w:ind w:left="-105" w:leftChars="-50" w:right="-105" w:rightChars="-50"/>
                    <w:jc w:val="center"/>
                    <w:rPr>
                      <w:rFonts w:ascii="Times New Roman" w:hAnsi="Times New Roman"/>
                      <w:sz w:val="21"/>
                      <w:szCs w:val="21"/>
                    </w:rPr>
                  </w:pPr>
                  <w:r>
                    <w:rPr>
                      <w:rFonts w:hint="eastAsia" w:ascii="Times New Roman" w:hAnsi="Times New Roman"/>
                      <w:sz w:val="21"/>
                      <w:szCs w:val="21"/>
                    </w:rPr>
                    <w:t>采样</w:t>
                  </w:r>
                  <w:r>
                    <w:rPr>
                      <w:rFonts w:ascii="Times New Roman" w:hAnsi="Times New Roman"/>
                      <w:sz w:val="21"/>
                      <w:szCs w:val="21"/>
                    </w:rPr>
                    <w:t>点位置</w:t>
                  </w:r>
                </w:p>
              </w:tc>
              <w:tc>
                <w:tcPr>
                  <w:tcW w:w="1151" w:type="pct"/>
                  <w:gridSpan w:val="3"/>
                  <w:noWrap w:val="0"/>
                  <w:vAlign w:val="center"/>
                </w:tcPr>
                <w:p>
                  <w:pPr>
                    <w:pStyle w:val="103"/>
                    <w:ind w:left="-105" w:leftChars="-50" w:right="-105" w:rightChars="-50"/>
                    <w:jc w:val="center"/>
                    <w:rPr>
                      <w:rFonts w:ascii="Times New Roman" w:hAnsi="Times New Roman"/>
                      <w:sz w:val="21"/>
                      <w:szCs w:val="21"/>
                    </w:rPr>
                  </w:pPr>
                  <w:r>
                    <w:rPr>
                      <w:rFonts w:ascii="Times New Roman" w:hAnsi="Times New Roman"/>
                      <w:sz w:val="21"/>
                      <w:szCs w:val="21"/>
                    </w:rPr>
                    <w:t>检测结果</w:t>
                  </w:r>
                </w:p>
              </w:tc>
              <w:tc>
                <w:tcPr>
                  <w:tcW w:w="674" w:type="pct"/>
                  <w:vMerge w:val="restart"/>
                  <w:noWrap w:val="0"/>
                  <w:vAlign w:val="center"/>
                </w:tcPr>
                <w:p>
                  <w:pPr>
                    <w:tabs>
                      <w:tab w:val="left" w:pos="5400"/>
                    </w:tabs>
                    <w:spacing w:after="0"/>
                    <w:ind w:left="-105" w:leftChars="-50" w:right="-105" w:rightChars="-50"/>
                    <w:jc w:val="center"/>
                    <w:rPr>
                      <w:rFonts w:ascii="Times New Roman" w:hAnsi="Times New Roman"/>
                      <w:sz w:val="21"/>
                      <w:szCs w:val="21"/>
                    </w:rPr>
                  </w:pPr>
                  <w:r>
                    <w:rPr>
                      <w:rFonts w:hint="eastAsia" w:ascii="Times New Roman" w:hAnsi="Times New Roman"/>
                      <w:sz w:val="21"/>
                      <w:szCs w:val="21"/>
                    </w:rPr>
                    <w:t>标准限值</w:t>
                  </w:r>
                </w:p>
              </w:tc>
              <w:tc>
                <w:tcPr>
                  <w:tcW w:w="484" w:type="pct"/>
                  <w:vMerge w:val="restart"/>
                  <w:noWrap w:val="0"/>
                  <w:vAlign w:val="center"/>
                </w:tcPr>
                <w:p>
                  <w:pPr>
                    <w:pStyle w:val="103"/>
                    <w:ind w:left="-105" w:leftChars="-50" w:right="-105" w:rightChars="-50"/>
                    <w:jc w:val="center"/>
                    <w:rPr>
                      <w:rFonts w:ascii="Times New Roman" w:hAnsi="Times New Roman"/>
                      <w:sz w:val="21"/>
                      <w:szCs w:val="21"/>
                    </w:rPr>
                  </w:pPr>
                  <w:r>
                    <w:rPr>
                      <w:rFonts w:ascii="Times New Roman" w:hAnsi="Times New Roman"/>
                      <w:sz w:val="21"/>
                      <w:szCs w:val="21"/>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311" w:type="pct"/>
                  <w:vMerge w:val="continue"/>
                  <w:noWrap w:val="0"/>
                  <w:vAlign w:val="center"/>
                </w:tcPr>
                <w:p>
                  <w:pPr>
                    <w:pStyle w:val="103"/>
                    <w:ind w:left="-105" w:leftChars="-50" w:right="-105" w:rightChars="-50"/>
                    <w:jc w:val="center"/>
                    <w:rPr>
                      <w:rFonts w:ascii="Times New Roman" w:hAnsi="Times New Roman"/>
                      <w:sz w:val="21"/>
                      <w:szCs w:val="21"/>
                    </w:rPr>
                  </w:pPr>
                </w:p>
              </w:tc>
              <w:tc>
                <w:tcPr>
                  <w:tcW w:w="858" w:type="pct"/>
                  <w:vMerge w:val="continue"/>
                  <w:noWrap w:val="0"/>
                  <w:vAlign w:val="center"/>
                </w:tcPr>
                <w:p>
                  <w:pPr>
                    <w:pStyle w:val="103"/>
                    <w:ind w:left="-105" w:leftChars="-50" w:right="-105" w:rightChars="-50"/>
                    <w:jc w:val="center"/>
                    <w:rPr>
                      <w:rFonts w:ascii="Times New Roman" w:hAnsi="Times New Roman"/>
                      <w:sz w:val="21"/>
                      <w:szCs w:val="21"/>
                    </w:rPr>
                  </w:pPr>
                </w:p>
              </w:tc>
              <w:tc>
                <w:tcPr>
                  <w:tcW w:w="674"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845"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383" w:type="pct"/>
                  <w:noWrap w:val="0"/>
                  <w:vAlign w:val="center"/>
                </w:tcPr>
                <w:p>
                  <w:pPr>
                    <w:tabs>
                      <w:tab w:val="left" w:pos="5400"/>
                    </w:tabs>
                    <w:spacing w:after="0"/>
                    <w:ind w:left="-105" w:leftChars="-50" w:right="-105" w:rightChars="-50"/>
                    <w:jc w:val="center"/>
                    <w:rPr>
                      <w:rFonts w:ascii="Times New Roman" w:hAnsi="Times New Roman"/>
                      <w:sz w:val="21"/>
                      <w:szCs w:val="21"/>
                    </w:rPr>
                  </w:pPr>
                  <w:r>
                    <w:rPr>
                      <w:rFonts w:ascii="Times New Roman" w:hAnsi="Times New Roman"/>
                      <w:sz w:val="21"/>
                      <w:szCs w:val="21"/>
                    </w:rPr>
                    <w:t>1</w:t>
                  </w:r>
                </w:p>
              </w:tc>
              <w:tc>
                <w:tcPr>
                  <w:tcW w:w="383" w:type="pct"/>
                  <w:noWrap w:val="0"/>
                  <w:vAlign w:val="center"/>
                </w:tcPr>
                <w:p>
                  <w:pPr>
                    <w:tabs>
                      <w:tab w:val="left" w:pos="5400"/>
                    </w:tabs>
                    <w:spacing w:after="0"/>
                    <w:ind w:left="-105" w:leftChars="-50" w:right="-105" w:rightChars="-50"/>
                    <w:jc w:val="center"/>
                    <w:rPr>
                      <w:rFonts w:ascii="Times New Roman" w:hAnsi="Times New Roman"/>
                      <w:sz w:val="21"/>
                      <w:szCs w:val="21"/>
                    </w:rPr>
                  </w:pPr>
                  <w:r>
                    <w:rPr>
                      <w:rFonts w:ascii="Times New Roman" w:hAnsi="Times New Roman"/>
                      <w:sz w:val="21"/>
                      <w:szCs w:val="21"/>
                    </w:rPr>
                    <w:t>2</w:t>
                  </w:r>
                </w:p>
              </w:tc>
              <w:tc>
                <w:tcPr>
                  <w:tcW w:w="384" w:type="pct"/>
                  <w:noWrap w:val="0"/>
                  <w:vAlign w:val="center"/>
                </w:tcPr>
                <w:p>
                  <w:pPr>
                    <w:tabs>
                      <w:tab w:val="left" w:pos="5400"/>
                    </w:tabs>
                    <w:spacing w:after="0"/>
                    <w:ind w:left="-105" w:leftChars="-50" w:right="-105" w:rightChars="-50"/>
                    <w:jc w:val="center"/>
                    <w:rPr>
                      <w:rFonts w:ascii="Times New Roman" w:hAnsi="Times New Roman"/>
                      <w:sz w:val="21"/>
                      <w:szCs w:val="21"/>
                    </w:rPr>
                  </w:pPr>
                  <w:r>
                    <w:rPr>
                      <w:rFonts w:ascii="Times New Roman" w:hAnsi="Times New Roman"/>
                      <w:sz w:val="21"/>
                      <w:szCs w:val="21"/>
                    </w:rPr>
                    <w:t>3</w:t>
                  </w:r>
                </w:p>
              </w:tc>
              <w:tc>
                <w:tcPr>
                  <w:tcW w:w="674"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484" w:type="pct"/>
                  <w:vMerge w:val="continue"/>
                  <w:noWrap w:val="0"/>
                  <w:vAlign w:val="center"/>
                </w:tcPr>
                <w:p>
                  <w:pPr>
                    <w:pStyle w:val="103"/>
                    <w:ind w:left="-105" w:leftChars="-50" w:right="-105" w:rightChars="-50"/>
                    <w:jc w:val="center"/>
                    <w:rPr>
                      <w:rFonts w:ascii="Times New Roman" w:hAnsi="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11" w:type="pct"/>
                  <w:vMerge w:val="restart"/>
                  <w:noWrap w:val="0"/>
                  <w:vAlign w:val="center"/>
                </w:tcPr>
                <w:p>
                  <w:pPr>
                    <w:tabs>
                      <w:tab w:val="left" w:pos="5400"/>
                    </w:tabs>
                    <w:spacing w:after="0"/>
                    <w:ind w:left="-105" w:leftChars="-50" w:right="-105" w:rightChars="-50"/>
                    <w:jc w:val="center"/>
                    <w:rPr>
                      <w:rFonts w:ascii="Times New Roman" w:hAnsi="Times New Roman"/>
                      <w:sz w:val="21"/>
                      <w:szCs w:val="21"/>
                    </w:rPr>
                  </w:pPr>
                  <w:r>
                    <w:rPr>
                      <w:rFonts w:ascii="Times New Roman" w:hAnsi="Times New Roman"/>
                      <w:sz w:val="21"/>
                      <w:szCs w:val="21"/>
                    </w:rPr>
                    <w:t>1</w:t>
                  </w:r>
                </w:p>
              </w:tc>
              <w:tc>
                <w:tcPr>
                  <w:tcW w:w="858" w:type="pct"/>
                  <w:vMerge w:val="restart"/>
                  <w:noWrap w:val="0"/>
                  <w:vAlign w:val="center"/>
                </w:tcPr>
                <w:p>
                  <w:pPr>
                    <w:tabs>
                      <w:tab w:val="left" w:pos="5400"/>
                    </w:tabs>
                    <w:spacing w:after="0"/>
                    <w:ind w:left="-105" w:leftChars="-50" w:right="-105" w:rightChars="-50"/>
                    <w:jc w:val="center"/>
                    <w:rPr>
                      <w:rFonts w:hint="eastAsia" w:ascii="Times New Roman" w:hAnsi="Times New Roman"/>
                      <w:sz w:val="21"/>
                      <w:szCs w:val="21"/>
                    </w:rPr>
                  </w:pPr>
                  <w:r>
                    <w:rPr>
                      <w:rFonts w:hint="eastAsia" w:ascii="Times New Roman" w:hAnsi="Times New Roman"/>
                      <w:color w:val="000000"/>
                      <w:sz w:val="21"/>
                      <w:szCs w:val="21"/>
                    </w:rPr>
                    <w:t>颗粒物</w:t>
                  </w:r>
                </w:p>
              </w:tc>
              <w:tc>
                <w:tcPr>
                  <w:tcW w:w="674" w:type="pct"/>
                  <w:noWrap w:val="0"/>
                  <w:vAlign w:val="center"/>
                </w:tcPr>
                <w:p>
                  <w:pPr>
                    <w:tabs>
                      <w:tab w:val="left" w:pos="5400"/>
                    </w:tabs>
                    <w:spacing w:after="0"/>
                    <w:ind w:left="-105" w:leftChars="-50" w:right="-105" w:rightChars="-50"/>
                    <w:jc w:val="center"/>
                    <w:rPr>
                      <w:rFonts w:hint="eastAsia" w:ascii="Times New Roman" w:hAnsi="Times New Roman" w:eastAsia="宋体"/>
                      <w:sz w:val="21"/>
                      <w:szCs w:val="21"/>
                      <w:lang w:val="en-US" w:eastAsia="zh-CN"/>
                    </w:rPr>
                  </w:pPr>
                  <w:r>
                    <w:rPr>
                      <w:rFonts w:hint="eastAsia"/>
                      <w:sz w:val="21"/>
                      <w:szCs w:val="21"/>
                      <w:lang w:eastAsia="zh-CN"/>
                    </w:rPr>
                    <w:t>2022.2.28</w:t>
                  </w:r>
                </w:p>
              </w:tc>
              <w:tc>
                <w:tcPr>
                  <w:tcW w:w="845" w:type="pct"/>
                  <w:noWrap w:val="0"/>
                  <w:vAlign w:val="center"/>
                </w:tcPr>
                <w:p>
                  <w:pPr>
                    <w:tabs>
                      <w:tab w:val="left" w:pos="5400"/>
                    </w:tabs>
                    <w:spacing w:after="0"/>
                    <w:ind w:left="-105" w:leftChars="-50" w:right="-105" w:rightChars="-50"/>
                    <w:jc w:val="center"/>
                    <w:rPr>
                      <w:rFonts w:hint="default" w:ascii="Times New Roman" w:hAnsi="Times New Roman"/>
                      <w:sz w:val="21"/>
                      <w:szCs w:val="21"/>
                      <w:lang w:val="en-US"/>
                    </w:rPr>
                  </w:pPr>
                  <w:r>
                    <w:rPr>
                      <w:rFonts w:hint="eastAsia"/>
                      <w:sz w:val="21"/>
                      <w:szCs w:val="21"/>
                      <w:lang w:val="en-US" w:eastAsia="zh-CN"/>
                    </w:rPr>
                    <w:t>有组织废气排放口1#</w:t>
                  </w:r>
                </w:p>
              </w:tc>
              <w:tc>
                <w:tcPr>
                  <w:tcW w:w="383"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34.3</w:t>
                  </w:r>
                </w:p>
              </w:tc>
              <w:tc>
                <w:tcPr>
                  <w:tcW w:w="383"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33.4</w:t>
                  </w:r>
                </w:p>
              </w:tc>
              <w:tc>
                <w:tcPr>
                  <w:tcW w:w="384"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35.2</w:t>
                  </w:r>
                </w:p>
              </w:tc>
              <w:tc>
                <w:tcPr>
                  <w:tcW w:w="674" w:type="pct"/>
                  <w:vMerge w:val="restart"/>
                  <w:noWrap w:val="0"/>
                  <w:vAlign w:val="center"/>
                </w:tcPr>
                <w:p>
                  <w:pPr>
                    <w:spacing w:after="0"/>
                    <w:ind w:left="-105" w:leftChars="-50" w:right="-105" w:rightChars="-50"/>
                    <w:jc w:val="center"/>
                    <w:rPr>
                      <w:rFonts w:ascii="Times New Roman" w:hAnsi="Times New Roman"/>
                      <w:sz w:val="21"/>
                      <w:szCs w:val="21"/>
                    </w:rPr>
                  </w:pPr>
                  <w:r>
                    <w:rPr>
                      <w:rFonts w:hint="eastAsia"/>
                      <w:sz w:val="21"/>
                      <w:szCs w:val="21"/>
                      <w:lang w:val="en-US" w:eastAsia="zh-CN"/>
                    </w:rPr>
                    <w:t>12</w:t>
                  </w:r>
                  <w:r>
                    <w:rPr>
                      <w:rFonts w:hint="eastAsia" w:ascii="Times New Roman" w:hAnsi="Times New Roman"/>
                      <w:sz w:val="21"/>
                      <w:szCs w:val="21"/>
                    </w:rPr>
                    <w:t>0</w:t>
                  </w:r>
                </w:p>
              </w:tc>
              <w:tc>
                <w:tcPr>
                  <w:tcW w:w="484" w:type="pct"/>
                  <w:noWrap w:val="0"/>
                  <w:vAlign w:val="center"/>
                </w:tcPr>
                <w:p>
                  <w:pPr>
                    <w:tabs>
                      <w:tab w:val="left" w:pos="5400"/>
                    </w:tabs>
                    <w:spacing w:after="0"/>
                    <w:ind w:left="-105" w:leftChars="-50" w:right="-105" w:rightChars="-50"/>
                    <w:jc w:val="center"/>
                    <w:rPr>
                      <w:rFonts w:ascii="Times New Roman" w:hAnsi="Times New Roman"/>
                      <w:color w:val="000000"/>
                      <w:sz w:val="21"/>
                      <w:szCs w:val="21"/>
                      <w:shd w:val="clear" w:color="auto" w:fill="FFFFFF"/>
                    </w:rPr>
                  </w:pPr>
                  <w:r>
                    <w:rPr>
                      <w:rFonts w:ascii="Times New Roman" w:hAnsi="Times New Roman"/>
                      <w:sz w:val="21"/>
                      <w:szCs w:val="21"/>
                    </w:rPr>
                    <w:t>mg/m</w:t>
                  </w:r>
                  <w:r>
                    <w:rPr>
                      <w:rFonts w:ascii="Times New Roman" w:hAnsi="Times New Roman"/>
                      <w:sz w:val="21"/>
                      <w:szCs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11"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858"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674" w:type="pct"/>
                  <w:noWrap w:val="0"/>
                  <w:vAlign w:val="center"/>
                </w:tcPr>
                <w:p>
                  <w:pPr>
                    <w:tabs>
                      <w:tab w:val="left" w:pos="5400"/>
                    </w:tabs>
                    <w:spacing w:after="0"/>
                    <w:ind w:left="-105" w:leftChars="-50" w:right="-105" w:rightChars="-50"/>
                    <w:jc w:val="center"/>
                    <w:rPr>
                      <w:rFonts w:hint="eastAsia" w:ascii="Times New Roman" w:hAnsi="Times New Roman" w:eastAsia="宋体"/>
                      <w:sz w:val="21"/>
                      <w:szCs w:val="21"/>
                      <w:lang w:val="en-US" w:eastAsia="zh-CN"/>
                    </w:rPr>
                  </w:pPr>
                  <w:r>
                    <w:rPr>
                      <w:rFonts w:hint="eastAsia"/>
                      <w:sz w:val="21"/>
                      <w:szCs w:val="21"/>
                      <w:lang w:eastAsia="zh-CN"/>
                    </w:rPr>
                    <w:t>2022.3.1</w:t>
                  </w:r>
                </w:p>
              </w:tc>
              <w:tc>
                <w:tcPr>
                  <w:tcW w:w="845" w:type="pct"/>
                  <w:noWrap w:val="0"/>
                  <w:vAlign w:val="center"/>
                </w:tcPr>
                <w:p>
                  <w:pPr>
                    <w:tabs>
                      <w:tab w:val="left" w:pos="5400"/>
                    </w:tabs>
                    <w:spacing w:after="0"/>
                    <w:ind w:left="-105" w:leftChars="-50" w:right="-105" w:rightChars="-50"/>
                    <w:jc w:val="center"/>
                    <w:rPr>
                      <w:rFonts w:hint="default" w:ascii="Times New Roman" w:hAnsi="Times New Roman"/>
                      <w:sz w:val="21"/>
                      <w:szCs w:val="21"/>
                      <w:lang w:val="en-US"/>
                    </w:rPr>
                  </w:pPr>
                  <w:r>
                    <w:rPr>
                      <w:rFonts w:hint="eastAsia"/>
                      <w:sz w:val="21"/>
                      <w:szCs w:val="21"/>
                      <w:lang w:val="en-US" w:eastAsia="zh-CN"/>
                    </w:rPr>
                    <w:t>有组织废气排放口1#</w:t>
                  </w:r>
                </w:p>
              </w:tc>
              <w:tc>
                <w:tcPr>
                  <w:tcW w:w="383"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33.6</w:t>
                  </w:r>
                </w:p>
              </w:tc>
              <w:tc>
                <w:tcPr>
                  <w:tcW w:w="383"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35.2</w:t>
                  </w:r>
                </w:p>
              </w:tc>
              <w:tc>
                <w:tcPr>
                  <w:tcW w:w="384"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34.7</w:t>
                  </w:r>
                </w:p>
              </w:tc>
              <w:tc>
                <w:tcPr>
                  <w:tcW w:w="674" w:type="pct"/>
                  <w:vMerge w:val="continue"/>
                  <w:noWrap w:val="0"/>
                  <w:vAlign w:val="center"/>
                </w:tcPr>
                <w:p>
                  <w:pPr>
                    <w:spacing w:after="0"/>
                    <w:ind w:left="-105" w:leftChars="-50" w:right="-105" w:rightChars="-50"/>
                    <w:jc w:val="center"/>
                    <w:rPr>
                      <w:rFonts w:ascii="Times New Roman" w:hAnsi="Times New Roman"/>
                      <w:sz w:val="21"/>
                      <w:szCs w:val="21"/>
                    </w:rPr>
                  </w:pPr>
                </w:p>
              </w:tc>
              <w:tc>
                <w:tcPr>
                  <w:tcW w:w="484" w:type="pct"/>
                  <w:noWrap w:val="0"/>
                  <w:vAlign w:val="center"/>
                </w:tcPr>
                <w:p>
                  <w:pPr>
                    <w:tabs>
                      <w:tab w:val="left" w:pos="5400"/>
                    </w:tabs>
                    <w:spacing w:after="0"/>
                    <w:ind w:left="-105" w:leftChars="-50" w:right="-105" w:rightChars="-50"/>
                    <w:jc w:val="center"/>
                    <w:rPr>
                      <w:rFonts w:ascii="Times New Roman" w:hAnsi="Times New Roman"/>
                      <w:color w:val="000000"/>
                      <w:sz w:val="21"/>
                      <w:szCs w:val="21"/>
                      <w:shd w:val="clear" w:color="auto" w:fill="FFFFFF"/>
                    </w:rPr>
                  </w:pPr>
                  <w:r>
                    <w:rPr>
                      <w:rFonts w:ascii="Times New Roman" w:hAnsi="Times New Roman"/>
                      <w:sz w:val="21"/>
                      <w:szCs w:val="21"/>
                    </w:rPr>
                    <w:t>mg/m</w:t>
                  </w:r>
                  <w:r>
                    <w:rPr>
                      <w:rFonts w:ascii="Times New Roman" w:hAnsi="Times New Roman"/>
                      <w:sz w:val="21"/>
                      <w:szCs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00" w:type="pct"/>
                  <w:gridSpan w:val="9"/>
                  <w:noWrap w:val="0"/>
                  <w:vAlign w:val="center"/>
                </w:tcPr>
                <w:p>
                  <w:pPr>
                    <w:tabs>
                      <w:tab w:val="left" w:pos="5400"/>
                    </w:tabs>
                    <w:spacing w:after="0"/>
                    <w:ind w:left="-105" w:leftChars="-50" w:right="-105" w:rightChars="-50" w:firstLine="210" w:firstLineChars="100"/>
                    <w:jc w:val="both"/>
                    <w:rPr>
                      <w:rFonts w:ascii="Times New Roman" w:hAnsi="Times New Roman"/>
                      <w:sz w:val="21"/>
                      <w:szCs w:val="21"/>
                    </w:rPr>
                  </w:pPr>
                  <w:r>
                    <w:rPr>
                      <w:rFonts w:hint="eastAsia" w:ascii="Times New Roman" w:hAnsi="Times New Roman"/>
                      <w:color w:val="000000"/>
                      <w:sz w:val="21"/>
                      <w:szCs w:val="21"/>
                      <w:shd w:val="clear" w:color="auto" w:fill="FFFFFF"/>
                    </w:rPr>
                    <w:t>执行标准：《大气污染物综合排放标准》（GB 16297-1996）表2</w:t>
                  </w:r>
                  <w:r>
                    <w:rPr>
                      <w:rFonts w:hint="eastAsia"/>
                      <w:color w:val="000000"/>
                      <w:sz w:val="21"/>
                      <w:szCs w:val="21"/>
                      <w:shd w:val="clear" w:color="auto" w:fill="FFFFFF"/>
                      <w:lang w:eastAsia="zh-CN"/>
                    </w:rPr>
                    <w:t>二级</w:t>
                  </w:r>
                  <w:r>
                    <w:rPr>
                      <w:rFonts w:hint="eastAsia" w:ascii="Times New Roman" w:hAnsi="Times New Roman"/>
                      <w:color w:val="000000"/>
                      <w:sz w:val="21"/>
                      <w:szCs w:val="21"/>
                      <w:shd w:val="clear" w:color="auto" w:fill="FFFFFF"/>
                    </w:rPr>
                    <w:t>限值。</w:t>
                  </w:r>
                </w:p>
              </w:tc>
            </w:tr>
          </w:tbl>
          <w:p>
            <w:pPr>
              <w:pStyle w:val="85"/>
              <w:spacing w:line="360" w:lineRule="auto"/>
              <w:ind w:firstLineChars="200"/>
              <w:jc w:val="both"/>
              <w:rPr>
                <w:color w:val="000000" w:themeColor="text1"/>
                <w14:textFill>
                  <w14:solidFill>
                    <w14:schemeClr w14:val="tx1"/>
                  </w14:solidFill>
                </w14:textFill>
              </w:rPr>
            </w:pPr>
            <w:r>
              <w:rPr>
                <w:color w:val="000000" w:themeColor="text1"/>
                <w14:textFill>
                  <w14:solidFill>
                    <w14:schemeClr w14:val="tx1"/>
                  </w14:solidFill>
                </w14:textFill>
              </w:rPr>
              <w:t>无组织废气检测情况具体见表7.2-</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w:t>
            </w:r>
          </w:p>
          <w:p>
            <w:pPr>
              <w:pStyle w:val="85"/>
              <w:spacing w:line="360" w:lineRule="auto"/>
              <w:ind w:firstLine="2409" w:firstLineChars="1000"/>
              <w:rPr>
                <w:b/>
              </w:rPr>
            </w:pPr>
            <w:r>
              <w:rPr>
                <w:rFonts w:hint="eastAsia"/>
                <w:b/>
              </w:rPr>
              <w:t>表 7.2-</w:t>
            </w:r>
            <w:r>
              <w:rPr>
                <w:rFonts w:hint="eastAsia"/>
                <w:b/>
                <w:lang w:val="en-US" w:eastAsia="zh-CN"/>
              </w:rPr>
              <w:t>2</w:t>
            </w:r>
            <w:r>
              <w:rPr>
                <w:rFonts w:hint="eastAsia"/>
                <w:b/>
              </w:rPr>
              <w:t xml:space="preserve"> 无组织工业废气监测结果一览表</w:t>
            </w:r>
          </w:p>
          <w:tbl>
            <w:tblPr>
              <w:tblStyle w:val="37"/>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6"/>
              <w:gridCol w:w="1543"/>
              <w:gridCol w:w="1207"/>
              <w:gridCol w:w="1513"/>
              <w:gridCol w:w="1720"/>
              <w:gridCol w:w="1357"/>
              <w:gridCol w:w="10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316" w:type="pct"/>
                  <w:vMerge w:val="restart"/>
                  <w:noWrap w:val="0"/>
                  <w:vAlign w:val="center"/>
                </w:tcPr>
                <w:p>
                  <w:pPr>
                    <w:pStyle w:val="103"/>
                    <w:ind w:left="-105" w:leftChars="-50" w:right="-105" w:rightChars="-50"/>
                    <w:jc w:val="center"/>
                    <w:rPr>
                      <w:rFonts w:ascii="Times New Roman" w:hAnsi="Times New Roman"/>
                      <w:sz w:val="21"/>
                      <w:szCs w:val="21"/>
                    </w:rPr>
                  </w:pPr>
                  <w:r>
                    <w:rPr>
                      <w:rFonts w:ascii="Times New Roman" w:hAnsi="Times New Roman"/>
                      <w:sz w:val="21"/>
                      <w:szCs w:val="21"/>
                    </w:rPr>
                    <w:t>序号</w:t>
                  </w:r>
                </w:p>
              </w:tc>
              <w:tc>
                <w:tcPr>
                  <w:tcW w:w="862" w:type="pct"/>
                  <w:vMerge w:val="restart"/>
                  <w:noWrap w:val="0"/>
                  <w:vAlign w:val="center"/>
                </w:tcPr>
                <w:p>
                  <w:pPr>
                    <w:pStyle w:val="103"/>
                    <w:ind w:left="-105" w:leftChars="-50" w:right="-105" w:rightChars="-50"/>
                    <w:jc w:val="center"/>
                    <w:rPr>
                      <w:rFonts w:ascii="Times New Roman" w:hAnsi="Times New Roman"/>
                      <w:sz w:val="21"/>
                      <w:szCs w:val="21"/>
                    </w:rPr>
                  </w:pPr>
                  <w:r>
                    <w:rPr>
                      <w:rFonts w:ascii="Times New Roman" w:hAnsi="Times New Roman"/>
                      <w:sz w:val="21"/>
                      <w:szCs w:val="21"/>
                    </w:rPr>
                    <w:t>检测项目</w:t>
                  </w:r>
                </w:p>
              </w:tc>
              <w:tc>
                <w:tcPr>
                  <w:tcW w:w="674" w:type="pct"/>
                  <w:vMerge w:val="restart"/>
                  <w:noWrap w:val="0"/>
                  <w:vAlign w:val="center"/>
                </w:tcPr>
                <w:p>
                  <w:pPr>
                    <w:pStyle w:val="103"/>
                    <w:ind w:left="-105" w:leftChars="-50" w:right="-105" w:rightChars="-50"/>
                    <w:jc w:val="center"/>
                    <w:rPr>
                      <w:rFonts w:ascii="Times New Roman" w:hAnsi="Times New Roman"/>
                      <w:sz w:val="21"/>
                      <w:szCs w:val="21"/>
                    </w:rPr>
                  </w:pPr>
                  <w:r>
                    <w:rPr>
                      <w:rFonts w:ascii="Times New Roman" w:hAnsi="Times New Roman"/>
                      <w:sz w:val="21"/>
                      <w:szCs w:val="21"/>
                    </w:rPr>
                    <w:t>采样日期</w:t>
                  </w:r>
                </w:p>
              </w:tc>
              <w:tc>
                <w:tcPr>
                  <w:tcW w:w="845" w:type="pct"/>
                  <w:vMerge w:val="restart"/>
                  <w:noWrap w:val="0"/>
                  <w:vAlign w:val="center"/>
                </w:tcPr>
                <w:p>
                  <w:pPr>
                    <w:pStyle w:val="103"/>
                    <w:ind w:left="-105" w:leftChars="-50" w:right="-105" w:rightChars="-50"/>
                    <w:jc w:val="center"/>
                    <w:rPr>
                      <w:rFonts w:ascii="Times New Roman" w:hAnsi="Times New Roman"/>
                      <w:sz w:val="21"/>
                      <w:szCs w:val="21"/>
                    </w:rPr>
                  </w:pPr>
                  <w:r>
                    <w:rPr>
                      <w:rFonts w:hint="eastAsia" w:ascii="Times New Roman" w:hAnsi="Times New Roman"/>
                      <w:sz w:val="21"/>
                      <w:szCs w:val="21"/>
                    </w:rPr>
                    <w:t>采样</w:t>
                  </w:r>
                  <w:r>
                    <w:rPr>
                      <w:rFonts w:ascii="Times New Roman" w:hAnsi="Times New Roman"/>
                      <w:sz w:val="21"/>
                      <w:szCs w:val="21"/>
                    </w:rPr>
                    <w:t>点位置</w:t>
                  </w:r>
                </w:p>
              </w:tc>
              <w:tc>
                <w:tcPr>
                  <w:tcW w:w="961" w:type="pct"/>
                  <w:noWrap w:val="0"/>
                  <w:vAlign w:val="center"/>
                </w:tcPr>
                <w:p>
                  <w:pPr>
                    <w:tabs>
                      <w:tab w:val="left" w:pos="5400"/>
                    </w:tabs>
                    <w:spacing w:after="0"/>
                    <w:ind w:left="-105" w:leftChars="-50" w:right="-105" w:rightChars="-50"/>
                    <w:jc w:val="center"/>
                    <w:rPr>
                      <w:rFonts w:ascii="Times New Roman" w:hAnsi="Times New Roman"/>
                      <w:sz w:val="21"/>
                      <w:szCs w:val="21"/>
                    </w:rPr>
                  </w:pPr>
                  <w:r>
                    <w:rPr>
                      <w:rFonts w:hint="eastAsia" w:ascii="Times New Roman" w:hAnsi="Times New Roman"/>
                      <w:sz w:val="21"/>
                      <w:szCs w:val="21"/>
                    </w:rPr>
                    <w:t>标准限值</w:t>
                  </w:r>
                </w:p>
              </w:tc>
              <w:tc>
                <w:tcPr>
                  <w:tcW w:w="1340" w:type="pct"/>
                  <w:gridSpan w:val="2"/>
                  <w:noWrap w:val="0"/>
                  <w:vAlign w:val="center"/>
                </w:tcPr>
                <w:p>
                  <w:pPr>
                    <w:pStyle w:val="103"/>
                    <w:ind w:left="-105" w:leftChars="-50" w:right="-105" w:rightChars="-50"/>
                    <w:jc w:val="center"/>
                    <w:rPr>
                      <w:rFonts w:ascii="Times New Roman" w:hAnsi="Times New Roman"/>
                      <w:sz w:val="21"/>
                      <w:szCs w:val="21"/>
                    </w:rPr>
                  </w:pPr>
                  <w:r>
                    <w:rPr>
                      <w:rFonts w:hint="eastAsia"/>
                      <w:sz w:val="21"/>
                      <w:szCs w:val="21"/>
                      <w:lang w:eastAsia="zh-CN"/>
                    </w:rPr>
                    <w:t>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316" w:type="pct"/>
                  <w:vMerge w:val="continue"/>
                  <w:noWrap w:val="0"/>
                  <w:vAlign w:val="center"/>
                </w:tcPr>
                <w:p>
                  <w:pPr>
                    <w:pStyle w:val="103"/>
                    <w:ind w:left="-105" w:leftChars="-50" w:right="-105" w:rightChars="-50"/>
                    <w:jc w:val="center"/>
                    <w:rPr>
                      <w:rFonts w:ascii="Times New Roman" w:hAnsi="Times New Roman"/>
                      <w:sz w:val="21"/>
                      <w:szCs w:val="21"/>
                    </w:rPr>
                  </w:pPr>
                </w:p>
              </w:tc>
              <w:tc>
                <w:tcPr>
                  <w:tcW w:w="862" w:type="pct"/>
                  <w:vMerge w:val="continue"/>
                  <w:noWrap w:val="0"/>
                  <w:vAlign w:val="center"/>
                </w:tcPr>
                <w:p>
                  <w:pPr>
                    <w:pStyle w:val="103"/>
                    <w:ind w:left="-105" w:leftChars="-50" w:right="-105" w:rightChars="-50"/>
                    <w:jc w:val="center"/>
                    <w:rPr>
                      <w:rFonts w:ascii="Times New Roman" w:hAnsi="Times New Roman"/>
                      <w:sz w:val="21"/>
                      <w:szCs w:val="21"/>
                    </w:rPr>
                  </w:pPr>
                </w:p>
              </w:tc>
              <w:tc>
                <w:tcPr>
                  <w:tcW w:w="674"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845"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961" w:type="pct"/>
                  <w:noWrap w:val="0"/>
                  <w:vAlign w:val="center"/>
                </w:tcPr>
                <w:p>
                  <w:pPr>
                    <w:tabs>
                      <w:tab w:val="left" w:pos="5400"/>
                    </w:tabs>
                    <w:spacing w:after="0"/>
                    <w:ind w:left="-105" w:leftChars="-50" w:right="-105" w:rightChars="-50"/>
                    <w:jc w:val="center"/>
                    <w:rPr>
                      <w:rFonts w:ascii="Times New Roman" w:hAnsi="Times New Roman"/>
                      <w:sz w:val="21"/>
                      <w:szCs w:val="21"/>
                    </w:rPr>
                  </w:pPr>
                  <w:r>
                    <w:rPr>
                      <w:rFonts w:ascii="Times New Roman" w:hAnsi="Times New Roman"/>
                      <w:sz w:val="21"/>
                      <w:szCs w:val="21"/>
                    </w:rPr>
                    <w:t>1</w:t>
                  </w:r>
                </w:p>
              </w:tc>
              <w:tc>
                <w:tcPr>
                  <w:tcW w:w="758" w:type="pct"/>
                  <w:noWrap w:val="0"/>
                  <w:vAlign w:val="center"/>
                </w:tcPr>
                <w:p>
                  <w:pPr>
                    <w:tabs>
                      <w:tab w:val="left" w:pos="5400"/>
                    </w:tabs>
                    <w:spacing w:after="0"/>
                    <w:ind w:left="-105" w:leftChars="-50" w:right="-105" w:rightChars="-50"/>
                    <w:jc w:val="center"/>
                    <w:rPr>
                      <w:rFonts w:hint="eastAsia" w:ascii="Times New Roman" w:hAnsi="Times New Roman" w:eastAsia="宋体"/>
                      <w:sz w:val="21"/>
                      <w:szCs w:val="21"/>
                      <w:lang w:eastAsia="zh-CN"/>
                    </w:rPr>
                  </w:pPr>
                </w:p>
              </w:tc>
              <w:tc>
                <w:tcPr>
                  <w:tcW w:w="582" w:type="pct"/>
                  <w:noWrap w:val="0"/>
                  <w:vAlign w:val="center"/>
                </w:tcPr>
                <w:p>
                  <w:pPr>
                    <w:pStyle w:val="103"/>
                    <w:ind w:left="-105" w:leftChars="-50" w:right="-105" w:rightChars="-50"/>
                    <w:jc w:val="center"/>
                    <w:rPr>
                      <w:rFonts w:ascii="Times New Roman" w:hAnsi="Times New Roman"/>
                      <w:sz w:val="21"/>
                      <w:szCs w:val="21"/>
                    </w:rPr>
                  </w:pPr>
                  <w:r>
                    <w:rPr>
                      <w:rFonts w:ascii="Times New Roman" w:hAnsi="Times New Roman"/>
                      <w:sz w:val="21"/>
                      <w:szCs w:val="21"/>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16" w:type="pct"/>
                  <w:vMerge w:val="restart"/>
                  <w:noWrap w:val="0"/>
                  <w:vAlign w:val="center"/>
                </w:tcPr>
                <w:p>
                  <w:pPr>
                    <w:tabs>
                      <w:tab w:val="left" w:pos="5400"/>
                    </w:tabs>
                    <w:spacing w:after="0"/>
                    <w:ind w:left="-105" w:leftChars="-50" w:right="-105" w:rightChars="-50"/>
                    <w:jc w:val="center"/>
                    <w:rPr>
                      <w:rFonts w:ascii="Times New Roman" w:hAnsi="Times New Roman"/>
                      <w:sz w:val="21"/>
                      <w:szCs w:val="21"/>
                    </w:rPr>
                  </w:pPr>
                  <w:r>
                    <w:rPr>
                      <w:rFonts w:ascii="Times New Roman" w:hAnsi="Times New Roman"/>
                      <w:sz w:val="21"/>
                      <w:szCs w:val="21"/>
                    </w:rPr>
                    <w:t>1</w:t>
                  </w:r>
                </w:p>
              </w:tc>
              <w:tc>
                <w:tcPr>
                  <w:tcW w:w="862" w:type="pct"/>
                  <w:vMerge w:val="restart"/>
                  <w:noWrap w:val="0"/>
                  <w:vAlign w:val="center"/>
                </w:tcPr>
                <w:p>
                  <w:pPr>
                    <w:tabs>
                      <w:tab w:val="left" w:pos="5400"/>
                    </w:tabs>
                    <w:spacing w:after="0"/>
                    <w:ind w:left="-105" w:leftChars="-50" w:right="-105" w:rightChars="-50"/>
                    <w:jc w:val="center"/>
                    <w:rPr>
                      <w:rFonts w:hint="eastAsia" w:ascii="Times New Roman" w:hAnsi="Times New Roman"/>
                      <w:sz w:val="21"/>
                      <w:szCs w:val="21"/>
                    </w:rPr>
                  </w:pPr>
                  <w:r>
                    <w:rPr>
                      <w:rFonts w:hint="eastAsia" w:ascii="Times New Roman" w:hAnsi="Times New Roman"/>
                      <w:color w:val="000000"/>
                      <w:sz w:val="21"/>
                      <w:szCs w:val="21"/>
                    </w:rPr>
                    <w:t>总悬浮颗粒物</w:t>
                  </w:r>
                </w:p>
              </w:tc>
              <w:tc>
                <w:tcPr>
                  <w:tcW w:w="674" w:type="pct"/>
                  <w:vMerge w:val="restart"/>
                  <w:noWrap w:val="0"/>
                  <w:vAlign w:val="center"/>
                </w:tcPr>
                <w:p>
                  <w:pPr>
                    <w:tabs>
                      <w:tab w:val="left" w:pos="5400"/>
                    </w:tabs>
                    <w:spacing w:after="0"/>
                    <w:ind w:left="-105" w:leftChars="-50" w:right="-105" w:rightChars="-50"/>
                    <w:jc w:val="center"/>
                    <w:rPr>
                      <w:rFonts w:hint="eastAsia" w:ascii="Times New Roman" w:hAnsi="Times New Roman" w:eastAsia="宋体"/>
                      <w:sz w:val="21"/>
                      <w:szCs w:val="21"/>
                      <w:lang w:val="en-US" w:eastAsia="zh-CN"/>
                    </w:rPr>
                  </w:pPr>
                  <w:r>
                    <w:rPr>
                      <w:rFonts w:hint="eastAsia"/>
                      <w:sz w:val="21"/>
                      <w:szCs w:val="21"/>
                      <w:lang w:eastAsia="zh-CN"/>
                    </w:rPr>
                    <w:t>2022.2.28</w:t>
                  </w:r>
                </w:p>
              </w:tc>
              <w:tc>
                <w:tcPr>
                  <w:tcW w:w="845" w:type="pct"/>
                  <w:noWrap w:val="0"/>
                  <w:vAlign w:val="center"/>
                </w:tcPr>
                <w:p>
                  <w:pPr>
                    <w:tabs>
                      <w:tab w:val="left" w:pos="5400"/>
                    </w:tabs>
                    <w:spacing w:after="0"/>
                    <w:ind w:left="-105" w:leftChars="-50" w:right="-105" w:rightChars="-50"/>
                    <w:jc w:val="center"/>
                    <w:rPr>
                      <w:rFonts w:ascii="Times New Roman" w:hAnsi="Times New Roman"/>
                      <w:sz w:val="21"/>
                      <w:szCs w:val="21"/>
                    </w:rPr>
                  </w:pPr>
                  <w:r>
                    <w:rPr>
                      <w:rFonts w:hint="eastAsia"/>
                      <w:sz w:val="21"/>
                      <w:szCs w:val="21"/>
                      <w:lang w:val="en-US" w:eastAsia="zh-CN"/>
                    </w:rPr>
                    <w:t>2</w:t>
                  </w:r>
                  <w:r>
                    <w:rPr>
                      <w:rFonts w:hint="eastAsia" w:ascii="Times New Roman" w:hAnsi="Times New Roman"/>
                      <w:sz w:val="21"/>
                      <w:szCs w:val="21"/>
                    </w:rPr>
                    <w:t>#</w:t>
                  </w:r>
                </w:p>
              </w:tc>
              <w:tc>
                <w:tcPr>
                  <w:tcW w:w="961"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0.411</w:t>
                  </w:r>
                </w:p>
              </w:tc>
              <w:tc>
                <w:tcPr>
                  <w:tcW w:w="758" w:type="pct"/>
                  <w:vMerge w:val="restart"/>
                  <w:noWrap w:val="0"/>
                  <w:vAlign w:val="center"/>
                </w:tcPr>
                <w:p>
                  <w:pPr>
                    <w:spacing w:after="0"/>
                    <w:ind w:left="-105" w:leftChars="-50" w:right="-105" w:rightChars="-50"/>
                    <w:jc w:val="center"/>
                    <w:rPr>
                      <w:rFonts w:ascii="Times New Roman" w:hAnsi="Times New Roman"/>
                      <w:sz w:val="21"/>
                      <w:szCs w:val="21"/>
                    </w:rPr>
                  </w:pPr>
                  <w:r>
                    <w:rPr>
                      <w:rFonts w:hint="eastAsia"/>
                      <w:sz w:val="21"/>
                      <w:szCs w:val="21"/>
                      <w:lang w:val="en-US" w:eastAsia="zh-CN"/>
                    </w:rPr>
                    <w:t>1</w:t>
                  </w:r>
                  <w:r>
                    <w:rPr>
                      <w:rFonts w:hint="eastAsia" w:ascii="Times New Roman" w:hAnsi="Times New Roman"/>
                      <w:sz w:val="21"/>
                      <w:szCs w:val="21"/>
                    </w:rPr>
                    <w:t>.0</w:t>
                  </w:r>
                </w:p>
              </w:tc>
              <w:tc>
                <w:tcPr>
                  <w:tcW w:w="582" w:type="pct"/>
                  <w:vMerge w:val="restart"/>
                  <w:noWrap w:val="0"/>
                  <w:vAlign w:val="center"/>
                </w:tcPr>
                <w:p>
                  <w:pPr>
                    <w:tabs>
                      <w:tab w:val="left" w:pos="5400"/>
                    </w:tabs>
                    <w:spacing w:after="0"/>
                    <w:ind w:left="-105" w:leftChars="-50" w:right="-105" w:rightChars="-50"/>
                    <w:jc w:val="center"/>
                    <w:rPr>
                      <w:rFonts w:ascii="Times New Roman" w:hAnsi="Times New Roman"/>
                      <w:color w:val="000000"/>
                      <w:sz w:val="21"/>
                      <w:szCs w:val="21"/>
                      <w:shd w:val="clear" w:color="auto" w:fill="FFFFFF"/>
                    </w:rPr>
                  </w:pPr>
                  <w:r>
                    <w:rPr>
                      <w:rFonts w:ascii="Times New Roman" w:hAnsi="Times New Roman"/>
                      <w:sz w:val="21"/>
                      <w:szCs w:val="21"/>
                    </w:rPr>
                    <w:t>mg/m</w:t>
                  </w:r>
                  <w:r>
                    <w:rPr>
                      <w:rFonts w:ascii="Times New Roman" w:hAnsi="Times New Roman"/>
                      <w:sz w:val="21"/>
                      <w:szCs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16"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862"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674"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845" w:type="pct"/>
                  <w:noWrap w:val="0"/>
                  <w:vAlign w:val="center"/>
                </w:tcPr>
                <w:p>
                  <w:pPr>
                    <w:tabs>
                      <w:tab w:val="left" w:pos="5400"/>
                    </w:tabs>
                    <w:spacing w:after="0"/>
                    <w:ind w:left="-105" w:leftChars="-50" w:right="-105" w:rightChars="-50"/>
                    <w:jc w:val="center"/>
                    <w:rPr>
                      <w:rFonts w:ascii="Times New Roman" w:hAnsi="Times New Roman"/>
                      <w:sz w:val="21"/>
                      <w:szCs w:val="21"/>
                    </w:rPr>
                  </w:pPr>
                  <w:r>
                    <w:rPr>
                      <w:rFonts w:hint="eastAsia"/>
                      <w:sz w:val="21"/>
                      <w:szCs w:val="21"/>
                      <w:lang w:val="en-US" w:eastAsia="zh-CN"/>
                    </w:rPr>
                    <w:t>3</w:t>
                  </w:r>
                  <w:r>
                    <w:rPr>
                      <w:rFonts w:hint="eastAsia" w:ascii="Times New Roman" w:hAnsi="Times New Roman"/>
                      <w:sz w:val="21"/>
                      <w:szCs w:val="21"/>
                    </w:rPr>
                    <w:t>#</w:t>
                  </w:r>
                </w:p>
              </w:tc>
              <w:tc>
                <w:tcPr>
                  <w:tcW w:w="961"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0.357</w:t>
                  </w:r>
                </w:p>
              </w:tc>
              <w:tc>
                <w:tcPr>
                  <w:tcW w:w="758" w:type="pct"/>
                  <w:vMerge w:val="continue"/>
                  <w:noWrap w:val="0"/>
                  <w:vAlign w:val="center"/>
                </w:tcPr>
                <w:p>
                  <w:pPr>
                    <w:spacing w:after="0"/>
                    <w:ind w:left="-105" w:leftChars="-50" w:right="-105" w:rightChars="-50"/>
                    <w:jc w:val="center"/>
                    <w:rPr>
                      <w:rFonts w:ascii="Times New Roman" w:hAnsi="Times New Roman"/>
                      <w:sz w:val="21"/>
                      <w:szCs w:val="21"/>
                    </w:rPr>
                  </w:pPr>
                </w:p>
              </w:tc>
              <w:tc>
                <w:tcPr>
                  <w:tcW w:w="582"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16"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862"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674"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845" w:type="pct"/>
                  <w:noWrap w:val="0"/>
                  <w:vAlign w:val="center"/>
                </w:tcPr>
                <w:p>
                  <w:pPr>
                    <w:tabs>
                      <w:tab w:val="left" w:pos="5400"/>
                    </w:tabs>
                    <w:spacing w:after="0"/>
                    <w:ind w:left="-105" w:leftChars="-50" w:right="-105" w:rightChars="-50"/>
                    <w:jc w:val="center"/>
                    <w:rPr>
                      <w:rFonts w:ascii="Times New Roman" w:hAnsi="Times New Roman"/>
                      <w:sz w:val="21"/>
                      <w:szCs w:val="21"/>
                    </w:rPr>
                  </w:pPr>
                  <w:r>
                    <w:rPr>
                      <w:rFonts w:hint="eastAsia"/>
                      <w:sz w:val="21"/>
                      <w:szCs w:val="21"/>
                      <w:lang w:val="en-US" w:eastAsia="zh-CN"/>
                    </w:rPr>
                    <w:t>4</w:t>
                  </w:r>
                  <w:r>
                    <w:rPr>
                      <w:rFonts w:hint="eastAsia" w:ascii="Times New Roman" w:hAnsi="Times New Roman"/>
                      <w:sz w:val="21"/>
                      <w:szCs w:val="21"/>
                    </w:rPr>
                    <w:t>#</w:t>
                  </w:r>
                </w:p>
              </w:tc>
              <w:tc>
                <w:tcPr>
                  <w:tcW w:w="961"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0.394</w:t>
                  </w:r>
                </w:p>
              </w:tc>
              <w:tc>
                <w:tcPr>
                  <w:tcW w:w="758" w:type="pct"/>
                  <w:vMerge w:val="continue"/>
                  <w:noWrap w:val="0"/>
                  <w:vAlign w:val="center"/>
                </w:tcPr>
                <w:p>
                  <w:pPr>
                    <w:spacing w:after="0"/>
                    <w:ind w:left="-105" w:leftChars="-50" w:right="-105" w:rightChars="-50"/>
                    <w:jc w:val="center"/>
                    <w:rPr>
                      <w:rFonts w:ascii="Times New Roman" w:hAnsi="Times New Roman"/>
                      <w:sz w:val="21"/>
                      <w:szCs w:val="21"/>
                    </w:rPr>
                  </w:pPr>
                </w:p>
              </w:tc>
              <w:tc>
                <w:tcPr>
                  <w:tcW w:w="582"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16"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862"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674"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845" w:type="pct"/>
                  <w:noWrap w:val="0"/>
                  <w:vAlign w:val="center"/>
                </w:tcPr>
                <w:p>
                  <w:pPr>
                    <w:tabs>
                      <w:tab w:val="left" w:pos="5400"/>
                    </w:tabs>
                    <w:spacing w:after="0"/>
                    <w:ind w:left="-105" w:leftChars="-50" w:right="-105" w:rightChars="-50"/>
                    <w:jc w:val="center"/>
                    <w:rPr>
                      <w:rFonts w:hint="default" w:ascii="Times New Roman" w:hAnsi="Times New Roman" w:eastAsia="宋体"/>
                      <w:sz w:val="21"/>
                      <w:szCs w:val="21"/>
                      <w:lang w:val="en-US" w:eastAsia="zh-CN"/>
                    </w:rPr>
                  </w:pPr>
                  <w:r>
                    <w:rPr>
                      <w:rFonts w:hint="eastAsia"/>
                      <w:sz w:val="21"/>
                      <w:szCs w:val="21"/>
                      <w:lang w:val="en-US" w:eastAsia="zh-CN"/>
                    </w:rPr>
                    <w:t>5#</w:t>
                  </w:r>
                </w:p>
              </w:tc>
              <w:tc>
                <w:tcPr>
                  <w:tcW w:w="961"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0.428</w:t>
                  </w:r>
                </w:p>
              </w:tc>
              <w:tc>
                <w:tcPr>
                  <w:tcW w:w="758" w:type="pct"/>
                  <w:vMerge w:val="continue"/>
                  <w:noWrap w:val="0"/>
                  <w:vAlign w:val="center"/>
                </w:tcPr>
                <w:p>
                  <w:pPr>
                    <w:spacing w:after="0"/>
                    <w:ind w:left="-105" w:leftChars="-50" w:right="-105" w:rightChars="-50"/>
                    <w:jc w:val="center"/>
                    <w:rPr>
                      <w:rFonts w:ascii="Times New Roman" w:hAnsi="Times New Roman"/>
                      <w:sz w:val="21"/>
                      <w:szCs w:val="21"/>
                    </w:rPr>
                  </w:pPr>
                </w:p>
              </w:tc>
              <w:tc>
                <w:tcPr>
                  <w:tcW w:w="582"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16"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862"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674" w:type="pct"/>
                  <w:vMerge w:val="restart"/>
                  <w:noWrap w:val="0"/>
                  <w:vAlign w:val="center"/>
                </w:tcPr>
                <w:p>
                  <w:pPr>
                    <w:tabs>
                      <w:tab w:val="left" w:pos="5400"/>
                    </w:tabs>
                    <w:spacing w:after="0"/>
                    <w:ind w:left="-105" w:leftChars="-50" w:right="-105" w:rightChars="-50"/>
                    <w:jc w:val="center"/>
                    <w:rPr>
                      <w:rFonts w:hint="eastAsia" w:ascii="Times New Roman" w:hAnsi="Times New Roman" w:eastAsia="宋体"/>
                      <w:sz w:val="21"/>
                      <w:szCs w:val="21"/>
                      <w:lang w:val="en-US" w:eastAsia="zh-CN"/>
                    </w:rPr>
                  </w:pPr>
                  <w:r>
                    <w:rPr>
                      <w:rFonts w:hint="eastAsia"/>
                      <w:sz w:val="21"/>
                      <w:szCs w:val="21"/>
                      <w:lang w:eastAsia="zh-CN"/>
                    </w:rPr>
                    <w:t>2022.3.1</w:t>
                  </w:r>
                </w:p>
              </w:tc>
              <w:tc>
                <w:tcPr>
                  <w:tcW w:w="845" w:type="pct"/>
                  <w:noWrap w:val="0"/>
                  <w:vAlign w:val="center"/>
                </w:tcPr>
                <w:p>
                  <w:pPr>
                    <w:tabs>
                      <w:tab w:val="left" w:pos="5400"/>
                    </w:tabs>
                    <w:spacing w:after="0"/>
                    <w:ind w:left="-105" w:leftChars="-50" w:right="-105" w:rightChars="-50"/>
                    <w:jc w:val="center"/>
                    <w:rPr>
                      <w:rFonts w:ascii="Times New Roman" w:hAnsi="Times New Roman"/>
                      <w:sz w:val="21"/>
                      <w:szCs w:val="21"/>
                    </w:rPr>
                  </w:pPr>
                  <w:r>
                    <w:rPr>
                      <w:rFonts w:hint="eastAsia"/>
                      <w:sz w:val="21"/>
                      <w:szCs w:val="21"/>
                      <w:lang w:val="en-US" w:eastAsia="zh-CN"/>
                    </w:rPr>
                    <w:t>2</w:t>
                  </w:r>
                  <w:r>
                    <w:rPr>
                      <w:rFonts w:hint="eastAsia" w:ascii="Times New Roman" w:hAnsi="Times New Roman"/>
                      <w:sz w:val="21"/>
                      <w:szCs w:val="21"/>
                    </w:rPr>
                    <w:t>#</w:t>
                  </w:r>
                </w:p>
              </w:tc>
              <w:tc>
                <w:tcPr>
                  <w:tcW w:w="961"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0.460</w:t>
                  </w:r>
                </w:p>
              </w:tc>
              <w:tc>
                <w:tcPr>
                  <w:tcW w:w="758" w:type="pct"/>
                  <w:vMerge w:val="continue"/>
                  <w:noWrap w:val="0"/>
                  <w:vAlign w:val="center"/>
                </w:tcPr>
                <w:p>
                  <w:pPr>
                    <w:spacing w:after="0"/>
                    <w:ind w:left="-105" w:leftChars="-50" w:right="-105" w:rightChars="-50"/>
                    <w:jc w:val="center"/>
                    <w:rPr>
                      <w:rFonts w:ascii="Times New Roman" w:hAnsi="Times New Roman"/>
                      <w:sz w:val="21"/>
                      <w:szCs w:val="21"/>
                    </w:rPr>
                  </w:pPr>
                </w:p>
              </w:tc>
              <w:tc>
                <w:tcPr>
                  <w:tcW w:w="582" w:type="pct"/>
                  <w:vMerge w:val="restart"/>
                  <w:noWrap w:val="0"/>
                  <w:vAlign w:val="center"/>
                </w:tcPr>
                <w:p>
                  <w:pPr>
                    <w:tabs>
                      <w:tab w:val="left" w:pos="5400"/>
                    </w:tabs>
                    <w:spacing w:after="0"/>
                    <w:ind w:left="-105" w:leftChars="-50" w:right="-105" w:rightChars="-50"/>
                    <w:jc w:val="center"/>
                    <w:rPr>
                      <w:rFonts w:ascii="Times New Roman" w:hAnsi="Times New Roman"/>
                      <w:color w:val="000000"/>
                      <w:sz w:val="21"/>
                      <w:szCs w:val="21"/>
                      <w:shd w:val="clear" w:color="auto" w:fill="FFFFFF"/>
                    </w:rPr>
                  </w:pPr>
                  <w:r>
                    <w:rPr>
                      <w:rFonts w:ascii="Times New Roman" w:hAnsi="Times New Roman"/>
                      <w:sz w:val="21"/>
                      <w:szCs w:val="21"/>
                    </w:rPr>
                    <w:t>mg/m</w:t>
                  </w:r>
                  <w:r>
                    <w:rPr>
                      <w:rFonts w:ascii="Times New Roman" w:hAnsi="Times New Roman"/>
                      <w:sz w:val="21"/>
                      <w:szCs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16"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862"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674"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845" w:type="pct"/>
                  <w:noWrap w:val="0"/>
                  <w:vAlign w:val="center"/>
                </w:tcPr>
                <w:p>
                  <w:pPr>
                    <w:tabs>
                      <w:tab w:val="left" w:pos="5400"/>
                    </w:tabs>
                    <w:spacing w:after="0"/>
                    <w:ind w:left="-105" w:leftChars="-50" w:right="-105" w:rightChars="-50"/>
                    <w:jc w:val="center"/>
                    <w:rPr>
                      <w:rFonts w:ascii="Times New Roman" w:hAnsi="Times New Roman"/>
                      <w:sz w:val="21"/>
                      <w:szCs w:val="21"/>
                    </w:rPr>
                  </w:pPr>
                  <w:r>
                    <w:rPr>
                      <w:rFonts w:hint="eastAsia"/>
                      <w:sz w:val="21"/>
                      <w:szCs w:val="21"/>
                      <w:lang w:val="en-US" w:eastAsia="zh-CN"/>
                    </w:rPr>
                    <w:t>3</w:t>
                  </w:r>
                  <w:r>
                    <w:rPr>
                      <w:rFonts w:hint="eastAsia" w:ascii="Times New Roman" w:hAnsi="Times New Roman"/>
                      <w:sz w:val="21"/>
                      <w:szCs w:val="21"/>
                    </w:rPr>
                    <w:t>#</w:t>
                  </w:r>
                </w:p>
              </w:tc>
              <w:tc>
                <w:tcPr>
                  <w:tcW w:w="961"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0.372</w:t>
                  </w:r>
                </w:p>
              </w:tc>
              <w:tc>
                <w:tcPr>
                  <w:tcW w:w="758" w:type="pct"/>
                  <w:vMerge w:val="continue"/>
                  <w:noWrap w:val="0"/>
                  <w:vAlign w:val="center"/>
                </w:tcPr>
                <w:p>
                  <w:pPr>
                    <w:spacing w:after="0"/>
                    <w:ind w:left="-105" w:leftChars="-50" w:right="-105" w:rightChars="-50"/>
                    <w:jc w:val="center"/>
                    <w:rPr>
                      <w:rFonts w:ascii="Times New Roman" w:hAnsi="Times New Roman"/>
                      <w:sz w:val="21"/>
                      <w:szCs w:val="21"/>
                    </w:rPr>
                  </w:pPr>
                </w:p>
              </w:tc>
              <w:tc>
                <w:tcPr>
                  <w:tcW w:w="582"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16"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862"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674"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845" w:type="pct"/>
                  <w:noWrap w:val="0"/>
                  <w:vAlign w:val="center"/>
                </w:tcPr>
                <w:p>
                  <w:pPr>
                    <w:tabs>
                      <w:tab w:val="left" w:pos="5400"/>
                    </w:tabs>
                    <w:spacing w:after="0"/>
                    <w:ind w:left="-105" w:leftChars="-50" w:right="-105" w:rightChars="-50"/>
                    <w:jc w:val="center"/>
                    <w:rPr>
                      <w:rFonts w:ascii="Times New Roman" w:hAnsi="Times New Roman"/>
                      <w:sz w:val="21"/>
                      <w:szCs w:val="21"/>
                    </w:rPr>
                  </w:pPr>
                  <w:r>
                    <w:rPr>
                      <w:rFonts w:hint="eastAsia"/>
                      <w:sz w:val="21"/>
                      <w:szCs w:val="21"/>
                      <w:lang w:val="en-US" w:eastAsia="zh-CN"/>
                    </w:rPr>
                    <w:t>4</w:t>
                  </w:r>
                  <w:r>
                    <w:rPr>
                      <w:rFonts w:hint="eastAsia" w:ascii="Times New Roman" w:hAnsi="Times New Roman"/>
                      <w:sz w:val="21"/>
                      <w:szCs w:val="21"/>
                    </w:rPr>
                    <w:t>#</w:t>
                  </w:r>
                </w:p>
              </w:tc>
              <w:tc>
                <w:tcPr>
                  <w:tcW w:w="961"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0.318</w:t>
                  </w:r>
                </w:p>
              </w:tc>
              <w:tc>
                <w:tcPr>
                  <w:tcW w:w="758" w:type="pct"/>
                  <w:vMerge w:val="continue"/>
                  <w:noWrap w:val="0"/>
                  <w:vAlign w:val="center"/>
                </w:tcPr>
                <w:p>
                  <w:pPr>
                    <w:spacing w:after="0"/>
                    <w:ind w:left="-105" w:leftChars="-50" w:right="-105" w:rightChars="-50"/>
                    <w:jc w:val="center"/>
                    <w:rPr>
                      <w:rFonts w:ascii="Times New Roman" w:hAnsi="Times New Roman"/>
                      <w:sz w:val="21"/>
                      <w:szCs w:val="21"/>
                    </w:rPr>
                  </w:pPr>
                </w:p>
              </w:tc>
              <w:tc>
                <w:tcPr>
                  <w:tcW w:w="582"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16"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862"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674"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c>
                <w:tcPr>
                  <w:tcW w:w="845" w:type="pct"/>
                  <w:noWrap w:val="0"/>
                  <w:vAlign w:val="center"/>
                </w:tcPr>
                <w:p>
                  <w:pPr>
                    <w:tabs>
                      <w:tab w:val="left" w:pos="5400"/>
                    </w:tabs>
                    <w:spacing w:after="0"/>
                    <w:ind w:left="-105" w:leftChars="-50" w:right="-105" w:rightChars="-50"/>
                    <w:jc w:val="center"/>
                    <w:rPr>
                      <w:rFonts w:ascii="Times New Roman" w:hAnsi="Times New Roman"/>
                      <w:sz w:val="21"/>
                      <w:szCs w:val="21"/>
                    </w:rPr>
                  </w:pPr>
                  <w:r>
                    <w:rPr>
                      <w:rFonts w:hint="eastAsia"/>
                      <w:sz w:val="21"/>
                      <w:szCs w:val="21"/>
                      <w:lang w:val="en-US" w:eastAsia="zh-CN"/>
                    </w:rPr>
                    <w:t>5#</w:t>
                  </w:r>
                </w:p>
              </w:tc>
              <w:tc>
                <w:tcPr>
                  <w:tcW w:w="961" w:type="pct"/>
                  <w:noWrap w:val="0"/>
                  <w:vAlign w:val="center"/>
                </w:tcPr>
                <w:p>
                  <w:pPr>
                    <w:tabs>
                      <w:tab w:val="left" w:pos="5400"/>
                    </w:tabs>
                    <w:spacing w:after="0"/>
                    <w:ind w:left="-105" w:leftChars="-50" w:right="-105" w:rightChars="-5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0.442</w:t>
                  </w:r>
                </w:p>
              </w:tc>
              <w:tc>
                <w:tcPr>
                  <w:tcW w:w="758" w:type="pct"/>
                  <w:vMerge w:val="continue"/>
                  <w:noWrap w:val="0"/>
                  <w:vAlign w:val="center"/>
                </w:tcPr>
                <w:p>
                  <w:pPr>
                    <w:spacing w:after="0"/>
                    <w:ind w:left="-105" w:leftChars="-50" w:right="-105" w:rightChars="-50"/>
                    <w:jc w:val="center"/>
                    <w:rPr>
                      <w:rFonts w:ascii="Times New Roman" w:hAnsi="Times New Roman"/>
                      <w:sz w:val="21"/>
                      <w:szCs w:val="21"/>
                    </w:rPr>
                  </w:pPr>
                </w:p>
              </w:tc>
              <w:tc>
                <w:tcPr>
                  <w:tcW w:w="582" w:type="pct"/>
                  <w:vMerge w:val="continue"/>
                  <w:noWrap w:val="0"/>
                  <w:vAlign w:val="center"/>
                </w:tcPr>
                <w:p>
                  <w:pPr>
                    <w:tabs>
                      <w:tab w:val="left" w:pos="5400"/>
                    </w:tabs>
                    <w:spacing w:after="0"/>
                    <w:ind w:left="-105" w:leftChars="-50" w:right="-105" w:rightChars="-50"/>
                    <w:jc w:val="center"/>
                    <w:rPr>
                      <w:rFonts w:ascii="Times New Roman" w:hAnsi="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00" w:type="pct"/>
                  <w:gridSpan w:val="7"/>
                  <w:noWrap w:val="0"/>
                  <w:vAlign w:val="center"/>
                </w:tcPr>
                <w:p>
                  <w:pPr>
                    <w:tabs>
                      <w:tab w:val="left" w:pos="5400"/>
                    </w:tabs>
                    <w:spacing w:after="0"/>
                    <w:ind w:right="-105" w:rightChars="-50" w:firstLine="210" w:firstLineChars="100"/>
                    <w:jc w:val="both"/>
                    <w:rPr>
                      <w:rFonts w:ascii="Times New Roman" w:hAnsi="Times New Roman"/>
                      <w:sz w:val="21"/>
                      <w:szCs w:val="21"/>
                    </w:rPr>
                  </w:pPr>
                  <w:r>
                    <w:rPr>
                      <w:rFonts w:hint="eastAsia" w:ascii="Times New Roman" w:hAnsi="Times New Roman"/>
                      <w:color w:val="000000"/>
                      <w:sz w:val="21"/>
                      <w:szCs w:val="21"/>
                      <w:shd w:val="clear" w:color="auto" w:fill="FFFFFF"/>
                    </w:rPr>
                    <w:t>执行标准：《大气污染物综合排放标准》（GB 16297-1996）表2</w:t>
                  </w:r>
                  <w:r>
                    <w:rPr>
                      <w:rFonts w:hint="eastAsia"/>
                      <w:color w:val="000000"/>
                      <w:sz w:val="21"/>
                      <w:szCs w:val="21"/>
                      <w:shd w:val="clear" w:color="auto" w:fill="FFFFFF"/>
                      <w:lang w:eastAsia="zh-CN"/>
                    </w:rPr>
                    <w:t>无组织排放</w:t>
                  </w:r>
                  <w:r>
                    <w:rPr>
                      <w:rFonts w:hint="eastAsia" w:ascii="Times New Roman" w:hAnsi="Times New Roman"/>
                      <w:color w:val="000000"/>
                      <w:sz w:val="21"/>
                      <w:szCs w:val="21"/>
                      <w:shd w:val="clear" w:color="auto" w:fill="FFFFFF"/>
                    </w:rPr>
                    <w:t>限值。</w:t>
                  </w:r>
                </w:p>
              </w:tc>
            </w:tr>
          </w:tbl>
          <w:p>
            <w:pPr>
              <w:pStyle w:val="85"/>
              <w:spacing w:line="360" w:lineRule="auto"/>
              <w:ind w:firstLineChars="20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由上表分析，</w:t>
            </w:r>
            <w:r>
              <w:rPr>
                <w:rFonts w:hint="eastAsia"/>
                <w:color w:val="000000" w:themeColor="text1"/>
                <w:lang w:val="en-US" w:eastAsia="zh-CN"/>
                <w14:textFill>
                  <w14:solidFill>
                    <w14:schemeClr w14:val="tx1"/>
                  </w14:solidFill>
                </w14:textFill>
              </w:rPr>
              <w:t>2</w:t>
            </w:r>
            <w:r>
              <w:rPr>
                <w:rFonts w:hint="eastAsia"/>
              </w:rPr>
              <w:t>月</w:t>
            </w:r>
            <w:r>
              <w:rPr>
                <w:rFonts w:hint="eastAsia"/>
                <w:lang w:val="en-US" w:eastAsia="zh-CN"/>
              </w:rPr>
              <w:t>28</w:t>
            </w:r>
            <w:r>
              <w:rPr>
                <w:rFonts w:hint="eastAsia"/>
              </w:rPr>
              <w:t>日</w:t>
            </w:r>
            <w:r>
              <w:t>~</w:t>
            </w:r>
            <w:r>
              <w:rPr>
                <w:rFonts w:hint="eastAsia"/>
                <w:lang w:val="en-US" w:eastAsia="zh-CN"/>
              </w:rPr>
              <w:t>3</w:t>
            </w:r>
            <w:r>
              <w:rPr>
                <w:rFonts w:hint="eastAsia"/>
              </w:rPr>
              <w:t>月</w:t>
            </w:r>
            <w:r>
              <w:rPr>
                <w:rFonts w:hint="eastAsia"/>
                <w:lang w:val="en-US" w:eastAsia="zh-CN"/>
              </w:rPr>
              <w:t>1</w:t>
            </w:r>
            <w:r>
              <w:rPr>
                <w:rFonts w:hint="eastAsia"/>
              </w:rPr>
              <w:t>日项目</w:t>
            </w:r>
            <w:r>
              <w:rPr>
                <w:rFonts w:hint="eastAsia"/>
                <w:color w:val="000000" w:themeColor="text1"/>
                <w:lang w:eastAsia="zh-CN"/>
                <w14:textFill>
                  <w14:solidFill>
                    <w14:schemeClr w14:val="tx1"/>
                  </w14:solidFill>
                </w14:textFill>
              </w:rPr>
              <w:t>有</w:t>
            </w:r>
            <w:r>
              <w:rPr>
                <w:color w:val="000000" w:themeColor="text1"/>
                <w14:textFill>
                  <w14:solidFill>
                    <w14:schemeClr w14:val="tx1"/>
                  </w14:solidFill>
                </w14:textFill>
              </w:rPr>
              <w:t>组织废气</w:t>
            </w:r>
            <w:r>
              <w:rPr>
                <w:rFonts w:hint="eastAsia"/>
                <w:color w:val="000000" w:themeColor="text1"/>
                <w:lang w:eastAsia="zh-CN"/>
                <w14:textFill>
                  <w14:solidFill>
                    <w14:schemeClr w14:val="tx1"/>
                  </w14:solidFill>
                </w14:textFill>
              </w:rPr>
              <w:t>颗粒物</w:t>
            </w:r>
            <w:r>
              <w:rPr>
                <w:rFonts w:hint="eastAsia"/>
                <w:color w:val="000000" w:themeColor="text1"/>
                <w14:textFill>
                  <w14:solidFill>
                    <w14:schemeClr w14:val="tx1"/>
                  </w14:solidFill>
                </w14:textFill>
              </w:rPr>
              <w:t>排放范围</w:t>
            </w:r>
            <w:r>
              <w:rPr>
                <w:rFonts w:hint="eastAsia"/>
              </w:rPr>
              <w:t>在</w:t>
            </w:r>
            <w:r>
              <w:rPr>
                <w:rFonts w:hint="eastAsia"/>
                <w:color w:val="000000" w:themeColor="text1"/>
                <w:lang w:val="en-US" w:eastAsia="zh-CN"/>
                <w14:textFill>
                  <w14:solidFill>
                    <w14:schemeClr w14:val="tx1"/>
                  </w14:solidFill>
                </w14:textFill>
              </w:rPr>
              <w:t>33.4</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35.2</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rPr>
              <w:t>，无组织废气总悬浮颗粒物</w:t>
            </w:r>
            <w:r>
              <w:rPr>
                <w:rFonts w:hint="eastAsia"/>
                <w:color w:val="000000" w:themeColor="text1"/>
                <w14:textFill>
                  <w14:solidFill>
                    <w14:schemeClr w14:val="tx1"/>
                  </w14:solidFill>
                </w14:textFill>
              </w:rPr>
              <w:t>排放范围</w:t>
            </w:r>
            <w:r>
              <w:rPr>
                <w:rFonts w:hint="eastAsia"/>
              </w:rPr>
              <w:t>在</w:t>
            </w:r>
            <w:r>
              <w:rPr>
                <w:rFonts w:hint="eastAsia"/>
                <w:color w:val="000000" w:themeColor="text1"/>
                <w:lang w:val="en-US" w:eastAsia="zh-CN"/>
                <w14:textFill>
                  <w14:solidFill>
                    <w14:schemeClr w14:val="tx1"/>
                  </w14:solidFill>
                </w14:textFill>
              </w:rPr>
              <w:t>0.318</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0.460</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。由此得出本项目</w:t>
            </w:r>
            <w:r>
              <w:rPr>
                <w:rFonts w:hint="eastAsia"/>
                <w:color w:val="000000" w:themeColor="text1"/>
                <w:lang w:eastAsia="zh-CN"/>
                <w14:textFill>
                  <w14:solidFill>
                    <w14:schemeClr w14:val="tx1"/>
                  </w14:solidFill>
                </w14:textFill>
              </w:rPr>
              <w:t>有</w:t>
            </w:r>
            <w:r>
              <w:rPr>
                <w:rFonts w:hint="eastAsia"/>
                <w:color w:val="000000" w:themeColor="text1"/>
                <w14:textFill>
                  <w14:solidFill>
                    <w14:schemeClr w14:val="tx1"/>
                  </w14:solidFill>
                </w14:textFill>
              </w:rPr>
              <w:t>组织废气</w:t>
            </w:r>
            <w:r>
              <w:rPr>
                <w:rFonts w:hint="eastAsia"/>
                <w:color w:val="000000" w:themeColor="text1"/>
                <w:lang w:eastAsia="zh-CN"/>
                <w14:textFill>
                  <w14:solidFill>
                    <w14:schemeClr w14:val="tx1"/>
                  </w14:solidFill>
                </w14:textFill>
              </w:rPr>
              <w:t>满足</w:t>
            </w:r>
            <w:r>
              <w:rPr>
                <w:rFonts w:hint="eastAsia"/>
                <w:color w:val="000000" w:themeColor="text1"/>
                <w14:textFill>
                  <w14:solidFill>
                    <w14:schemeClr w14:val="tx1"/>
                  </w14:solidFill>
                </w14:textFill>
              </w:rPr>
              <w:t>《大气污染物综合排放标准》（GB 16297-1996）表2</w:t>
            </w:r>
            <w:r>
              <w:rPr>
                <w:rFonts w:hint="eastAsia"/>
                <w:color w:val="000000" w:themeColor="text1"/>
                <w:lang w:eastAsia="zh-CN"/>
                <w14:textFill>
                  <w14:solidFill>
                    <w14:schemeClr w14:val="tx1"/>
                  </w14:solidFill>
                </w14:textFill>
              </w:rPr>
              <w:t>二级</w:t>
            </w:r>
            <w:r>
              <w:rPr>
                <w:rFonts w:hint="eastAsia"/>
                <w:color w:val="000000" w:themeColor="text1"/>
                <w14:textFill>
                  <w14:solidFill>
                    <w14:schemeClr w14:val="tx1"/>
                  </w14:solidFill>
                </w14:textFill>
              </w:rPr>
              <w:t>限值</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无组织废气满足《大气污染物综合排放标准》（GB16297-1996）</w:t>
            </w:r>
            <w:r>
              <w:rPr>
                <w:rFonts w:hint="eastAsia"/>
                <w:color w:val="000000" w:themeColor="text1"/>
                <w:lang w:val="en-US"/>
                <w14:textFill>
                  <w14:solidFill>
                    <w14:schemeClr w14:val="tx1"/>
                  </w14:solidFill>
                </w14:textFill>
              </w:rPr>
              <w:t>中</w:t>
            </w:r>
            <w:r>
              <w:t>无组织排放监控浓度限值</w:t>
            </w:r>
            <w:r>
              <w:rPr>
                <w:color w:val="000000" w:themeColor="text1"/>
                <w14:textFill>
                  <w14:solidFill>
                    <w14:schemeClr w14:val="tx1"/>
                  </w14:solidFill>
                </w14:textFill>
              </w:rPr>
              <w:t>。</w:t>
            </w:r>
          </w:p>
          <w:p>
            <w:pPr>
              <w:pStyle w:val="85"/>
              <w:spacing w:line="360" w:lineRule="auto"/>
              <w:ind w:firstLineChars="200"/>
              <w:jc w:val="both"/>
              <w:rPr>
                <w:color w:val="000000" w:themeColor="text1"/>
                <w14:textFill>
                  <w14:solidFill>
                    <w14:schemeClr w14:val="tx1"/>
                  </w14:solidFill>
                </w14:textFill>
              </w:rPr>
            </w:pPr>
          </w:p>
          <w:p>
            <w:pPr>
              <w:pStyle w:val="7"/>
              <w:rPr>
                <w:rFonts w:hint="eastAsia"/>
              </w:rPr>
            </w:pPr>
            <w:r>
              <w:rPr>
                <w:rFonts w:hint="eastAsia"/>
              </w:rPr>
              <w:t>厂界噪声</w:t>
            </w:r>
          </w:p>
          <w:p>
            <w:pPr>
              <w:spacing w:line="360" w:lineRule="auto"/>
              <w:ind w:firstLine="480" w:firstLineChars="200"/>
              <w:rPr>
                <w:bCs/>
                <w:sz w:val="24"/>
              </w:rPr>
            </w:pPr>
            <w:r>
              <w:rPr>
                <w:bCs/>
                <w:sz w:val="24"/>
              </w:rPr>
              <w:t>厂界噪声检测情况具体见表7.2-</w:t>
            </w:r>
            <w:r>
              <w:rPr>
                <w:rFonts w:hint="eastAsia"/>
                <w:bCs/>
                <w:sz w:val="24"/>
              </w:rPr>
              <w:t>2</w:t>
            </w:r>
            <w:r>
              <w:rPr>
                <w:bCs/>
                <w:sz w:val="24"/>
              </w:rPr>
              <w:t>。</w:t>
            </w:r>
          </w:p>
          <w:p>
            <w:pPr>
              <w:pStyle w:val="85"/>
              <w:spacing w:line="360" w:lineRule="auto"/>
              <w:ind w:firstLine="2409" w:firstLineChars="1000"/>
              <w:rPr>
                <w:rFonts w:hint="eastAsia"/>
                <w:b/>
              </w:rPr>
            </w:pPr>
            <w:r>
              <w:rPr>
                <w:rFonts w:hint="eastAsia"/>
                <w:b/>
              </w:rPr>
              <w:t>表</w:t>
            </w:r>
            <w:r>
              <w:rPr>
                <w:rFonts w:hint="eastAsia"/>
                <w:b/>
              </w:rPr>
              <w:fldChar w:fldCharType="begin"/>
            </w:r>
            <w:r>
              <w:rPr>
                <w:rFonts w:hint="eastAsia"/>
                <w:b/>
              </w:rPr>
              <w:instrText xml:space="preserve"> STYLEREF 2 \s </w:instrText>
            </w:r>
            <w:r>
              <w:rPr>
                <w:rFonts w:hint="eastAsia"/>
                <w:b/>
              </w:rPr>
              <w:fldChar w:fldCharType="separate"/>
            </w:r>
            <w:r>
              <w:rPr>
                <w:rFonts w:hint="eastAsia"/>
                <w:b/>
              </w:rPr>
              <w:t>7.2</w:t>
            </w:r>
            <w:r>
              <w:rPr>
                <w:rFonts w:hint="eastAsia"/>
                <w:b/>
              </w:rPr>
              <w:fldChar w:fldCharType="end"/>
            </w:r>
            <w:r>
              <w:rPr>
                <w:rFonts w:hint="eastAsia"/>
                <w:b/>
              </w:rPr>
              <w:t>-2 工业企业厂界噪声监测结果一览表</w:t>
            </w:r>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1239"/>
              <w:gridCol w:w="1982"/>
              <w:gridCol w:w="1263"/>
              <w:gridCol w:w="1171"/>
              <w:gridCol w:w="1377"/>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416" w:type="pct"/>
                  <w:vMerge w:val="restart"/>
                  <w:noWrap w:val="0"/>
                  <w:vAlign w:val="center"/>
                </w:tcPr>
                <w:p>
                  <w:pPr>
                    <w:pStyle w:val="103"/>
                    <w:jc w:val="center"/>
                    <w:rPr>
                      <w:rFonts w:hint="eastAsia" w:ascii="宋体" w:hAnsi="宋体"/>
                      <w:b/>
                      <w:sz w:val="21"/>
                      <w:szCs w:val="21"/>
                    </w:rPr>
                  </w:pPr>
                  <w:r>
                    <w:rPr>
                      <w:rFonts w:hint="eastAsia" w:ascii="宋体" w:hAnsi="宋体" w:cs="宋体"/>
                      <w:sz w:val="21"/>
                      <w:szCs w:val="21"/>
                    </w:rPr>
                    <w:t>序号</w:t>
                  </w:r>
                </w:p>
              </w:tc>
              <w:tc>
                <w:tcPr>
                  <w:tcW w:w="692" w:type="pct"/>
                  <w:vMerge w:val="restart"/>
                  <w:noWrap w:val="0"/>
                  <w:vAlign w:val="center"/>
                </w:tcPr>
                <w:p>
                  <w:pPr>
                    <w:pStyle w:val="103"/>
                    <w:jc w:val="center"/>
                    <w:rPr>
                      <w:rFonts w:hint="eastAsia" w:ascii="宋体" w:hAnsi="宋体"/>
                      <w:sz w:val="21"/>
                      <w:szCs w:val="21"/>
                    </w:rPr>
                  </w:pPr>
                  <w:r>
                    <w:rPr>
                      <w:rFonts w:hint="eastAsia" w:ascii="宋体" w:hAnsi="宋体"/>
                      <w:sz w:val="21"/>
                      <w:szCs w:val="21"/>
                    </w:rPr>
                    <w:t>检测日期</w:t>
                  </w:r>
                </w:p>
              </w:tc>
              <w:tc>
                <w:tcPr>
                  <w:tcW w:w="1106" w:type="pct"/>
                  <w:vMerge w:val="restart"/>
                  <w:noWrap w:val="0"/>
                  <w:vAlign w:val="center"/>
                </w:tcPr>
                <w:p>
                  <w:pPr>
                    <w:pStyle w:val="103"/>
                    <w:jc w:val="center"/>
                    <w:rPr>
                      <w:rFonts w:hint="eastAsia" w:ascii="宋体" w:hAnsi="宋体"/>
                      <w:sz w:val="21"/>
                      <w:szCs w:val="21"/>
                    </w:rPr>
                  </w:pPr>
                  <w:r>
                    <w:rPr>
                      <w:rFonts w:hint="eastAsia" w:ascii="宋体" w:hAnsi="宋体" w:cs="宋体"/>
                      <w:sz w:val="21"/>
                      <w:szCs w:val="21"/>
                    </w:rPr>
                    <w:t>检测点位置</w:t>
                  </w:r>
                </w:p>
              </w:tc>
              <w:tc>
                <w:tcPr>
                  <w:tcW w:w="1359" w:type="pct"/>
                  <w:gridSpan w:val="2"/>
                  <w:noWrap w:val="0"/>
                  <w:vAlign w:val="center"/>
                </w:tcPr>
                <w:p>
                  <w:pPr>
                    <w:tabs>
                      <w:tab w:val="left" w:pos="5400"/>
                    </w:tabs>
                    <w:spacing w:after="0"/>
                    <w:jc w:val="center"/>
                    <w:rPr>
                      <w:rFonts w:hint="eastAsia" w:ascii="宋体" w:hAnsi="宋体"/>
                      <w:b/>
                      <w:sz w:val="21"/>
                      <w:szCs w:val="21"/>
                    </w:rPr>
                  </w:pPr>
                  <w:r>
                    <w:rPr>
                      <w:rFonts w:hint="eastAsia" w:ascii="Times New Roman" w:hAnsi="宋体" w:cs="宋体"/>
                      <w:sz w:val="21"/>
                      <w:szCs w:val="21"/>
                    </w:rPr>
                    <w:t>昼间L</w:t>
                  </w:r>
                  <w:r>
                    <w:rPr>
                      <w:rFonts w:ascii="Times New Roman" w:hAnsi="Times New Roman"/>
                      <w:sz w:val="21"/>
                      <w:szCs w:val="21"/>
                    </w:rPr>
                    <w:t>eq dB</w:t>
                  </w:r>
                  <w:r>
                    <w:rPr>
                      <w:rFonts w:hint="eastAsia" w:ascii="Times New Roman" w:hAnsi="宋体" w:cs="宋体"/>
                      <w:sz w:val="21"/>
                      <w:szCs w:val="21"/>
                    </w:rPr>
                    <w:t>（</w:t>
                  </w:r>
                  <w:r>
                    <w:rPr>
                      <w:rFonts w:ascii="Times New Roman" w:hAnsi="Times New Roman"/>
                      <w:sz w:val="21"/>
                      <w:szCs w:val="21"/>
                    </w:rPr>
                    <w:t>A</w:t>
                  </w:r>
                  <w:r>
                    <w:rPr>
                      <w:rFonts w:hint="eastAsia" w:ascii="Times New Roman" w:hAnsi="宋体" w:cs="宋体"/>
                      <w:sz w:val="21"/>
                      <w:szCs w:val="21"/>
                    </w:rPr>
                    <w:t>）</w:t>
                  </w:r>
                </w:p>
              </w:tc>
              <w:tc>
                <w:tcPr>
                  <w:tcW w:w="1424" w:type="pct"/>
                  <w:gridSpan w:val="2"/>
                  <w:noWrap w:val="0"/>
                  <w:vAlign w:val="center"/>
                </w:tcPr>
                <w:p>
                  <w:pPr>
                    <w:tabs>
                      <w:tab w:val="left" w:pos="5400"/>
                    </w:tabs>
                    <w:spacing w:after="0"/>
                    <w:jc w:val="center"/>
                    <w:rPr>
                      <w:rFonts w:hint="eastAsia" w:ascii="宋体" w:hAnsi="宋体"/>
                      <w:b/>
                      <w:sz w:val="21"/>
                      <w:szCs w:val="21"/>
                    </w:rPr>
                  </w:pPr>
                  <w:r>
                    <w:rPr>
                      <w:rFonts w:hint="eastAsia" w:ascii="Times New Roman" w:hAnsi="宋体" w:cs="宋体"/>
                      <w:sz w:val="21"/>
                      <w:szCs w:val="21"/>
                    </w:rPr>
                    <w:t>昼间L</w:t>
                  </w:r>
                  <w:r>
                    <w:rPr>
                      <w:rFonts w:ascii="Times New Roman" w:hAnsi="Times New Roman"/>
                      <w:sz w:val="21"/>
                      <w:szCs w:val="21"/>
                    </w:rPr>
                    <w:t>eq dB</w:t>
                  </w:r>
                  <w:r>
                    <w:rPr>
                      <w:rFonts w:hint="eastAsia" w:ascii="Times New Roman" w:hAnsi="宋体" w:cs="宋体"/>
                      <w:sz w:val="21"/>
                      <w:szCs w:val="21"/>
                    </w:rPr>
                    <w:t>（</w:t>
                  </w:r>
                  <w:r>
                    <w:rPr>
                      <w:rFonts w:ascii="Times New Roman" w:hAnsi="Times New Roman"/>
                      <w:sz w:val="21"/>
                      <w:szCs w:val="21"/>
                    </w:rPr>
                    <w:t>A</w:t>
                  </w:r>
                  <w:r>
                    <w:rPr>
                      <w:rFonts w:hint="eastAsia" w:ascii="Times New Roman" w:hAnsi="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16" w:type="pct"/>
                  <w:vMerge w:val="continue"/>
                  <w:noWrap w:val="0"/>
                  <w:vAlign w:val="top"/>
                </w:tcPr>
                <w:p>
                  <w:pPr>
                    <w:tabs>
                      <w:tab w:val="left" w:pos="5400"/>
                    </w:tabs>
                    <w:spacing w:after="0"/>
                    <w:jc w:val="both"/>
                    <w:rPr>
                      <w:sz w:val="21"/>
                      <w:szCs w:val="21"/>
                    </w:rPr>
                  </w:pPr>
                </w:p>
              </w:tc>
              <w:tc>
                <w:tcPr>
                  <w:tcW w:w="692" w:type="pct"/>
                  <w:vMerge w:val="continue"/>
                  <w:noWrap w:val="0"/>
                  <w:vAlign w:val="top"/>
                </w:tcPr>
                <w:p>
                  <w:pPr>
                    <w:tabs>
                      <w:tab w:val="left" w:pos="5400"/>
                    </w:tabs>
                    <w:spacing w:after="0"/>
                    <w:jc w:val="both"/>
                    <w:rPr>
                      <w:sz w:val="21"/>
                      <w:szCs w:val="21"/>
                    </w:rPr>
                  </w:pPr>
                </w:p>
              </w:tc>
              <w:tc>
                <w:tcPr>
                  <w:tcW w:w="1106" w:type="pct"/>
                  <w:vMerge w:val="continue"/>
                  <w:noWrap w:val="0"/>
                  <w:vAlign w:val="top"/>
                </w:tcPr>
                <w:p>
                  <w:pPr>
                    <w:tabs>
                      <w:tab w:val="left" w:pos="5400"/>
                    </w:tabs>
                    <w:spacing w:after="0"/>
                    <w:jc w:val="both"/>
                    <w:rPr>
                      <w:sz w:val="21"/>
                      <w:szCs w:val="21"/>
                    </w:rPr>
                  </w:pPr>
                </w:p>
              </w:tc>
              <w:tc>
                <w:tcPr>
                  <w:tcW w:w="705" w:type="pct"/>
                  <w:noWrap w:val="0"/>
                  <w:vAlign w:val="center"/>
                </w:tcPr>
                <w:p>
                  <w:pPr>
                    <w:pStyle w:val="103"/>
                    <w:jc w:val="center"/>
                    <w:rPr>
                      <w:rFonts w:ascii="宋体" w:hAnsi="宋体"/>
                      <w:b/>
                      <w:sz w:val="21"/>
                      <w:szCs w:val="21"/>
                    </w:rPr>
                  </w:pPr>
                  <w:r>
                    <w:rPr>
                      <w:rFonts w:hint="eastAsia" w:ascii="宋体" w:hAnsi="宋体" w:cs="宋体"/>
                      <w:sz w:val="21"/>
                      <w:szCs w:val="21"/>
                    </w:rPr>
                    <w:t>测量时间</w:t>
                  </w:r>
                </w:p>
              </w:tc>
              <w:tc>
                <w:tcPr>
                  <w:tcW w:w="654" w:type="pct"/>
                  <w:noWrap w:val="0"/>
                  <w:vAlign w:val="center"/>
                </w:tcPr>
                <w:p>
                  <w:pPr>
                    <w:pStyle w:val="103"/>
                    <w:jc w:val="center"/>
                    <w:rPr>
                      <w:rFonts w:hint="eastAsia" w:ascii="宋体" w:hAnsi="宋体"/>
                      <w:b/>
                      <w:sz w:val="21"/>
                      <w:szCs w:val="21"/>
                    </w:rPr>
                  </w:pPr>
                  <w:r>
                    <w:rPr>
                      <w:rFonts w:hint="eastAsia" w:ascii="Times New Roman" w:hAnsi="宋体" w:cs="宋体"/>
                      <w:sz w:val="21"/>
                      <w:szCs w:val="21"/>
                    </w:rPr>
                    <w:t>测量结果</w:t>
                  </w:r>
                </w:p>
              </w:tc>
              <w:tc>
                <w:tcPr>
                  <w:tcW w:w="769" w:type="pct"/>
                  <w:noWrap w:val="0"/>
                  <w:vAlign w:val="center"/>
                </w:tcPr>
                <w:p>
                  <w:pPr>
                    <w:pStyle w:val="103"/>
                    <w:jc w:val="center"/>
                    <w:rPr>
                      <w:rFonts w:ascii="宋体" w:hAnsi="宋体"/>
                      <w:b/>
                      <w:sz w:val="21"/>
                      <w:szCs w:val="21"/>
                    </w:rPr>
                  </w:pPr>
                  <w:r>
                    <w:rPr>
                      <w:rFonts w:hint="eastAsia" w:ascii="宋体" w:hAnsi="宋体" w:cs="宋体"/>
                      <w:sz w:val="21"/>
                      <w:szCs w:val="21"/>
                    </w:rPr>
                    <w:t>测量时间</w:t>
                  </w:r>
                </w:p>
              </w:tc>
              <w:tc>
                <w:tcPr>
                  <w:tcW w:w="654" w:type="pct"/>
                  <w:noWrap w:val="0"/>
                  <w:vAlign w:val="center"/>
                </w:tcPr>
                <w:p>
                  <w:pPr>
                    <w:pStyle w:val="103"/>
                    <w:jc w:val="center"/>
                    <w:rPr>
                      <w:rFonts w:hint="eastAsia" w:ascii="宋体" w:hAnsi="宋体"/>
                      <w:b/>
                      <w:sz w:val="21"/>
                      <w:szCs w:val="21"/>
                    </w:rPr>
                  </w:pPr>
                  <w:r>
                    <w:rPr>
                      <w:rFonts w:hint="eastAsia" w:ascii="Times New Roman" w:hAnsi="宋体" w:cs="宋体"/>
                      <w:sz w:val="21"/>
                      <w:szCs w:val="21"/>
                    </w:rPr>
                    <w:t>测量结果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416" w:type="pct"/>
                  <w:vMerge w:val="restart"/>
                  <w:noWrap w:val="0"/>
                  <w:vAlign w:val="center"/>
                </w:tcPr>
                <w:p>
                  <w:pPr>
                    <w:pStyle w:val="103"/>
                    <w:jc w:val="center"/>
                    <w:rPr>
                      <w:rFonts w:ascii="Times New Roman" w:hAnsi="Times New Roman"/>
                      <w:sz w:val="21"/>
                      <w:szCs w:val="21"/>
                    </w:rPr>
                  </w:pPr>
                  <w:r>
                    <w:rPr>
                      <w:rFonts w:ascii="Times New Roman" w:hAnsi="Times New Roman"/>
                      <w:sz w:val="21"/>
                      <w:szCs w:val="21"/>
                    </w:rPr>
                    <w:t>1</w:t>
                  </w:r>
                </w:p>
              </w:tc>
              <w:tc>
                <w:tcPr>
                  <w:tcW w:w="692" w:type="pct"/>
                  <w:vMerge w:val="restart"/>
                  <w:noWrap w:val="0"/>
                  <w:vAlign w:val="center"/>
                </w:tcPr>
                <w:p>
                  <w:pPr>
                    <w:pStyle w:val="103"/>
                    <w:jc w:val="center"/>
                    <w:rPr>
                      <w:rFonts w:hint="eastAsia" w:ascii="Times New Roman" w:hAnsi="Times New Roman" w:eastAsia="宋体"/>
                      <w:sz w:val="21"/>
                      <w:szCs w:val="21"/>
                      <w:lang w:val="en-US" w:eastAsia="zh-CN"/>
                    </w:rPr>
                  </w:pPr>
                  <w:r>
                    <w:rPr>
                      <w:rFonts w:hint="eastAsia" w:ascii="Times New Roman" w:hAnsi="Times New Roman"/>
                      <w:sz w:val="21"/>
                      <w:szCs w:val="21"/>
                      <w:lang w:eastAsia="zh-CN"/>
                    </w:rPr>
                    <w:t>2022.2.28</w:t>
                  </w:r>
                </w:p>
              </w:tc>
              <w:tc>
                <w:tcPr>
                  <w:tcW w:w="1982" w:type="dxa"/>
                  <w:noWrap w:val="0"/>
                  <w:vAlign w:val="center"/>
                </w:tcPr>
                <w:p>
                  <w:pPr>
                    <w:pStyle w:val="103"/>
                    <w:jc w:val="center"/>
                    <w:rPr>
                      <w:rFonts w:ascii="Times New Roman" w:hAnsi="Times New Roman"/>
                      <w:sz w:val="21"/>
                      <w:szCs w:val="21"/>
                    </w:rPr>
                  </w:pPr>
                  <w:r>
                    <w:rPr>
                      <w:rFonts w:ascii="Times New Roman" w:hAnsi="宋体" w:eastAsia="宋体"/>
                      <w:sz w:val="21"/>
                      <w:szCs w:val="21"/>
                    </w:rPr>
                    <w:t>厂界东侧（</w:t>
                  </w:r>
                  <w:r>
                    <w:rPr>
                      <w:rFonts w:hint="eastAsia" w:ascii="Times New Roman" w:hAnsi="Times New Roman" w:eastAsia="宋体"/>
                      <w:sz w:val="21"/>
                      <w:szCs w:val="21"/>
                    </w:rPr>
                    <w:t>6</w:t>
                  </w:r>
                  <w:r>
                    <w:rPr>
                      <w:rFonts w:ascii="Times New Roman" w:hAnsi="Times New Roman" w:eastAsia="宋体"/>
                      <w:sz w:val="21"/>
                      <w:szCs w:val="21"/>
                    </w:rPr>
                    <w:t>#</w:t>
                  </w:r>
                  <w:r>
                    <w:rPr>
                      <w:rFonts w:ascii="Times New Roman" w:hAnsi="宋体" w:eastAsia="宋体"/>
                      <w:sz w:val="21"/>
                      <w:szCs w:val="21"/>
                    </w:rPr>
                    <w:t>）</w:t>
                  </w:r>
                </w:p>
              </w:tc>
              <w:tc>
                <w:tcPr>
                  <w:tcW w:w="1263" w:type="dxa"/>
                  <w:vMerge w:val="restart"/>
                  <w:noWrap w:val="0"/>
                  <w:vAlign w:val="center"/>
                </w:tcPr>
                <w:p>
                  <w:pPr>
                    <w:pStyle w:val="103"/>
                    <w:jc w:val="center"/>
                    <w:rPr>
                      <w:rFonts w:hint="eastAsia" w:ascii="Times New Roman" w:hAnsi="Times New Roman" w:cs="Times New Roman"/>
                      <w:sz w:val="21"/>
                      <w:szCs w:val="21"/>
                    </w:rPr>
                  </w:pPr>
                  <w:r>
                    <w:rPr>
                      <w:rFonts w:ascii="Times New Roman" w:hAnsi="Times New Roman" w:eastAsia="宋体"/>
                      <w:sz w:val="21"/>
                      <w:szCs w:val="21"/>
                    </w:rPr>
                    <w:t>9:</w:t>
                  </w:r>
                  <w:r>
                    <w:rPr>
                      <w:rFonts w:hint="eastAsia" w:ascii="Times New Roman" w:hAnsi="Times New Roman" w:eastAsia="宋体"/>
                      <w:sz w:val="21"/>
                      <w:szCs w:val="21"/>
                    </w:rPr>
                    <w:t>53</w:t>
                  </w:r>
                  <w:r>
                    <w:rPr>
                      <w:rFonts w:ascii="Times New Roman" w:hAnsi="Times New Roman" w:eastAsia="宋体"/>
                      <w:sz w:val="21"/>
                      <w:szCs w:val="21"/>
                    </w:rPr>
                    <w:t>-10:</w:t>
                  </w:r>
                  <w:r>
                    <w:rPr>
                      <w:rFonts w:hint="eastAsia" w:ascii="Times New Roman" w:hAnsi="Times New Roman" w:eastAsia="宋体"/>
                      <w:sz w:val="21"/>
                      <w:szCs w:val="21"/>
                    </w:rPr>
                    <w:t>16</w:t>
                  </w:r>
                </w:p>
              </w:tc>
              <w:tc>
                <w:tcPr>
                  <w:tcW w:w="1171" w:type="dxa"/>
                  <w:noWrap w:val="0"/>
                  <w:vAlign w:val="center"/>
                </w:tcPr>
                <w:p>
                  <w:pPr>
                    <w:pStyle w:val="103"/>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bCs/>
                      <w:sz w:val="21"/>
                      <w:szCs w:val="21"/>
                    </w:rPr>
                    <w:t>62.0</w:t>
                  </w:r>
                </w:p>
              </w:tc>
              <w:tc>
                <w:tcPr>
                  <w:tcW w:w="1377" w:type="dxa"/>
                  <w:vMerge w:val="restart"/>
                  <w:noWrap w:val="0"/>
                  <w:vAlign w:val="center"/>
                </w:tcPr>
                <w:p>
                  <w:pPr>
                    <w:pStyle w:val="103"/>
                    <w:jc w:val="center"/>
                    <w:rPr>
                      <w:rFonts w:ascii="Times New Roman" w:hAnsi="Times New Roman"/>
                      <w:bCs/>
                      <w:sz w:val="21"/>
                      <w:szCs w:val="21"/>
                    </w:rPr>
                  </w:pPr>
                  <w:r>
                    <w:rPr>
                      <w:rFonts w:hint="eastAsia" w:ascii="Times New Roman" w:hAnsi="Times New Roman" w:eastAsia="宋体"/>
                      <w:sz w:val="21"/>
                      <w:szCs w:val="21"/>
                    </w:rPr>
                    <w:t>22</w:t>
                  </w:r>
                  <w:r>
                    <w:rPr>
                      <w:rFonts w:ascii="Times New Roman" w:hAnsi="Times New Roman" w:eastAsia="宋体"/>
                      <w:sz w:val="21"/>
                      <w:szCs w:val="21"/>
                    </w:rPr>
                    <w:t>:</w:t>
                  </w:r>
                  <w:r>
                    <w:rPr>
                      <w:rFonts w:hint="eastAsia" w:ascii="Times New Roman" w:hAnsi="Times New Roman" w:eastAsia="宋体"/>
                      <w:sz w:val="21"/>
                      <w:szCs w:val="21"/>
                    </w:rPr>
                    <w:t>31</w:t>
                  </w:r>
                  <w:r>
                    <w:rPr>
                      <w:rFonts w:ascii="Times New Roman" w:hAnsi="Times New Roman" w:eastAsia="宋体"/>
                      <w:sz w:val="21"/>
                      <w:szCs w:val="21"/>
                    </w:rPr>
                    <w:t>-</w:t>
                  </w:r>
                  <w:r>
                    <w:rPr>
                      <w:rFonts w:hint="eastAsia" w:ascii="Times New Roman" w:hAnsi="Times New Roman" w:eastAsia="宋体"/>
                      <w:sz w:val="21"/>
                      <w:szCs w:val="21"/>
                    </w:rPr>
                    <w:t>23</w:t>
                  </w:r>
                  <w:r>
                    <w:rPr>
                      <w:rFonts w:ascii="Times New Roman" w:hAnsi="Times New Roman" w:eastAsia="宋体"/>
                      <w:sz w:val="21"/>
                      <w:szCs w:val="21"/>
                    </w:rPr>
                    <w:t>:00</w:t>
                  </w:r>
                </w:p>
              </w:tc>
              <w:tc>
                <w:tcPr>
                  <w:tcW w:w="1175" w:type="dxa"/>
                  <w:noWrap w:val="0"/>
                  <w:vAlign w:val="center"/>
                </w:tcPr>
                <w:p>
                  <w:pPr>
                    <w:pStyle w:val="103"/>
                    <w:jc w:val="center"/>
                    <w:rPr>
                      <w:rFonts w:hint="default" w:ascii="Times New Roman" w:hAnsi="Times New Roman" w:eastAsia="宋体"/>
                      <w:bCs/>
                      <w:color w:val="auto"/>
                      <w:sz w:val="21"/>
                      <w:szCs w:val="21"/>
                      <w:lang w:val="en-US" w:eastAsia="zh-CN"/>
                    </w:rPr>
                  </w:pPr>
                  <w:r>
                    <w:rPr>
                      <w:rFonts w:hint="eastAsia" w:ascii="Times New Roman" w:hAnsi="Times New Roman" w:eastAsia="宋体"/>
                      <w:bCs/>
                      <w:sz w:val="21"/>
                      <w:szCs w:val="21"/>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16" w:type="pct"/>
                  <w:vMerge w:val="continue"/>
                  <w:noWrap w:val="0"/>
                  <w:vAlign w:val="center"/>
                </w:tcPr>
                <w:p>
                  <w:pPr>
                    <w:pStyle w:val="103"/>
                    <w:jc w:val="center"/>
                    <w:rPr>
                      <w:rFonts w:ascii="Times New Roman" w:hAnsi="Times New Roman"/>
                      <w:sz w:val="21"/>
                      <w:szCs w:val="21"/>
                    </w:rPr>
                  </w:pPr>
                </w:p>
              </w:tc>
              <w:tc>
                <w:tcPr>
                  <w:tcW w:w="692" w:type="pct"/>
                  <w:vMerge w:val="continue"/>
                  <w:noWrap w:val="0"/>
                  <w:vAlign w:val="center"/>
                </w:tcPr>
                <w:p>
                  <w:pPr>
                    <w:pStyle w:val="103"/>
                    <w:jc w:val="center"/>
                    <w:rPr>
                      <w:rFonts w:hint="eastAsia" w:ascii="宋体" w:hAnsi="宋体"/>
                      <w:sz w:val="21"/>
                      <w:szCs w:val="21"/>
                    </w:rPr>
                  </w:pPr>
                </w:p>
              </w:tc>
              <w:tc>
                <w:tcPr>
                  <w:tcW w:w="1982" w:type="dxa"/>
                  <w:noWrap w:val="0"/>
                  <w:vAlign w:val="center"/>
                </w:tcPr>
                <w:p>
                  <w:pPr>
                    <w:pStyle w:val="103"/>
                    <w:jc w:val="center"/>
                    <w:rPr>
                      <w:rFonts w:ascii="Times New Roman" w:hAnsi="Times New Roman"/>
                      <w:sz w:val="21"/>
                      <w:szCs w:val="21"/>
                    </w:rPr>
                  </w:pPr>
                  <w:r>
                    <w:rPr>
                      <w:rFonts w:ascii="Times New Roman" w:hAnsi="宋体" w:eastAsia="宋体"/>
                      <w:sz w:val="21"/>
                      <w:szCs w:val="21"/>
                    </w:rPr>
                    <w:t>厂界南侧（</w:t>
                  </w:r>
                  <w:r>
                    <w:rPr>
                      <w:rFonts w:hint="eastAsia" w:ascii="Times New Roman" w:hAnsi="Times New Roman" w:eastAsia="宋体"/>
                      <w:sz w:val="21"/>
                      <w:szCs w:val="21"/>
                    </w:rPr>
                    <w:t>7</w:t>
                  </w:r>
                  <w:r>
                    <w:rPr>
                      <w:rFonts w:ascii="Times New Roman" w:hAnsi="Times New Roman" w:eastAsia="宋体"/>
                      <w:sz w:val="21"/>
                      <w:szCs w:val="21"/>
                    </w:rPr>
                    <w:t>#</w:t>
                  </w:r>
                  <w:r>
                    <w:rPr>
                      <w:rFonts w:ascii="Times New Roman" w:hAnsi="宋体" w:eastAsia="宋体"/>
                      <w:sz w:val="21"/>
                      <w:szCs w:val="21"/>
                    </w:rPr>
                    <w:t>）</w:t>
                  </w:r>
                </w:p>
              </w:tc>
              <w:tc>
                <w:tcPr>
                  <w:tcW w:w="1263" w:type="dxa"/>
                  <w:vMerge w:val="continue"/>
                  <w:noWrap w:val="0"/>
                  <w:vAlign w:val="center"/>
                </w:tcPr>
                <w:p>
                  <w:pPr>
                    <w:pStyle w:val="103"/>
                    <w:jc w:val="center"/>
                    <w:rPr>
                      <w:rFonts w:hint="eastAsia" w:ascii="Times New Roman" w:hAnsi="Times New Roman" w:cs="Times New Roman"/>
                      <w:sz w:val="21"/>
                      <w:szCs w:val="21"/>
                    </w:rPr>
                  </w:pPr>
                </w:p>
              </w:tc>
              <w:tc>
                <w:tcPr>
                  <w:tcW w:w="1171" w:type="dxa"/>
                  <w:noWrap w:val="0"/>
                  <w:vAlign w:val="center"/>
                </w:tcPr>
                <w:p>
                  <w:pPr>
                    <w:pStyle w:val="103"/>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bCs/>
                      <w:sz w:val="21"/>
                      <w:szCs w:val="21"/>
                    </w:rPr>
                    <w:t>61.2</w:t>
                  </w:r>
                </w:p>
              </w:tc>
              <w:tc>
                <w:tcPr>
                  <w:tcW w:w="1377" w:type="dxa"/>
                  <w:vMerge w:val="continue"/>
                  <w:noWrap w:val="0"/>
                  <w:vAlign w:val="center"/>
                </w:tcPr>
                <w:p>
                  <w:pPr>
                    <w:pStyle w:val="103"/>
                    <w:jc w:val="center"/>
                    <w:rPr>
                      <w:rFonts w:ascii="Times New Roman" w:hAnsi="Times New Roman"/>
                      <w:bCs/>
                      <w:sz w:val="21"/>
                      <w:szCs w:val="21"/>
                    </w:rPr>
                  </w:pPr>
                </w:p>
              </w:tc>
              <w:tc>
                <w:tcPr>
                  <w:tcW w:w="1175" w:type="dxa"/>
                  <w:noWrap w:val="0"/>
                  <w:vAlign w:val="center"/>
                </w:tcPr>
                <w:p>
                  <w:pPr>
                    <w:pStyle w:val="103"/>
                    <w:jc w:val="center"/>
                    <w:rPr>
                      <w:rFonts w:hint="default" w:ascii="Times New Roman" w:hAnsi="Times New Roman" w:eastAsia="宋体"/>
                      <w:bCs/>
                      <w:color w:val="auto"/>
                      <w:sz w:val="21"/>
                      <w:szCs w:val="21"/>
                      <w:lang w:val="en-US" w:eastAsia="zh-CN"/>
                    </w:rPr>
                  </w:pPr>
                  <w:r>
                    <w:rPr>
                      <w:rFonts w:hint="eastAsia" w:ascii="Times New Roman" w:hAnsi="Times New Roman" w:eastAsia="宋体"/>
                      <w:bCs/>
                      <w:sz w:val="21"/>
                      <w:szCs w:val="21"/>
                    </w:rPr>
                    <w:t>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16" w:type="pct"/>
                  <w:vMerge w:val="continue"/>
                  <w:noWrap w:val="0"/>
                  <w:vAlign w:val="center"/>
                </w:tcPr>
                <w:p>
                  <w:pPr>
                    <w:pStyle w:val="103"/>
                    <w:jc w:val="center"/>
                    <w:rPr>
                      <w:rFonts w:ascii="Times New Roman" w:hAnsi="Times New Roman"/>
                      <w:sz w:val="21"/>
                      <w:szCs w:val="21"/>
                    </w:rPr>
                  </w:pPr>
                </w:p>
              </w:tc>
              <w:tc>
                <w:tcPr>
                  <w:tcW w:w="692" w:type="pct"/>
                  <w:vMerge w:val="continue"/>
                  <w:noWrap w:val="0"/>
                  <w:vAlign w:val="center"/>
                </w:tcPr>
                <w:p>
                  <w:pPr>
                    <w:pStyle w:val="103"/>
                    <w:jc w:val="center"/>
                    <w:rPr>
                      <w:rFonts w:hint="eastAsia" w:ascii="宋体" w:hAnsi="宋体"/>
                      <w:sz w:val="21"/>
                      <w:szCs w:val="21"/>
                    </w:rPr>
                  </w:pPr>
                </w:p>
              </w:tc>
              <w:tc>
                <w:tcPr>
                  <w:tcW w:w="1982" w:type="dxa"/>
                  <w:noWrap w:val="0"/>
                  <w:vAlign w:val="center"/>
                </w:tcPr>
                <w:p>
                  <w:pPr>
                    <w:pStyle w:val="103"/>
                    <w:jc w:val="center"/>
                    <w:rPr>
                      <w:rFonts w:ascii="Times New Roman" w:hAnsi="Times New Roman"/>
                      <w:sz w:val="21"/>
                      <w:szCs w:val="21"/>
                    </w:rPr>
                  </w:pPr>
                  <w:r>
                    <w:rPr>
                      <w:rFonts w:ascii="Times New Roman" w:hAnsi="宋体" w:eastAsia="宋体"/>
                      <w:sz w:val="21"/>
                      <w:szCs w:val="21"/>
                    </w:rPr>
                    <w:t>厂界西侧（</w:t>
                  </w:r>
                  <w:r>
                    <w:rPr>
                      <w:rFonts w:hint="eastAsia" w:ascii="Times New Roman" w:hAnsi="Times New Roman" w:eastAsia="宋体"/>
                      <w:sz w:val="21"/>
                      <w:szCs w:val="21"/>
                    </w:rPr>
                    <w:t>8</w:t>
                  </w:r>
                  <w:r>
                    <w:rPr>
                      <w:rFonts w:ascii="Times New Roman" w:hAnsi="Times New Roman" w:eastAsia="宋体"/>
                      <w:sz w:val="21"/>
                      <w:szCs w:val="21"/>
                    </w:rPr>
                    <w:t>#</w:t>
                  </w:r>
                  <w:r>
                    <w:rPr>
                      <w:rFonts w:ascii="Times New Roman" w:hAnsi="宋体" w:eastAsia="宋体"/>
                      <w:sz w:val="21"/>
                      <w:szCs w:val="21"/>
                    </w:rPr>
                    <w:t>）</w:t>
                  </w:r>
                </w:p>
              </w:tc>
              <w:tc>
                <w:tcPr>
                  <w:tcW w:w="1263" w:type="dxa"/>
                  <w:vMerge w:val="continue"/>
                  <w:noWrap w:val="0"/>
                  <w:vAlign w:val="center"/>
                </w:tcPr>
                <w:p>
                  <w:pPr>
                    <w:pStyle w:val="103"/>
                    <w:jc w:val="center"/>
                    <w:rPr>
                      <w:rFonts w:hint="eastAsia" w:ascii="Times New Roman" w:hAnsi="Times New Roman" w:cs="Times New Roman"/>
                      <w:sz w:val="21"/>
                      <w:szCs w:val="21"/>
                    </w:rPr>
                  </w:pPr>
                </w:p>
              </w:tc>
              <w:tc>
                <w:tcPr>
                  <w:tcW w:w="1171" w:type="dxa"/>
                  <w:noWrap w:val="0"/>
                  <w:vAlign w:val="center"/>
                </w:tcPr>
                <w:p>
                  <w:pPr>
                    <w:pStyle w:val="103"/>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bCs/>
                      <w:sz w:val="21"/>
                      <w:szCs w:val="21"/>
                    </w:rPr>
                    <w:t>61.1</w:t>
                  </w:r>
                </w:p>
              </w:tc>
              <w:tc>
                <w:tcPr>
                  <w:tcW w:w="1377" w:type="dxa"/>
                  <w:vMerge w:val="continue"/>
                  <w:noWrap w:val="0"/>
                  <w:vAlign w:val="center"/>
                </w:tcPr>
                <w:p>
                  <w:pPr>
                    <w:pStyle w:val="103"/>
                    <w:jc w:val="center"/>
                    <w:rPr>
                      <w:rFonts w:ascii="Times New Roman" w:hAnsi="Times New Roman"/>
                      <w:bCs/>
                      <w:sz w:val="21"/>
                      <w:szCs w:val="21"/>
                    </w:rPr>
                  </w:pPr>
                </w:p>
              </w:tc>
              <w:tc>
                <w:tcPr>
                  <w:tcW w:w="1175" w:type="dxa"/>
                  <w:noWrap w:val="0"/>
                  <w:vAlign w:val="center"/>
                </w:tcPr>
                <w:p>
                  <w:pPr>
                    <w:pStyle w:val="103"/>
                    <w:jc w:val="center"/>
                    <w:rPr>
                      <w:rFonts w:hint="default" w:ascii="Times New Roman" w:hAnsi="Times New Roman" w:eastAsia="宋体"/>
                      <w:bCs/>
                      <w:color w:val="auto"/>
                      <w:sz w:val="21"/>
                      <w:szCs w:val="21"/>
                      <w:lang w:val="en-US" w:eastAsia="zh-CN"/>
                    </w:rPr>
                  </w:pPr>
                  <w:r>
                    <w:rPr>
                      <w:rFonts w:hint="eastAsia" w:ascii="Times New Roman" w:hAnsi="Times New Roman" w:eastAsia="宋体"/>
                      <w:bCs/>
                      <w:sz w:val="21"/>
                      <w:szCs w:val="21"/>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16" w:type="pct"/>
                  <w:vMerge w:val="continue"/>
                  <w:noWrap w:val="0"/>
                  <w:vAlign w:val="center"/>
                </w:tcPr>
                <w:p>
                  <w:pPr>
                    <w:pStyle w:val="103"/>
                    <w:jc w:val="center"/>
                    <w:rPr>
                      <w:rFonts w:ascii="Times New Roman" w:hAnsi="Times New Roman"/>
                      <w:sz w:val="21"/>
                      <w:szCs w:val="21"/>
                    </w:rPr>
                  </w:pPr>
                </w:p>
              </w:tc>
              <w:tc>
                <w:tcPr>
                  <w:tcW w:w="692" w:type="pct"/>
                  <w:vMerge w:val="continue"/>
                  <w:noWrap w:val="0"/>
                  <w:vAlign w:val="center"/>
                </w:tcPr>
                <w:p>
                  <w:pPr>
                    <w:pStyle w:val="103"/>
                    <w:jc w:val="center"/>
                    <w:rPr>
                      <w:rFonts w:hint="eastAsia" w:ascii="宋体" w:hAnsi="宋体"/>
                      <w:sz w:val="21"/>
                      <w:szCs w:val="21"/>
                    </w:rPr>
                  </w:pPr>
                </w:p>
              </w:tc>
              <w:tc>
                <w:tcPr>
                  <w:tcW w:w="1982" w:type="dxa"/>
                  <w:noWrap w:val="0"/>
                  <w:vAlign w:val="center"/>
                </w:tcPr>
                <w:p>
                  <w:pPr>
                    <w:pStyle w:val="103"/>
                    <w:jc w:val="center"/>
                    <w:rPr>
                      <w:rFonts w:ascii="Times New Roman" w:hAnsi="Times New Roman"/>
                      <w:sz w:val="21"/>
                      <w:szCs w:val="21"/>
                    </w:rPr>
                  </w:pPr>
                  <w:r>
                    <w:rPr>
                      <w:rFonts w:ascii="Times New Roman" w:hAnsi="宋体" w:eastAsia="宋体"/>
                      <w:sz w:val="21"/>
                      <w:szCs w:val="21"/>
                    </w:rPr>
                    <w:t>厂界北侧（</w:t>
                  </w:r>
                  <w:r>
                    <w:rPr>
                      <w:rFonts w:hint="eastAsia" w:ascii="Times New Roman" w:hAnsi="Times New Roman" w:eastAsia="宋体"/>
                      <w:sz w:val="21"/>
                      <w:szCs w:val="21"/>
                    </w:rPr>
                    <w:t>9</w:t>
                  </w:r>
                  <w:r>
                    <w:rPr>
                      <w:rFonts w:ascii="Times New Roman" w:hAnsi="Times New Roman" w:eastAsia="宋体"/>
                      <w:sz w:val="21"/>
                      <w:szCs w:val="21"/>
                    </w:rPr>
                    <w:t>#</w:t>
                  </w:r>
                  <w:r>
                    <w:rPr>
                      <w:rFonts w:ascii="Times New Roman" w:hAnsi="宋体" w:eastAsia="宋体"/>
                      <w:sz w:val="21"/>
                      <w:szCs w:val="21"/>
                    </w:rPr>
                    <w:t>）</w:t>
                  </w:r>
                </w:p>
              </w:tc>
              <w:tc>
                <w:tcPr>
                  <w:tcW w:w="1263" w:type="dxa"/>
                  <w:vMerge w:val="continue"/>
                  <w:noWrap w:val="0"/>
                  <w:vAlign w:val="center"/>
                </w:tcPr>
                <w:p>
                  <w:pPr>
                    <w:pStyle w:val="103"/>
                    <w:jc w:val="center"/>
                    <w:rPr>
                      <w:rFonts w:ascii="Times New Roman" w:hAnsi="Times New Roman"/>
                      <w:bCs/>
                      <w:sz w:val="21"/>
                      <w:szCs w:val="21"/>
                    </w:rPr>
                  </w:pPr>
                </w:p>
              </w:tc>
              <w:tc>
                <w:tcPr>
                  <w:tcW w:w="1171" w:type="dxa"/>
                  <w:noWrap w:val="0"/>
                  <w:vAlign w:val="center"/>
                </w:tcPr>
                <w:p>
                  <w:pPr>
                    <w:pStyle w:val="103"/>
                    <w:jc w:val="center"/>
                    <w:rPr>
                      <w:rFonts w:hint="default" w:ascii="Times New Roman" w:hAnsi="Times New Roman" w:eastAsia="宋体"/>
                      <w:bCs/>
                      <w:color w:val="auto"/>
                      <w:sz w:val="21"/>
                      <w:szCs w:val="21"/>
                      <w:lang w:val="en-US" w:eastAsia="zh-CN"/>
                    </w:rPr>
                  </w:pPr>
                  <w:r>
                    <w:rPr>
                      <w:rFonts w:hint="eastAsia" w:ascii="Times New Roman" w:hAnsi="Times New Roman" w:eastAsia="宋体"/>
                      <w:bCs/>
                      <w:sz w:val="21"/>
                      <w:szCs w:val="21"/>
                    </w:rPr>
                    <w:t>63.6</w:t>
                  </w:r>
                </w:p>
              </w:tc>
              <w:tc>
                <w:tcPr>
                  <w:tcW w:w="1377" w:type="dxa"/>
                  <w:vMerge w:val="continue"/>
                  <w:noWrap w:val="0"/>
                  <w:vAlign w:val="center"/>
                </w:tcPr>
                <w:p>
                  <w:pPr>
                    <w:pStyle w:val="103"/>
                    <w:jc w:val="center"/>
                    <w:rPr>
                      <w:rFonts w:ascii="Times New Roman" w:hAnsi="Times New Roman"/>
                      <w:bCs/>
                      <w:sz w:val="21"/>
                      <w:szCs w:val="21"/>
                    </w:rPr>
                  </w:pPr>
                </w:p>
              </w:tc>
              <w:tc>
                <w:tcPr>
                  <w:tcW w:w="1175" w:type="dxa"/>
                  <w:noWrap w:val="0"/>
                  <w:vAlign w:val="center"/>
                </w:tcPr>
                <w:p>
                  <w:pPr>
                    <w:pStyle w:val="103"/>
                    <w:jc w:val="center"/>
                    <w:rPr>
                      <w:rFonts w:hint="default" w:ascii="Times New Roman" w:hAnsi="Times New Roman" w:eastAsia="宋体"/>
                      <w:bCs/>
                      <w:color w:val="auto"/>
                      <w:sz w:val="21"/>
                      <w:szCs w:val="21"/>
                      <w:lang w:val="en-US" w:eastAsia="zh-CN"/>
                    </w:rPr>
                  </w:pPr>
                  <w:r>
                    <w:rPr>
                      <w:rFonts w:hint="eastAsia" w:ascii="Times New Roman" w:hAnsi="Times New Roman" w:eastAsia="宋体"/>
                      <w:bCs/>
                      <w:sz w:val="21"/>
                      <w:szCs w:val="21"/>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215" w:type="pct"/>
                  <w:gridSpan w:val="3"/>
                  <w:noWrap w:val="0"/>
                  <w:vAlign w:val="center"/>
                </w:tcPr>
                <w:p>
                  <w:pPr>
                    <w:pStyle w:val="103"/>
                    <w:jc w:val="center"/>
                    <w:rPr>
                      <w:rFonts w:hint="eastAsia" w:ascii="宋体" w:hAnsi="宋体"/>
                      <w:b/>
                      <w:sz w:val="21"/>
                      <w:szCs w:val="21"/>
                    </w:rPr>
                  </w:pPr>
                  <w:r>
                    <w:rPr>
                      <w:rFonts w:hint="eastAsia" w:ascii="宋体" w:hAnsi="宋体" w:cs="宋体"/>
                      <w:sz w:val="21"/>
                      <w:szCs w:val="21"/>
                    </w:rPr>
                    <w:t>检测时气象条件</w:t>
                  </w:r>
                </w:p>
              </w:tc>
              <w:tc>
                <w:tcPr>
                  <w:tcW w:w="2784" w:type="pct"/>
                  <w:gridSpan w:val="4"/>
                  <w:noWrap w:val="0"/>
                  <w:vAlign w:val="center"/>
                </w:tcPr>
                <w:p>
                  <w:pPr>
                    <w:pStyle w:val="103"/>
                    <w:jc w:val="center"/>
                    <w:rPr>
                      <w:rFonts w:hint="eastAsia" w:ascii="宋体" w:hAnsi="宋体"/>
                      <w:b/>
                      <w:color w:val="auto"/>
                      <w:sz w:val="21"/>
                      <w:szCs w:val="21"/>
                    </w:rPr>
                  </w:pPr>
                  <w:r>
                    <w:rPr>
                      <w:rFonts w:hint="eastAsia" w:ascii="宋体" w:hAnsi="宋体" w:cs="宋体"/>
                      <w:color w:val="auto"/>
                      <w:sz w:val="21"/>
                      <w:szCs w:val="21"/>
                    </w:rPr>
                    <w:t>天气晴，风速</w:t>
                  </w:r>
                  <w:r>
                    <w:rPr>
                      <w:rFonts w:ascii="Times New Roman" w:hAnsi="Times New Roman"/>
                      <w:color w:val="auto"/>
                      <w:sz w:val="21"/>
                      <w:szCs w:val="21"/>
                    </w:rPr>
                    <w:t>&lt;5m/s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16" w:type="pct"/>
                  <w:vMerge w:val="restart"/>
                  <w:noWrap w:val="0"/>
                  <w:vAlign w:val="center"/>
                </w:tcPr>
                <w:p>
                  <w:pPr>
                    <w:pStyle w:val="103"/>
                    <w:jc w:val="center"/>
                    <w:rPr>
                      <w:rFonts w:ascii="Times New Roman" w:hAnsi="Times New Roman"/>
                      <w:sz w:val="21"/>
                      <w:szCs w:val="21"/>
                    </w:rPr>
                  </w:pPr>
                  <w:r>
                    <w:rPr>
                      <w:rFonts w:ascii="Times New Roman" w:hAnsi="Times New Roman"/>
                      <w:sz w:val="21"/>
                      <w:szCs w:val="21"/>
                    </w:rPr>
                    <w:t>2</w:t>
                  </w:r>
                </w:p>
              </w:tc>
              <w:tc>
                <w:tcPr>
                  <w:tcW w:w="692" w:type="pct"/>
                  <w:vMerge w:val="restart"/>
                  <w:noWrap w:val="0"/>
                  <w:vAlign w:val="center"/>
                </w:tcPr>
                <w:p>
                  <w:pPr>
                    <w:pStyle w:val="103"/>
                    <w:jc w:val="center"/>
                    <w:rPr>
                      <w:rFonts w:hint="eastAsia" w:ascii="Times New Roman" w:hAnsi="Times New Roman" w:eastAsia="宋体"/>
                      <w:sz w:val="21"/>
                      <w:szCs w:val="21"/>
                      <w:lang w:val="en-US" w:eastAsia="zh-CN"/>
                    </w:rPr>
                  </w:pPr>
                  <w:r>
                    <w:rPr>
                      <w:rFonts w:hint="eastAsia" w:ascii="Times New Roman" w:hAnsi="Times New Roman"/>
                      <w:sz w:val="21"/>
                      <w:szCs w:val="21"/>
                      <w:lang w:eastAsia="zh-CN"/>
                    </w:rPr>
                    <w:t>2022.3.1</w:t>
                  </w:r>
                </w:p>
              </w:tc>
              <w:tc>
                <w:tcPr>
                  <w:tcW w:w="1982" w:type="dxa"/>
                  <w:noWrap w:val="0"/>
                  <w:vAlign w:val="center"/>
                </w:tcPr>
                <w:p>
                  <w:pPr>
                    <w:pStyle w:val="103"/>
                    <w:jc w:val="center"/>
                    <w:rPr>
                      <w:rFonts w:ascii="Times New Roman" w:hAnsi="Times New Roman"/>
                      <w:sz w:val="21"/>
                      <w:szCs w:val="21"/>
                    </w:rPr>
                  </w:pPr>
                  <w:r>
                    <w:rPr>
                      <w:rFonts w:ascii="Times New Roman" w:hAnsi="宋体" w:eastAsia="宋体"/>
                      <w:sz w:val="21"/>
                      <w:szCs w:val="21"/>
                    </w:rPr>
                    <w:t>厂界东侧（</w:t>
                  </w:r>
                  <w:r>
                    <w:rPr>
                      <w:rFonts w:hint="eastAsia" w:ascii="Times New Roman" w:hAnsi="Times New Roman" w:eastAsia="宋体"/>
                      <w:sz w:val="21"/>
                      <w:szCs w:val="21"/>
                    </w:rPr>
                    <w:t>6</w:t>
                  </w:r>
                  <w:r>
                    <w:rPr>
                      <w:rFonts w:ascii="Times New Roman" w:hAnsi="Times New Roman" w:eastAsia="宋体"/>
                      <w:sz w:val="21"/>
                      <w:szCs w:val="21"/>
                    </w:rPr>
                    <w:t>#</w:t>
                  </w:r>
                  <w:r>
                    <w:rPr>
                      <w:rFonts w:ascii="Times New Roman" w:hAnsi="宋体" w:eastAsia="宋体"/>
                      <w:sz w:val="21"/>
                      <w:szCs w:val="21"/>
                    </w:rPr>
                    <w:t>）</w:t>
                  </w:r>
                </w:p>
              </w:tc>
              <w:tc>
                <w:tcPr>
                  <w:tcW w:w="1263" w:type="dxa"/>
                  <w:vMerge w:val="restart"/>
                  <w:noWrap w:val="0"/>
                  <w:vAlign w:val="center"/>
                </w:tcPr>
                <w:p>
                  <w:pPr>
                    <w:pStyle w:val="103"/>
                    <w:jc w:val="center"/>
                    <w:rPr>
                      <w:rFonts w:ascii="Times New Roman" w:hAnsi="Times New Roman"/>
                      <w:bCs/>
                      <w:sz w:val="21"/>
                      <w:szCs w:val="21"/>
                    </w:rPr>
                  </w:pPr>
                  <w:r>
                    <w:rPr>
                      <w:rFonts w:hint="eastAsia" w:ascii="Times New Roman" w:hAnsi="Times New Roman" w:eastAsia="宋体"/>
                      <w:sz w:val="21"/>
                      <w:szCs w:val="21"/>
                    </w:rPr>
                    <w:t>13</w:t>
                  </w:r>
                  <w:r>
                    <w:rPr>
                      <w:rFonts w:ascii="Times New Roman" w:hAnsi="Times New Roman" w:eastAsia="宋体"/>
                      <w:sz w:val="21"/>
                      <w:szCs w:val="21"/>
                    </w:rPr>
                    <w:t>:</w:t>
                  </w:r>
                  <w:r>
                    <w:rPr>
                      <w:rFonts w:hint="eastAsia" w:ascii="Times New Roman" w:hAnsi="Times New Roman" w:eastAsia="宋体"/>
                      <w:sz w:val="21"/>
                      <w:szCs w:val="21"/>
                    </w:rPr>
                    <w:t>42</w:t>
                  </w:r>
                  <w:r>
                    <w:rPr>
                      <w:rFonts w:ascii="Times New Roman" w:hAnsi="Times New Roman" w:eastAsia="宋体"/>
                      <w:sz w:val="21"/>
                      <w:szCs w:val="21"/>
                    </w:rPr>
                    <w:t>-1</w:t>
                  </w:r>
                  <w:r>
                    <w:rPr>
                      <w:rFonts w:hint="eastAsia" w:ascii="Times New Roman" w:hAnsi="Times New Roman" w:eastAsia="宋体"/>
                      <w:sz w:val="21"/>
                      <w:szCs w:val="21"/>
                    </w:rPr>
                    <w:t>4</w:t>
                  </w:r>
                  <w:r>
                    <w:rPr>
                      <w:rFonts w:ascii="Times New Roman" w:hAnsi="Times New Roman" w:eastAsia="宋体"/>
                      <w:sz w:val="21"/>
                      <w:szCs w:val="21"/>
                    </w:rPr>
                    <w:t>:</w:t>
                  </w:r>
                  <w:r>
                    <w:rPr>
                      <w:rFonts w:hint="eastAsia" w:ascii="Times New Roman" w:hAnsi="Times New Roman" w:eastAsia="宋体"/>
                      <w:sz w:val="21"/>
                      <w:szCs w:val="21"/>
                    </w:rPr>
                    <w:t>09</w:t>
                  </w:r>
                </w:p>
              </w:tc>
              <w:tc>
                <w:tcPr>
                  <w:tcW w:w="1171" w:type="dxa"/>
                  <w:noWrap w:val="0"/>
                  <w:vAlign w:val="center"/>
                </w:tcPr>
                <w:p>
                  <w:pPr>
                    <w:pStyle w:val="103"/>
                    <w:jc w:val="center"/>
                    <w:rPr>
                      <w:rFonts w:hint="default" w:ascii="Times New Roman" w:hAnsi="Times New Roman" w:eastAsia="宋体"/>
                      <w:bCs/>
                      <w:color w:val="auto"/>
                      <w:sz w:val="21"/>
                      <w:szCs w:val="21"/>
                      <w:lang w:val="en-US" w:eastAsia="zh-CN"/>
                    </w:rPr>
                  </w:pPr>
                  <w:r>
                    <w:rPr>
                      <w:rFonts w:hint="eastAsia" w:ascii="Times New Roman" w:hAnsi="Times New Roman" w:eastAsia="宋体"/>
                      <w:bCs/>
                      <w:sz w:val="21"/>
                      <w:szCs w:val="21"/>
                    </w:rPr>
                    <w:t>62.7</w:t>
                  </w:r>
                </w:p>
              </w:tc>
              <w:tc>
                <w:tcPr>
                  <w:tcW w:w="1377" w:type="dxa"/>
                  <w:vMerge w:val="restart"/>
                  <w:noWrap w:val="0"/>
                  <w:vAlign w:val="center"/>
                </w:tcPr>
                <w:p>
                  <w:pPr>
                    <w:pStyle w:val="103"/>
                    <w:jc w:val="center"/>
                    <w:rPr>
                      <w:rFonts w:ascii="Times New Roman" w:hAnsi="Times New Roman"/>
                      <w:bCs/>
                      <w:sz w:val="21"/>
                      <w:szCs w:val="21"/>
                    </w:rPr>
                  </w:pPr>
                  <w:r>
                    <w:rPr>
                      <w:rFonts w:hint="eastAsia" w:ascii="Times New Roman" w:hAnsi="Times New Roman" w:eastAsia="宋体"/>
                      <w:sz w:val="21"/>
                      <w:szCs w:val="21"/>
                    </w:rPr>
                    <w:t>22</w:t>
                  </w:r>
                  <w:r>
                    <w:rPr>
                      <w:rFonts w:ascii="Times New Roman" w:hAnsi="Times New Roman" w:eastAsia="宋体"/>
                      <w:sz w:val="21"/>
                      <w:szCs w:val="21"/>
                    </w:rPr>
                    <w:t>:1</w:t>
                  </w:r>
                  <w:r>
                    <w:rPr>
                      <w:rFonts w:hint="eastAsia" w:ascii="Times New Roman" w:hAnsi="Times New Roman" w:eastAsia="宋体"/>
                      <w:sz w:val="21"/>
                      <w:szCs w:val="21"/>
                    </w:rPr>
                    <w:t>5</w:t>
                  </w:r>
                  <w:r>
                    <w:rPr>
                      <w:rFonts w:ascii="Times New Roman" w:hAnsi="Times New Roman" w:eastAsia="宋体"/>
                      <w:sz w:val="21"/>
                      <w:szCs w:val="21"/>
                    </w:rPr>
                    <w:t>-</w:t>
                  </w:r>
                  <w:r>
                    <w:rPr>
                      <w:rFonts w:hint="eastAsia" w:ascii="Times New Roman" w:hAnsi="Times New Roman" w:eastAsia="宋体"/>
                      <w:sz w:val="21"/>
                      <w:szCs w:val="21"/>
                    </w:rPr>
                    <w:t>22</w:t>
                  </w:r>
                  <w:r>
                    <w:rPr>
                      <w:rFonts w:ascii="Times New Roman" w:hAnsi="Times New Roman" w:eastAsia="宋体"/>
                      <w:sz w:val="21"/>
                      <w:szCs w:val="21"/>
                    </w:rPr>
                    <w:t>:</w:t>
                  </w:r>
                  <w:r>
                    <w:rPr>
                      <w:rFonts w:hint="eastAsia" w:ascii="Times New Roman" w:hAnsi="Times New Roman" w:eastAsia="宋体"/>
                      <w:sz w:val="21"/>
                      <w:szCs w:val="21"/>
                    </w:rPr>
                    <w:t>41</w:t>
                  </w:r>
                </w:p>
              </w:tc>
              <w:tc>
                <w:tcPr>
                  <w:tcW w:w="1175" w:type="dxa"/>
                  <w:noWrap w:val="0"/>
                  <w:vAlign w:val="center"/>
                </w:tcPr>
                <w:p>
                  <w:pPr>
                    <w:pStyle w:val="103"/>
                    <w:jc w:val="center"/>
                    <w:rPr>
                      <w:rFonts w:hint="default" w:ascii="Times New Roman" w:hAnsi="Times New Roman" w:eastAsia="宋体"/>
                      <w:bCs/>
                      <w:color w:val="auto"/>
                      <w:sz w:val="21"/>
                      <w:szCs w:val="21"/>
                      <w:lang w:val="en-US" w:eastAsia="zh-CN"/>
                    </w:rPr>
                  </w:pPr>
                  <w:r>
                    <w:rPr>
                      <w:rFonts w:hint="eastAsia" w:ascii="Times New Roman" w:hAnsi="Times New Roman" w:eastAsia="宋体"/>
                      <w:bCs/>
                      <w:sz w:val="21"/>
                      <w:szCs w:val="21"/>
                    </w:rPr>
                    <w:t>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16" w:type="pct"/>
                  <w:vMerge w:val="continue"/>
                  <w:noWrap w:val="0"/>
                  <w:vAlign w:val="center"/>
                </w:tcPr>
                <w:p>
                  <w:pPr>
                    <w:pStyle w:val="103"/>
                    <w:jc w:val="center"/>
                    <w:rPr>
                      <w:rFonts w:hint="eastAsia" w:ascii="宋体" w:hAnsi="宋体"/>
                      <w:b/>
                      <w:sz w:val="21"/>
                      <w:szCs w:val="21"/>
                    </w:rPr>
                  </w:pPr>
                </w:p>
              </w:tc>
              <w:tc>
                <w:tcPr>
                  <w:tcW w:w="692" w:type="pct"/>
                  <w:vMerge w:val="continue"/>
                  <w:noWrap w:val="0"/>
                  <w:vAlign w:val="center"/>
                </w:tcPr>
                <w:p>
                  <w:pPr>
                    <w:pStyle w:val="103"/>
                    <w:jc w:val="center"/>
                    <w:rPr>
                      <w:rFonts w:hint="eastAsia" w:ascii="宋体" w:hAnsi="宋体"/>
                      <w:b/>
                      <w:sz w:val="21"/>
                      <w:szCs w:val="21"/>
                    </w:rPr>
                  </w:pPr>
                </w:p>
              </w:tc>
              <w:tc>
                <w:tcPr>
                  <w:tcW w:w="1982" w:type="dxa"/>
                  <w:noWrap w:val="0"/>
                  <w:vAlign w:val="center"/>
                </w:tcPr>
                <w:p>
                  <w:pPr>
                    <w:pStyle w:val="103"/>
                    <w:jc w:val="center"/>
                    <w:rPr>
                      <w:rFonts w:ascii="Times New Roman" w:hAnsi="Times New Roman"/>
                      <w:sz w:val="21"/>
                      <w:szCs w:val="21"/>
                    </w:rPr>
                  </w:pPr>
                  <w:r>
                    <w:rPr>
                      <w:rFonts w:ascii="Times New Roman" w:hAnsi="宋体" w:eastAsia="宋体"/>
                      <w:sz w:val="21"/>
                      <w:szCs w:val="21"/>
                    </w:rPr>
                    <w:t>厂界南侧（</w:t>
                  </w:r>
                  <w:r>
                    <w:rPr>
                      <w:rFonts w:hint="eastAsia" w:ascii="Times New Roman" w:hAnsi="Times New Roman" w:eastAsia="宋体"/>
                      <w:sz w:val="21"/>
                      <w:szCs w:val="21"/>
                    </w:rPr>
                    <w:t>7</w:t>
                  </w:r>
                  <w:r>
                    <w:rPr>
                      <w:rFonts w:ascii="Times New Roman" w:hAnsi="Times New Roman" w:eastAsia="宋体"/>
                      <w:sz w:val="21"/>
                      <w:szCs w:val="21"/>
                    </w:rPr>
                    <w:t>#</w:t>
                  </w:r>
                  <w:r>
                    <w:rPr>
                      <w:rFonts w:ascii="Times New Roman" w:hAnsi="宋体" w:eastAsia="宋体"/>
                      <w:sz w:val="21"/>
                      <w:szCs w:val="21"/>
                    </w:rPr>
                    <w:t>）</w:t>
                  </w:r>
                </w:p>
              </w:tc>
              <w:tc>
                <w:tcPr>
                  <w:tcW w:w="1263" w:type="dxa"/>
                  <w:vMerge w:val="continue"/>
                  <w:noWrap w:val="0"/>
                  <w:vAlign w:val="center"/>
                </w:tcPr>
                <w:p>
                  <w:pPr>
                    <w:pStyle w:val="103"/>
                    <w:jc w:val="center"/>
                    <w:rPr>
                      <w:rFonts w:ascii="Times New Roman" w:hAnsi="Times New Roman"/>
                      <w:bCs/>
                      <w:sz w:val="21"/>
                      <w:szCs w:val="21"/>
                    </w:rPr>
                  </w:pPr>
                </w:p>
              </w:tc>
              <w:tc>
                <w:tcPr>
                  <w:tcW w:w="1171" w:type="dxa"/>
                  <w:noWrap w:val="0"/>
                  <w:vAlign w:val="center"/>
                </w:tcPr>
                <w:p>
                  <w:pPr>
                    <w:pStyle w:val="103"/>
                    <w:jc w:val="center"/>
                    <w:rPr>
                      <w:rFonts w:hint="default" w:ascii="Times New Roman" w:hAnsi="Times New Roman" w:eastAsia="宋体"/>
                      <w:bCs/>
                      <w:color w:val="auto"/>
                      <w:sz w:val="21"/>
                      <w:szCs w:val="21"/>
                      <w:lang w:val="en-US" w:eastAsia="zh-CN"/>
                    </w:rPr>
                  </w:pPr>
                  <w:r>
                    <w:rPr>
                      <w:rFonts w:hint="eastAsia" w:ascii="Times New Roman" w:hAnsi="Times New Roman" w:eastAsia="宋体"/>
                      <w:bCs/>
                      <w:sz w:val="21"/>
                      <w:szCs w:val="21"/>
                    </w:rPr>
                    <w:t>60.5</w:t>
                  </w:r>
                </w:p>
              </w:tc>
              <w:tc>
                <w:tcPr>
                  <w:tcW w:w="1377" w:type="dxa"/>
                  <w:vMerge w:val="continue"/>
                  <w:noWrap w:val="0"/>
                  <w:vAlign w:val="center"/>
                </w:tcPr>
                <w:p>
                  <w:pPr>
                    <w:pStyle w:val="103"/>
                    <w:jc w:val="center"/>
                    <w:rPr>
                      <w:rFonts w:ascii="Times New Roman" w:hAnsi="Times New Roman"/>
                      <w:bCs/>
                      <w:sz w:val="21"/>
                      <w:szCs w:val="21"/>
                    </w:rPr>
                  </w:pPr>
                </w:p>
              </w:tc>
              <w:tc>
                <w:tcPr>
                  <w:tcW w:w="1175" w:type="dxa"/>
                  <w:noWrap w:val="0"/>
                  <w:vAlign w:val="center"/>
                </w:tcPr>
                <w:p>
                  <w:pPr>
                    <w:pStyle w:val="103"/>
                    <w:jc w:val="center"/>
                    <w:rPr>
                      <w:rFonts w:hint="default" w:ascii="Times New Roman" w:hAnsi="Times New Roman" w:eastAsia="宋体"/>
                      <w:bCs/>
                      <w:color w:val="auto"/>
                      <w:sz w:val="21"/>
                      <w:szCs w:val="21"/>
                      <w:lang w:val="en-US" w:eastAsia="zh-CN"/>
                    </w:rPr>
                  </w:pPr>
                  <w:r>
                    <w:rPr>
                      <w:rFonts w:hint="eastAsia" w:ascii="Times New Roman" w:hAnsi="Times New Roman" w:eastAsia="宋体"/>
                      <w:bCs/>
                      <w:sz w:val="21"/>
                      <w:szCs w:val="21"/>
                    </w:rPr>
                    <w:t>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16" w:type="pct"/>
                  <w:vMerge w:val="continue"/>
                  <w:noWrap w:val="0"/>
                  <w:vAlign w:val="center"/>
                </w:tcPr>
                <w:p>
                  <w:pPr>
                    <w:pStyle w:val="103"/>
                    <w:jc w:val="center"/>
                    <w:rPr>
                      <w:rFonts w:hint="eastAsia" w:ascii="宋体" w:hAnsi="宋体"/>
                      <w:b/>
                      <w:sz w:val="21"/>
                      <w:szCs w:val="21"/>
                    </w:rPr>
                  </w:pPr>
                </w:p>
              </w:tc>
              <w:tc>
                <w:tcPr>
                  <w:tcW w:w="692" w:type="pct"/>
                  <w:vMerge w:val="continue"/>
                  <w:noWrap w:val="0"/>
                  <w:vAlign w:val="center"/>
                </w:tcPr>
                <w:p>
                  <w:pPr>
                    <w:pStyle w:val="103"/>
                    <w:jc w:val="center"/>
                    <w:rPr>
                      <w:rFonts w:hint="eastAsia" w:ascii="宋体" w:hAnsi="宋体"/>
                      <w:b/>
                      <w:sz w:val="21"/>
                      <w:szCs w:val="21"/>
                    </w:rPr>
                  </w:pPr>
                </w:p>
              </w:tc>
              <w:tc>
                <w:tcPr>
                  <w:tcW w:w="1982" w:type="dxa"/>
                  <w:noWrap w:val="0"/>
                  <w:vAlign w:val="center"/>
                </w:tcPr>
                <w:p>
                  <w:pPr>
                    <w:pStyle w:val="103"/>
                    <w:jc w:val="center"/>
                    <w:rPr>
                      <w:rFonts w:ascii="Times New Roman" w:hAnsi="Times New Roman"/>
                      <w:sz w:val="21"/>
                      <w:szCs w:val="21"/>
                    </w:rPr>
                  </w:pPr>
                  <w:r>
                    <w:rPr>
                      <w:rFonts w:ascii="Times New Roman" w:hAnsi="宋体" w:eastAsia="宋体"/>
                      <w:sz w:val="21"/>
                      <w:szCs w:val="21"/>
                    </w:rPr>
                    <w:t>厂界西侧（</w:t>
                  </w:r>
                  <w:r>
                    <w:rPr>
                      <w:rFonts w:hint="eastAsia" w:ascii="Times New Roman" w:hAnsi="Times New Roman" w:eastAsia="宋体"/>
                      <w:sz w:val="21"/>
                      <w:szCs w:val="21"/>
                    </w:rPr>
                    <w:t>8</w:t>
                  </w:r>
                  <w:r>
                    <w:rPr>
                      <w:rFonts w:ascii="Times New Roman" w:hAnsi="Times New Roman" w:eastAsia="宋体"/>
                      <w:sz w:val="21"/>
                      <w:szCs w:val="21"/>
                    </w:rPr>
                    <w:t>#</w:t>
                  </w:r>
                  <w:r>
                    <w:rPr>
                      <w:rFonts w:ascii="Times New Roman" w:hAnsi="宋体" w:eastAsia="宋体"/>
                      <w:sz w:val="21"/>
                      <w:szCs w:val="21"/>
                    </w:rPr>
                    <w:t>）</w:t>
                  </w:r>
                </w:p>
              </w:tc>
              <w:tc>
                <w:tcPr>
                  <w:tcW w:w="1263" w:type="dxa"/>
                  <w:vMerge w:val="continue"/>
                  <w:noWrap w:val="0"/>
                  <w:vAlign w:val="center"/>
                </w:tcPr>
                <w:p>
                  <w:pPr>
                    <w:pStyle w:val="103"/>
                    <w:jc w:val="center"/>
                    <w:rPr>
                      <w:rFonts w:hint="eastAsia" w:ascii="Times New Roman" w:hAnsi="Times New Roman"/>
                      <w:bCs/>
                      <w:sz w:val="21"/>
                      <w:szCs w:val="21"/>
                    </w:rPr>
                  </w:pPr>
                </w:p>
              </w:tc>
              <w:tc>
                <w:tcPr>
                  <w:tcW w:w="1171" w:type="dxa"/>
                  <w:noWrap w:val="0"/>
                  <w:vAlign w:val="center"/>
                </w:tcPr>
                <w:p>
                  <w:pPr>
                    <w:pStyle w:val="103"/>
                    <w:jc w:val="center"/>
                    <w:rPr>
                      <w:rFonts w:hint="default" w:ascii="Times New Roman" w:hAnsi="Times New Roman" w:eastAsia="宋体"/>
                      <w:bCs/>
                      <w:color w:val="auto"/>
                      <w:sz w:val="21"/>
                      <w:szCs w:val="21"/>
                      <w:lang w:val="en-US" w:eastAsia="zh-CN"/>
                    </w:rPr>
                  </w:pPr>
                  <w:r>
                    <w:rPr>
                      <w:rFonts w:hint="eastAsia" w:ascii="Times New Roman" w:hAnsi="Times New Roman" w:eastAsia="宋体"/>
                      <w:bCs/>
                      <w:sz w:val="21"/>
                      <w:szCs w:val="21"/>
                    </w:rPr>
                    <w:t>61.6</w:t>
                  </w:r>
                </w:p>
              </w:tc>
              <w:tc>
                <w:tcPr>
                  <w:tcW w:w="1377" w:type="dxa"/>
                  <w:vMerge w:val="continue"/>
                  <w:noWrap w:val="0"/>
                  <w:vAlign w:val="center"/>
                </w:tcPr>
                <w:p>
                  <w:pPr>
                    <w:pStyle w:val="103"/>
                    <w:jc w:val="center"/>
                    <w:rPr>
                      <w:rFonts w:hint="eastAsia" w:ascii="Times New Roman" w:hAnsi="Times New Roman"/>
                      <w:bCs/>
                      <w:sz w:val="21"/>
                      <w:szCs w:val="21"/>
                    </w:rPr>
                  </w:pPr>
                </w:p>
              </w:tc>
              <w:tc>
                <w:tcPr>
                  <w:tcW w:w="1175" w:type="dxa"/>
                  <w:noWrap w:val="0"/>
                  <w:vAlign w:val="center"/>
                </w:tcPr>
                <w:p>
                  <w:pPr>
                    <w:pStyle w:val="103"/>
                    <w:jc w:val="center"/>
                    <w:rPr>
                      <w:rFonts w:hint="default" w:ascii="Times New Roman" w:hAnsi="Times New Roman" w:eastAsia="宋体"/>
                      <w:bCs/>
                      <w:color w:val="auto"/>
                      <w:sz w:val="21"/>
                      <w:szCs w:val="21"/>
                      <w:lang w:val="en-US" w:eastAsia="zh-CN"/>
                    </w:rPr>
                  </w:pPr>
                  <w:r>
                    <w:rPr>
                      <w:rFonts w:hint="eastAsia" w:ascii="Times New Roman" w:hAnsi="Times New Roman" w:eastAsia="宋体"/>
                      <w:bCs/>
                      <w:sz w:val="21"/>
                      <w:szCs w:val="21"/>
                    </w:rPr>
                    <w:t>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16" w:type="pct"/>
                  <w:vMerge w:val="continue"/>
                  <w:noWrap w:val="0"/>
                  <w:vAlign w:val="center"/>
                </w:tcPr>
                <w:p>
                  <w:pPr>
                    <w:pStyle w:val="103"/>
                    <w:jc w:val="center"/>
                    <w:rPr>
                      <w:rFonts w:hint="eastAsia" w:ascii="宋体" w:hAnsi="宋体"/>
                      <w:b/>
                      <w:sz w:val="21"/>
                      <w:szCs w:val="21"/>
                    </w:rPr>
                  </w:pPr>
                </w:p>
              </w:tc>
              <w:tc>
                <w:tcPr>
                  <w:tcW w:w="692" w:type="pct"/>
                  <w:vMerge w:val="continue"/>
                  <w:noWrap w:val="0"/>
                  <w:vAlign w:val="center"/>
                </w:tcPr>
                <w:p>
                  <w:pPr>
                    <w:pStyle w:val="103"/>
                    <w:jc w:val="center"/>
                    <w:rPr>
                      <w:rFonts w:hint="eastAsia" w:ascii="宋体" w:hAnsi="宋体"/>
                      <w:b/>
                      <w:sz w:val="21"/>
                      <w:szCs w:val="21"/>
                    </w:rPr>
                  </w:pPr>
                </w:p>
              </w:tc>
              <w:tc>
                <w:tcPr>
                  <w:tcW w:w="1982" w:type="dxa"/>
                  <w:noWrap w:val="0"/>
                  <w:vAlign w:val="center"/>
                </w:tcPr>
                <w:p>
                  <w:pPr>
                    <w:pStyle w:val="103"/>
                    <w:jc w:val="center"/>
                    <w:rPr>
                      <w:rFonts w:ascii="Times New Roman" w:hAnsi="Times New Roman"/>
                      <w:sz w:val="21"/>
                      <w:szCs w:val="21"/>
                    </w:rPr>
                  </w:pPr>
                  <w:r>
                    <w:rPr>
                      <w:rFonts w:ascii="Times New Roman" w:hAnsi="宋体" w:eastAsia="宋体"/>
                      <w:sz w:val="21"/>
                      <w:szCs w:val="21"/>
                    </w:rPr>
                    <w:t>厂界北侧（</w:t>
                  </w:r>
                  <w:r>
                    <w:rPr>
                      <w:rFonts w:hint="eastAsia" w:ascii="Times New Roman" w:hAnsi="Times New Roman" w:eastAsia="宋体"/>
                      <w:sz w:val="21"/>
                      <w:szCs w:val="21"/>
                    </w:rPr>
                    <w:t>9</w:t>
                  </w:r>
                  <w:r>
                    <w:rPr>
                      <w:rFonts w:ascii="Times New Roman" w:hAnsi="Times New Roman" w:eastAsia="宋体"/>
                      <w:sz w:val="21"/>
                      <w:szCs w:val="21"/>
                    </w:rPr>
                    <w:t>#</w:t>
                  </w:r>
                  <w:r>
                    <w:rPr>
                      <w:rFonts w:ascii="Times New Roman" w:hAnsi="宋体" w:eastAsia="宋体"/>
                      <w:sz w:val="21"/>
                      <w:szCs w:val="21"/>
                    </w:rPr>
                    <w:t>）</w:t>
                  </w:r>
                </w:p>
              </w:tc>
              <w:tc>
                <w:tcPr>
                  <w:tcW w:w="1263" w:type="dxa"/>
                  <w:vMerge w:val="continue"/>
                  <w:noWrap w:val="0"/>
                  <w:vAlign w:val="center"/>
                </w:tcPr>
                <w:p>
                  <w:pPr>
                    <w:pStyle w:val="103"/>
                    <w:jc w:val="center"/>
                    <w:rPr>
                      <w:rFonts w:hint="eastAsia" w:ascii="Times New Roman" w:hAnsi="Times New Roman"/>
                      <w:bCs/>
                      <w:sz w:val="21"/>
                      <w:szCs w:val="21"/>
                    </w:rPr>
                  </w:pPr>
                </w:p>
              </w:tc>
              <w:tc>
                <w:tcPr>
                  <w:tcW w:w="1171" w:type="dxa"/>
                  <w:noWrap w:val="0"/>
                  <w:vAlign w:val="center"/>
                </w:tcPr>
                <w:p>
                  <w:pPr>
                    <w:pStyle w:val="103"/>
                    <w:jc w:val="center"/>
                    <w:rPr>
                      <w:rFonts w:hint="default" w:ascii="Times New Roman" w:hAnsi="Times New Roman" w:eastAsia="宋体"/>
                      <w:bCs/>
                      <w:color w:val="auto"/>
                      <w:sz w:val="21"/>
                      <w:szCs w:val="21"/>
                      <w:lang w:val="en-US" w:eastAsia="zh-CN"/>
                    </w:rPr>
                  </w:pPr>
                  <w:r>
                    <w:rPr>
                      <w:rFonts w:hint="eastAsia" w:ascii="Times New Roman" w:hAnsi="Times New Roman" w:eastAsia="宋体"/>
                      <w:bCs/>
                      <w:sz w:val="21"/>
                      <w:szCs w:val="21"/>
                    </w:rPr>
                    <w:t>63.5</w:t>
                  </w:r>
                </w:p>
              </w:tc>
              <w:tc>
                <w:tcPr>
                  <w:tcW w:w="1377" w:type="dxa"/>
                  <w:vMerge w:val="continue"/>
                  <w:noWrap w:val="0"/>
                  <w:vAlign w:val="center"/>
                </w:tcPr>
                <w:p>
                  <w:pPr>
                    <w:pStyle w:val="103"/>
                    <w:jc w:val="center"/>
                    <w:rPr>
                      <w:rFonts w:hint="eastAsia" w:ascii="Times New Roman" w:hAnsi="Times New Roman"/>
                      <w:bCs/>
                      <w:sz w:val="21"/>
                      <w:szCs w:val="21"/>
                    </w:rPr>
                  </w:pPr>
                </w:p>
              </w:tc>
              <w:tc>
                <w:tcPr>
                  <w:tcW w:w="1175" w:type="dxa"/>
                  <w:noWrap w:val="0"/>
                  <w:vAlign w:val="center"/>
                </w:tcPr>
                <w:p>
                  <w:pPr>
                    <w:pStyle w:val="103"/>
                    <w:jc w:val="center"/>
                    <w:rPr>
                      <w:rFonts w:hint="default" w:ascii="Times New Roman" w:hAnsi="Times New Roman" w:eastAsia="宋体"/>
                      <w:bCs/>
                      <w:color w:val="auto"/>
                      <w:sz w:val="21"/>
                      <w:szCs w:val="21"/>
                      <w:lang w:val="en-US" w:eastAsia="zh-CN"/>
                    </w:rPr>
                  </w:pPr>
                  <w:r>
                    <w:rPr>
                      <w:rFonts w:hint="eastAsia" w:ascii="Times New Roman" w:hAnsi="Times New Roman" w:eastAsia="宋体"/>
                      <w:bCs/>
                      <w:sz w:val="21"/>
                      <w:szCs w:val="21"/>
                    </w:rPr>
                    <w:t>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215" w:type="pct"/>
                  <w:gridSpan w:val="3"/>
                  <w:noWrap w:val="0"/>
                  <w:vAlign w:val="center"/>
                </w:tcPr>
                <w:p>
                  <w:pPr>
                    <w:pStyle w:val="103"/>
                    <w:jc w:val="center"/>
                    <w:rPr>
                      <w:rFonts w:hint="eastAsia" w:ascii="宋体" w:hAnsi="宋体"/>
                      <w:b/>
                      <w:sz w:val="21"/>
                      <w:szCs w:val="21"/>
                    </w:rPr>
                  </w:pPr>
                  <w:r>
                    <w:rPr>
                      <w:rFonts w:hint="eastAsia" w:ascii="宋体" w:hAnsi="宋体" w:cs="宋体"/>
                      <w:sz w:val="21"/>
                      <w:szCs w:val="21"/>
                    </w:rPr>
                    <w:t>检测时气象条件</w:t>
                  </w:r>
                </w:p>
              </w:tc>
              <w:tc>
                <w:tcPr>
                  <w:tcW w:w="2784" w:type="pct"/>
                  <w:gridSpan w:val="4"/>
                  <w:noWrap w:val="0"/>
                  <w:vAlign w:val="center"/>
                </w:tcPr>
                <w:p>
                  <w:pPr>
                    <w:pStyle w:val="103"/>
                    <w:jc w:val="center"/>
                    <w:rPr>
                      <w:rFonts w:hint="eastAsia" w:ascii="宋体" w:hAnsi="宋体"/>
                      <w:b/>
                      <w:sz w:val="21"/>
                      <w:szCs w:val="21"/>
                    </w:rPr>
                  </w:pPr>
                  <w:r>
                    <w:rPr>
                      <w:rFonts w:hint="eastAsia" w:ascii="宋体" w:hAnsi="宋体" w:cs="宋体"/>
                      <w:sz w:val="21"/>
                      <w:szCs w:val="21"/>
                    </w:rPr>
                    <w:t>天气</w:t>
                  </w:r>
                  <w:r>
                    <w:rPr>
                      <w:rFonts w:hint="eastAsia" w:ascii="宋体" w:hAnsi="宋体" w:cs="宋体"/>
                      <w:sz w:val="21"/>
                      <w:szCs w:val="21"/>
                      <w:lang w:eastAsia="zh-CN"/>
                    </w:rPr>
                    <w:t>晴</w:t>
                  </w:r>
                  <w:r>
                    <w:rPr>
                      <w:rFonts w:hint="eastAsia" w:ascii="宋体" w:hAnsi="宋体" w:cs="宋体"/>
                      <w:sz w:val="21"/>
                      <w:szCs w:val="21"/>
                    </w:rPr>
                    <w:t>，风速</w:t>
                  </w:r>
                  <w:r>
                    <w:rPr>
                      <w:rFonts w:ascii="Times New Roman" w:hAnsi="Times New Roman"/>
                      <w:sz w:val="21"/>
                      <w:szCs w:val="21"/>
                    </w:rPr>
                    <w:t>&lt;5m/s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215" w:type="pct"/>
                  <w:gridSpan w:val="3"/>
                  <w:noWrap w:val="0"/>
                  <w:vAlign w:val="center"/>
                </w:tcPr>
                <w:p>
                  <w:pPr>
                    <w:pStyle w:val="103"/>
                    <w:jc w:val="center"/>
                    <w:rPr>
                      <w:rFonts w:hint="eastAsia" w:ascii="Times New Roman" w:hAnsi="宋体" w:cs="宋体"/>
                      <w:sz w:val="21"/>
                      <w:szCs w:val="21"/>
                    </w:rPr>
                  </w:pPr>
                  <w:r>
                    <w:rPr>
                      <w:rFonts w:hint="eastAsia" w:ascii="Times New Roman" w:hAnsi="宋体" w:cs="宋体"/>
                      <w:sz w:val="21"/>
                      <w:szCs w:val="21"/>
                    </w:rPr>
                    <w:t>《工业企业厂界环境噪声排放标准》</w:t>
                  </w:r>
                </w:p>
                <w:p>
                  <w:pPr>
                    <w:pStyle w:val="103"/>
                    <w:jc w:val="center"/>
                    <w:rPr>
                      <w:rFonts w:hint="eastAsia" w:ascii="宋体" w:hAnsi="宋体"/>
                      <w:b/>
                      <w:sz w:val="21"/>
                      <w:szCs w:val="21"/>
                    </w:rPr>
                  </w:pPr>
                  <w:r>
                    <w:rPr>
                      <w:rFonts w:hint="eastAsia" w:ascii="Times New Roman" w:hAnsi="宋体" w:cs="宋体"/>
                      <w:sz w:val="21"/>
                      <w:szCs w:val="21"/>
                    </w:rPr>
                    <w:t>（GB 12348-2008）</w:t>
                  </w:r>
                  <w:r>
                    <w:rPr>
                      <w:rFonts w:hint="eastAsia" w:ascii="宋体" w:hAnsi="宋体" w:eastAsia="宋体" w:cs="宋体"/>
                      <w:sz w:val="21"/>
                      <w:szCs w:val="21"/>
                      <w:lang w:val="en-US" w:eastAsia="zh-CN"/>
                    </w:rPr>
                    <w:t>Ⅲ</w:t>
                  </w:r>
                  <w:r>
                    <w:rPr>
                      <w:rFonts w:hint="eastAsia" w:ascii="宋体" w:hAnsi="宋体" w:cs="宋体"/>
                      <w:sz w:val="21"/>
                      <w:szCs w:val="21"/>
                    </w:rPr>
                    <w:t>类标准</w:t>
                  </w:r>
                </w:p>
              </w:tc>
              <w:tc>
                <w:tcPr>
                  <w:tcW w:w="1359" w:type="pct"/>
                  <w:gridSpan w:val="2"/>
                  <w:noWrap w:val="0"/>
                  <w:vAlign w:val="center"/>
                </w:tcPr>
                <w:p>
                  <w:pPr>
                    <w:pStyle w:val="103"/>
                    <w:jc w:val="center"/>
                    <w:rPr>
                      <w:rFonts w:hint="eastAsia" w:ascii="宋体" w:hAnsi="宋体" w:eastAsia="宋体"/>
                      <w:b/>
                      <w:sz w:val="21"/>
                      <w:szCs w:val="21"/>
                      <w:lang w:val="en-US" w:eastAsia="zh-CN"/>
                    </w:rPr>
                  </w:pPr>
                  <w:r>
                    <w:rPr>
                      <w:rFonts w:hint="eastAsia" w:ascii="Times New Roman" w:hAnsi="Times New Roman" w:cs="宋体"/>
                      <w:sz w:val="21"/>
                      <w:szCs w:val="21"/>
                    </w:rPr>
                    <w:t>6</w:t>
                  </w:r>
                  <w:r>
                    <w:rPr>
                      <w:rFonts w:hint="eastAsia" w:ascii="Times New Roman" w:hAnsi="Times New Roman" w:cs="宋体"/>
                      <w:sz w:val="21"/>
                      <w:szCs w:val="21"/>
                      <w:lang w:val="en-US" w:eastAsia="zh-CN"/>
                    </w:rPr>
                    <w:t>5</w:t>
                  </w:r>
                </w:p>
              </w:tc>
              <w:tc>
                <w:tcPr>
                  <w:tcW w:w="1424" w:type="pct"/>
                  <w:gridSpan w:val="2"/>
                  <w:noWrap w:val="0"/>
                  <w:vAlign w:val="center"/>
                </w:tcPr>
                <w:p>
                  <w:pPr>
                    <w:pStyle w:val="103"/>
                    <w:jc w:val="center"/>
                    <w:rPr>
                      <w:rFonts w:hint="eastAsia" w:ascii="Times New Roman" w:hAnsi="Times New Roman" w:eastAsia="宋体"/>
                      <w:sz w:val="21"/>
                      <w:szCs w:val="21"/>
                      <w:lang w:val="en-US" w:eastAsia="zh-CN"/>
                    </w:rPr>
                  </w:pPr>
                  <w:r>
                    <w:rPr>
                      <w:rFonts w:ascii="Times New Roman" w:hAnsi="Times New Roman"/>
                      <w:sz w:val="21"/>
                      <w:szCs w:val="21"/>
                    </w:rPr>
                    <w:t>5</w:t>
                  </w:r>
                  <w:r>
                    <w:rPr>
                      <w:rFonts w:hint="eastAsia" w:ascii="Times New Roman" w:hAnsi="Times New Roman"/>
                      <w:sz w:val="21"/>
                      <w:szCs w:val="21"/>
                      <w:lang w:val="en-US" w:eastAsia="zh-CN"/>
                    </w:rPr>
                    <w:t>5</w:t>
                  </w:r>
                </w:p>
              </w:tc>
            </w:tr>
          </w:tbl>
          <w:p>
            <w:pPr>
              <w:pStyle w:val="4"/>
              <w:rPr>
                <w:rFonts w:hint="eastAsia"/>
              </w:rPr>
            </w:pPr>
            <w:r>
              <w:t>由上表分析，</w:t>
            </w:r>
            <w:r>
              <w:rPr>
                <w:rFonts w:hint="eastAsia"/>
                <w:lang w:val="en-US" w:eastAsia="zh-CN"/>
              </w:rPr>
              <w:t>2</w:t>
            </w:r>
            <w:r>
              <w:t>月</w:t>
            </w:r>
            <w:r>
              <w:rPr>
                <w:rFonts w:hint="eastAsia"/>
                <w:lang w:val="en-US" w:eastAsia="zh-CN"/>
              </w:rPr>
              <w:t>28</w:t>
            </w:r>
            <w:r>
              <w:t>日~</w:t>
            </w:r>
            <w:r>
              <w:rPr>
                <w:rFonts w:hint="eastAsia"/>
                <w:lang w:val="en-US" w:eastAsia="zh-CN"/>
              </w:rPr>
              <w:t>3</w:t>
            </w:r>
            <w:r>
              <w:t>月</w:t>
            </w:r>
            <w:r>
              <w:rPr>
                <w:rFonts w:hint="eastAsia"/>
                <w:lang w:val="en-US" w:eastAsia="zh-CN"/>
              </w:rPr>
              <w:t>1</w:t>
            </w:r>
            <w:r>
              <w:t>日项目厂界昼间噪声排放为</w:t>
            </w:r>
            <w:r>
              <w:rPr>
                <w:rFonts w:hint="eastAsia"/>
                <w:color w:val="auto"/>
                <w:lang w:val="en-US" w:eastAsia="zh-CN"/>
              </w:rPr>
              <w:t>60.5</w:t>
            </w:r>
            <w:r>
              <w:rPr>
                <w:color w:val="auto"/>
              </w:rPr>
              <w:t>~</w:t>
            </w:r>
            <w:r>
              <w:rPr>
                <w:rFonts w:hint="eastAsia"/>
                <w:color w:val="auto"/>
                <w:lang w:val="en-US" w:eastAsia="zh-CN"/>
              </w:rPr>
              <w:t>63.6</w:t>
            </w:r>
            <w:r>
              <w:rPr>
                <w:color w:val="auto"/>
              </w:rPr>
              <w:t>d</w:t>
            </w:r>
            <w:r>
              <w:t>B(A)，</w:t>
            </w:r>
            <w:r>
              <w:rPr>
                <w:rFonts w:hint="eastAsia"/>
              </w:rPr>
              <w:t>夜</w:t>
            </w:r>
            <w:r>
              <w:t>间噪声排放为</w:t>
            </w:r>
            <w:r>
              <w:rPr>
                <w:rFonts w:hint="eastAsia"/>
                <w:color w:val="auto"/>
                <w:lang w:val="en-US" w:eastAsia="zh-CN"/>
              </w:rPr>
              <w:t>50.7</w:t>
            </w:r>
            <w:r>
              <w:rPr>
                <w:color w:val="auto"/>
              </w:rPr>
              <w:t>~</w:t>
            </w:r>
            <w:r>
              <w:rPr>
                <w:rFonts w:hint="eastAsia"/>
                <w:color w:val="auto"/>
                <w:lang w:val="en-US" w:eastAsia="zh-CN"/>
              </w:rPr>
              <w:t>53.0</w:t>
            </w:r>
            <w:r>
              <w:rPr>
                <w:color w:val="auto"/>
              </w:rPr>
              <w:t>d</w:t>
            </w:r>
            <w:r>
              <w:t>B(A)，达到《工业企业厂界环境噪声排放标准》（GB12348-2008）</w:t>
            </w:r>
            <w:r>
              <w:rPr>
                <w:rFonts w:hint="eastAsia"/>
                <w:lang w:val="en-US" w:eastAsia="zh-CN"/>
              </w:rPr>
              <w:t>Ⅲ</w:t>
            </w:r>
            <w:r>
              <w:t>类标准</w:t>
            </w:r>
            <w:r>
              <w:rPr>
                <w:rFonts w:hint="eastAsia"/>
              </w:rPr>
              <w:t>。</w:t>
            </w: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4"/>
              <w:rPr>
                <w:rFonts w:hint="eastAsia"/>
              </w:rPr>
            </w:pPr>
          </w:p>
          <w:p>
            <w:pPr>
              <w:pStyle w:val="7"/>
            </w:pPr>
            <w:r>
              <w:rPr>
                <w:rFonts w:hint="eastAsia"/>
              </w:rPr>
              <w:t>监测点位</w:t>
            </w:r>
          </w:p>
          <w:p>
            <w:pPr>
              <w:pStyle w:val="85"/>
              <w:rPr>
                <w:rStyle w:val="68"/>
                <w:rFonts w:asciiTheme="majorEastAsia" w:hAnsiTheme="majorEastAsia"/>
                <w:b w:val="0"/>
              </w:rPr>
            </w:pPr>
            <w:r>
              <w:rPr>
                <w:rStyle w:val="68"/>
                <w:rFonts w:hint="eastAsia" w:asciiTheme="majorEastAsia" w:hAnsiTheme="majorEastAsia"/>
                <w:b w:val="0"/>
              </w:rPr>
              <w:t>检测布点图如下：</w:t>
            </w:r>
          </w:p>
          <w:p>
            <w:pPr>
              <w:pStyle w:val="4"/>
              <w:ind w:firstLine="0" w:firstLineChars="0"/>
              <w:jc w:val="center"/>
            </w:pPr>
            <w:r>
              <w:object>
                <v:shape id="_x0000_i1027" o:spt="75" type="#_x0000_t75" style="height:272.05pt;width:391.35pt;" o:ole="t" filled="f" stroked="f" coordsize="21600,21600">
                  <v:path/>
                  <v:fill on="f" focussize="0,0"/>
                  <v:stroke on="f"/>
                  <v:imagedata r:id="rId18" o:title=""/>
                  <o:lock v:ext="edit" aspectratio="t"/>
                  <w10:wrap type="none"/>
                  <w10:anchorlock/>
                </v:shape>
                <o:OLEObject Type="Embed" ProgID="Visio.Drawing.11" ShapeID="_x0000_i1027" DrawAspect="Content" ObjectID="_1468075727" r:id="rId17">
                  <o:LockedField>false</o:LockedField>
                </o:OLEObject>
              </w:object>
            </w:r>
          </w:p>
          <w:p>
            <w:pPr>
              <w:spacing w:before="48" w:beforeLines="20" w:line="360" w:lineRule="auto"/>
              <w:jc w:val="center"/>
              <w:rPr>
                <w:rStyle w:val="68"/>
              </w:rPr>
            </w:pPr>
            <w:r>
              <w:rPr>
                <w:rStyle w:val="68"/>
                <w:rFonts w:hint="eastAsia"/>
              </w:rPr>
              <w:t>图7.2-1检测布点图</w:t>
            </w:r>
          </w:p>
          <w:p>
            <w:pPr>
              <w:spacing w:before="48" w:beforeLines="20" w:line="360" w:lineRule="auto"/>
              <w:jc w:val="center"/>
              <w:rPr>
                <w:rStyle w:val="68"/>
              </w:rPr>
            </w:pPr>
          </w:p>
          <w:p>
            <w:pPr>
              <w:spacing w:before="48" w:beforeLines="20" w:line="360" w:lineRule="auto"/>
              <w:jc w:val="center"/>
              <w:rPr>
                <w:rStyle w:val="68"/>
              </w:rPr>
            </w:pPr>
          </w:p>
          <w:p>
            <w:pPr>
              <w:spacing w:before="48" w:beforeLines="20" w:line="360" w:lineRule="auto"/>
              <w:jc w:val="both"/>
              <w:rPr>
                <w:rStyle w:val="68"/>
              </w:rPr>
            </w:pPr>
          </w:p>
          <w:p>
            <w:pPr>
              <w:spacing w:before="48" w:beforeLines="20" w:line="360" w:lineRule="auto"/>
              <w:jc w:val="center"/>
              <w:rPr>
                <w:rStyle w:val="68"/>
              </w:rPr>
            </w:pPr>
          </w:p>
          <w:p>
            <w:pPr>
              <w:spacing w:before="48" w:beforeLines="20" w:line="360" w:lineRule="auto"/>
              <w:jc w:val="center"/>
              <w:rPr>
                <w:rStyle w:val="68"/>
              </w:rPr>
            </w:pPr>
          </w:p>
          <w:p>
            <w:pPr>
              <w:spacing w:before="48" w:beforeLines="20" w:line="360" w:lineRule="auto"/>
              <w:jc w:val="center"/>
              <w:rPr>
                <w:rFonts w:eastAsia="仿宋_GB2312"/>
                <w:color w:val="000000"/>
                <w:szCs w:val="21"/>
              </w:rPr>
            </w:pPr>
          </w:p>
        </w:tc>
      </w:tr>
    </w:tbl>
    <w:p>
      <w:pPr>
        <w:spacing w:line="360" w:lineRule="auto"/>
        <w:rPr>
          <w:rFonts w:eastAsia="仿宋_GB2312"/>
          <w:b/>
          <w:color w:val="000000"/>
          <w:szCs w:val="21"/>
        </w:rPr>
        <w:sectPr>
          <w:pgSz w:w="11906" w:h="16838"/>
          <w:pgMar w:top="1417" w:right="1417" w:bottom="1417" w:left="1417" w:header="708" w:footer="708" w:gutter="0"/>
          <w:pgBorders>
            <w:top w:val="none" w:sz="0" w:space="0"/>
            <w:left w:val="none" w:sz="0" w:space="0"/>
            <w:bottom w:val="none" w:sz="0" w:space="0"/>
            <w:right w:val="none" w:sz="0" w:space="0"/>
          </w:pgBorders>
          <w:pgNumType w:fmt="numberInDash"/>
          <w:cols w:space="720" w:num="1"/>
          <w:docGrid w:linePitch="360" w:charSpace="0"/>
        </w:sectPr>
      </w:pPr>
    </w:p>
    <w:p>
      <w:pPr>
        <w:pStyle w:val="3"/>
        <w:rPr>
          <w:rFonts w:eastAsia="仿宋_GB2312"/>
          <w:color w:val="000000"/>
        </w:rPr>
      </w:pPr>
      <w:bookmarkStart w:id="186" w:name="_Toc16077"/>
      <w:bookmarkStart w:id="187" w:name="_Toc14942"/>
      <w:r>
        <w:rPr>
          <w:rFonts w:hint="eastAsia"/>
        </w:rPr>
        <w:t>验收监测结论</w:t>
      </w:r>
      <w:bookmarkEnd w:id="186"/>
      <w:bookmarkEnd w:id="187"/>
    </w:p>
    <w:tbl>
      <w:tblPr>
        <w:tblStyle w:val="37"/>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39" w:hRule="atLeast"/>
          <w:jc w:val="center"/>
        </w:trPr>
        <w:tc>
          <w:tcPr>
            <w:tcW w:w="8924" w:type="dxa"/>
          </w:tcPr>
          <w:p>
            <w:pPr>
              <w:pStyle w:val="5"/>
            </w:pPr>
            <w:bookmarkStart w:id="188" w:name="_Toc524703424"/>
            <w:bookmarkEnd w:id="188"/>
            <w:bookmarkStart w:id="189" w:name="_Toc524703357"/>
            <w:bookmarkEnd w:id="189"/>
            <w:bookmarkStart w:id="190" w:name="_Toc519179450"/>
            <w:bookmarkEnd w:id="190"/>
            <w:bookmarkStart w:id="191" w:name="_Toc531881928"/>
            <w:bookmarkEnd w:id="191"/>
            <w:bookmarkStart w:id="192" w:name="_Toc531879853"/>
            <w:bookmarkEnd w:id="192"/>
            <w:bookmarkStart w:id="193" w:name="_Toc519235252"/>
            <w:bookmarkEnd w:id="193"/>
            <w:bookmarkStart w:id="194" w:name="_Toc519235318"/>
            <w:bookmarkEnd w:id="194"/>
            <w:bookmarkStart w:id="195" w:name="_Toc529265117"/>
            <w:bookmarkEnd w:id="195"/>
            <w:bookmarkStart w:id="196" w:name="_Toc518567436"/>
            <w:bookmarkEnd w:id="196"/>
            <w:bookmarkStart w:id="197" w:name="_Toc22523"/>
            <w:bookmarkStart w:id="198" w:name="_Toc25921"/>
            <w:r>
              <w:rPr>
                <w:rFonts w:hint="eastAsia"/>
              </w:rPr>
              <w:t>结论</w:t>
            </w:r>
            <w:bookmarkEnd w:id="197"/>
            <w:bookmarkEnd w:id="198"/>
          </w:p>
          <w:p>
            <w:pPr>
              <w:pStyle w:val="4"/>
            </w:pPr>
            <w:r>
              <w:rPr>
                <w:rFonts w:hint="eastAsia"/>
              </w:rPr>
              <w:t>综上所述，</w:t>
            </w:r>
            <w:r>
              <w:rPr>
                <w:rFonts w:hint="eastAsia"/>
                <w:lang w:eastAsia="zh-CN"/>
              </w:rPr>
              <w:t>宁波市海曙住建建筑垃圾处理服务有限公司</w:t>
            </w:r>
            <w:r>
              <w:rPr>
                <w:rFonts w:hint="eastAsia"/>
                <w:lang w:val="en-US" w:eastAsia="zh-CN"/>
              </w:rPr>
              <w:t>建筑垃圾可循环处理项目</w:t>
            </w:r>
            <w:r>
              <w:rPr>
                <w:rFonts w:hint="eastAsia"/>
              </w:rPr>
              <w:t>在建设至竣工期间，能严格执行环保“三同时”制度，验收资料齐全，环境保护措施基本落实，监测的各项污染物指标均达到相应的排放标准及相关环境标准，符合竣工环保验收有关要求。</w:t>
            </w:r>
          </w:p>
          <w:p>
            <w:pPr>
              <w:pStyle w:val="5"/>
            </w:pPr>
            <w:bookmarkStart w:id="199" w:name="_Toc508447133"/>
            <w:bookmarkStart w:id="200" w:name="_Toc508394848"/>
            <w:bookmarkStart w:id="201" w:name="_Toc3555"/>
            <w:bookmarkStart w:id="202" w:name="_Toc4641"/>
            <w:r>
              <w:rPr>
                <w:rFonts w:hint="eastAsia"/>
              </w:rPr>
              <w:t>建议</w:t>
            </w:r>
            <w:bookmarkEnd w:id="199"/>
            <w:bookmarkEnd w:id="200"/>
            <w:bookmarkEnd w:id="201"/>
            <w:bookmarkEnd w:id="202"/>
          </w:p>
          <w:p>
            <w:pPr>
              <w:pStyle w:val="4"/>
            </w:pPr>
            <w:r>
              <w:rPr>
                <w:rFonts w:hint="eastAsia"/>
              </w:rPr>
              <w:t>1）加强废气及废水相关处理设施的日常管理和检查，确保设施的正常运行；</w:t>
            </w:r>
          </w:p>
          <w:p>
            <w:pPr>
              <w:pStyle w:val="4"/>
            </w:pPr>
            <w:r>
              <w:rPr>
                <w:rFonts w:hint="eastAsia"/>
              </w:rPr>
              <w:t>2）规范固废暂存场所的规范设置，做好相关台账记录；</w:t>
            </w:r>
          </w:p>
          <w:p>
            <w:pPr>
              <w:pStyle w:val="4"/>
            </w:pPr>
            <w:r>
              <w:rPr>
                <w:rFonts w:hint="eastAsia"/>
              </w:rPr>
              <w:t>3）完善环保图形标示标牌。</w:t>
            </w:r>
          </w:p>
          <w:p>
            <w:pPr>
              <w:spacing w:before="48" w:beforeLines="20" w:line="360" w:lineRule="auto"/>
              <w:rPr>
                <w:rFonts w:eastAsia="仿宋_GB2312"/>
                <w:color w:val="000000"/>
                <w:szCs w:val="21"/>
              </w:rPr>
            </w:pPr>
          </w:p>
          <w:p>
            <w:pPr>
              <w:spacing w:before="48" w:beforeLines="20" w:line="360" w:lineRule="auto"/>
              <w:rPr>
                <w:rFonts w:eastAsia="仿宋_GB2312"/>
                <w:color w:val="000000"/>
                <w:szCs w:val="21"/>
              </w:rPr>
            </w:pPr>
          </w:p>
          <w:p>
            <w:pPr>
              <w:spacing w:before="48" w:beforeLines="20" w:line="360" w:lineRule="auto"/>
              <w:rPr>
                <w:rFonts w:eastAsia="仿宋_GB2312"/>
                <w:color w:val="000000"/>
                <w:szCs w:val="21"/>
              </w:rPr>
            </w:pPr>
          </w:p>
          <w:p>
            <w:pPr>
              <w:spacing w:before="48" w:beforeLines="20" w:line="360" w:lineRule="auto"/>
              <w:rPr>
                <w:rFonts w:eastAsia="仿宋_GB2312"/>
                <w:color w:val="000000"/>
                <w:szCs w:val="21"/>
              </w:rPr>
            </w:pPr>
          </w:p>
          <w:p>
            <w:pPr>
              <w:spacing w:before="48" w:beforeLines="20" w:line="360" w:lineRule="auto"/>
              <w:rPr>
                <w:rFonts w:eastAsia="仿宋_GB2312"/>
                <w:color w:val="000000"/>
                <w:szCs w:val="21"/>
              </w:rPr>
            </w:pPr>
          </w:p>
          <w:p>
            <w:pPr>
              <w:spacing w:before="48" w:beforeLines="20" w:line="360" w:lineRule="auto"/>
              <w:rPr>
                <w:rFonts w:eastAsia="仿宋_GB2312"/>
                <w:color w:val="000000"/>
                <w:szCs w:val="21"/>
              </w:rPr>
            </w:pPr>
          </w:p>
          <w:p>
            <w:pPr>
              <w:spacing w:before="48" w:beforeLines="20" w:line="360" w:lineRule="auto"/>
              <w:rPr>
                <w:rFonts w:eastAsia="仿宋_GB2312"/>
                <w:color w:val="000000"/>
                <w:szCs w:val="21"/>
              </w:rPr>
            </w:pPr>
          </w:p>
          <w:p>
            <w:pPr>
              <w:spacing w:before="48" w:beforeLines="20" w:line="360" w:lineRule="auto"/>
              <w:rPr>
                <w:rFonts w:eastAsia="仿宋_GB2312"/>
                <w:color w:val="000000"/>
                <w:szCs w:val="21"/>
              </w:rPr>
            </w:pPr>
          </w:p>
          <w:p>
            <w:pPr>
              <w:spacing w:before="48" w:beforeLines="20" w:line="360" w:lineRule="auto"/>
              <w:rPr>
                <w:rFonts w:eastAsia="仿宋_GB2312"/>
                <w:color w:val="000000"/>
                <w:szCs w:val="21"/>
              </w:rPr>
            </w:pPr>
          </w:p>
        </w:tc>
      </w:tr>
    </w:tbl>
    <w:p>
      <w:pPr>
        <w:pStyle w:val="3"/>
      </w:pPr>
      <w:bookmarkStart w:id="203" w:name="_Toc16960"/>
      <w:bookmarkStart w:id="204" w:name="_Toc508447134"/>
      <w:bookmarkStart w:id="205" w:name="_Toc11610"/>
      <w:r>
        <w:rPr>
          <w:rFonts w:hint="eastAsia"/>
        </w:rPr>
        <w:t>附件与附图</w:t>
      </w:r>
      <w:bookmarkEnd w:id="203"/>
      <w:bookmarkEnd w:id="204"/>
      <w:bookmarkEnd w:id="205"/>
    </w:p>
    <w:p>
      <w:pPr>
        <w:pStyle w:val="5"/>
      </w:pPr>
      <w:bookmarkStart w:id="206" w:name="_Toc519235322"/>
      <w:bookmarkEnd w:id="206"/>
      <w:bookmarkStart w:id="207" w:name="_Toc529265121"/>
      <w:bookmarkEnd w:id="207"/>
      <w:bookmarkStart w:id="208" w:name="_Toc519235256"/>
      <w:bookmarkEnd w:id="208"/>
      <w:bookmarkStart w:id="209" w:name="_Toc519179454"/>
      <w:bookmarkEnd w:id="209"/>
      <w:bookmarkStart w:id="210" w:name="_Toc524703361"/>
      <w:bookmarkEnd w:id="210"/>
      <w:bookmarkStart w:id="211" w:name="_Toc531881932"/>
      <w:bookmarkEnd w:id="211"/>
      <w:bookmarkStart w:id="212" w:name="_Toc524703428"/>
      <w:bookmarkEnd w:id="212"/>
      <w:bookmarkStart w:id="213" w:name="_Toc518567440"/>
      <w:bookmarkEnd w:id="213"/>
      <w:bookmarkStart w:id="214" w:name="_Toc531879857"/>
      <w:bookmarkEnd w:id="214"/>
      <w:bookmarkStart w:id="215" w:name="_Toc21403"/>
      <w:bookmarkStart w:id="216" w:name="_Toc14038"/>
      <w:bookmarkStart w:id="217" w:name="_Toc508447136"/>
      <w:r>
        <w:rPr>
          <w:rFonts w:hint="eastAsia"/>
        </w:rPr>
        <w:t>附件一 营业执照</w:t>
      </w:r>
      <w:bookmarkEnd w:id="215"/>
      <w:bookmarkEnd w:id="216"/>
    </w:p>
    <w:p>
      <w:pPr>
        <w:pStyle w:val="4"/>
        <w:ind w:firstLine="0" w:firstLineChars="0"/>
        <w:jc w:val="center"/>
        <w:rPr>
          <w:rFonts w:hint="eastAsia" w:eastAsiaTheme="majorEastAsia"/>
          <w:lang w:eastAsia="zh-CN"/>
        </w:rPr>
      </w:pPr>
      <w:r>
        <w:rPr>
          <w:color w:val="000000"/>
          <w:sz w:val="24"/>
        </w:rPr>
        <w:drawing>
          <wp:inline distT="0" distB="0" distL="114300" distR="114300">
            <wp:extent cx="7506335" cy="5276850"/>
            <wp:effectExtent l="0" t="0" r="0" b="18415"/>
            <wp:docPr id="25" name="图片 6"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营业执照"/>
                    <pic:cNvPicPr>
                      <a:picLocks noChangeAspect="1"/>
                    </pic:cNvPicPr>
                  </pic:nvPicPr>
                  <pic:blipFill>
                    <a:blip r:embed="rId19"/>
                    <a:srcRect l="8333" t="11812" r="4218" b="6219"/>
                    <a:stretch>
                      <a:fillRect/>
                    </a:stretch>
                  </pic:blipFill>
                  <pic:spPr>
                    <a:xfrm rot="-5400000">
                      <a:off x="0" y="0"/>
                      <a:ext cx="7506335" cy="5276850"/>
                    </a:xfrm>
                    <a:prstGeom prst="rect">
                      <a:avLst/>
                    </a:prstGeom>
                    <a:noFill/>
                    <a:ln>
                      <a:noFill/>
                    </a:ln>
                  </pic:spPr>
                </pic:pic>
              </a:graphicData>
            </a:graphic>
          </wp:inline>
        </w:drawing>
      </w:r>
    </w:p>
    <w:p>
      <w:pPr>
        <w:tabs>
          <w:tab w:val="left" w:pos="1230"/>
        </w:tabs>
      </w:pPr>
      <w:r>
        <w:tab/>
      </w:r>
    </w:p>
    <w:p>
      <w:pPr>
        <w:pStyle w:val="5"/>
      </w:pPr>
      <w:r>
        <w:br w:type="page"/>
      </w:r>
      <w:bookmarkEnd w:id="217"/>
      <w:bookmarkStart w:id="218" w:name="_Toc16929"/>
      <w:bookmarkStart w:id="219" w:name="_Toc1756"/>
      <w:bookmarkStart w:id="220" w:name="_Toc508447140"/>
      <w:r>
        <w:rPr>
          <w:rFonts w:hint="eastAsia"/>
        </w:rPr>
        <w:t>附件二 环评</w:t>
      </w:r>
      <w:bookmarkEnd w:id="218"/>
      <w:r>
        <w:rPr>
          <w:rFonts w:hint="eastAsia"/>
          <w:lang w:val="en-US" w:eastAsia="zh-CN"/>
        </w:rPr>
        <w:t>批复</w:t>
      </w:r>
      <w:bookmarkEnd w:id="219"/>
    </w:p>
    <w:p>
      <w:pPr>
        <w:pStyle w:val="4"/>
        <w:ind w:left="0" w:leftChars="0" w:firstLine="0" w:firstLineChars="0"/>
        <w:jc w:val="center"/>
        <w:rPr>
          <w:rFonts w:hint="eastAsia" w:eastAsiaTheme="majorEastAsia"/>
          <w:lang w:eastAsia="zh-CN"/>
        </w:rPr>
      </w:pPr>
      <w:r>
        <w:rPr>
          <w:rFonts w:hint="eastAsia" w:eastAsiaTheme="majorEastAsia"/>
          <w:lang w:eastAsia="zh-CN"/>
        </w:rPr>
        <w:drawing>
          <wp:inline distT="0" distB="0" distL="114300" distR="114300">
            <wp:extent cx="5252085" cy="7237730"/>
            <wp:effectExtent l="0" t="0" r="5715" b="1270"/>
            <wp:docPr id="26" name="图片 26" descr="1646817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46817513(1)"/>
                    <pic:cNvPicPr>
                      <a:picLocks noChangeAspect="1"/>
                    </pic:cNvPicPr>
                  </pic:nvPicPr>
                  <pic:blipFill>
                    <a:blip r:embed="rId20"/>
                    <a:stretch>
                      <a:fillRect/>
                    </a:stretch>
                  </pic:blipFill>
                  <pic:spPr>
                    <a:xfrm>
                      <a:off x="0" y="0"/>
                      <a:ext cx="5252085" cy="7237730"/>
                    </a:xfrm>
                    <a:prstGeom prst="rect">
                      <a:avLst/>
                    </a:prstGeom>
                  </pic:spPr>
                </pic:pic>
              </a:graphicData>
            </a:graphic>
          </wp:inline>
        </w:drawing>
      </w:r>
    </w:p>
    <w:p>
      <w:pPr>
        <w:pStyle w:val="4"/>
        <w:ind w:left="0" w:leftChars="0" w:firstLine="0" w:firstLineChars="0"/>
        <w:jc w:val="center"/>
        <w:rPr>
          <w:rFonts w:hint="eastAsia" w:eastAsiaTheme="majorEastAsia"/>
          <w:lang w:eastAsia="zh-CN"/>
        </w:rPr>
      </w:pPr>
      <w:r>
        <w:rPr>
          <w:rFonts w:hint="eastAsia" w:eastAsiaTheme="majorEastAsia"/>
          <w:lang w:eastAsia="zh-CN"/>
        </w:rPr>
        <w:drawing>
          <wp:inline distT="0" distB="0" distL="114300" distR="114300">
            <wp:extent cx="5455285" cy="7504430"/>
            <wp:effectExtent l="0" t="0" r="12065" b="1270"/>
            <wp:docPr id="27" name="图片 27" descr="1646817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46817555(1)"/>
                    <pic:cNvPicPr>
                      <a:picLocks noChangeAspect="1"/>
                    </pic:cNvPicPr>
                  </pic:nvPicPr>
                  <pic:blipFill>
                    <a:blip r:embed="rId21"/>
                    <a:stretch>
                      <a:fillRect/>
                    </a:stretch>
                  </pic:blipFill>
                  <pic:spPr>
                    <a:xfrm>
                      <a:off x="0" y="0"/>
                      <a:ext cx="5455285" cy="7504430"/>
                    </a:xfrm>
                    <a:prstGeom prst="rect">
                      <a:avLst/>
                    </a:prstGeom>
                  </pic:spPr>
                </pic:pic>
              </a:graphicData>
            </a:graphic>
          </wp:inline>
        </w:drawing>
      </w:r>
    </w:p>
    <w:p>
      <w:pPr>
        <w:pStyle w:val="4"/>
        <w:ind w:firstLine="0" w:firstLineChars="0"/>
        <w:jc w:val="center"/>
      </w:pPr>
    </w:p>
    <w:p>
      <w:pPr>
        <w:pStyle w:val="4"/>
        <w:ind w:firstLine="0" w:firstLineChars="0"/>
        <w:jc w:val="center"/>
        <w:sectPr>
          <w:headerReference r:id="rId5" w:type="default"/>
          <w:footerReference r:id="rId7" w:type="default"/>
          <w:headerReference r:id="rId6" w:type="even"/>
          <w:pgSz w:w="11907" w:h="16840"/>
          <w:pgMar w:top="1417" w:right="1417" w:bottom="1417" w:left="1417" w:header="1134" w:footer="1134" w:gutter="0"/>
          <w:pgBorders>
            <w:top w:val="none" w:sz="0" w:space="0"/>
            <w:left w:val="none" w:sz="0" w:space="0"/>
            <w:bottom w:val="none" w:sz="0" w:space="0"/>
            <w:right w:val="none" w:sz="0" w:space="0"/>
          </w:pgBorders>
          <w:pgNumType w:fmt="numberInDash"/>
          <w:cols w:space="425" w:num="1"/>
          <w:docGrid w:linePitch="312" w:charSpace="0"/>
        </w:sectPr>
      </w:pPr>
    </w:p>
    <w:bookmarkEnd w:id="220"/>
    <w:p>
      <w:pPr>
        <w:pStyle w:val="5"/>
      </w:pPr>
      <w:bookmarkStart w:id="221" w:name="_Toc17656"/>
      <w:bookmarkStart w:id="222" w:name="_Toc6022"/>
      <w:r>
        <w:rPr>
          <w:rFonts w:hint="eastAsia"/>
        </w:rPr>
        <w:t>附件三 检测报告</w:t>
      </w:r>
      <w:bookmarkEnd w:id="221"/>
      <w:bookmarkEnd w:id="222"/>
    </w:p>
    <w:p>
      <w:pPr>
        <w:pStyle w:val="4"/>
        <w:ind w:left="0" w:leftChars="0" w:firstLine="0" w:firstLineChars="0"/>
        <w:jc w:val="center"/>
        <w:rPr>
          <w:rFonts w:hint="eastAsia" w:eastAsiaTheme="majorEastAsia"/>
          <w:lang w:eastAsia="zh-CN"/>
        </w:rPr>
      </w:pPr>
      <w:r>
        <w:rPr>
          <w:rFonts w:hint="eastAsia" w:eastAsiaTheme="majorEastAsia"/>
          <w:lang w:eastAsia="zh-CN"/>
        </w:rPr>
        <w:drawing>
          <wp:inline distT="0" distB="0" distL="114300" distR="114300">
            <wp:extent cx="5133975" cy="7455535"/>
            <wp:effectExtent l="0" t="0" r="9525" b="12065"/>
            <wp:docPr id="3" name="图片 3" descr="1646817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46817895(1)"/>
                    <pic:cNvPicPr>
                      <a:picLocks noChangeAspect="1"/>
                    </pic:cNvPicPr>
                  </pic:nvPicPr>
                  <pic:blipFill>
                    <a:blip r:embed="rId22"/>
                    <a:stretch>
                      <a:fillRect/>
                    </a:stretch>
                  </pic:blipFill>
                  <pic:spPr>
                    <a:xfrm>
                      <a:off x="0" y="0"/>
                      <a:ext cx="5133975" cy="7455535"/>
                    </a:xfrm>
                    <a:prstGeom prst="rect">
                      <a:avLst/>
                    </a:prstGeom>
                  </pic:spPr>
                </pic:pic>
              </a:graphicData>
            </a:graphic>
          </wp:inline>
        </w:drawing>
      </w:r>
    </w:p>
    <w:p>
      <w:pPr>
        <w:pStyle w:val="4"/>
        <w:ind w:left="0" w:leftChars="0" w:firstLine="0" w:firstLineChars="0"/>
        <w:jc w:val="center"/>
        <w:rPr>
          <w:rFonts w:hint="eastAsia" w:eastAsiaTheme="majorEastAsia"/>
          <w:lang w:eastAsia="zh-CN"/>
        </w:rPr>
      </w:pPr>
      <w:r>
        <w:rPr>
          <w:rFonts w:hint="eastAsia" w:eastAsiaTheme="majorEastAsia"/>
          <w:lang w:eastAsia="zh-CN"/>
        </w:rPr>
        <w:drawing>
          <wp:inline distT="0" distB="0" distL="114300" distR="114300">
            <wp:extent cx="5038725" cy="7527925"/>
            <wp:effectExtent l="0" t="0" r="9525" b="15875"/>
            <wp:docPr id="7" name="图片 7" descr="1646817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46817971(1)"/>
                    <pic:cNvPicPr>
                      <a:picLocks noChangeAspect="1"/>
                    </pic:cNvPicPr>
                  </pic:nvPicPr>
                  <pic:blipFill>
                    <a:blip r:embed="rId23"/>
                    <a:stretch>
                      <a:fillRect/>
                    </a:stretch>
                  </pic:blipFill>
                  <pic:spPr>
                    <a:xfrm>
                      <a:off x="0" y="0"/>
                      <a:ext cx="5038725" cy="7527925"/>
                    </a:xfrm>
                    <a:prstGeom prst="rect">
                      <a:avLst/>
                    </a:prstGeom>
                  </pic:spPr>
                </pic:pic>
              </a:graphicData>
            </a:graphic>
          </wp:inline>
        </w:drawing>
      </w:r>
    </w:p>
    <w:p>
      <w:pPr>
        <w:pStyle w:val="4"/>
        <w:ind w:left="0" w:leftChars="0" w:firstLine="0" w:firstLineChars="0"/>
        <w:jc w:val="center"/>
        <w:rPr>
          <w:rFonts w:hint="eastAsia" w:eastAsiaTheme="majorEastAsia"/>
          <w:lang w:eastAsia="zh-CN"/>
        </w:rPr>
      </w:pPr>
      <w:r>
        <w:rPr>
          <w:rFonts w:hint="eastAsia" w:eastAsiaTheme="majorEastAsia"/>
          <w:lang w:eastAsia="zh-CN"/>
        </w:rPr>
        <w:drawing>
          <wp:inline distT="0" distB="0" distL="114300" distR="114300">
            <wp:extent cx="5182235" cy="7565390"/>
            <wp:effectExtent l="0" t="0" r="18415" b="16510"/>
            <wp:docPr id="10" name="图片 10" descr="1646818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46818000(1)"/>
                    <pic:cNvPicPr>
                      <a:picLocks noChangeAspect="1"/>
                    </pic:cNvPicPr>
                  </pic:nvPicPr>
                  <pic:blipFill>
                    <a:blip r:embed="rId24"/>
                    <a:stretch>
                      <a:fillRect/>
                    </a:stretch>
                  </pic:blipFill>
                  <pic:spPr>
                    <a:xfrm>
                      <a:off x="0" y="0"/>
                      <a:ext cx="5182235" cy="7565390"/>
                    </a:xfrm>
                    <a:prstGeom prst="rect">
                      <a:avLst/>
                    </a:prstGeom>
                  </pic:spPr>
                </pic:pic>
              </a:graphicData>
            </a:graphic>
          </wp:inline>
        </w:drawing>
      </w:r>
    </w:p>
    <w:p>
      <w:pPr>
        <w:pStyle w:val="4"/>
        <w:ind w:left="0" w:leftChars="0" w:firstLine="0" w:firstLineChars="0"/>
        <w:jc w:val="center"/>
        <w:rPr>
          <w:rFonts w:hint="eastAsia" w:eastAsiaTheme="majorEastAsia"/>
          <w:lang w:eastAsia="zh-CN"/>
        </w:rPr>
      </w:pPr>
      <w:r>
        <w:rPr>
          <w:rFonts w:hint="eastAsia" w:eastAsiaTheme="majorEastAsia"/>
          <w:lang w:eastAsia="zh-CN"/>
        </w:rPr>
        <w:drawing>
          <wp:inline distT="0" distB="0" distL="114300" distR="114300">
            <wp:extent cx="5123815" cy="7654925"/>
            <wp:effectExtent l="0" t="0" r="635" b="3175"/>
            <wp:docPr id="11" name="图片 11" descr="1646818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6818023(1)"/>
                    <pic:cNvPicPr>
                      <a:picLocks noChangeAspect="1"/>
                    </pic:cNvPicPr>
                  </pic:nvPicPr>
                  <pic:blipFill>
                    <a:blip r:embed="rId25"/>
                    <a:stretch>
                      <a:fillRect/>
                    </a:stretch>
                  </pic:blipFill>
                  <pic:spPr>
                    <a:xfrm>
                      <a:off x="0" y="0"/>
                      <a:ext cx="5123815" cy="7654925"/>
                    </a:xfrm>
                    <a:prstGeom prst="rect">
                      <a:avLst/>
                    </a:prstGeom>
                  </pic:spPr>
                </pic:pic>
              </a:graphicData>
            </a:graphic>
          </wp:inline>
        </w:drawing>
      </w:r>
    </w:p>
    <w:p>
      <w:pPr>
        <w:pStyle w:val="4"/>
        <w:ind w:left="0" w:leftChars="0" w:firstLine="0" w:firstLineChars="0"/>
        <w:jc w:val="center"/>
        <w:rPr>
          <w:rFonts w:hint="eastAsia" w:eastAsiaTheme="majorEastAsia"/>
          <w:lang w:eastAsia="zh-CN"/>
        </w:rPr>
      </w:pPr>
      <w:r>
        <w:rPr>
          <w:rFonts w:hint="eastAsia" w:eastAsiaTheme="majorEastAsia"/>
          <w:lang w:eastAsia="zh-CN"/>
        </w:rPr>
        <w:drawing>
          <wp:inline distT="0" distB="0" distL="114300" distR="114300">
            <wp:extent cx="5186045" cy="7476490"/>
            <wp:effectExtent l="0" t="0" r="14605" b="10160"/>
            <wp:docPr id="12" name="图片 12" descr="1646818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46818047(1)"/>
                    <pic:cNvPicPr>
                      <a:picLocks noChangeAspect="1"/>
                    </pic:cNvPicPr>
                  </pic:nvPicPr>
                  <pic:blipFill>
                    <a:blip r:embed="rId26"/>
                    <a:stretch>
                      <a:fillRect/>
                    </a:stretch>
                  </pic:blipFill>
                  <pic:spPr>
                    <a:xfrm>
                      <a:off x="0" y="0"/>
                      <a:ext cx="5186045" cy="7476490"/>
                    </a:xfrm>
                    <a:prstGeom prst="rect">
                      <a:avLst/>
                    </a:prstGeom>
                  </pic:spPr>
                </pic:pic>
              </a:graphicData>
            </a:graphic>
          </wp:inline>
        </w:drawing>
      </w:r>
    </w:p>
    <w:p>
      <w:pPr>
        <w:pStyle w:val="4"/>
        <w:ind w:left="0" w:leftChars="0" w:firstLine="0" w:firstLineChars="0"/>
        <w:jc w:val="both"/>
        <w:rPr>
          <w:rFonts w:hint="eastAsia" w:eastAsiaTheme="majorEastAsia"/>
          <w:lang w:eastAsia="zh-CN"/>
        </w:rPr>
      </w:pPr>
    </w:p>
    <w:p>
      <w:pPr>
        <w:rPr>
          <w:rFonts w:hint="eastAsia"/>
        </w:rPr>
        <w:sectPr>
          <w:footerReference r:id="rId8" w:type="default"/>
          <w:pgSz w:w="11907" w:h="16839"/>
          <w:pgMar w:top="1418" w:right="1417" w:bottom="1418" w:left="1417" w:header="1134" w:footer="1134" w:gutter="0"/>
          <w:pgBorders>
            <w:top w:val="none" w:sz="0" w:space="0"/>
            <w:left w:val="none" w:sz="0" w:space="0"/>
            <w:bottom w:val="none" w:sz="0" w:space="0"/>
            <w:right w:val="none" w:sz="0" w:space="0"/>
          </w:pgBorders>
          <w:pgNumType w:fmt="numberInDash"/>
          <w:cols w:space="425" w:num="1"/>
          <w:docGrid w:linePitch="312" w:charSpace="0"/>
        </w:sectPr>
      </w:pPr>
      <w:bookmarkStart w:id="223" w:name="_Toc28330"/>
    </w:p>
    <w:bookmarkEnd w:id="223"/>
    <w:tbl>
      <w:tblPr>
        <w:tblStyle w:val="37"/>
        <w:tblW w:w="5000" w:type="pct"/>
        <w:tblInd w:w="0" w:type="dxa"/>
        <w:tblLayout w:type="autofit"/>
        <w:tblCellMar>
          <w:top w:w="0" w:type="dxa"/>
          <w:left w:w="108" w:type="dxa"/>
          <w:bottom w:w="0" w:type="dxa"/>
          <w:right w:w="108" w:type="dxa"/>
        </w:tblCellMar>
      </w:tblPr>
      <w:tblGrid>
        <w:gridCol w:w="389"/>
        <w:gridCol w:w="261"/>
        <w:gridCol w:w="548"/>
        <w:gridCol w:w="1422"/>
        <w:gridCol w:w="475"/>
        <w:gridCol w:w="319"/>
        <w:gridCol w:w="1027"/>
        <w:gridCol w:w="455"/>
        <w:gridCol w:w="552"/>
        <w:gridCol w:w="833"/>
        <w:gridCol w:w="307"/>
        <w:gridCol w:w="242"/>
        <w:gridCol w:w="606"/>
        <w:gridCol w:w="1061"/>
        <w:gridCol w:w="1015"/>
        <w:gridCol w:w="1018"/>
        <w:gridCol w:w="978"/>
        <w:gridCol w:w="549"/>
        <w:gridCol w:w="464"/>
        <w:gridCol w:w="890"/>
        <w:gridCol w:w="353"/>
        <w:gridCol w:w="455"/>
      </w:tblGrid>
      <w:tr>
        <w:tblPrEx>
          <w:tblCellMar>
            <w:top w:w="0" w:type="dxa"/>
            <w:left w:w="108" w:type="dxa"/>
            <w:bottom w:w="0" w:type="dxa"/>
            <w:right w:w="108" w:type="dxa"/>
          </w:tblCellMar>
        </w:tblPrEx>
        <w:trPr>
          <w:trHeight w:val="249" w:hRule="atLeast"/>
        </w:trPr>
        <w:tc>
          <w:tcPr>
            <w:tcW w:w="5000" w:type="pct"/>
            <w:gridSpan w:val="22"/>
            <w:tcBorders>
              <w:top w:val="nil"/>
              <w:left w:val="nil"/>
              <w:bottom w:val="nil"/>
              <w:right w:val="nil"/>
            </w:tcBorders>
            <w:shd w:val="clear" w:color="auto" w:fill="auto"/>
            <w:vAlign w:val="center"/>
          </w:tcPr>
          <w:p>
            <w:pPr>
              <w:widowControl/>
              <w:ind w:firstLine="3087" w:firstLineChars="2050"/>
              <w:rPr>
                <w:rFonts w:ascii="宋体" w:hAnsi="宋体" w:cs="宋体"/>
                <w:b/>
                <w:bCs/>
                <w:kern w:val="0"/>
                <w:sz w:val="15"/>
                <w:szCs w:val="15"/>
              </w:rPr>
            </w:pPr>
          </w:p>
          <w:p>
            <w:pPr>
              <w:widowControl/>
              <w:ind w:firstLine="3614" w:firstLineChars="1200"/>
              <w:rPr>
                <w:rFonts w:ascii="宋体" w:hAnsi="宋体" w:cs="宋体"/>
                <w:b/>
                <w:bCs/>
                <w:kern w:val="0"/>
                <w:sz w:val="30"/>
                <w:szCs w:val="30"/>
              </w:rPr>
            </w:pPr>
            <w:r>
              <w:rPr>
                <w:rFonts w:hint="eastAsia" w:ascii="宋体" w:hAnsi="宋体" w:cs="宋体"/>
                <w:b/>
                <w:bCs/>
                <w:kern w:val="0"/>
                <w:sz w:val="30"/>
                <w:szCs w:val="30"/>
              </w:rPr>
              <w:t>建设项目工程竣工环境保护“三同时”验收登记表</w:t>
            </w:r>
          </w:p>
        </w:tc>
      </w:tr>
      <w:tr>
        <w:tblPrEx>
          <w:tblCellMar>
            <w:top w:w="0" w:type="dxa"/>
            <w:left w:w="108" w:type="dxa"/>
            <w:bottom w:w="0" w:type="dxa"/>
            <w:right w:w="108" w:type="dxa"/>
          </w:tblCellMar>
        </w:tblPrEx>
        <w:trPr>
          <w:trHeight w:val="249" w:hRule="atLeast"/>
        </w:trPr>
        <w:tc>
          <w:tcPr>
            <w:tcW w:w="5000" w:type="pct"/>
            <w:gridSpan w:val="22"/>
            <w:tcBorders>
              <w:top w:val="nil"/>
              <w:left w:val="nil"/>
              <w:bottom w:val="single" w:color="auto" w:sz="4" w:space="0"/>
              <w:right w:val="nil"/>
            </w:tcBorders>
            <w:shd w:val="clear" w:color="auto" w:fill="auto"/>
            <w:vAlign w:val="center"/>
          </w:tcPr>
          <w:p>
            <w:pPr>
              <w:widowControl/>
              <w:ind w:right="976" w:rightChars="465" w:firstLine="990" w:firstLineChars="550"/>
              <w:rPr>
                <w:rFonts w:ascii="宋体" w:hAnsi="宋体" w:cs="宋体"/>
                <w:kern w:val="0"/>
                <w:sz w:val="15"/>
                <w:szCs w:val="15"/>
              </w:rPr>
            </w:pPr>
            <w:r>
              <w:rPr>
                <w:rFonts w:hint="eastAsia" w:ascii="宋体" w:hAnsi="宋体" w:cs="宋体"/>
                <w:kern w:val="0"/>
                <w:sz w:val="18"/>
                <w:szCs w:val="18"/>
              </w:rPr>
              <w:t>填表单位（盖章）：</w:t>
            </w:r>
            <w:r>
              <w:rPr>
                <w:rFonts w:hint="eastAsia"/>
                <w:sz w:val="18"/>
                <w:szCs w:val="18"/>
              </w:rPr>
              <w:t xml:space="preserve">     </w:t>
            </w:r>
            <w:r>
              <w:rPr>
                <w:rFonts w:ascii="宋体" w:hAnsi="宋体" w:cs="宋体"/>
                <w:kern w:val="0"/>
                <w:sz w:val="18"/>
                <w:szCs w:val="18"/>
              </w:rPr>
              <w:t xml:space="preserve">        </w:t>
            </w:r>
            <w:r>
              <w:rPr>
                <w:rFonts w:hint="eastAsia" w:ascii="宋体" w:hAnsi="宋体" w:cs="宋体"/>
                <w:kern w:val="0"/>
                <w:sz w:val="18"/>
                <w:szCs w:val="18"/>
              </w:rPr>
              <w:t xml:space="preserve">     填表人（签字）：        </w:t>
            </w:r>
            <w:r>
              <w:rPr>
                <w:rFonts w:ascii="宋体" w:hAnsi="宋体" w:cs="宋体"/>
                <w:kern w:val="0"/>
                <w:sz w:val="18"/>
                <w:szCs w:val="18"/>
              </w:rPr>
              <w:t xml:space="preserve"> </w:t>
            </w:r>
            <w:r>
              <w:rPr>
                <w:rFonts w:hint="eastAsia" w:ascii="宋体" w:hAnsi="宋体" w:cs="宋体"/>
                <w:kern w:val="0"/>
                <w:sz w:val="18"/>
                <w:szCs w:val="18"/>
              </w:rPr>
              <w:t xml:space="preserve">              项目经办人（签字）</w:t>
            </w:r>
            <w:r>
              <w:rPr>
                <w:rFonts w:hint="eastAsia" w:ascii="宋体" w:hAnsi="宋体" w:cs="宋体"/>
                <w:kern w:val="0"/>
                <w:sz w:val="15"/>
                <w:szCs w:val="15"/>
              </w:rPr>
              <w:t>：</w:t>
            </w:r>
          </w:p>
        </w:tc>
      </w:tr>
      <w:tr>
        <w:tblPrEx>
          <w:tblCellMar>
            <w:top w:w="0" w:type="dxa"/>
            <w:left w:w="108" w:type="dxa"/>
            <w:bottom w:w="0" w:type="dxa"/>
            <w:right w:w="108" w:type="dxa"/>
          </w:tblCellMar>
        </w:tblPrEx>
        <w:trPr>
          <w:trHeight w:val="249" w:hRule="atLeast"/>
        </w:trPr>
        <w:tc>
          <w:tcPr>
            <w:tcW w:w="137"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建设项目</w:t>
            </w:r>
          </w:p>
        </w:tc>
        <w:tc>
          <w:tcPr>
            <w:tcW w:w="785"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项目名称</w:t>
            </w:r>
          </w:p>
        </w:tc>
        <w:tc>
          <w:tcPr>
            <w:tcW w:w="1395" w:type="pct"/>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hAnsi="宋体"/>
                <w:sz w:val="15"/>
                <w:szCs w:val="15"/>
                <w:lang w:val="en-US" w:eastAsia="zh-CN"/>
              </w:rPr>
              <w:t>宁波市海曙住建建筑垃圾处理服务有限公司</w:t>
            </w:r>
          </w:p>
        </w:tc>
        <w:tc>
          <w:tcPr>
            <w:tcW w:w="671"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color w:val="000000" w:themeColor="text1"/>
                <w:kern w:val="0"/>
                <w:sz w:val="15"/>
                <w:szCs w:val="15"/>
                <w14:textFill>
                  <w14:solidFill>
                    <w14:schemeClr w14:val="tx1"/>
                  </w14:solidFill>
                </w14:textFill>
              </w:rPr>
            </w:pPr>
            <w:r>
              <w:rPr>
                <w:rFonts w:hint="eastAsia" w:ascii="宋体" w:hAnsi="宋体" w:cs="宋体"/>
                <w:b/>
                <w:bCs/>
                <w:color w:val="000000" w:themeColor="text1"/>
                <w:kern w:val="0"/>
                <w:sz w:val="15"/>
                <w:szCs w:val="15"/>
                <w14:textFill>
                  <w14:solidFill>
                    <w14:schemeClr w14:val="tx1"/>
                  </w14:solidFill>
                </w14:textFill>
              </w:rPr>
              <w:t>项目代码</w:t>
            </w:r>
          </w:p>
        </w:tc>
        <w:tc>
          <w:tcPr>
            <w:tcW w:w="715" w:type="pct"/>
            <w:gridSpan w:val="2"/>
            <w:tcBorders>
              <w:top w:val="nil"/>
              <w:left w:val="nil"/>
              <w:bottom w:val="single" w:color="auto" w:sz="4" w:space="0"/>
              <w:right w:val="single" w:color="auto" w:sz="4" w:space="0"/>
            </w:tcBorders>
            <w:shd w:val="clear" w:color="auto" w:fill="auto"/>
            <w:vAlign w:val="center"/>
          </w:tcPr>
          <w:p>
            <w:pPr>
              <w:widowControl/>
              <w:jc w:val="center"/>
              <w:rPr>
                <w:rFonts w:hAnsi="宋体"/>
                <w:color w:val="000000" w:themeColor="text1"/>
                <w:sz w:val="15"/>
                <w:szCs w:val="15"/>
                <w14:textFill>
                  <w14:solidFill>
                    <w14:schemeClr w14:val="tx1"/>
                  </w14:solidFill>
                </w14:textFill>
              </w:rPr>
            </w:pPr>
          </w:p>
        </w:tc>
        <w:tc>
          <w:tcPr>
            <w:tcW w:w="537"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建设地点</w:t>
            </w:r>
          </w:p>
        </w:tc>
        <w:tc>
          <w:tcPr>
            <w:tcW w:w="760" w:type="pct"/>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hAnsi="宋体"/>
                <w:sz w:val="15"/>
                <w:szCs w:val="15"/>
                <w:lang w:val="en-US" w:eastAsia="zh-CN"/>
              </w:rPr>
              <w:t>浙江省宁波市海曙区古林镇葑水港村</w:t>
            </w:r>
          </w:p>
        </w:tc>
      </w:tr>
      <w:tr>
        <w:tblPrEx>
          <w:tblCellMar>
            <w:top w:w="0" w:type="dxa"/>
            <w:left w:w="108" w:type="dxa"/>
            <w:bottom w:w="0" w:type="dxa"/>
            <w:right w:w="108" w:type="dxa"/>
          </w:tblCellMar>
        </w:tblPrEx>
        <w:trPr>
          <w:trHeight w:val="249" w:hRule="atLeast"/>
        </w:trPr>
        <w:tc>
          <w:tcPr>
            <w:tcW w:w="137"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cs="宋体"/>
                <w:b/>
                <w:bCs/>
                <w:kern w:val="0"/>
                <w:sz w:val="15"/>
                <w:szCs w:val="15"/>
              </w:rPr>
            </w:pPr>
          </w:p>
        </w:tc>
        <w:tc>
          <w:tcPr>
            <w:tcW w:w="785"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color w:val="000000" w:themeColor="text1"/>
                <w:kern w:val="0"/>
                <w:sz w:val="15"/>
                <w:szCs w:val="15"/>
                <w14:textFill>
                  <w14:solidFill>
                    <w14:schemeClr w14:val="tx1"/>
                  </w14:solidFill>
                </w14:textFill>
              </w:rPr>
              <w:t>行业类别（分类管理名录）</w:t>
            </w:r>
          </w:p>
        </w:tc>
        <w:tc>
          <w:tcPr>
            <w:tcW w:w="1395" w:type="pct"/>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rPr>
              <w:t>N7723固体废物治理</w:t>
            </w:r>
          </w:p>
        </w:tc>
        <w:tc>
          <w:tcPr>
            <w:tcW w:w="671"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建设性质</w:t>
            </w:r>
          </w:p>
        </w:tc>
        <w:tc>
          <w:tcPr>
            <w:tcW w:w="2012" w:type="pct"/>
            <w:gridSpan w:val="8"/>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b/>
                <w:bCs/>
                <w:kern w:val="0"/>
                <w:sz w:val="15"/>
                <w:szCs w:val="15"/>
              </w:rPr>
              <w:sym w:font="Wingdings 2" w:char="0052"/>
            </w:r>
            <w:r>
              <w:rPr>
                <w:rFonts w:hint="eastAsia" w:ascii="宋体" w:hAnsi="宋体" w:cs="宋体"/>
                <w:b/>
                <w:bCs/>
                <w:kern w:val="0"/>
                <w:sz w:val="15"/>
                <w:szCs w:val="15"/>
              </w:rPr>
              <w:t xml:space="preserve">新建   </w:t>
            </w:r>
            <w:r>
              <w:rPr>
                <w:rFonts w:hint="eastAsia" w:ascii="宋体" w:hAnsi="宋体" w:cs="宋体"/>
                <w:b/>
                <w:bCs/>
                <w:kern w:val="0"/>
                <w:sz w:val="15"/>
                <w:szCs w:val="15"/>
              </w:rPr>
              <w:sym w:font="Wingdings 2" w:char="00A3"/>
            </w:r>
            <w:r>
              <w:rPr>
                <w:rFonts w:hint="eastAsia" w:ascii="宋体" w:hAnsi="宋体" w:cs="宋体"/>
                <w:b/>
                <w:bCs/>
                <w:kern w:val="0"/>
                <w:sz w:val="15"/>
                <w:szCs w:val="15"/>
              </w:rPr>
              <w:t xml:space="preserve">改扩建   </w:t>
            </w:r>
            <w:r>
              <w:rPr>
                <w:rFonts w:hint="eastAsia" w:ascii="宋体" w:hAnsi="宋体" w:cs="宋体"/>
                <w:b/>
                <w:bCs/>
                <w:kern w:val="0"/>
                <w:sz w:val="15"/>
                <w:szCs w:val="15"/>
              </w:rPr>
              <w:sym w:font="Wingdings 2" w:char="00A3"/>
            </w:r>
            <w:r>
              <w:rPr>
                <w:rFonts w:hint="eastAsia" w:ascii="宋体" w:hAnsi="宋体" w:cs="宋体"/>
                <w:b/>
                <w:bCs/>
                <w:kern w:val="0"/>
                <w:sz w:val="15"/>
                <w:szCs w:val="15"/>
              </w:rPr>
              <w:t xml:space="preserve">技术改造   </w:t>
            </w:r>
          </w:p>
        </w:tc>
      </w:tr>
      <w:tr>
        <w:tblPrEx>
          <w:tblCellMar>
            <w:top w:w="0" w:type="dxa"/>
            <w:left w:w="108" w:type="dxa"/>
            <w:bottom w:w="0" w:type="dxa"/>
            <w:right w:w="108" w:type="dxa"/>
          </w:tblCellMar>
        </w:tblPrEx>
        <w:trPr>
          <w:trHeight w:val="376" w:hRule="atLeast"/>
        </w:trPr>
        <w:tc>
          <w:tcPr>
            <w:tcW w:w="137"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cs="宋体"/>
                <w:b/>
                <w:bCs/>
                <w:kern w:val="0"/>
                <w:sz w:val="15"/>
                <w:szCs w:val="15"/>
              </w:rPr>
            </w:pPr>
          </w:p>
        </w:tc>
        <w:tc>
          <w:tcPr>
            <w:tcW w:w="785"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设计生产能力</w:t>
            </w:r>
          </w:p>
        </w:tc>
        <w:tc>
          <w:tcPr>
            <w:tcW w:w="1395" w:type="pct"/>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年处理量约75吨</w:t>
            </w:r>
          </w:p>
        </w:tc>
        <w:tc>
          <w:tcPr>
            <w:tcW w:w="671"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实际生产能力</w:t>
            </w:r>
          </w:p>
        </w:tc>
        <w:tc>
          <w:tcPr>
            <w:tcW w:w="715" w:type="pct"/>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年处理量约75吨</w:t>
            </w:r>
          </w:p>
        </w:tc>
        <w:tc>
          <w:tcPr>
            <w:tcW w:w="537"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环评单位</w:t>
            </w:r>
          </w:p>
        </w:tc>
        <w:tc>
          <w:tcPr>
            <w:tcW w:w="760" w:type="pct"/>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浙江甬绿环保科技有限公司</w:t>
            </w:r>
          </w:p>
        </w:tc>
      </w:tr>
      <w:tr>
        <w:tblPrEx>
          <w:tblCellMar>
            <w:top w:w="0" w:type="dxa"/>
            <w:left w:w="108" w:type="dxa"/>
            <w:bottom w:w="0" w:type="dxa"/>
            <w:right w:w="108" w:type="dxa"/>
          </w:tblCellMar>
        </w:tblPrEx>
        <w:trPr>
          <w:trHeight w:val="249" w:hRule="atLeast"/>
        </w:trPr>
        <w:tc>
          <w:tcPr>
            <w:tcW w:w="137"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cs="宋体"/>
                <w:b/>
                <w:bCs/>
                <w:kern w:val="0"/>
                <w:sz w:val="15"/>
                <w:szCs w:val="15"/>
              </w:rPr>
            </w:pPr>
          </w:p>
        </w:tc>
        <w:tc>
          <w:tcPr>
            <w:tcW w:w="785"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环评文件审批机关</w:t>
            </w:r>
          </w:p>
        </w:tc>
        <w:tc>
          <w:tcPr>
            <w:tcW w:w="1395" w:type="pct"/>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宁波市生态环境局海曙分局</w:t>
            </w:r>
          </w:p>
        </w:tc>
        <w:tc>
          <w:tcPr>
            <w:tcW w:w="671"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审批文号</w:t>
            </w:r>
          </w:p>
        </w:tc>
        <w:tc>
          <w:tcPr>
            <w:tcW w:w="715" w:type="pct"/>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15"/>
                <w:szCs w:val="15"/>
                <w:lang w:val="en-US" w:eastAsia="zh-CN"/>
                <w14:textFill>
                  <w14:solidFill>
                    <w14:schemeClr w14:val="tx1"/>
                  </w14:solidFill>
                </w14:textFill>
              </w:rPr>
            </w:pPr>
            <w:r>
              <w:rPr>
                <w:rFonts w:hint="eastAsia" w:ascii="宋体" w:hAnsi="宋体" w:cs="宋体"/>
                <w:color w:val="000000" w:themeColor="text1"/>
                <w:kern w:val="0"/>
                <w:sz w:val="15"/>
                <w:szCs w:val="15"/>
                <w:lang w:val="en-US" w:eastAsia="zh-CN"/>
                <w14:textFill>
                  <w14:solidFill>
                    <w14:schemeClr w14:val="tx1"/>
                  </w14:solidFill>
                </w14:textFill>
              </w:rPr>
              <w:t>/</w:t>
            </w:r>
          </w:p>
        </w:tc>
        <w:tc>
          <w:tcPr>
            <w:tcW w:w="537"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环评文件类型</w:t>
            </w:r>
          </w:p>
        </w:tc>
        <w:tc>
          <w:tcPr>
            <w:tcW w:w="760" w:type="pct"/>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报告表</w:t>
            </w:r>
          </w:p>
        </w:tc>
      </w:tr>
      <w:tr>
        <w:tblPrEx>
          <w:tblCellMar>
            <w:top w:w="0" w:type="dxa"/>
            <w:left w:w="108" w:type="dxa"/>
            <w:bottom w:w="0" w:type="dxa"/>
            <w:right w:w="108" w:type="dxa"/>
          </w:tblCellMar>
        </w:tblPrEx>
        <w:trPr>
          <w:trHeight w:val="60" w:hRule="atLeast"/>
        </w:trPr>
        <w:tc>
          <w:tcPr>
            <w:tcW w:w="137"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cs="宋体"/>
                <w:b/>
                <w:bCs/>
                <w:kern w:val="0"/>
                <w:sz w:val="15"/>
                <w:szCs w:val="15"/>
              </w:rPr>
            </w:pPr>
          </w:p>
        </w:tc>
        <w:tc>
          <w:tcPr>
            <w:tcW w:w="785"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开工日期</w:t>
            </w:r>
          </w:p>
        </w:tc>
        <w:tc>
          <w:tcPr>
            <w:tcW w:w="1395" w:type="pct"/>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已投产</w:t>
            </w:r>
          </w:p>
        </w:tc>
        <w:tc>
          <w:tcPr>
            <w:tcW w:w="671"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竣工日期</w:t>
            </w:r>
          </w:p>
        </w:tc>
        <w:tc>
          <w:tcPr>
            <w:tcW w:w="715" w:type="pct"/>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537"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排污许可证申领时间</w:t>
            </w:r>
          </w:p>
        </w:tc>
        <w:tc>
          <w:tcPr>
            <w:tcW w:w="760" w:type="pct"/>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kern w:val="0"/>
                <w:sz w:val="15"/>
                <w:szCs w:val="15"/>
                <w:lang w:val="en-US" w:eastAsia="zh-CN"/>
              </w:rPr>
            </w:pPr>
          </w:p>
        </w:tc>
      </w:tr>
      <w:tr>
        <w:tblPrEx>
          <w:tblCellMar>
            <w:top w:w="0" w:type="dxa"/>
            <w:left w:w="108" w:type="dxa"/>
            <w:bottom w:w="0" w:type="dxa"/>
            <w:right w:w="108" w:type="dxa"/>
          </w:tblCellMar>
        </w:tblPrEx>
        <w:trPr>
          <w:trHeight w:val="413" w:hRule="atLeast"/>
        </w:trPr>
        <w:tc>
          <w:tcPr>
            <w:tcW w:w="137"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cs="宋体"/>
                <w:b/>
                <w:bCs/>
                <w:kern w:val="0"/>
                <w:sz w:val="15"/>
                <w:szCs w:val="15"/>
              </w:rPr>
            </w:pPr>
          </w:p>
        </w:tc>
        <w:tc>
          <w:tcPr>
            <w:tcW w:w="785"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环保设施设计单位</w:t>
            </w:r>
          </w:p>
        </w:tc>
        <w:tc>
          <w:tcPr>
            <w:tcW w:w="1395" w:type="pct"/>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宁波市海曙住建建筑垃圾处理服务有限公司</w:t>
            </w:r>
          </w:p>
        </w:tc>
        <w:tc>
          <w:tcPr>
            <w:tcW w:w="671" w:type="pct"/>
            <w:gridSpan w:val="3"/>
            <w:tcBorders>
              <w:top w:val="single" w:color="auto" w:sz="4" w:space="0"/>
              <w:left w:val="single" w:color="auto" w:sz="4" w:space="0"/>
              <w:bottom w:val="nil"/>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环保设施施工单位</w:t>
            </w:r>
          </w:p>
        </w:tc>
        <w:tc>
          <w:tcPr>
            <w:tcW w:w="715" w:type="pct"/>
            <w:gridSpan w:val="2"/>
            <w:tcBorders>
              <w:top w:val="nil"/>
              <w:left w:val="nil"/>
              <w:bottom w:val="nil"/>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宁波市海曙住建建筑垃圾处理服务有限公司</w:t>
            </w:r>
          </w:p>
        </w:tc>
        <w:tc>
          <w:tcPr>
            <w:tcW w:w="537" w:type="pct"/>
            <w:gridSpan w:val="2"/>
            <w:tcBorders>
              <w:top w:val="single" w:color="auto" w:sz="4" w:space="0"/>
              <w:left w:val="single" w:color="auto" w:sz="4" w:space="0"/>
              <w:bottom w:val="nil"/>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工程排污许可证编号</w:t>
            </w:r>
          </w:p>
        </w:tc>
        <w:tc>
          <w:tcPr>
            <w:tcW w:w="760" w:type="pct"/>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60" w:hRule="atLeast"/>
        </w:trPr>
        <w:tc>
          <w:tcPr>
            <w:tcW w:w="137"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cs="宋体"/>
                <w:b/>
                <w:bCs/>
                <w:kern w:val="0"/>
                <w:sz w:val="15"/>
                <w:szCs w:val="15"/>
              </w:rPr>
            </w:pPr>
          </w:p>
        </w:tc>
        <w:tc>
          <w:tcPr>
            <w:tcW w:w="785"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验收单位</w:t>
            </w:r>
          </w:p>
        </w:tc>
        <w:tc>
          <w:tcPr>
            <w:tcW w:w="1395" w:type="pct"/>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宋体" w:hAnsi="宋体" w:eastAsia="宋体" w:cs="宋体"/>
                <w:kern w:val="0"/>
                <w:sz w:val="15"/>
                <w:szCs w:val="15"/>
                <w:lang w:eastAsia="zh-CN"/>
              </w:rPr>
            </w:pPr>
            <w:r>
              <w:rPr>
                <w:rFonts w:hint="eastAsia"/>
                <w:sz w:val="15"/>
                <w:szCs w:val="15"/>
                <w:lang w:val="en-US" w:eastAsia="zh-CN"/>
              </w:rPr>
              <w:t>宁波市海曙住建建筑垃圾处理服务有限公司</w:t>
            </w:r>
          </w:p>
        </w:tc>
        <w:tc>
          <w:tcPr>
            <w:tcW w:w="671" w:type="pct"/>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环保设施监测单位</w:t>
            </w:r>
          </w:p>
        </w:tc>
        <w:tc>
          <w:tcPr>
            <w:tcW w:w="715"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浙江诚德检测研究有限公司</w:t>
            </w:r>
          </w:p>
        </w:tc>
        <w:tc>
          <w:tcPr>
            <w:tcW w:w="537"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验收监测时工况</w:t>
            </w:r>
          </w:p>
        </w:tc>
        <w:tc>
          <w:tcPr>
            <w:tcW w:w="760" w:type="pct"/>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sym w:font="Symbol" w:char="F03E"/>
            </w:r>
            <w:r>
              <w:rPr>
                <w:rFonts w:hint="eastAsia" w:ascii="宋体" w:hAnsi="宋体" w:cs="宋体"/>
                <w:kern w:val="0"/>
                <w:sz w:val="15"/>
                <w:szCs w:val="15"/>
              </w:rPr>
              <w:t>75%</w:t>
            </w:r>
          </w:p>
        </w:tc>
      </w:tr>
      <w:tr>
        <w:tblPrEx>
          <w:tblCellMar>
            <w:top w:w="0" w:type="dxa"/>
            <w:left w:w="108" w:type="dxa"/>
            <w:bottom w:w="0" w:type="dxa"/>
            <w:right w:w="108" w:type="dxa"/>
          </w:tblCellMar>
        </w:tblPrEx>
        <w:trPr>
          <w:trHeight w:val="249" w:hRule="atLeast"/>
        </w:trPr>
        <w:tc>
          <w:tcPr>
            <w:tcW w:w="137"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cs="宋体"/>
                <w:b/>
                <w:bCs/>
                <w:kern w:val="0"/>
                <w:sz w:val="15"/>
                <w:szCs w:val="15"/>
              </w:rPr>
            </w:pPr>
          </w:p>
        </w:tc>
        <w:tc>
          <w:tcPr>
            <w:tcW w:w="785"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投资总概算（万元）</w:t>
            </w:r>
          </w:p>
        </w:tc>
        <w:tc>
          <w:tcPr>
            <w:tcW w:w="1395" w:type="pct"/>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cs="宋体"/>
                <w:kern w:val="0"/>
                <w:sz w:val="15"/>
                <w:szCs w:val="15"/>
                <w:lang w:val="en-US"/>
              </w:rPr>
            </w:pPr>
            <w:r>
              <w:rPr>
                <w:rFonts w:hint="eastAsia" w:ascii="宋体" w:hAnsi="宋体" w:cs="宋体"/>
                <w:kern w:val="0"/>
                <w:sz w:val="15"/>
                <w:szCs w:val="15"/>
                <w:lang w:val="en-US" w:eastAsia="zh-CN"/>
              </w:rPr>
              <w:t>1000</w:t>
            </w:r>
          </w:p>
        </w:tc>
        <w:tc>
          <w:tcPr>
            <w:tcW w:w="671" w:type="pct"/>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环保投资总概算（万元）</w:t>
            </w:r>
          </w:p>
        </w:tc>
        <w:tc>
          <w:tcPr>
            <w:tcW w:w="715" w:type="pct"/>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50</w:t>
            </w:r>
          </w:p>
        </w:tc>
        <w:tc>
          <w:tcPr>
            <w:tcW w:w="537"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所占比例(%)</w:t>
            </w:r>
          </w:p>
        </w:tc>
        <w:tc>
          <w:tcPr>
            <w:tcW w:w="760" w:type="pct"/>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5%</w:t>
            </w:r>
          </w:p>
        </w:tc>
      </w:tr>
      <w:tr>
        <w:tblPrEx>
          <w:tblCellMar>
            <w:top w:w="0" w:type="dxa"/>
            <w:left w:w="108" w:type="dxa"/>
            <w:bottom w:w="0" w:type="dxa"/>
            <w:right w:w="108" w:type="dxa"/>
          </w:tblCellMar>
        </w:tblPrEx>
        <w:trPr>
          <w:trHeight w:val="249" w:hRule="atLeast"/>
        </w:trPr>
        <w:tc>
          <w:tcPr>
            <w:tcW w:w="137"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cs="宋体"/>
                <w:b/>
                <w:bCs/>
                <w:kern w:val="0"/>
                <w:sz w:val="15"/>
                <w:szCs w:val="15"/>
              </w:rPr>
            </w:pPr>
          </w:p>
        </w:tc>
        <w:tc>
          <w:tcPr>
            <w:tcW w:w="785"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实际总投资</w:t>
            </w:r>
          </w:p>
        </w:tc>
        <w:tc>
          <w:tcPr>
            <w:tcW w:w="1395" w:type="pct"/>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lang w:val="en-US" w:eastAsia="zh-CN"/>
              </w:rPr>
              <w:t>1000</w:t>
            </w:r>
            <w:r>
              <w:rPr>
                <w:rFonts w:hint="eastAsia" w:ascii="宋体" w:hAnsi="宋体" w:cs="宋体"/>
                <w:kern w:val="0"/>
                <w:sz w:val="15"/>
                <w:szCs w:val="15"/>
              </w:rPr>
              <w:t>万元</w:t>
            </w:r>
          </w:p>
        </w:tc>
        <w:tc>
          <w:tcPr>
            <w:tcW w:w="671" w:type="pct"/>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实际环保投资（万元）</w:t>
            </w:r>
          </w:p>
        </w:tc>
        <w:tc>
          <w:tcPr>
            <w:tcW w:w="715" w:type="pct"/>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50</w:t>
            </w:r>
          </w:p>
        </w:tc>
        <w:tc>
          <w:tcPr>
            <w:tcW w:w="537"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所占比例(%)</w:t>
            </w:r>
          </w:p>
        </w:tc>
        <w:tc>
          <w:tcPr>
            <w:tcW w:w="760" w:type="pct"/>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lang w:val="en-US" w:eastAsia="zh-CN"/>
              </w:rPr>
              <w:t>5%</w:t>
            </w:r>
          </w:p>
        </w:tc>
      </w:tr>
      <w:tr>
        <w:tblPrEx>
          <w:tblCellMar>
            <w:top w:w="0" w:type="dxa"/>
            <w:left w:w="108" w:type="dxa"/>
            <w:bottom w:w="0" w:type="dxa"/>
            <w:right w:w="108" w:type="dxa"/>
          </w:tblCellMar>
        </w:tblPrEx>
        <w:trPr>
          <w:trHeight w:val="249" w:hRule="atLeast"/>
        </w:trPr>
        <w:tc>
          <w:tcPr>
            <w:tcW w:w="137"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cs="宋体"/>
                <w:b/>
                <w:bCs/>
                <w:kern w:val="0"/>
                <w:sz w:val="15"/>
                <w:szCs w:val="15"/>
              </w:rPr>
            </w:pPr>
          </w:p>
        </w:tc>
        <w:tc>
          <w:tcPr>
            <w:tcW w:w="785"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废水治理（万元）</w:t>
            </w:r>
          </w:p>
        </w:tc>
        <w:tc>
          <w:tcPr>
            <w:tcW w:w="167" w:type="pct"/>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3</w:t>
            </w:r>
          </w:p>
        </w:tc>
        <w:tc>
          <w:tcPr>
            <w:tcW w:w="473" w:type="pct"/>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废气治理（万元）</w:t>
            </w:r>
          </w:p>
        </w:tc>
        <w:tc>
          <w:tcPr>
            <w:tcW w:w="160" w:type="pct"/>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40</w:t>
            </w:r>
          </w:p>
        </w:tc>
        <w:tc>
          <w:tcPr>
            <w:tcW w:w="487"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噪声治理（万元）</w:t>
            </w:r>
          </w:p>
        </w:tc>
        <w:tc>
          <w:tcPr>
            <w:tcW w:w="193" w:type="pct"/>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5</w:t>
            </w:r>
          </w:p>
        </w:tc>
        <w:tc>
          <w:tcPr>
            <w:tcW w:w="586"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固体废物治理（万元）</w:t>
            </w:r>
          </w:p>
        </w:tc>
        <w:tc>
          <w:tcPr>
            <w:tcW w:w="715" w:type="pct"/>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2</w:t>
            </w:r>
          </w:p>
        </w:tc>
        <w:tc>
          <w:tcPr>
            <w:tcW w:w="537"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绿化及生态（万元）</w:t>
            </w:r>
          </w:p>
        </w:tc>
        <w:tc>
          <w:tcPr>
            <w:tcW w:w="163"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5"/>
                <w:szCs w:val="15"/>
                <w:lang w:val="en-US" w:eastAsia="zh-CN"/>
              </w:rPr>
            </w:pPr>
            <w:r>
              <w:rPr>
                <w:rFonts w:hint="eastAsia" w:ascii="宋体" w:hAnsi="宋体" w:cs="宋体"/>
                <w:kern w:val="0"/>
                <w:sz w:val="15"/>
                <w:szCs w:val="15"/>
                <w:lang w:val="en-US" w:eastAsia="zh-CN"/>
              </w:rPr>
              <w:t>/</w:t>
            </w:r>
          </w:p>
        </w:tc>
        <w:tc>
          <w:tcPr>
            <w:tcW w:w="437" w:type="pct"/>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其他（万元）</w:t>
            </w:r>
          </w:p>
        </w:tc>
        <w:tc>
          <w:tcPr>
            <w:tcW w:w="160"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5"/>
                <w:szCs w:val="15"/>
                <w:lang w:val="en-US" w:eastAsia="zh-CN"/>
              </w:rPr>
            </w:pPr>
            <w:r>
              <w:rPr>
                <w:rFonts w:hint="eastAsia" w:ascii="宋体" w:hAnsi="宋体" w:cs="宋体"/>
                <w:kern w:val="0"/>
                <w:sz w:val="15"/>
                <w:szCs w:val="15"/>
                <w:lang w:val="en-US" w:eastAsia="zh-CN"/>
              </w:rPr>
              <w:t>/</w:t>
            </w:r>
          </w:p>
        </w:tc>
      </w:tr>
      <w:tr>
        <w:tblPrEx>
          <w:tblCellMar>
            <w:top w:w="0" w:type="dxa"/>
            <w:left w:w="108" w:type="dxa"/>
            <w:bottom w:w="0" w:type="dxa"/>
            <w:right w:w="108" w:type="dxa"/>
          </w:tblCellMar>
        </w:tblPrEx>
        <w:trPr>
          <w:trHeight w:val="249" w:hRule="atLeast"/>
        </w:trPr>
        <w:tc>
          <w:tcPr>
            <w:tcW w:w="137" w:type="pct"/>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cs="宋体"/>
                <w:b/>
                <w:bCs/>
                <w:kern w:val="0"/>
                <w:sz w:val="15"/>
                <w:szCs w:val="15"/>
              </w:rPr>
            </w:pPr>
          </w:p>
        </w:tc>
        <w:tc>
          <w:tcPr>
            <w:tcW w:w="785"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新增废水处理设施能力</w:t>
            </w:r>
          </w:p>
        </w:tc>
        <w:tc>
          <w:tcPr>
            <w:tcW w:w="1395" w:type="pct"/>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宋体" w:hAnsi="宋体" w:eastAsia="宋体" w:cs="宋体"/>
                <w:kern w:val="0"/>
                <w:sz w:val="15"/>
                <w:szCs w:val="15"/>
                <w:lang w:val="en-US" w:eastAsia="zh-CN"/>
              </w:rPr>
            </w:pPr>
            <w:r>
              <w:rPr>
                <w:rFonts w:hint="eastAsia" w:ascii="宋体" w:hAnsi="宋体" w:cs="宋体"/>
                <w:kern w:val="0"/>
                <w:sz w:val="15"/>
                <w:szCs w:val="15"/>
                <w:lang w:val="en-US" w:eastAsia="zh-CN"/>
              </w:rPr>
              <w:t>/</w:t>
            </w:r>
          </w:p>
        </w:tc>
        <w:tc>
          <w:tcPr>
            <w:tcW w:w="671" w:type="pct"/>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新增废气处理设施能力</w:t>
            </w:r>
          </w:p>
        </w:tc>
        <w:tc>
          <w:tcPr>
            <w:tcW w:w="715" w:type="pct"/>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5"/>
                <w:szCs w:val="15"/>
                <w:lang w:val="en-US" w:eastAsia="zh-CN"/>
              </w:rPr>
            </w:pPr>
            <w:r>
              <w:rPr>
                <w:rFonts w:hint="eastAsia" w:ascii="宋体" w:hAnsi="宋体" w:cs="宋体"/>
                <w:kern w:val="0"/>
                <w:sz w:val="15"/>
                <w:szCs w:val="15"/>
                <w:lang w:val="en-US" w:eastAsia="zh-CN"/>
              </w:rPr>
              <w:t>/</w:t>
            </w:r>
          </w:p>
        </w:tc>
        <w:tc>
          <w:tcPr>
            <w:tcW w:w="537"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color w:val="000000" w:themeColor="text1"/>
                <w:kern w:val="0"/>
                <w:sz w:val="15"/>
                <w:szCs w:val="15"/>
                <w14:textFill>
                  <w14:solidFill>
                    <w14:schemeClr w14:val="tx1"/>
                  </w14:solidFill>
                </w14:textFill>
              </w:rPr>
              <w:t>年平均工作时</w:t>
            </w:r>
          </w:p>
        </w:tc>
        <w:tc>
          <w:tcPr>
            <w:tcW w:w="760" w:type="pct"/>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15"/>
                <w:szCs w:val="15"/>
                <w:highlight w:val="yellow"/>
              </w:rPr>
            </w:pPr>
            <w:r>
              <w:rPr>
                <w:rFonts w:hint="eastAsia" w:ascii="宋体" w:hAnsi="宋体" w:cs="宋体"/>
                <w:color w:val="000000" w:themeColor="text1"/>
                <w:kern w:val="0"/>
                <w:sz w:val="15"/>
                <w:szCs w:val="15"/>
                <w:lang w:val="en-US" w:eastAsia="zh-CN"/>
                <w14:textFill>
                  <w14:solidFill>
                    <w14:schemeClr w14:val="tx1"/>
                  </w14:solidFill>
                </w14:textFill>
              </w:rPr>
              <w:t>24</w:t>
            </w:r>
            <w:r>
              <w:rPr>
                <w:rFonts w:hint="eastAsia" w:ascii="宋体" w:hAnsi="宋体" w:cs="宋体"/>
                <w:color w:val="000000" w:themeColor="text1"/>
                <w:kern w:val="0"/>
                <w:sz w:val="15"/>
                <w:szCs w:val="15"/>
                <w14:textFill>
                  <w14:solidFill>
                    <w14:schemeClr w14:val="tx1"/>
                  </w14:solidFill>
                </w14:textFill>
              </w:rPr>
              <w:t>00</w:t>
            </w:r>
          </w:p>
        </w:tc>
      </w:tr>
      <w:tr>
        <w:tblPrEx>
          <w:tblCellMar>
            <w:top w:w="0" w:type="dxa"/>
            <w:left w:w="108" w:type="dxa"/>
            <w:bottom w:w="0" w:type="dxa"/>
            <w:right w:w="108" w:type="dxa"/>
          </w:tblCellMar>
        </w:tblPrEx>
        <w:trPr>
          <w:trHeight w:val="249" w:hRule="atLeast"/>
        </w:trPr>
        <w:tc>
          <w:tcPr>
            <w:tcW w:w="921" w:type="pct"/>
            <w:gridSpan w:val="4"/>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运营单位</w:t>
            </w:r>
          </w:p>
        </w:tc>
        <w:tc>
          <w:tcPr>
            <w:tcW w:w="1395" w:type="pct"/>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sz w:val="15"/>
                <w:szCs w:val="15"/>
                <w:lang w:val="en-US" w:eastAsia="zh-CN"/>
              </w:rPr>
              <w:t>宁波市海曙住建建筑垃圾处理服务有限公司</w:t>
            </w:r>
          </w:p>
        </w:tc>
        <w:tc>
          <w:tcPr>
            <w:tcW w:w="671" w:type="pct"/>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运营单位社会统一信用代码（或组织机构代码）</w:t>
            </w:r>
          </w:p>
        </w:tc>
        <w:tc>
          <w:tcPr>
            <w:tcW w:w="715" w:type="pct"/>
            <w:gridSpan w:val="2"/>
            <w:tcBorders>
              <w:top w:val="nil"/>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themeColor="text1"/>
                <w:kern w:val="0"/>
                <w:sz w:val="15"/>
                <w:szCs w:val="15"/>
                <w:lang w:val="en-US" w:eastAsia="zh-CN"/>
                <w14:textFill>
                  <w14:solidFill>
                    <w14:schemeClr w14:val="tx1"/>
                  </w14:solidFill>
                </w14:textFill>
              </w:rPr>
            </w:pPr>
            <w:r>
              <w:rPr>
                <w:rFonts w:hint="eastAsia" w:ascii="宋体" w:hAnsi="宋体" w:cs="宋体"/>
                <w:color w:val="000000" w:themeColor="text1"/>
                <w:kern w:val="0"/>
                <w:sz w:val="15"/>
                <w:szCs w:val="15"/>
                <w:lang w:val="en-US" w:eastAsia="zh-CN"/>
                <w14:textFill>
                  <w14:solidFill>
                    <w14:schemeClr w14:val="tx1"/>
                  </w14:solidFill>
                </w14:textFill>
              </w:rPr>
              <w:t>91330203MA2GTYXA8C</w:t>
            </w:r>
          </w:p>
        </w:tc>
        <w:tc>
          <w:tcPr>
            <w:tcW w:w="537"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color w:val="000000" w:themeColor="text1"/>
                <w:kern w:val="0"/>
                <w:sz w:val="15"/>
                <w:szCs w:val="15"/>
                <w14:textFill>
                  <w14:solidFill>
                    <w14:schemeClr w14:val="tx1"/>
                  </w14:solidFill>
                </w14:textFill>
              </w:rPr>
            </w:pPr>
            <w:r>
              <w:rPr>
                <w:rFonts w:hint="eastAsia" w:ascii="宋体" w:hAnsi="宋体" w:cs="宋体"/>
                <w:b/>
                <w:bCs/>
                <w:color w:val="000000" w:themeColor="text1"/>
                <w:kern w:val="0"/>
                <w:sz w:val="15"/>
                <w:szCs w:val="15"/>
                <w14:textFill>
                  <w14:solidFill>
                    <w14:schemeClr w14:val="tx1"/>
                  </w14:solidFill>
                </w14:textFill>
              </w:rPr>
              <w:t>验收时间</w:t>
            </w:r>
          </w:p>
        </w:tc>
        <w:tc>
          <w:tcPr>
            <w:tcW w:w="760" w:type="pct"/>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rPr>
              <w:t>202</w:t>
            </w:r>
            <w:r>
              <w:rPr>
                <w:rFonts w:hint="eastAsia" w:ascii="宋体" w:hAnsi="宋体" w:cs="宋体"/>
                <w:kern w:val="0"/>
                <w:sz w:val="15"/>
                <w:szCs w:val="15"/>
                <w:lang w:val="en-US" w:eastAsia="zh-CN"/>
              </w:rPr>
              <w:t>2</w:t>
            </w:r>
            <w:r>
              <w:rPr>
                <w:rFonts w:hint="eastAsia" w:ascii="宋体" w:hAnsi="宋体" w:cs="宋体"/>
                <w:kern w:val="0"/>
                <w:sz w:val="15"/>
                <w:szCs w:val="15"/>
              </w:rPr>
              <w:t>年</w:t>
            </w:r>
            <w:r>
              <w:rPr>
                <w:rFonts w:hint="eastAsia" w:ascii="宋体" w:hAnsi="宋体" w:cs="宋体"/>
                <w:kern w:val="0"/>
                <w:sz w:val="15"/>
                <w:szCs w:val="15"/>
                <w:lang w:val="en-US" w:eastAsia="zh-CN"/>
              </w:rPr>
              <w:t>2</w:t>
            </w:r>
            <w:r>
              <w:rPr>
                <w:rFonts w:hint="eastAsia" w:ascii="宋体" w:hAnsi="宋体" w:cs="宋体"/>
                <w:kern w:val="0"/>
                <w:sz w:val="15"/>
                <w:szCs w:val="15"/>
              </w:rPr>
              <w:t>月</w:t>
            </w:r>
          </w:p>
        </w:tc>
      </w:tr>
      <w:tr>
        <w:tblPrEx>
          <w:tblCellMar>
            <w:top w:w="0" w:type="dxa"/>
            <w:left w:w="108" w:type="dxa"/>
            <w:bottom w:w="0" w:type="dxa"/>
            <w:right w:w="108" w:type="dxa"/>
          </w:tblCellMar>
        </w:tblPrEx>
        <w:trPr>
          <w:trHeight w:val="539" w:hRule="atLeast"/>
        </w:trPr>
        <w:tc>
          <w:tcPr>
            <w:tcW w:w="229" w:type="pct"/>
            <w:gridSpan w:val="2"/>
            <w:vMerge w:val="restart"/>
            <w:tcBorders>
              <w:top w:val="single" w:color="auto" w:sz="4" w:space="0"/>
              <w:left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污染物排放达标与总量控制（工业建设项目详填）</w:t>
            </w:r>
          </w:p>
        </w:tc>
        <w:tc>
          <w:tcPr>
            <w:tcW w:w="693"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污染物</w:t>
            </w:r>
          </w:p>
        </w:tc>
        <w:tc>
          <w:tcPr>
            <w:tcW w:w="279" w:type="pct"/>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原有排放量（1）</w:t>
            </w:r>
          </w:p>
        </w:tc>
        <w:tc>
          <w:tcPr>
            <w:tcW w:w="361"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本期工程实际排放浓度（2）</w:t>
            </w:r>
          </w:p>
        </w:tc>
        <w:tc>
          <w:tcPr>
            <w:tcW w:w="354" w:type="pct"/>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本期工程允许排放浓度（3）</w:t>
            </w:r>
          </w:p>
        </w:tc>
        <w:tc>
          <w:tcPr>
            <w:tcW w:w="401" w:type="pct"/>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本期工程产生量（4）</w:t>
            </w:r>
          </w:p>
        </w:tc>
        <w:tc>
          <w:tcPr>
            <w:tcW w:w="298"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本期工程自身削减量（5）</w:t>
            </w:r>
          </w:p>
        </w:tc>
        <w:tc>
          <w:tcPr>
            <w:tcW w:w="37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本期工程实际排放量（6）</w:t>
            </w:r>
          </w:p>
        </w:tc>
        <w:tc>
          <w:tcPr>
            <w:tcW w:w="357"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highlight w:val="yellow"/>
              </w:rPr>
            </w:pPr>
            <w:r>
              <w:rPr>
                <w:rFonts w:hint="eastAsia" w:ascii="宋体" w:hAnsi="宋体" w:cs="宋体"/>
                <w:b/>
                <w:bCs/>
                <w:kern w:val="0"/>
                <w:sz w:val="15"/>
                <w:szCs w:val="15"/>
              </w:rPr>
              <w:t>本期工程核定排放总量（7）</w:t>
            </w:r>
          </w:p>
        </w:tc>
        <w:tc>
          <w:tcPr>
            <w:tcW w:w="358"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highlight w:val="yellow"/>
              </w:rPr>
            </w:pPr>
            <w:r>
              <w:rPr>
                <w:rFonts w:hint="eastAsia" w:ascii="宋体" w:hAnsi="宋体" w:cs="宋体"/>
                <w:b/>
                <w:bCs/>
                <w:kern w:val="0"/>
                <w:sz w:val="15"/>
                <w:szCs w:val="15"/>
              </w:rPr>
              <w:t>本期工程”以新带老”削减量（8）</w:t>
            </w:r>
          </w:p>
        </w:tc>
        <w:tc>
          <w:tcPr>
            <w:tcW w:w="344"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全厂实际排放总量（9）</w:t>
            </w:r>
          </w:p>
        </w:tc>
        <w:tc>
          <w:tcPr>
            <w:tcW w:w="356"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 xml:space="preserve">全厂核定排放总量（10） </w:t>
            </w:r>
          </w:p>
        </w:tc>
        <w:tc>
          <w:tcPr>
            <w:tcW w:w="313" w:type="pct"/>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区域平衡替代削减量（11）</w:t>
            </w:r>
          </w:p>
        </w:tc>
        <w:tc>
          <w:tcPr>
            <w:tcW w:w="284" w:type="pct"/>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排放增减量（12）</w:t>
            </w:r>
          </w:p>
        </w:tc>
      </w:tr>
      <w:tr>
        <w:tblPrEx>
          <w:tblCellMar>
            <w:top w:w="0" w:type="dxa"/>
            <w:left w:w="108" w:type="dxa"/>
            <w:bottom w:w="0" w:type="dxa"/>
            <w:right w:w="108" w:type="dxa"/>
          </w:tblCellMar>
        </w:tblPrEx>
        <w:trPr>
          <w:trHeight w:val="300" w:hRule="atLeast"/>
        </w:trPr>
        <w:tc>
          <w:tcPr>
            <w:tcW w:w="229" w:type="pct"/>
            <w:gridSpan w:val="2"/>
            <w:vMerge w:val="continue"/>
            <w:tcBorders>
              <w:left w:val="single" w:color="auto" w:sz="4" w:space="0"/>
              <w:right w:val="single" w:color="000000" w:sz="4" w:space="0"/>
            </w:tcBorders>
            <w:vAlign w:val="center"/>
          </w:tcPr>
          <w:p>
            <w:pPr>
              <w:widowControl/>
              <w:jc w:val="left"/>
              <w:rPr>
                <w:rFonts w:ascii="宋体" w:hAnsi="宋体" w:cs="宋体"/>
                <w:b/>
                <w:bCs/>
                <w:kern w:val="0"/>
                <w:sz w:val="15"/>
                <w:szCs w:val="15"/>
              </w:rPr>
            </w:pPr>
          </w:p>
        </w:tc>
        <w:tc>
          <w:tcPr>
            <w:tcW w:w="693"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废水 万吨每年</w:t>
            </w:r>
          </w:p>
        </w:tc>
        <w:tc>
          <w:tcPr>
            <w:tcW w:w="27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40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0.0255</w:t>
            </w:r>
          </w:p>
        </w:tc>
        <w:tc>
          <w:tcPr>
            <w:tcW w:w="84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lang w:eastAsia="zh-CN"/>
              </w:rPr>
              <w:t>/</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themeColor="text1"/>
                <w:kern w:val="0"/>
                <w:sz w:val="15"/>
                <w:szCs w:val="15"/>
                <w:lang w:val="en-US" w:eastAsia="zh-CN"/>
                <w14:textFill>
                  <w14:solidFill>
                    <w14:schemeClr w14:val="tx1"/>
                  </w14:solidFill>
                </w14:textFill>
              </w:rPr>
            </w:pPr>
            <w:r>
              <w:rPr>
                <w:rFonts w:hint="eastAsia" w:ascii="宋体" w:hAnsi="宋体" w:cs="宋体"/>
                <w:kern w:val="0"/>
                <w:sz w:val="15"/>
                <w:szCs w:val="15"/>
                <w:lang w:val="en-US" w:eastAsia="zh-CN"/>
              </w:rPr>
              <w:t>0.0255</w:t>
            </w:r>
          </w:p>
        </w:tc>
        <w:tc>
          <w:tcPr>
            <w:tcW w:w="1015" w:type="dxa"/>
            <w:tcBorders>
              <w:top w:val="single" w:color="auto" w:sz="4" w:space="0"/>
              <w:bottom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p>
        </w:tc>
        <w:tc>
          <w:tcPr>
            <w:tcW w:w="10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highlight w:val="yellow"/>
              </w:rPr>
            </w:pPr>
            <w:r>
              <w:rPr>
                <w:rFonts w:hint="eastAsia" w:ascii="宋体" w:hAnsi="宋体" w:cs="宋体"/>
                <w:kern w:val="0"/>
                <w:sz w:val="15"/>
                <w:szCs w:val="15"/>
                <w:lang w:eastAsia="zh-CN"/>
              </w:rPr>
              <w:t>/</w:t>
            </w:r>
          </w:p>
        </w:tc>
        <w:tc>
          <w:tcPr>
            <w:tcW w:w="9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lang w:val="en-US" w:eastAsia="zh-CN"/>
              </w:rPr>
              <w:t>0.0255</w:t>
            </w:r>
          </w:p>
        </w:tc>
        <w:tc>
          <w:tcPr>
            <w:tcW w:w="356"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8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5"/>
                <w:szCs w:val="15"/>
                <w:lang w:eastAsia="zh-CN"/>
              </w:rPr>
            </w:pPr>
            <w:r>
              <w:rPr>
                <w:rFonts w:hint="eastAsia" w:ascii="宋体" w:hAnsi="宋体" w:cs="宋体"/>
                <w:kern w:val="0"/>
                <w:sz w:val="15"/>
                <w:szCs w:val="15"/>
                <w:lang w:eastAsia="zh-CN"/>
              </w:rPr>
              <w:t>/</w:t>
            </w:r>
          </w:p>
        </w:tc>
      </w:tr>
      <w:tr>
        <w:tblPrEx>
          <w:tblCellMar>
            <w:top w:w="0" w:type="dxa"/>
            <w:left w:w="108" w:type="dxa"/>
            <w:bottom w:w="0" w:type="dxa"/>
            <w:right w:w="108" w:type="dxa"/>
          </w:tblCellMar>
        </w:tblPrEx>
        <w:trPr>
          <w:trHeight w:val="297" w:hRule="atLeast"/>
        </w:trPr>
        <w:tc>
          <w:tcPr>
            <w:tcW w:w="229" w:type="pct"/>
            <w:gridSpan w:val="2"/>
            <w:vMerge w:val="continue"/>
            <w:tcBorders>
              <w:left w:val="single" w:color="auto" w:sz="4" w:space="0"/>
              <w:right w:val="single" w:color="000000" w:sz="4" w:space="0"/>
            </w:tcBorders>
            <w:vAlign w:val="center"/>
          </w:tcPr>
          <w:p>
            <w:pPr>
              <w:widowControl/>
              <w:jc w:val="left"/>
              <w:rPr>
                <w:rFonts w:ascii="宋体" w:hAnsi="宋体" w:cs="宋体"/>
                <w:b/>
                <w:bCs/>
                <w:kern w:val="0"/>
                <w:sz w:val="15"/>
                <w:szCs w:val="15"/>
              </w:rPr>
            </w:pPr>
          </w:p>
        </w:tc>
        <w:tc>
          <w:tcPr>
            <w:tcW w:w="693"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ascii="宋体" w:hAnsi="宋体" w:cs="宋体"/>
                <w:b/>
                <w:bCs/>
                <w:kern w:val="0"/>
                <w:sz w:val="15"/>
                <w:szCs w:val="15"/>
              </w:rPr>
              <w:t>COD</w:t>
            </w:r>
            <w:r>
              <w:rPr>
                <w:rFonts w:hint="eastAsia" w:ascii="宋体" w:hAnsi="宋体" w:cs="宋体"/>
                <w:b/>
                <w:bCs/>
                <w:kern w:val="0"/>
                <w:sz w:val="15"/>
                <w:szCs w:val="15"/>
              </w:rPr>
              <w:t xml:space="preserve"> （t/a）</w:t>
            </w:r>
          </w:p>
        </w:tc>
        <w:tc>
          <w:tcPr>
            <w:tcW w:w="27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0.127</w:t>
            </w:r>
          </w:p>
        </w:tc>
        <w:tc>
          <w:tcPr>
            <w:tcW w:w="40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0.01</w:t>
            </w:r>
          </w:p>
        </w:tc>
        <w:tc>
          <w:tcPr>
            <w:tcW w:w="84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themeColor="text1"/>
                <w:kern w:val="0"/>
                <w:sz w:val="15"/>
                <w:szCs w:val="15"/>
                <w:lang w:val="en-US" w:eastAsia="zh-CN"/>
                <w14:textFill>
                  <w14:solidFill>
                    <w14:schemeClr w14:val="tx1"/>
                  </w14:solidFill>
                </w14:textFill>
              </w:rPr>
            </w:pPr>
            <w:r>
              <w:rPr>
                <w:rFonts w:hint="eastAsia" w:ascii="宋体" w:hAnsi="宋体" w:cs="宋体"/>
                <w:kern w:val="0"/>
                <w:sz w:val="15"/>
                <w:szCs w:val="15"/>
                <w:lang w:val="en-US" w:eastAsia="zh-CN"/>
              </w:rPr>
              <w:t>0.01</w:t>
            </w:r>
          </w:p>
        </w:tc>
        <w:tc>
          <w:tcPr>
            <w:tcW w:w="1015" w:type="dxa"/>
            <w:tcBorders>
              <w:top w:val="single" w:color="auto" w:sz="4" w:space="0"/>
              <w:bottom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p>
        </w:tc>
        <w:tc>
          <w:tcPr>
            <w:tcW w:w="10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highlight w:val="yellow"/>
              </w:rPr>
            </w:pPr>
            <w:r>
              <w:rPr>
                <w:rFonts w:hint="eastAsia" w:ascii="宋体" w:hAnsi="宋体" w:cs="宋体"/>
                <w:kern w:val="0"/>
                <w:sz w:val="15"/>
                <w:szCs w:val="15"/>
                <w:lang w:val="en-US" w:eastAsia="zh-CN"/>
              </w:rPr>
              <w:t>/</w:t>
            </w:r>
          </w:p>
        </w:tc>
        <w:tc>
          <w:tcPr>
            <w:tcW w:w="9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lang w:val="en-US" w:eastAsia="zh-CN"/>
              </w:rPr>
              <w:t>0.01</w:t>
            </w:r>
          </w:p>
        </w:tc>
        <w:tc>
          <w:tcPr>
            <w:tcW w:w="356"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80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w:t>
            </w:r>
          </w:p>
        </w:tc>
      </w:tr>
      <w:tr>
        <w:tblPrEx>
          <w:tblCellMar>
            <w:top w:w="0" w:type="dxa"/>
            <w:left w:w="108" w:type="dxa"/>
            <w:bottom w:w="0" w:type="dxa"/>
            <w:right w:w="108" w:type="dxa"/>
          </w:tblCellMar>
        </w:tblPrEx>
        <w:trPr>
          <w:trHeight w:val="317" w:hRule="atLeast"/>
        </w:trPr>
        <w:tc>
          <w:tcPr>
            <w:tcW w:w="229" w:type="pct"/>
            <w:gridSpan w:val="2"/>
            <w:vMerge w:val="continue"/>
            <w:tcBorders>
              <w:left w:val="single" w:color="auto" w:sz="4" w:space="0"/>
              <w:right w:val="single" w:color="000000" w:sz="4" w:space="0"/>
            </w:tcBorders>
            <w:vAlign w:val="center"/>
          </w:tcPr>
          <w:p>
            <w:pPr>
              <w:widowControl/>
              <w:jc w:val="left"/>
              <w:rPr>
                <w:rFonts w:ascii="宋体" w:hAnsi="宋体" w:cs="宋体"/>
                <w:b/>
                <w:bCs/>
                <w:kern w:val="0"/>
                <w:sz w:val="15"/>
                <w:szCs w:val="15"/>
              </w:rPr>
            </w:pPr>
          </w:p>
        </w:tc>
        <w:tc>
          <w:tcPr>
            <w:tcW w:w="693"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氨氮 （t/a）</w:t>
            </w:r>
          </w:p>
        </w:tc>
        <w:tc>
          <w:tcPr>
            <w:tcW w:w="27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0.011</w:t>
            </w:r>
          </w:p>
        </w:tc>
        <w:tc>
          <w:tcPr>
            <w:tcW w:w="40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0.005</w:t>
            </w:r>
          </w:p>
        </w:tc>
        <w:tc>
          <w:tcPr>
            <w:tcW w:w="84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themeColor="text1"/>
                <w:kern w:val="0"/>
                <w:sz w:val="15"/>
                <w:szCs w:val="15"/>
                <w:lang w:val="en-US" w:eastAsia="zh-CN"/>
                <w14:textFill>
                  <w14:solidFill>
                    <w14:schemeClr w14:val="tx1"/>
                  </w14:solidFill>
                </w14:textFill>
              </w:rPr>
            </w:pPr>
            <w:r>
              <w:rPr>
                <w:rFonts w:hint="eastAsia" w:ascii="宋体" w:hAnsi="宋体" w:cs="宋体"/>
                <w:kern w:val="0"/>
                <w:sz w:val="15"/>
                <w:szCs w:val="15"/>
                <w:lang w:val="en-US" w:eastAsia="zh-CN"/>
              </w:rPr>
              <w:t>0.005</w:t>
            </w:r>
          </w:p>
        </w:tc>
        <w:tc>
          <w:tcPr>
            <w:tcW w:w="1015" w:type="dxa"/>
            <w:tcBorders>
              <w:top w:val="single" w:color="auto" w:sz="4" w:space="0"/>
              <w:bottom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p>
        </w:tc>
        <w:tc>
          <w:tcPr>
            <w:tcW w:w="10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highlight w:val="yellow"/>
              </w:rPr>
            </w:pPr>
            <w:r>
              <w:rPr>
                <w:rFonts w:hint="eastAsia" w:ascii="宋体" w:hAnsi="宋体" w:cs="宋体"/>
                <w:kern w:val="0"/>
                <w:sz w:val="15"/>
                <w:szCs w:val="15"/>
                <w:lang w:val="en-US" w:eastAsia="zh-CN"/>
              </w:rPr>
              <w:t>/</w:t>
            </w:r>
          </w:p>
        </w:tc>
        <w:tc>
          <w:tcPr>
            <w:tcW w:w="9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lang w:val="en-US" w:eastAsia="zh-CN"/>
              </w:rPr>
              <w:t>0.005</w:t>
            </w:r>
          </w:p>
        </w:tc>
        <w:tc>
          <w:tcPr>
            <w:tcW w:w="356"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808" w:type="dxa"/>
            <w:gridSpan w:val="2"/>
            <w:tcBorders>
              <w:top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w:t>
            </w:r>
          </w:p>
        </w:tc>
      </w:tr>
      <w:tr>
        <w:tblPrEx>
          <w:tblCellMar>
            <w:top w:w="0" w:type="dxa"/>
            <w:left w:w="108" w:type="dxa"/>
            <w:bottom w:w="0" w:type="dxa"/>
            <w:right w:w="108" w:type="dxa"/>
          </w:tblCellMar>
        </w:tblPrEx>
        <w:trPr>
          <w:trHeight w:val="249" w:hRule="atLeast"/>
        </w:trPr>
        <w:tc>
          <w:tcPr>
            <w:tcW w:w="229" w:type="pct"/>
            <w:gridSpan w:val="2"/>
            <w:vMerge w:val="continue"/>
            <w:tcBorders>
              <w:left w:val="single" w:color="auto" w:sz="4" w:space="0"/>
              <w:right w:val="single" w:color="000000" w:sz="4" w:space="0"/>
            </w:tcBorders>
            <w:vAlign w:val="center"/>
          </w:tcPr>
          <w:p>
            <w:pPr>
              <w:widowControl/>
              <w:jc w:val="left"/>
              <w:rPr>
                <w:rFonts w:ascii="宋体" w:hAnsi="宋体" w:cs="宋体"/>
                <w:b/>
                <w:bCs/>
                <w:kern w:val="0"/>
                <w:sz w:val="15"/>
                <w:szCs w:val="15"/>
              </w:rPr>
            </w:pPr>
          </w:p>
        </w:tc>
        <w:tc>
          <w:tcPr>
            <w:tcW w:w="693"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二氧化硫 （</w:t>
            </w:r>
            <w:r>
              <w:rPr>
                <w:rFonts w:ascii="宋体" w:hAnsi="宋体" w:cs="宋体"/>
                <w:b/>
                <w:bCs/>
                <w:kern w:val="0"/>
                <w:sz w:val="15"/>
                <w:szCs w:val="15"/>
              </w:rPr>
              <w:t>t</w:t>
            </w:r>
            <w:r>
              <w:rPr>
                <w:rFonts w:hint="eastAsia" w:ascii="宋体" w:hAnsi="宋体" w:cs="宋体"/>
                <w:b/>
                <w:bCs/>
                <w:kern w:val="0"/>
                <w:sz w:val="15"/>
                <w:szCs w:val="15"/>
              </w:rPr>
              <w:t>/a）</w:t>
            </w:r>
          </w:p>
        </w:tc>
        <w:tc>
          <w:tcPr>
            <w:tcW w:w="279" w:type="pct"/>
            <w:gridSpan w:val="2"/>
            <w:tcBorders>
              <w:top w:val="nil"/>
              <w:left w:val="nil"/>
              <w:bottom w:val="nil"/>
              <w:right w:val="single" w:color="auto" w:sz="4" w:space="0"/>
            </w:tcBorders>
            <w:shd w:val="clear" w:color="auto" w:fill="auto"/>
            <w:vAlign w:val="center"/>
          </w:tcPr>
          <w:p>
            <w:pPr>
              <w:widowControl/>
              <w:jc w:val="left"/>
              <w:rPr>
                <w:rFonts w:ascii="宋体" w:hAnsi="宋体" w:cs="宋体"/>
                <w:kern w:val="0"/>
                <w:sz w:val="15"/>
                <w:szCs w:val="15"/>
              </w:rPr>
            </w:pPr>
          </w:p>
        </w:tc>
        <w:tc>
          <w:tcPr>
            <w:tcW w:w="361" w:type="pct"/>
            <w:tcBorders>
              <w:top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40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84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p>
        </w:tc>
        <w:tc>
          <w:tcPr>
            <w:tcW w:w="3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p>
        </w:tc>
        <w:tc>
          <w:tcPr>
            <w:tcW w:w="10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highlight w:val="yellow"/>
              </w:rPr>
            </w:pPr>
          </w:p>
        </w:tc>
        <w:tc>
          <w:tcPr>
            <w:tcW w:w="9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5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8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249" w:hRule="atLeast"/>
        </w:trPr>
        <w:tc>
          <w:tcPr>
            <w:tcW w:w="229" w:type="pct"/>
            <w:gridSpan w:val="2"/>
            <w:vMerge w:val="continue"/>
            <w:tcBorders>
              <w:left w:val="single" w:color="auto" w:sz="4" w:space="0"/>
              <w:right w:val="single" w:color="000000" w:sz="4" w:space="0"/>
            </w:tcBorders>
            <w:vAlign w:val="center"/>
          </w:tcPr>
          <w:p>
            <w:pPr>
              <w:widowControl/>
              <w:jc w:val="left"/>
              <w:rPr>
                <w:rFonts w:ascii="宋体" w:hAnsi="宋体" w:cs="宋体"/>
                <w:b/>
                <w:bCs/>
                <w:kern w:val="0"/>
                <w:sz w:val="15"/>
                <w:szCs w:val="15"/>
              </w:rPr>
            </w:pPr>
          </w:p>
        </w:tc>
        <w:tc>
          <w:tcPr>
            <w:tcW w:w="693"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ascii="宋体" w:hAnsi="宋体" w:cs="宋体"/>
                <w:b/>
                <w:bCs/>
                <w:kern w:val="0"/>
                <w:sz w:val="15"/>
                <w:szCs w:val="15"/>
              </w:rPr>
              <w:t>颗粒物</w:t>
            </w:r>
            <w:r>
              <w:rPr>
                <w:rFonts w:hint="eastAsia" w:ascii="宋体" w:hAnsi="宋体" w:cs="宋体"/>
                <w:b/>
                <w:bCs/>
                <w:kern w:val="0"/>
                <w:sz w:val="15"/>
                <w:szCs w:val="15"/>
              </w:rPr>
              <w:t>（</w:t>
            </w:r>
            <w:r>
              <w:rPr>
                <w:rFonts w:ascii="宋体" w:hAnsi="宋体" w:cs="宋体"/>
                <w:b/>
                <w:bCs/>
                <w:kern w:val="0"/>
                <w:sz w:val="15"/>
                <w:szCs w:val="15"/>
              </w:rPr>
              <w:t>t</w:t>
            </w:r>
            <w:r>
              <w:rPr>
                <w:rFonts w:hint="eastAsia" w:ascii="宋体" w:hAnsi="宋体" w:cs="宋体"/>
                <w:b/>
                <w:bCs/>
                <w:kern w:val="0"/>
                <w:sz w:val="15"/>
                <w:szCs w:val="15"/>
              </w:rPr>
              <w:t>/a）</w:t>
            </w:r>
          </w:p>
        </w:tc>
        <w:tc>
          <w:tcPr>
            <w:tcW w:w="27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61" w:type="pct"/>
            <w:tcBorders>
              <w:top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40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kern w:val="0"/>
                <w:sz w:val="15"/>
                <w:szCs w:val="15"/>
                <w:lang w:val="en-US" w:eastAsia="zh-CN"/>
              </w:rPr>
            </w:pPr>
            <w:r>
              <w:rPr>
                <w:rFonts w:hint="eastAsia" w:ascii="宋体" w:hAnsi="宋体" w:cs="宋体"/>
                <w:kern w:val="0"/>
                <w:sz w:val="15"/>
                <w:szCs w:val="15"/>
                <w:lang w:val="en-US" w:eastAsia="zh-CN"/>
              </w:rPr>
              <w:t>2.329</w:t>
            </w:r>
          </w:p>
        </w:tc>
        <w:tc>
          <w:tcPr>
            <w:tcW w:w="84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lang w:val="en-US" w:eastAsia="zh-CN"/>
              </w:rPr>
              <w:t>/</w:t>
            </w:r>
          </w:p>
        </w:tc>
        <w:tc>
          <w:tcPr>
            <w:tcW w:w="1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r>
              <w:rPr>
                <w:rFonts w:hint="eastAsia" w:ascii="宋体" w:hAnsi="宋体" w:cs="宋体"/>
                <w:kern w:val="0"/>
                <w:sz w:val="15"/>
                <w:szCs w:val="15"/>
                <w:lang w:val="en-US" w:eastAsia="zh-CN"/>
              </w:rPr>
              <w:t>2.329</w:t>
            </w:r>
          </w:p>
        </w:tc>
        <w:tc>
          <w:tcPr>
            <w:tcW w:w="3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p>
        </w:tc>
        <w:tc>
          <w:tcPr>
            <w:tcW w:w="10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highlight w:val="yellow"/>
              </w:rPr>
            </w:pPr>
            <w:r>
              <w:rPr>
                <w:rFonts w:hint="eastAsia" w:ascii="宋体" w:hAnsi="宋体" w:cs="宋体"/>
                <w:kern w:val="0"/>
                <w:sz w:val="15"/>
                <w:szCs w:val="15"/>
                <w:lang w:val="en-US" w:eastAsia="zh-CN"/>
              </w:rPr>
              <w:t>/</w:t>
            </w:r>
          </w:p>
        </w:tc>
        <w:tc>
          <w:tcPr>
            <w:tcW w:w="9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r>
              <w:rPr>
                <w:rFonts w:hint="eastAsia" w:ascii="宋体" w:hAnsi="宋体" w:cs="宋体"/>
                <w:kern w:val="0"/>
                <w:sz w:val="15"/>
                <w:szCs w:val="15"/>
                <w:lang w:val="en-US" w:eastAsia="zh-CN"/>
              </w:rPr>
              <w:t>2.329</w:t>
            </w:r>
          </w:p>
        </w:tc>
        <w:tc>
          <w:tcPr>
            <w:tcW w:w="35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8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15"/>
                <w:szCs w:val="15"/>
                <w:lang w:val="en-US" w:eastAsia="zh-CN"/>
              </w:rPr>
            </w:pPr>
            <w:r>
              <w:rPr>
                <w:rFonts w:hint="eastAsia" w:ascii="宋体" w:hAnsi="宋体" w:cs="宋体"/>
                <w:kern w:val="0"/>
                <w:sz w:val="15"/>
                <w:szCs w:val="15"/>
                <w:lang w:val="en-US" w:eastAsia="zh-CN"/>
              </w:rPr>
              <w:t>/</w:t>
            </w:r>
          </w:p>
        </w:tc>
      </w:tr>
      <w:tr>
        <w:tblPrEx>
          <w:tblCellMar>
            <w:top w:w="0" w:type="dxa"/>
            <w:left w:w="108" w:type="dxa"/>
            <w:bottom w:w="0" w:type="dxa"/>
            <w:right w:w="108" w:type="dxa"/>
          </w:tblCellMar>
        </w:tblPrEx>
        <w:trPr>
          <w:trHeight w:val="295" w:hRule="atLeast"/>
        </w:trPr>
        <w:tc>
          <w:tcPr>
            <w:tcW w:w="229" w:type="pct"/>
            <w:gridSpan w:val="2"/>
            <w:vMerge w:val="continue"/>
            <w:tcBorders>
              <w:left w:val="single" w:color="auto" w:sz="4" w:space="0"/>
              <w:right w:val="single" w:color="000000" w:sz="4" w:space="0"/>
            </w:tcBorders>
            <w:vAlign w:val="center"/>
          </w:tcPr>
          <w:p>
            <w:pPr>
              <w:widowControl/>
              <w:jc w:val="left"/>
              <w:rPr>
                <w:rFonts w:ascii="宋体" w:hAnsi="宋体" w:cs="宋体"/>
                <w:b/>
                <w:bCs/>
                <w:kern w:val="0"/>
                <w:sz w:val="15"/>
                <w:szCs w:val="15"/>
              </w:rPr>
            </w:pPr>
          </w:p>
        </w:tc>
        <w:tc>
          <w:tcPr>
            <w:tcW w:w="693"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氮氧化物 （</w:t>
            </w:r>
            <w:r>
              <w:rPr>
                <w:rFonts w:ascii="宋体" w:hAnsi="宋体" w:cs="宋体"/>
                <w:b/>
                <w:bCs/>
                <w:kern w:val="0"/>
                <w:sz w:val="15"/>
                <w:szCs w:val="15"/>
              </w:rPr>
              <w:t>t</w:t>
            </w:r>
            <w:r>
              <w:rPr>
                <w:rFonts w:hint="eastAsia" w:ascii="宋体" w:hAnsi="宋体" w:cs="宋体"/>
                <w:b/>
                <w:bCs/>
                <w:kern w:val="0"/>
                <w:sz w:val="15"/>
                <w:szCs w:val="15"/>
              </w:rPr>
              <w:t>/a）</w:t>
            </w:r>
          </w:p>
        </w:tc>
        <w:tc>
          <w:tcPr>
            <w:tcW w:w="279" w:type="pct"/>
            <w:gridSpan w:val="2"/>
            <w:tcBorders>
              <w:top w:val="nil"/>
              <w:left w:val="nil"/>
              <w:bottom w:val="nil"/>
              <w:right w:val="single" w:color="auto" w:sz="4" w:space="0"/>
            </w:tcBorders>
            <w:shd w:val="clear" w:color="auto" w:fill="auto"/>
            <w:vAlign w:val="center"/>
          </w:tcPr>
          <w:p>
            <w:pPr>
              <w:widowControl/>
              <w:jc w:val="left"/>
              <w:rPr>
                <w:rFonts w:ascii="宋体" w:hAnsi="宋体" w:cs="宋体"/>
                <w:kern w:val="0"/>
                <w:sz w:val="15"/>
                <w:szCs w:val="15"/>
              </w:rPr>
            </w:pPr>
          </w:p>
        </w:tc>
        <w:tc>
          <w:tcPr>
            <w:tcW w:w="361"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40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9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p>
        </w:tc>
        <w:tc>
          <w:tcPr>
            <w:tcW w:w="3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highlight w:val="yellow"/>
              </w:rPr>
            </w:pP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5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8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249" w:hRule="atLeast"/>
        </w:trPr>
        <w:tc>
          <w:tcPr>
            <w:tcW w:w="229" w:type="pct"/>
            <w:gridSpan w:val="2"/>
            <w:vMerge w:val="continue"/>
            <w:tcBorders>
              <w:left w:val="single" w:color="auto" w:sz="4" w:space="0"/>
              <w:right w:val="single" w:color="000000" w:sz="4" w:space="0"/>
            </w:tcBorders>
            <w:vAlign w:val="center"/>
          </w:tcPr>
          <w:p>
            <w:pPr>
              <w:widowControl/>
              <w:jc w:val="left"/>
              <w:rPr>
                <w:rFonts w:ascii="宋体" w:hAnsi="宋体" w:cs="宋体"/>
                <w:b/>
                <w:bCs/>
                <w:kern w:val="0"/>
                <w:sz w:val="15"/>
                <w:szCs w:val="15"/>
              </w:rPr>
            </w:pPr>
          </w:p>
        </w:tc>
        <w:tc>
          <w:tcPr>
            <w:tcW w:w="693"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 xml:space="preserve">工业固体废物 </w:t>
            </w:r>
          </w:p>
        </w:tc>
        <w:tc>
          <w:tcPr>
            <w:tcW w:w="279" w:type="pct"/>
            <w:gridSpan w:val="2"/>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61"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54"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401"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98"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15"/>
                <w:szCs w:val="15"/>
              </w:rPr>
            </w:pPr>
          </w:p>
        </w:tc>
        <w:tc>
          <w:tcPr>
            <w:tcW w:w="37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p>
        </w:tc>
        <w:tc>
          <w:tcPr>
            <w:tcW w:w="35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p>
        </w:tc>
        <w:tc>
          <w:tcPr>
            <w:tcW w:w="35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highlight w:val="yellow"/>
              </w:rPr>
            </w:pPr>
          </w:p>
        </w:tc>
        <w:tc>
          <w:tcPr>
            <w:tcW w:w="34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56" w:type="pct"/>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kern w:val="0"/>
                <w:sz w:val="15"/>
                <w:szCs w:val="15"/>
              </w:rPr>
            </w:pPr>
          </w:p>
        </w:tc>
        <w:tc>
          <w:tcPr>
            <w:tcW w:w="31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84"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1094" w:hRule="atLeast"/>
        </w:trPr>
        <w:tc>
          <w:tcPr>
            <w:tcW w:w="229" w:type="pct"/>
            <w:gridSpan w:val="2"/>
            <w:vMerge w:val="continue"/>
            <w:tcBorders>
              <w:left w:val="single" w:color="auto" w:sz="4" w:space="0"/>
              <w:right w:val="single" w:color="000000" w:sz="4" w:space="0"/>
            </w:tcBorders>
            <w:vAlign w:val="center"/>
          </w:tcPr>
          <w:p>
            <w:pPr>
              <w:widowControl/>
              <w:jc w:val="left"/>
              <w:rPr>
                <w:rFonts w:ascii="宋体" w:hAnsi="宋体" w:cs="宋体"/>
                <w:b/>
                <w:bCs/>
                <w:kern w:val="0"/>
                <w:sz w:val="15"/>
                <w:szCs w:val="15"/>
              </w:rPr>
            </w:pPr>
          </w:p>
        </w:tc>
        <w:tc>
          <w:tcPr>
            <w:tcW w:w="193" w:type="pct"/>
            <w:tcBorders>
              <w:top w:val="nil"/>
              <w:left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 xml:space="preserve">与项目有关的其他特征污染物 </w:t>
            </w:r>
          </w:p>
        </w:tc>
        <w:tc>
          <w:tcPr>
            <w:tcW w:w="500" w:type="pct"/>
            <w:tcBorders>
              <w:top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kern w:val="0"/>
                <w:sz w:val="15"/>
                <w:szCs w:val="15"/>
              </w:rPr>
            </w:pPr>
            <w:r>
              <w:rPr>
                <w:rFonts w:hint="eastAsia" w:ascii="宋体" w:hAnsi="宋体" w:cs="宋体"/>
                <w:b/>
                <w:bCs/>
                <w:kern w:val="0"/>
                <w:sz w:val="15"/>
                <w:szCs w:val="15"/>
              </w:rPr>
              <w:t>VOC</w:t>
            </w:r>
            <w:r>
              <w:rPr>
                <w:rFonts w:ascii="宋体" w:hAnsi="宋体" w:cs="宋体"/>
                <w:b/>
                <w:bCs/>
                <w:kern w:val="0"/>
                <w:sz w:val="15"/>
                <w:szCs w:val="15"/>
              </w:rPr>
              <w:t>（t/a）</w:t>
            </w:r>
          </w:p>
        </w:tc>
        <w:tc>
          <w:tcPr>
            <w:tcW w:w="27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15"/>
                <w:szCs w:val="15"/>
              </w:rPr>
            </w:pPr>
          </w:p>
        </w:tc>
        <w:tc>
          <w:tcPr>
            <w:tcW w:w="35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40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highlight w:val="yellow"/>
              </w:rPr>
            </w:pPr>
          </w:p>
        </w:tc>
        <w:tc>
          <w:tcPr>
            <w:tcW w:w="29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FF0000"/>
                <w:kern w:val="0"/>
                <w:sz w:val="15"/>
                <w:szCs w:val="15"/>
                <w:highlight w:val="yellow"/>
              </w:rPr>
            </w:pPr>
          </w:p>
        </w:tc>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p>
        </w:tc>
        <w:tc>
          <w:tcPr>
            <w:tcW w:w="3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15"/>
                <w:szCs w:val="15"/>
                <w14:textFill>
                  <w14:solidFill>
                    <w14:schemeClr w14:val="tx1"/>
                  </w14:solidFill>
                </w14:textFill>
              </w:rPr>
            </w:pPr>
          </w:p>
        </w:tc>
        <w:tc>
          <w:tcPr>
            <w:tcW w:w="3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FF0000"/>
                <w:kern w:val="0"/>
                <w:sz w:val="15"/>
                <w:szCs w:val="15"/>
                <w:highlight w:val="yellow"/>
              </w:rPr>
            </w:pP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5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c>
          <w:tcPr>
            <w:tcW w:w="28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5"/>
                <w:szCs w:val="15"/>
              </w:rPr>
            </w:pPr>
          </w:p>
        </w:tc>
      </w:tr>
      <w:tr>
        <w:tblPrEx>
          <w:tblCellMar>
            <w:top w:w="0" w:type="dxa"/>
            <w:left w:w="108" w:type="dxa"/>
            <w:bottom w:w="0" w:type="dxa"/>
            <w:right w:w="108" w:type="dxa"/>
          </w:tblCellMar>
        </w:tblPrEx>
        <w:trPr>
          <w:trHeight w:val="249" w:hRule="atLeast"/>
        </w:trPr>
        <w:tc>
          <w:tcPr>
            <w:tcW w:w="5000" w:type="pct"/>
            <w:gridSpan w:val="22"/>
            <w:tcBorders>
              <w:top w:val="single" w:color="auto" w:sz="4" w:space="0"/>
              <w:left w:val="nil"/>
              <w:bottom w:val="nil"/>
              <w:right w:val="nil"/>
            </w:tcBorders>
            <w:shd w:val="clear" w:color="auto" w:fill="auto"/>
            <w:vAlign w:val="center"/>
          </w:tcPr>
          <w:p>
            <w:pPr>
              <w:widowControl/>
              <w:jc w:val="left"/>
              <w:rPr>
                <w:rFonts w:ascii="宋体" w:hAnsi="宋体" w:cs="宋体"/>
                <w:kern w:val="0"/>
                <w:sz w:val="15"/>
                <w:szCs w:val="15"/>
              </w:rPr>
            </w:pPr>
            <w:r>
              <w:rPr>
                <w:rFonts w:hint="eastAsia" w:ascii="宋体" w:hAnsi="宋体" w:cs="宋体"/>
                <w:b/>
                <w:bCs/>
                <w:kern w:val="0"/>
                <w:sz w:val="15"/>
                <w:szCs w:val="15"/>
              </w:rPr>
              <w:t>注：</w:t>
            </w:r>
            <w:r>
              <w:rPr>
                <w:kern w:val="0"/>
                <w:sz w:val="15"/>
                <w:szCs w:val="15"/>
              </w:rPr>
              <w:t>1</w:t>
            </w:r>
            <w:r>
              <w:rPr>
                <w:rFonts w:hint="eastAsia" w:ascii="宋体" w:hAnsi="宋体" w:cs="宋体"/>
                <w:kern w:val="0"/>
                <w:sz w:val="15"/>
                <w:szCs w:val="15"/>
              </w:rPr>
              <w:t>、排放增减量：</w:t>
            </w:r>
            <w:r>
              <w:rPr>
                <w:kern w:val="0"/>
                <w:sz w:val="15"/>
                <w:szCs w:val="15"/>
              </w:rPr>
              <w:t>(+)</w:t>
            </w:r>
            <w:r>
              <w:rPr>
                <w:rFonts w:hint="eastAsia" w:ascii="宋体" w:hAnsi="宋体" w:cs="宋体"/>
                <w:kern w:val="0"/>
                <w:sz w:val="15"/>
                <w:szCs w:val="15"/>
              </w:rPr>
              <w:t>表示增加，（一）表示减少。</w:t>
            </w:r>
            <w:r>
              <w:rPr>
                <w:kern w:val="0"/>
                <w:sz w:val="15"/>
                <w:szCs w:val="15"/>
              </w:rPr>
              <w:t>2</w:t>
            </w:r>
            <w:r>
              <w:rPr>
                <w:rFonts w:hint="eastAsia" w:ascii="宋体" w:hAnsi="宋体" w:cs="宋体"/>
                <w:kern w:val="0"/>
                <w:sz w:val="15"/>
                <w:szCs w:val="15"/>
              </w:rPr>
              <w:t>、</w:t>
            </w:r>
            <w:r>
              <w:rPr>
                <w:kern w:val="0"/>
                <w:sz w:val="15"/>
                <w:szCs w:val="15"/>
              </w:rPr>
              <w:t>(12)=(6)</w:t>
            </w:r>
            <w:r>
              <w:rPr>
                <w:rFonts w:hint="eastAsia" w:ascii="宋体" w:hAnsi="宋体" w:cs="宋体"/>
                <w:kern w:val="0"/>
                <w:sz w:val="15"/>
                <w:szCs w:val="15"/>
              </w:rPr>
              <w:t>一</w:t>
            </w:r>
            <w:r>
              <w:rPr>
                <w:kern w:val="0"/>
                <w:sz w:val="15"/>
                <w:szCs w:val="15"/>
              </w:rPr>
              <w:t>(8)</w:t>
            </w:r>
            <w:r>
              <w:rPr>
                <w:rFonts w:hint="eastAsia" w:ascii="宋体" w:hAnsi="宋体" w:cs="宋体"/>
                <w:kern w:val="0"/>
                <w:sz w:val="15"/>
                <w:szCs w:val="15"/>
              </w:rPr>
              <w:t>一（儿），</w:t>
            </w:r>
            <w:r>
              <w:rPr>
                <w:kern w:val="0"/>
                <w:sz w:val="15"/>
                <w:szCs w:val="15"/>
              </w:rPr>
              <w:t>(9)=(4)</w:t>
            </w:r>
            <w:r>
              <w:rPr>
                <w:rFonts w:hint="eastAsia" w:ascii="宋体" w:hAnsi="宋体" w:cs="宋体"/>
                <w:kern w:val="0"/>
                <w:sz w:val="15"/>
                <w:szCs w:val="15"/>
              </w:rPr>
              <w:t>一</w:t>
            </w:r>
            <w:r>
              <w:rPr>
                <w:kern w:val="0"/>
                <w:sz w:val="15"/>
                <w:szCs w:val="15"/>
              </w:rPr>
              <w:t>(5)</w:t>
            </w:r>
            <w:r>
              <w:rPr>
                <w:rFonts w:hint="eastAsia" w:ascii="宋体" w:hAnsi="宋体" w:cs="宋体"/>
                <w:kern w:val="0"/>
                <w:sz w:val="15"/>
                <w:szCs w:val="15"/>
              </w:rPr>
              <w:t>一</w:t>
            </w:r>
            <w:r>
              <w:rPr>
                <w:kern w:val="0"/>
                <w:sz w:val="15"/>
                <w:szCs w:val="15"/>
              </w:rPr>
              <w:t>(8)-(11)+(1)</w:t>
            </w:r>
            <w:r>
              <w:rPr>
                <w:rFonts w:hint="eastAsia" w:ascii="宋体" w:hAnsi="宋体" w:cs="宋体"/>
                <w:kern w:val="0"/>
                <w:sz w:val="15"/>
                <w:szCs w:val="15"/>
              </w:rPr>
              <w:t>。</w:t>
            </w:r>
            <w:r>
              <w:rPr>
                <w:kern w:val="0"/>
                <w:sz w:val="15"/>
                <w:szCs w:val="15"/>
              </w:rPr>
              <w:t>3</w:t>
            </w:r>
            <w:r>
              <w:rPr>
                <w:rFonts w:hint="eastAsia" w:ascii="宋体" w:hAnsi="宋体" w:cs="宋体"/>
                <w:kern w:val="0"/>
                <w:sz w:val="15"/>
                <w:szCs w:val="15"/>
              </w:rPr>
              <w:t>、计量单位：废水排放量</w:t>
            </w:r>
            <w:r>
              <w:rPr>
                <w:kern w:val="0"/>
                <w:sz w:val="15"/>
                <w:szCs w:val="15"/>
              </w:rPr>
              <w:t>——</w:t>
            </w:r>
            <w:r>
              <w:rPr>
                <w:rFonts w:hint="eastAsia" w:ascii="宋体" w:hAnsi="宋体" w:cs="宋体"/>
                <w:kern w:val="0"/>
                <w:sz w:val="15"/>
                <w:szCs w:val="15"/>
              </w:rPr>
              <w:t>万吨，年：废气排放量</w:t>
            </w:r>
            <w:r>
              <w:rPr>
                <w:kern w:val="0"/>
                <w:sz w:val="15"/>
                <w:szCs w:val="15"/>
              </w:rPr>
              <w:t>——</w:t>
            </w:r>
            <w:r>
              <w:rPr>
                <w:rFonts w:hint="eastAsia" w:ascii="宋体" w:hAnsi="宋体" w:cs="宋体"/>
                <w:kern w:val="0"/>
                <w:sz w:val="15"/>
                <w:szCs w:val="15"/>
              </w:rPr>
              <w:t>万标立方米／年：工业固体废物排放量</w:t>
            </w:r>
            <w:r>
              <w:rPr>
                <w:kern w:val="0"/>
                <w:sz w:val="15"/>
                <w:szCs w:val="15"/>
              </w:rPr>
              <w:t>——</w:t>
            </w:r>
            <w:r>
              <w:rPr>
                <w:rFonts w:hint="eastAsia" w:ascii="宋体" w:hAnsi="宋体" w:cs="宋体"/>
                <w:kern w:val="0"/>
                <w:sz w:val="15"/>
                <w:szCs w:val="15"/>
              </w:rPr>
              <w:t>万吨／年；水污染物排放浓度——毫克／升</w:t>
            </w:r>
          </w:p>
        </w:tc>
      </w:tr>
    </w:tbl>
    <w:p>
      <w:pPr>
        <w:wordWrap w:val="0"/>
        <w:ind w:right="420"/>
        <w:sectPr>
          <w:pgSz w:w="16839" w:h="11907" w:orient="landscape"/>
          <w:pgMar w:top="1417" w:right="1418" w:bottom="1417" w:left="1418" w:header="1134" w:footer="1134" w:gutter="0"/>
          <w:pgBorders>
            <w:top w:val="none" w:sz="0" w:space="0"/>
            <w:left w:val="none" w:sz="0" w:space="0"/>
            <w:bottom w:val="none" w:sz="0" w:space="0"/>
            <w:right w:val="none" w:sz="0" w:space="0"/>
          </w:pgBorders>
          <w:pgNumType w:fmt="numberInDash"/>
          <w:cols w:space="425" w:num="1"/>
          <w:docGrid w:linePitch="312" w:charSpace="0"/>
        </w:sectPr>
      </w:pPr>
    </w:p>
    <w:p>
      <w:pPr>
        <w:pStyle w:val="5"/>
      </w:pPr>
      <w:bookmarkStart w:id="224" w:name="_Toc17059"/>
      <w:bookmarkStart w:id="225" w:name="_Toc20676"/>
      <w:r>
        <w:rPr>
          <w:rFonts w:hint="eastAsia"/>
        </w:rPr>
        <w:t>附图一  项目地理位置示意图</w:t>
      </w:r>
      <w:bookmarkEnd w:id="224"/>
      <w:bookmarkEnd w:id="225"/>
    </w:p>
    <w:p>
      <w:pPr>
        <w:pStyle w:val="4"/>
        <w:ind w:firstLine="0" w:firstLineChars="0"/>
        <w:jc w:val="center"/>
        <w:rPr>
          <w:rFonts w:hint="eastAsia" w:eastAsiaTheme="majorEastAsia"/>
          <w:lang w:eastAsia="zh-CN"/>
        </w:rPr>
      </w:pPr>
    </w:p>
    <w:p>
      <w:pPr>
        <w:pStyle w:val="4"/>
        <w:ind w:firstLine="0" w:firstLineChars="0"/>
        <w:jc w:val="center"/>
        <w:rPr>
          <w:rFonts w:hint="eastAsia" w:eastAsiaTheme="majorEastAsia"/>
          <w:lang w:eastAsia="zh-CN"/>
        </w:rPr>
        <w:sectPr>
          <w:pgSz w:w="16839" w:h="11907" w:orient="landscape"/>
          <w:pgMar w:top="1417" w:right="1417" w:bottom="1417" w:left="1417" w:header="1134" w:footer="1134" w:gutter="0"/>
          <w:pgBorders>
            <w:top w:val="none" w:sz="0" w:space="0"/>
            <w:left w:val="none" w:sz="0" w:space="0"/>
            <w:bottom w:val="none" w:sz="0" w:space="0"/>
            <w:right w:val="none" w:sz="0" w:space="0"/>
          </w:pgBorders>
          <w:pgNumType w:fmt="numberInDash"/>
          <w:cols w:space="425" w:num="1"/>
          <w:docGrid w:linePitch="312" w:charSpace="0"/>
        </w:sectPr>
      </w:pPr>
      <w:r>
        <w:rPr>
          <w:sz w:val="24"/>
        </w:rPr>
        <mc:AlternateContent>
          <mc:Choice Requires="wps">
            <w:drawing>
              <wp:anchor distT="0" distB="0" distL="114300" distR="114300" simplePos="0" relativeHeight="251660288" behindDoc="0" locked="0" layoutInCell="1" allowOverlap="1">
                <wp:simplePos x="0" y="0"/>
                <wp:positionH relativeFrom="column">
                  <wp:posOffset>4032250</wp:posOffset>
                </wp:positionH>
                <wp:positionV relativeFrom="paragraph">
                  <wp:posOffset>3322955</wp:posOffset>
                </wp:positionV>
                <wp:extent cx="658495" cy="311150"/>
                <wp:effectExtent l="24130" t="12700" r="22225" b="476250"/>
                <wp:wrapNone/>
                <wp:docPr id="4" name="圆角矩形标注 4"/>
                <wp:cNvGraphicFramePr/>
                <a:graphic xmlns:a="http://schemas.openxmlformats.org/drawingml/2006/main">
                  <a:graphicData uri="http://schemas.microsoft.com/office/word/2010/wordprocessingShape">
                    <wps:wsp>
                      <wps:cNvSpPr/>
                      <wps:spPr>
                        <a:xfrm>
                          <a:off x="0" y="0"/>
                          <a:ext cx="658495" cy="311150"/>
                        </a:xfrm>
                        <a:prstGeom prst="wedgeRoundRectCallout">
                          <a:avLst>
                            <a:gd name="adj1" fmla="val -51735"/>
                            <a:gd name="adj2" fmla="val 195918"/>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lang w:val="en-US" w:eastAsia="zh-CN"/>
                              </w:rPr>
                            </w:pPr>
                            <w:r>
                              <w:rPr>
                                <w:rFonts w:hint="eastAsia"/>
                                <w:color w:val="FF0000"/>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17.5pt;margin-top:261.65pt;height:24.5pt;width:51.85pt;z-index:251660288;v-text-anchor:middle;mso-width-relative:page;mso-height-relative:page;" filled="f" stroked="t" coordsize="21600,21600" o:gfxdata="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M9GKdHdAAAACwEAAA8AAAAAAAAAAQAg&#10;AAAAIgAAAGRycy9kb3ducmV2LnhtbFBLAQIUABQAAAAIAIdO4kD83KwvtAIAAFIFAAAOAAAAAAAA&#10;AAEAIAAAACwBAABkcnMvZTJvRG9jLnhtbFBLBQYAAAAABgAGAFkBAABSBgAAAAA=&#10;" adj="-375,53118,14400">
                <v:fill on="f" focussize="0,0"/>
                <v:stroke weight="2pt" color="#000000 [3213]" joinstyle="round"/>
                <v:imagedata o:title=""/>
                <o:lock v:ext="edit" aspectratio="f"/>
                <v:textbox>
                  <w:txbxContent>
                    <w:p>
                      <w:pPr>
                        <w:jc w:val="center"/>
                        <w:rPr>
                          <w:rFonts w:hint="eastAsia" w:eastAsia="宋体"/>
                          <w:color w:val="FF0000"/>
                          <w:lang w:val="en-US" w:eastAsia="zh-CN"/>
                        </w:rPr>
                      </w:pPr>
                      <w:r>
                        <w:rPr>
                          <w:rFonts w:hint="eastAsia"/>
                          <w:color w:val="FF0000"/>
                          <w:lang w:val="en-US" w:eastAsia="zh-CN"/>
                        </w:rPr>
                        <w:t>本项目</w:t>
                      </w:r>
                    </w:p>
                  </w:txbxContent>
                </v:textbox>
              </v:shape>
            </w:pict>
          </mc:Fallback>
        </mc:AlternateContent>
      </w:r>
      <w:r>
        <w:rPr>
          <w:rFonts w:hint="eastAsia" w:eastAsiaTheme="majorEastAsia"/>
          <w:lang w:eastAsia="zh-CN"/>
        </w:rPr>
        <w:drawing>
          <wp:inline distT="0" distB="0" distL="114300" distR="114300">
            <wp:extent cx="6915150" cy="4912995"/>
            <wp:effectExtent l="0" t="0" r="0" b="1905"/>
            <wp:docPr id="14" name="图片 14" descr="1646201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46201781(1)"/>
                    <pic:cNvPicPr>
                      <a:picLocks noChangeAspect="1"/>
                    </pic:cNvPicPr>
                  </pic:nvPicPr>
                  <pic:blipFill>
                    <a:blip r:embed="rId10"/>
                    <a:stretch>
                      <a:fillRect/>
                    </a:stretch>
                  </pic:blipFill>
                  <pic:spPr>
                    <a:xfrm>
                      <a:off x="0" y="0"/>
                      <a:ext cx="6915150" cy="4912995"/>
                    </a:xfrm>
                    <a:prstGeom prst="rect">
                      <a:avLst/>
                    </a:prstGeom>
                  </pic:spPr>
                </pic:pic>
              </a:graphicData>
            </a:graphic>
          </wp:inline>
        </w:drawing>
      </w:r>
    </w:p>
    <w:p>
      <w:pPr>
        <w:pStyle w:val="4"/>
        <w:ind w:firstLine="0" w:firstLineChars="0"/>
        <w:jc w:val="both"/>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1"/>
        <w:rPr>
          <w:rFonts w:hint="default" w:ascii="Times New Roman" w:hAnsi="Times New Roman" w:eastAsia="宋体" w:cs="Times New Roman"/>
          <w:b/>
          <w:bCs/>
          <w:color w:val="000000"/>
          <w:sz w:val="32"/>
          <w:szCs w:val="32"/>
          <w:lang w:eastAsia="zh-CN"/>
        </w:rPr>
      </w:pPr>
      <w:bookmarkStart w:id="226" w:name="_Toc13440"/>
      <w:bookmarkStart w:id="227" w:name="_Toc26719"/>
      <w:bookmarkStart w:id="228" w:name="_Toc28053"/>
      <w:bookmarkStart w:id="229" w:name="_Toc23307"/>
      <w:r>
        <w:rPr>
          <w:rFonts w:hint="default" w:ascii="Times New Roman" w:hAnsi="Times New Roman" w:eastAsia="宋体" w:cs="Times New Roman"/>
          <w:b/>
          <w:bCs/>
          <w:color w:val="000000"/>
          <w:sz w:val="32"/>
          <w:szCs w:val="32"/>
          <w:lang w:eastAsia="zh-CN"/>
        </w:rPr>
        <w:t>其他事项说明</w:t>
      </w:r>
      <w:bookmarkEnd w:id="226"/>
      <w:bookmarkEnd w:id="227"/>
      <w:bookmarkEnd w:id="228"/>
      <w:bookmarkEnd w:id="229"/>
    </w:p>
    <w:p>
      <w:pPr>
        <w:spacing w:line="360" w:lineRule="auto"/>
        <w:jc w:val="both"/>
        <w:rPr>
          <w:rFonts w:hint="default" w:ascii="Times New Roman" w:hAnsi="Times New Roman" w:eastAsia="宋体" w:cs="Times New Roman"/>
          <w:color w:val="000000"/>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0"/>
        <w:rPr>
          <w:rFonts w:hint="default" w:ascii="Times New Roman" w:hAnsi="Times New Roman" w:eastAsia="宋体" w:cs="Times New Roman"/>
          <w:b/>
          <w:bCs/>
          <w:color w:val="000000"/>
          <w:sz w:val="28"/>
          <w:szCs w:val="28"/>
          <w:lang w:val="en-US" w:eastAsia="zh-CN"/>
        </w:rPr>
      </w:pPr>
      <w:bookmarkStart w:id="230" w:name="_Toc30178"/>
      <w:bookmarkStart w:id="231" w:name="_Toc4846"/>
      <w:bookmarkStart w:id="232" w:name="_Toc24919"/>
      <w:bookmarkStart w:id="233" w:name="_Toc4138"/>
      <w:bookmarkStart w:id="234" w:name="_Toc25664"/>
      <w:bookmarkStart w:id="235" w:name="_Toc29474"/>
      <w:r>
        <w:rPr>
          <w:rFonts w:hint="default" w:ascii="Times New Roman" w:hAnsi="Times New Roman" w:eastAsia="宋体" w:cs="Times New Roman"/>
          <w:b/>
          <w:bCs/>
          <w:color w:val="000000"/>
          <w:sz w:val="28"/>
          <w:szCs w:val="28"/>
          <w:lang w:val="en-US" w:eastAsia="zh-CN"/>
        </w:rPr>
        <w:t>1、环境保护设施设计、施工和验收过程</w:t>
      </w:r>
      <w:bookmarkEnd w:id="230"/>
      <w:bookmarkEnd w:id="231"/>
      <w:bookmarkEnd w:id="232"/>
      <w:bookmarkEnd w:id="233"/>
      <w:bookmarkEnd w:id="234"/>
      <w:bookmarkEnd w:id="23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b/>
          <w:bCs/>
          <w:color w:val="000000"/>
          <w:sz w:val="24"/>
          <w:szCs w:val="24"/>
          <w:lang w:val="en-US" w:eastAsia="zh-CN"/>
        </w:rPr>
      </w:pPr>
      <w:bookmarkStart w:id="236" w:name="_Toc9361"/>
      <w:bookmarkStart w:id="237" w:name="_Toc15978"/>
      <w:bookmarkStart w:id="238" w:name="_Toc4086"/>
      <w:bookmarkStart w:id="239" w:name="_Toc18563"/>
      <w:bookmarkStart w:id="240" w:name="_Toc25507"/>
      <w:bookmarkStart w:id="241" w:name="_Toc15178"/>
      <w:r>
        <w:rPr>
          <w:rFonts w:hint="default" w:ascii="Times New Roman" w:hAnsi="Times New Roman" w:eastAsia="宋体" w:cs="Times New Roman"/>
          <w:b/>
          <w:bCs/>
          <w:color w:val="000000"/>
          <w:sz w:val="24"/>
          <w:szCs w:val="24"/>
          <w:lang w:val="en-US" w:eastAsia="zh-CN"/>
        </w:rPr>
        <w:t>1.1设计简况</w:t>
      </w:r>
      <w:bookmarkEnd w:id="236"/>
      <w:bookmarkEnd w:id="237"/>
      <w:bookmarkEnd w:id="238"/>
      <w:bookmarkEnd w:id="239"/>
      <w:bookmarkEnd w:id="240"/>
      <w:bookmarkEnd w:id="24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szCs w:val="24"/>
          <w:lang w:eastAsia="zh-CN"/>
        </w:rPr>
      </w:pPr>
      <w:r>
        <w:rPr>
          <w:rFonts w:hint="eastAsia" w:cs="Times New Roman"/>
          <w:color w:val="000000"/>
          <w:sz w:val="24"/>
          <w:szCs w:val="24"/>
          <w:lang w:eastAsia="zh-CN"/>
        </w:rPr>
        <w:t>宁波市海曙住建建筑垃圾处理服务有限公司“</w:t>
      </w:r>
      <w:r>
        <w:rPr>
          <w:rFonts w:hint="eastAsia" w:cs="Times New Roman"/>
          <w:color w:val="000000"/>
          <w:sz w:val="24"/>
          <w:szCs w:val="24"/>
          <w:lang w:val="en-US" w:eastAsia="zh-CN"/>
        </w:rPr>
        <w:t>建筑垃圾可循环处理项目</w:t>
      </w:r>
      <w:r>
        <w:rPr>
          <w:rFonts w:hint="eastAsia" w:cs="Times New Roman"/>
          <w:color w:val="000000"/>
          <w:sz w:val="24"/>
          <w:szCs w:val="24"/>
          <w:lang w:eastAsia="zh-CN"/>
        </w:rPr>
        <w:t>”</w:t>
      </w:r>
      <w:r>
        <w:rPr>
          <w:rFonts w:hint="default" w:ascii="Times New Roman" w:hAnsi="Times New Roman" w:eastAsia="宋体" w:cs="Times New Roman"/>
          <w:color w:val="000000"/>
          <w:sz w:val="24"/>
          <w:szCs w:val="24"/>
          <w:lang w:eastAsia="zh-CN"/>
        </w:rPr>
        <w:t>所涉及的环保设施，</w:t>
      </w:r>
      <w:r>
        <w:rPr>
          <w:rFonts w:hint="default" w:ascii="Times New Roman" w:hAnsi="Times New Roman" w:eastAsia="宋体" w:cs="Times New Roman"/>
          <w:color w:val="000000"/>
          <w:sz w:val="24"/>
          <w:szCs w:val="24"/>
          <w:lang w:val="en-US" w:eastAsia="zh-CN"/>
        </w:rPr>
        <w:t>目前均已建设完成，</w:t>
      </w:r>
      <w:r>
        <w:rPr>
          <w:rFonts w:hint="default" w:ascii="Times New Roman" w:hAnsi="Times New Roman" w:eastAsia="宋体" w:cs="Times New Roman"/>
          <w:color w:val="000000"/>
          <w:sz w:val="24"/>
          <w:szCs w:val="24"/>
          <w:lang w:eastAsia="zh-CN"/>
        </w:rPr>
        <w:t>且运行状况良好，企业各环保设施均严格按照国家相关的环境保护设计规范的要求进行设计，工程实际建设过程中落实了相关防止污染和生态破坏的措施以及工程环境保护措施投资概算。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b/>
          <w:bCs/>
          <w:color w:val="000000"/>
          <w:sz w:val="24"/>
          <w:szCs w:val="24"/>
          <w:lang w:val="en-US" w:eastAsia="zh-CN"/>
        </w:rPr>
      </w:pPr>
      <w:bookmarkStart w:id="242" w:name="_Toc24410"/>
      <w:bookmarkStart w:id="243" w:name="_Toc18641"/>
      <w:bookmarkStart w:id="244" w:name="_Toc28772"/>
      <w:bookmarkStart w:id="245" w:name="_Toc1268"/>
      <w:bookmarkStart w:id="246" w:name="_Toc4317"/>
      <w:bookmarkStart w:id="247" w:name="_Toc20986"/>
      <w:r>
        <w:rPr>
          <w:rFonts w:hint="default" w:ascii="Times New Roman" w:hAnsi="Times New Roman" w:eastAsia="宋体" w:cs="Times New Roman"/>
          <w:b/>
          <w:bCs/>
          <w:color w:val="000000"/>
          <w:sz w:val="24"/>
          <w:szCs w:val="24"/>
          <w:lang w:val="en-US" w:eastAsia="zh-CN"/>
        </w:rPr>
        <w:t>1.2施工简况</w:t>
      </w:r>
      <w:bookmarkEnd w:id="242"/>
      <w:bookmarkEnd w:id="243"/>
      <w:bookmarkEnd w:id="244"/>
      <w:bookmarkEnd w:id="245"/>
      <w:bookmarkEnd w:id="246"/>
      <w:bookmarkEnd w:id="24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工程建设过程中，将环境保护措施纳入了施工合同，与工程有关的环境保护措施建设资金投入到位，并与主体工程做到了同时设计、同时施工、同时投产使用。该工程建设过程中，组织实施了项目环境影响报告表及备案文件中提出的环境保护对策措施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b/>
          <w:bCs/>
          <w:color w:val="000000"/>
          <w:sz w:val="24"/>
          <w:szCs w:val="24"/>
          <w:lang w:val="en-US" w:eastAsia="zh-CN"/>
        </w:rPr>
      </w:pPr>
      <w:bookmarkStart w:id="248" w:name="_Toc294"/>
      <w:bookmarkStart w:id="249" w:name="_Toc26837"/>
      <w:bookmarkStart w:id="250" w:name="_Toc456"/>
      <w:bookmarkStart w:id="251" w:name="_Toc15476"/>
      <w:bookmarkStart w:id="252" w:name="_Toc29994"/>
      <w:bookmarkStart w:id="253" w:name="_Toc7970"/>
      <w:r>
        <w:rPr>
          <w:rFonts w:hint="default" w:ascii="Times New Roman" w:hAnsi="Times New Roman" w:eastAsia="宋体" w:cs="Times New Roman"/>
          <w:b/>
          <w:bCs/>
          <w:color w:val="000000"/>
          <w:sz w:val="24"/>
          <w:szCs w:val="24"/>
          <w:lang w:val="en-US" w:eastAsia="zh-CN"/>
        </w:rPr>
        <w:t>1.3验收过程简况</w:t>
      </w:r>
      <w:bookmarkEnd w:id="248"/>
      <w:bookmarkEnd w:id="249"/>
      <w:bookmarkEnd w:id="250"/>
      <w:bookmarkEnd w:id="251"/>
      <w:bookmarkEnd w:id="252"/>
      <w:bookmarkEnd w:id="25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项目位于</w:t>
      </w:r>
      <w:r>
        <w:rPr>
          <w:rFonts w:hint="eastAsia" w:ascii="Times New Roman" w:hAnsi="Times New Roman" w:eastAsia="宋体" w:cs="Times New Roman"/>
          <w:color w:val="000000"/>
          <w:sz w:val="24"/>
          <w:lang w:val="en-US" w:eastAsia="zh-CN"/>
        </w:rPr>
        <w:t>宁波</w:t>
      </w:r>
      <w:r>
        <w:rPr>
          <w:rFonts w:hint="eastAsia" w:cs="Times New Roman"/>
          <w:color w:val="000000"/>
          <w:sz w:val="24"/>
          <w:lang w:val="en-US" w:eastAsia="zh-CN"/>
        </w:rPr>
        <w:t>市</w:t>
      </w:r>
      <w:r>
        <w:rPr>
          <w:rFonts w:hint="eastAsia" w:eastAsia="宋体" w:cs="Times New Roman"/>
          <w:color w:val="000000"/>
          <w:sz w:val="24"/>
          <w:lang w:val="en-US" w:eastAsia="zh-CN"/>
        </w:rPr>
        <w:t>海曙区</w:t>
      </w:r>
      <w:r>
        <w:rPr>
          <w:rFonts w:hint="eastAsia" w:cs="Times New Roman"/>
          <w:color w:val="000000"/>
          <w:sz w:val="24"/>
          <w:lang w:val="en-US" w:eastAsia="zh-CN"/>
        </w:rPr>
        <w:t>古林</w:t>
      </w:r>
      <w:r>
        <w:rPr>
          <w:rFonts w:hint="eastAsia" w:eastAsia="宋体" w:cs="Times New Roman"/>
          <w:color w:val="000000"/>
          <w:sz w:val="24"/>
          <w:lang w:val="en-US" w:eastAsia="zh-CN"/>
        </w:rPr>
        <w:t>镇</w:t>
      </w:r>
      <w:r>
        <w:rPr>
          <w:rFonts w:hint="eastAsia" w:cs="Times New Roman"/>
          <w:color w:val="000000"/>
          <w:sz w:val="24"/>
          <w:lang w:val="en-US" w:eastAsia="zh-CN"/>
        </w:rPr>
        <w:t>葑水港</w:t>
      </w:r>
      <w:r>
        <w:rPr>
          <w:rFonts w:hint="eastAsia" w:eastAsia="宋体" w:cs="Times New Roman"/>
          <w:color w:val="000000"/>
          <w:sz w:val="24"/>
          <w:lang w:val="en-US" w:eastAsia="zh-CN"/>
        </w:rPr>
        <w:t>村</w:t>
      </w:r>
      <w:r>
        <w:rPr>
          <w:rFonts w:hint="default" w:ascii="Times New Roman" w:hAnsi="Times New Roman" w:eastAsia="宋体" w:cs="Times New Roman"/>
          <w:color w:val="000000"/>
          <w:sz w:val="24"/>
          <w:lang w:val="en-US" w:eastAsia="zh-CN"/>
        </w:rPr>
        <w:t>，</w:t>
      </w:r>
      <w:r>
        <w:rPr>
          <w:rFonts w:hint="eastAsia" w:cs="Times New Roman"/>
          <w:color w:val="000000"/>
          <w:sz w:val="24"/>
          <w:szCs w:val="24"/>
          <w:lang w:eastAsia="zh-CN"/>
        </w:rPr>
        <w:t>宁波市海曙住建建筑垃圾处理服务有限公司</w:t>
      </w:r>
      <w:r>
        <w:rPr>
          <w:rFonts w:hint="default" w:ascii="Times New Roman" w:hAnsi="Times New Roman" w:eastAsia="宋体" w:cs="Times New Roman"/>
          <w:color w:val="000000"/>
          <w:sz w:val="24"/>
          <w:lang w:val="en-US" w:eastAsia="zh-CN"/>
        </w:rPr>
        <w:t>于20</w:t>
      </w:r>
      <w:r>
        <w:rPr>
          <w:rFonts w:hint="eastAsia" w:cs="Times New Roman"/>
          <w:color w:val="000000"/>
          <w:sz w:val="24"/>
          <w:lang w:val="en-US" w:eastAsia="zh-CN"/>
        </w:rPr>
        <w:t>21</w:t>
      </w:r>
      <w:r>
        <w:rPr>
          <w:rFonts w:hint="default" w:ascii="Times New Roman" w:hAnsi="Times New Roman" w:eastAsia="宋体" w:cs="Times New Roman"/>
          <w:color w:val="000000"/>
          <w:sz w:val="24"/>
          <w:lang w:val="en-US" w:eastAsia="zh-CN"/>
        </w:rPr>
        <w:t>年</w:t>
      </w:r>
      <w:r>
        <w:rPr>
          <w:rFonts w:hint="eastAsia" w:cs="Times New Roman"/>
          <w:color w:val="000000"/>
          <w:sz w:val="24"/>
          <w:lang w:val="en-US" w:eastAsia="zh-CN"/>
        </w:rPr>
        <w:t>9</w:t>
      </w:r>
      <w:r>
        <w:rPr>
          <w:rFonts w:hint="default" w:ascii="Times New Roman" w:hAnsi="Times New Roman" w:eastAsia="宋体" w:cs="Times New Roman"/>
          <w:color w:val="000000"/>
          <w:sz w:val="24"/>
          <w:lang w:val="en-US" w:eastAsia="zh-CN"/>
        </w:rPr>
        <w:t>月委托</w:t>
      </w:r>
      <w:r>
        <w:rPr>
          <w:rFonts w:hint="eastAsia" w:cs="Times New Roman"/>
          <w:color w:val="000000"/>
          <w:sz w:val="24"/>
          <w:lang w:val="en-US" w:eastAsia="zh-CN"/>
        </w:rPr>
        <w:t>浙江甬绿环保科技有限公司</w:t>
      </w:r>
      <w:r>
        <w:rPr>
          <w:rFonts w:hint="default" w:ascii="Times New Roman" w:hAnsi="Times New Roman" w:eastAsia="宋体" w:cs="Times New Roman"/>
          <w:color w:val="000000"/>
          <w:sz w:val="24"/>
          <w:lang w:val="en-US" w:eastAsia="zh-CN"/>
        </w:rPr>
        <w:t>编制了《</w:t>
      </w:r>
      <w:r>
        <w:rPr>
          <w:rFonts w:hint="eastAsia" w:eastAsia="宋体" w:cs="Times New Roman"/>
          <w:color w:val="000000"/>
          <w:sz w:val="24"/>
          <w:szCs w:val="24"/>
          <w:lang w:val="en-US" w:eastAsia="zh-CN"/>
        </w:rPr>
        <w:t>建设项目</w:t>
      </w:r>
      <w:r>
        <w:rPr>
          <w:rFonts w:hint="default" w:ascii="Times New Roman" w:hAnsi="Times New Roman" w:eastAsia="宋体" w:cs="Times New Roman"/>
          <w:color w:val="000000"/>
          <w:sz w:val="24"/>
          <w:lang w:val="en-US" w:eastAsia="zh-CN"/>
        </w:rPr>
        <w:t>环境影响报告表》，</w:t>
      </w:r>
      <w:r>
        <w:rPr>
          <w:rFonts w:hint="eastAsia" w:ascii="Times New Roman" w:hAnsi="Times New Roman" w:eastAsia="宋体" w:cs="Times New Roman"/>
          <w:color w:val="000000"/>
          <w:sz w:val="24"/>
          <w:lang w:val="en-US" w:eastAsia="zh-CN"/>
        </w:rPr>
        <w:t>宁波</w:t>
      </w:r>
      <w:r>
        <w:rPr>
          <w:rFonts w:hint="eastAsia" w:eastAsia="宋体" w:cs="Times New Roman"/>
          <w:color w:val="000000"/>
          <w:sz w:val="24"/>
          <w:lang w:val="en-US" w:eastAsia="zh-CN"/>
        </w:rPr>
        <w:t>市</w:t>
      </w:r>
      <w:r>
        <w:rPr>
          <w:rFonts w:hint="eastAsia" w:cs="Times New Roman"/>
          <w:color w:val="000000"/>
          <w:sz w:val="24"/>
          <w:lang w:val="en-US" w:eastAsia="zh-CN"/>
        </w:rPr>
        <w:t>生态环境局海曙分</w:t>
      </w:r>
      <w:r>
        <w:rPr>
          <w:rFonts w:hint="eastAsia" w:ascii="Times New Roman" w:hAnsi="Times New Roman" w:eastAsia="宋体" w:cs="Times New Roman"/>
          <w:color w:val="000000"/>
          <w:sz w:val="24"/>
          <w:lang w:val="en-US" w:eastAsia="zh-CN"/>
        </w:rPr>
        <w:t>局</w:t>
      </w:r>
      <w:r>
        <w:rPr>
          <w:rFonts w:hint="default" w:ascii="Times New Roman" w:hAnsi="Times New Roman" w:eastAsia="宋体" w:cs="Times New Roman"/>
          <w:color w:val="000000"/>
          <w:sz w:val="24"/>
          <w:lang w:val="en-US" w:eastAsia="zh-CN"/>
        </w:rPr>
        <w:t>于20</w:t>
      </w:r>
      <w:r>
        <w:rPr>
          <w:rFonts w:hint="eastAsia" w:cs="Times New Roman"/>
          <w:color w:val="000000"/>
          <w:sz w:val="24"/>
          <w:lang w:val="en-US" w:eastAsia="zh-CN"/>
        </w:rPr>
        <w:t>21</w:t>
      </w:r>
      <w:r>
        <w:rPr>
          <w:rFonts w:hint="default" w:ascii="Times New Roman" w:hAnsi="Times New Roman" w:eastAsia="宋体" w:cs="Times New Roman"/>
          <w:color w:val="000000"/>
          <w:sz w:val="24"/>
          <w:lang w:val="en-US" w:eastAsia="zh-CN"/>
        </w:rPr>
        <w:t>年</w:t>
      </w:r>
      <w:r>
        <w:rPr>
          <w:rFonts w:hint="eastAsia" w:cs="Times New Roman"/>
          <w:color w:val="000000"/>
          <w:sz w:val="24"/>
          <w:lang w:val="en-US" w:eastAsia="zh-CN"/>
        </w:rPr>
        <w:t>9</w:t>
      </w:r>
      <w:r>
        <w:rPr>
          <w:rFonts w:hint="default" w:ascii="Times New Roman" w:hAnsi="Times New Roman" w:eastAsia="宋体" w:cs="Times New Roman"/>
          <w:color w:val="000000"/>
          <w:sz w:val="24"/>
          <w:lang w:val="en-US" w:eastAsia="zh-CN"/>
        </w:rPr>
        <w:t>月</w:t>
      </w:r>
      <w:r>
        <w:rPr>
          <w:rFonts w:hint="eastAsia" w:cs="Times New Roman"/>
          <w:color w:val="000000"/>
          <w:sz w:val="24"/>
          <w:lang w:val="en-US" w:eastAsia="zh-CN"/>
        </w:rPr>
        <w:t>24</w:t>
      </w:r>
      <w:r>
        <w:rPr>
          <w:rFonts w:hint="default" w:ascii="Times New Roman" w:hAnsi="Times New Roman" w:eastAsia="宋体" w:cs="Times New Roman"/>
          <w:color w:val="000000"/>
          <w:sz w:val="24"/>
          <w:lang w:val="en-US" w:eastAsia="zh-CN"/>
        </w:rPr>
        <w:t>日对该项目下发了</w:t>
      </w:r>
      <w:r>
        <w:rPr>
          <w:rFonts w:hint="eastAsia" w:ascii="Times New Roman" w:hAnsi="Times New Roman" w:eastAsia="宋体" w:cs="Times New Roman"/>
          <w:color w:val="000000"/>
          <w:sz w:val="24"/>
          <w:lang w:eastAsia="zh-CN"/>
        </w:rPr>
        <w:t>《</w:t>
      </w:r>
      <w:r>
        <w:rPr>
          <w:rFonts w:hint="eastAsia" w:cs="Times New Roman"/>
          <w:color w:val="000000"/>
          <w:sz w:val="24"/>
          <w:lang w:val="en-US" w:eastAsia="zh-CN"/>
        </w:rPr>
        <w:t>生态环境</w:t>
      </w:r>
      <w:r>
        <w:rPr>
          <w:rFonts w:hint="eastAsia" w:eastAsia="宋体" w:cs="Times New Roman"/>
          <w:color w:val="000000"/>
          <w:sz w:val="24"/>
          <w:lang w:val="en-US" w:eastAsia="zh-CN"/>
        </w:rPr>
        <w:t>部门审批意见</w:t>
      </w:r>
      <w:r>
        <w:rPr>
          <w:rFonts w:hint="eastAsia"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。目前企业各设备运行状况良好，已具备验收条件。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竣工验收工作于20</w:t>
      </w:r>
      <w:r>
        <w:rPr>
          <w:rFonts w:hint="eastAsia" w:ascii="Times New Roman" w:hAnsi="Times New Roman" w:eastAsia="宋体" w:cs="Times New Roman"/>
          <w:color w:val="000000"/>
          <w:sz w:val="24"/>
          <w:lang w:val="en-US" w:eastAsia="zh-CN"/>
        </w:rPr>
        <w:t>2</w:t>
      </w:r>
      <w:r>
        <w:rPr>
          <w:rFonts w:hint="eastAsia" w:cs="Times New Roman"/>
          <w:color w:val="000000"/>
          <w:sz w:val="24"/>
          <w:lang w:val="en-US" w:eastAsia="zh-CN"/>
        </w:rPr>
        <w:t>2</w:t>
      </w:r>
      <w:r>
        <w:rPr>
          <w:rFonts w:hint="default" w:ascii="Times New Roman" w:hAnsi="Times New Roman" w:eastAsia="宋体" w:cs="Times New Roman"/>
          <w:color w:val="000000"/>
          <w:sz w:val="24"/>
          <w:lang w:val="en-US" w:eastAsia="zh-CN"/>
        </w:rPr>
        <w:t>年</w:t>
      </w:r>
      <w:r>
        <w:rPr>
          <w:rFonts w:hint="eastAsia" w:eastAsia="宋体" w:cs="Times New Roman"/>
          <w:color w:val="000000"/>
          <w:sz w:val="24"/>
          <w:lang w:val="en-US" w:eastAsia="zh-CN"/>
        </w:rPr>
        <w:t>1</w:t>
      </w:r>
      <w:r>
        <w:rPr>
          <w:rFonts w:hint="default" w:ascii="Times New Roman" w:hAnsi="Times New Roman" w:eastAsia="宋体" w:cs="Times New Roman"/>
          <w:color w:val="000000"/>
          <w:sz w:val="24"/>
          <w:lang w:val="en-US" w:eastAsia="zh-CN"/>
        </w:rPr>
        <w:t>月启动，企业对本项目进行了环境保护设施调查，并委托</w:t>
      </w:r>
      <w:r>
        <w:rPr>
          <w:rFonts w:hint="default" w:ascii="Times New Roman" w:hAnsi="Times New Roman" w:eastAsia="宋体" w:cs="Times New Roman"/>
          <w:color w:val="000000" w:themeColor="text1"/>
          <w:sz w:val="24"/>
          <w:lang w:val="en-US" w:eastAsia="zh-CN"/>
          <w14:textFill>
            <w14:solidFill>
              <w14:schemeClr w14:val="tx1"/>
            </w14:solidFill>
          </w14:textFill>
        </w:rPr>
        <w:t>浙江</w:t>
      </w:r>
      <w:r>
        <w:rPr>
          <w:rFonts w:hint="eastAsia" w:cs="Times New Roman"/>
          <w:color w:val="000000" w:themeColor="text1"/>
          <w:sz w:val="24"/>
          <w:lang w:val="en-US" w:eastAsia="zh-CN"/>
          <w14:textFill>
            <w14:solidFill>
              <w14:schemeClr w14:val="tx1"/>
            </w14:solidFill>
          </w14:textFill>
        </w:rPr>
        <w:t>诚德检测研究</w:t>
      </w:r>
      <w:r>
        <w:rPr>
          <w:rFonts w:hint="default" w:ascii="Times New Roman" w:hAnsi="Times New Roman" w:eastAsia="宋体" w:cs="Times New Roman"/>
          <w:color w:val="000000" w:themeColor="text1"/>
          <w:sz w:val="24"/>
          <w:lang w:val="en-US" w:eastAsia="zh-CN"/>
          <w14:textFill>
            <w14:solidFill>
              <w14:schemeClr w14:val="tx1"/>
            </w14:solidFill>
          </w14:textFill>
        </w:rPr>
        <w:t>有限公司</w:t>
      </w:r>
      <w:r>
        <w:rPr>
          <w:rFonts w:hint="default" w:ascii="Times New Roman" w:hAnsi="Times New Roman" w:eastAsia="宋体" w:cs="Times New Roman"/>
          <w:color w:val="000000"/>
          <w:sz w:val="24"/>
          <w:lang w:val="en-US" w:eastAsia="zh-CN"/>
        </w:rPr>
        <w:t>进行了验收监测。监测委托合同中约定</w:t>
      </w:r>
      <w:r>
        <w:rPr>
          <w:rFonts w:hint="default" w:ascii="Times New Roman" w:hAnsi="Times New Roman" w:eastAsia="宋体" w:cs="Times New Roman"/>
          <w:color w:val="000000" w:themeColor="text1"/>
          <w:sz w:val="24"/>
          <w:lang w:val="en-US" w:eastAsia="zh-CN"/>
          <w14:textFill>
            <w14:solidFill>
              <w14:schemeClr w14:val="tx1"/>
            </w14:solidFill>
          </w14:textFill>
        </w:rPr>
        <w:t>浙江</w:t>
      </w:r>
      <w:r>
        <w:rPr>
          <w:rFonts w:hint="eastAsia" w:cs="Times New Roman"/>
          <w:color w:val="000000" w:themeColor="text1"/>
          <w:sz w:val="24"/>
          <w:lang w:val="en-US" w:eastAsia="zh-CN"/>
          <w14:textFill>
            <w14:solidFill>
              <w14:schemeClr w14:val="tx1"/>
            </w14:solidFill>
          </w14:textFill>
        </w:rPr>
        <w:t>诚德检测研究</w:t>
      </w:r>
      <w:r>
        <w:rPr>
          <w:rFonts w:hint="default" w:ascii="Times New Roman" w:hAnsi="Times New Roman" w:eastAsia="宋体" w:cs="Times New Roman"/>
          <w:color w:val="000000" w:themeColor="text1"/>
          <w:sz w:val="24"/>
          <w:lang w:val="en-US" w:eastAsia="zh-CN"/>
          <w14:textFill>
            <w14:solidFill>
              <w14:schemeClr w14:val="tx1"/>
            </w14:solidFill>
          </w14:textFill>
        </w:rPr>
        <w:t>有限公司</w:t>
      </w:r>
      <w:r>
        <w:rPr>
          <w:rFonts w:hint="default" w:ascii="Times New Roman" w:hAnsi="Times New Roman" w:eastAsia="宋体" w:cs="Times New Roman"/>
          <w:color w:val="000000"/>
          <w:sz w:val="24"/>
          <w:lang w:val="en-US" w:eastAsia="zh-CN"/>
        </w:rPr>
        <w:t>提供废气</w:t>
      </w:r>
      <w:r>
        <w:rPr>
          <w:rFonts w:hint="eastAsia" w:eastAsia="宋体" w:cs="Times New Roman"/>
          <w:color w:val="000000"/>
          <w:sz w:val="24"/>
          <w:lang w:val="en-US" w:eastAsia="zh-CN"/>
        </w:rPr>
        <w:t>与</w:t>
      </w:r>
      <w:r>
        <w:rPr>
          <w:rFonts w:hint="default" w:ascii="Times New Roman" w:hAnsi="Times New Roman" w:eastAsia="宋体" w:cs="Times New Roman"/>
          <w:color w:val="000000"/>
          <w:sz w:val="24"/>
          <w:lang w:val="en-US" w:eastAsia="zh-CN"/>
        </w:rPr>
        <w:t>噪声等项目的监测服务，并出具真实有效的监测数据和监测报告。该验收监测报告于</w:t>
      </w:r>
      <w:r>
        <w:rPr>
          <w:rFonts w:hint="default" w:ascii="Times New Roman" w:hAnsi="Times New Roman" w:eastAsia="宋体" w:cs="Times New Roman"/>
          <w:color w:val="000000" w:themeColor="text1"/>
          <w:sz w:val="24"/>
          <w:lang w:val="en-US" w:eastAsia="zh-CN"/>
          <w14:textFill>
            <w14:solidFill>
              <w14:schemeClr w14:val="tx1"/>
            </w14:solidFill>
          </w14:textFill>
        </w:rPr>
        <w:t>20</w:t>
      </w:r>
      <w:r>
        <w:rPr>
          <w:rFonts w:hint="eastAsia" w:cs="Times New Roman"/>
          <w:color w:val="000000" w:themeColor="text1"/>
          <w:sz w:val="24"/>
          <w:lang w:val="en-US" w:eastAsia="zh-CN"/>
          <w14:textFill>
            <w14:solidFill>
              <w14:schemeClr w14:val="tx1"/>
            </w14:solidFill>
          </w14:textFill>
        </w:rPr>
        <w:t>22</w:t>
      </w:r>
      <w:r>
        <w:rPr>
          <w:rFonts w:hint="default" w:ascii="Times New Roman" w:hAnsi="Times New Roman" w:eastAsia="宋体" w:cs="Times New Roman"/>
          <w:color w:val="000000" w:themeColor="text1"/>
          <w:sz w:val="24"/>
          <w:lang w:val="en-US" w:eastAsia="zh-CN"/>
          <w14:textFill>
            <w14:solidFill>
              <w14:schemeClr w14:val="tx1"/>
            </w14:solidFill>
          </w14:textFill>
        </w:rPr>
        <w:t>年</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月</w:t>
      </w:r>
      <w:r>
        <w:rPr>
          <w:rFonts w:hint="eastAsia" w:cs="Times New Roman"/>
          <w:color w:val="000000" w:themeColor="text1"/>
          <w:sz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lang w:val="en-US" w:eastAsia="zh-CN"/>
          <w14:textFill>
            <w14:solidFill>
              <w14:schemeClr w14:val="tx1"/>
            </w14:solidFill>
          </w14:textFill>
        </w:rPr>
        <w:t>日</w:t>
      </w:r>
      <w:r>
        <w:rPr>
          <w:rFonts w:hint="default" w:ascii="Times New Roman" w:hAnsi="Times New Roman" w:eastAsia="宋体" w:cs="Times New Roman"/>
          <w:color w:val="000000"/>
          <w:sz w:val="24"/>
          <w:lang w:val="en-US" w:eastAsia="zh-CN"/>
        </w:rPr>
        <w:t>完成，</w:t>
      </w:r>
      <w:r>
        <w:rPr>
          <w:rFonts w:hint="eastAsia" w:ascii="Times New Roman" w:hAnsi="Times New Roman" w:eastAsia="宋体" w:cs="Times New Roman"/>
          <w:color w:val="000000" w:themeColor="text1"/>
          <w:sz w:val="24"/>
          <w:lang w:val="en-US" w:eastAsia="zh-CN"/>
          <w14:textFill>
            <w14:solidFill>
              <w14:schemeClr w14:val="tx1"/>
            </w14:solidFill>
          </w14:textFill>
        </w:rPr>
        <w:t>202</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年</w:t>
      </w:r>
      <w:r>
        <w:rPr>
          <w:rFonts w:hint="eastAsia"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lang w:val="en-US" w:eastAsia="zh-CN"/>
          <w14:textFill>
            <w14:solidFill>
              <w14:schemeClr w14:val="tx1"/>
            </w14:solidFill>
          </w14:textFill>
        </w:rPr>
        <w:t>月</w:t>
      </w:r>
      <w:r>
        <w:rPr>
          <w:rFonts w:hint="eastAsia" w:cs="Times New Roman"/>
          <w:color w:val="000000" w:themeColor="text1"/>
          <w:sz w:val="24"/>
          <w:lang w:val="en-US" w:eastAsia="zh-CN"/>
          <w14:textFill>
            <w14:solidFill>
              <w14:schemeClr w14:val="tx1"/>
            </w14:solidFill>
          </w14:textFill>
        </w:rPr>
        <w:t>8</w:t>
      </w:r>
      <w:r>
        <w:rPr>
          <w:rFonts w:hint="default" w:ascii="Times New Roman" w:hAnsi="Times New Roman" w:eastAsia="宋体" w:cs="Times New Roman"/>
          <w:color w:val="000000" w:themeColor="text1"/>
          <w:sz w:val="24"/>
          <w:lang w:val="en-US" w:eastAsia="zh-CN"/>
          <w14:textFill>
            <w14:solidFill>
              <w14:schemeClr w14:val="tx1"/>
            </w14:solidFill>
          </w14:textFill>
        </w:rPr>
        <w:t>日</w:t>
      </w:r>
      <w:r>
        <w:rPr>
          <w:rFonts w:hint="default" w:ascii="Times New Roman" w:hAnsi="Times New Roman" w:eastAsia="宋体" w:cs="Times New Roman"/>
          <w:color w:val="000000"/>
          <w:sz w:val="24"/>
          <w:lang w:val="en-US" w:eastAsia="zh-CN"/>
        </w:rPr>
        <w:t>由</w:t>
      </w:r>
      <w:r>
        <w:rPr>
          <w:rFonts w:hint="eastAsia" w:cs="Times New Roman"/>
          <w:color w:val="000000"/>
          <w:sz w:val="24"/>
          <w:lang w:val="en-US" w:eastAsia="zh-CN"/>
        </w:rPr>
        <w:t>宁波市海曙住建建筑垃圾处理服务有限公司</w:t>
      </w:r>
      <w:r>
        <w:rPr>
          <w:rFonts w:hint="default" w:ascii="Times New Roman" w:hAnsi="Times New Roman" w:eastAsia="宋体" w:cs="Times New Roman"/>
          <w:color w:val="000000"/>
          <w:sz w:val="24"/>
          <w:lang w:val="en-US" w:eastAsia="zh-CN"/>
        </w:rPr>
        <w:t>组织成立了验收工作组，对项目现场进行了验收，验收工作组经认真讨论，形成了验收意见结论如下：</w:t>
      </w:r>
      <w:r>
        <w:rPr>
          <w:rFonts w:hint="eastAsia" w:cs="Times New Roman"/>
          <w:color w:val="000000"/>
          <w:sz w:val="24"/>
          <w:lang w:val="en-US" w:eastAsia="zh-CN"/>
        </w:rPr>
        <w:t>“</w:t>
      </w:r>
      <w:r>
        <w:rPr>
          <w:rFonts w:hint="default" w:ascii="Times New Roman" w:hAnsi="Times New Roman" w:eastAsia="宋体" w:cs="Times New Roman"/>
          <w:color w:val="000000"/>
          <w:sz w:val="24"/>
          <w:lang w:val="en-US" w:eastAsia="zh-CN"/>
        </w:rPr>
        <w:t>经现场查验，</w:t>
      </w:r>
      <w:r>
        <w:rPr>
          <w:rFonts w:hint="eastAsia" w:cs="Times New Roman"/>
          <w:color w:val="000000"/>
          <w:sz w:val="24"/>
          <w:lang w:val="en-US" w:eastAsia="zh-CN"/>
        </w:rPr>
        <w:t>宁波市海曙住建建筑垃圾处理服务有限公司建筑垃圾可循环处理项目</w:t>
      </w:r>
      <w:r>
        <w:rPr>
          <w:rFonts w:hint="default" w:ascii="Times New Roman" w:hAnsi="Times New Roman" w:eastAsia="宋体" w:cs="Times New Roman"/>
          <w:color w:val="000000"/>
          <w:sz w:val="24"/>
          <w:lang w:val="en-US" w:eastAsia="zh-CN"/>
        </w:rPr>
        <w:t>环评手续齐备，主体工程和配套环保工程建设基本完备，项目建设内容与环境影响报告表及</w:t>
      </w:r>
      <w:r>
        <w:rPr>
          <w:rFonts w:hint="eastAsia" w:ascii="Times New Roman" w:hAnsi="Times New Roman" w:eastAsia="宋体" w:cs="Times New Roman"/>
          <w:color w:val="000000"/>
          <w:sz w:val="24"/>
          <w:lang w:eastAsia="zh-CN"/>
        </w:rPr>
        <w:t>《</w:t>
      </w:r>
      <w:r>
        <w:rPr>
          <w:rFonts w:hint="eastAsia" w:eastAsia="宋体" w:cs="Times New Roman"/>
          <w:color w:val="000000"/>
          <w:sz w:val="24"/>
          <w:lang w:val="en-US" w:eastAsia="zh-CN"/>
        </w:rPr>
        <w:t>环保部门审批意见</w:t>
      </w:r>
      <w:r>
        <w:rPr>
          <w:rFonts w:hint="eastAsia"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内容基本一致，已基本落实了环保</w:t>
      </w:r>
      <w:r>
        <w:rPr>
          <w:rFonts w:hint="eastAsia" w:cs="Times New Roman"/>
          <w:color w:val="000000"/>
          <w:sz w:val="24"/>
          <w:lang w:val="en-US" w:eastAsia="zh-CN"/>
        </w:rPr>
        <w:t>“</w:t>
      </w:r>
      <w:r>
        <w:rPr>
          <w:rFonts w:hint="default" w:ascii="Times New Roman" w:hAnsi="Times New Roman" w:eastAsia="宋体" w:cs="Times New Roman"/>
          <w:color w:val="000000"/>
          <w:sz w:val="24"/>
          <w:lang w:val="en-US" w:eastAsia="zh-CN"/>
        </w:rPr>
        <w:t>三同时</w:t>
      </w:r>
      <w:r>
        <w:rPr>
          <w:rFonts w:hint="eastAsia" w:cs="Times New Roman"/>
          <w:color w:val="000000"/>
          <w:sz w:val="24"/>
          <w:lang w:val="en-US" w:eastAsia="zh-CN"/>
        </w:rPr>
        <w:t>”</w:t>
      </w:r>
      <w:r>
        <w:rPr>
          <w:rFonts w:hint="default" w:ascii="Times New Roman" w:hAnsi="Times New Roman" w:eastAsia="宋体" w:cs="Times New Roman"/>
          <w:color w:val="000000"/>
          <w:sz w:val="24"/>
          <w:lang w:val="en-US" w:eastAsia="zh-CN"/>
        </w:rPr>
        <w:t>和环评报告表中各项环保要求，污染物达标排放，竣工环保验收条件具备，验收工作组同意该项目通过竣工环境保护验收。</w:t>
      </w:r>
      <w:r>
        <w:rPr>
          <w:rFonts w:hint="eastAsia" w:cs="Times New Roman"/>
          <w:color w:val="000000"/>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0"/>
        <w:rPr>
          <w:rFonts w:hint="default" w:ascii="Times New Roman" w:hAnsi="Times New Roman" w:eastAsia="宋体" w:cs="Times New Roman"/>
          <w:b/>
          <w:bCs/>
          <w:color w:val="000000"/>
          <w:sz w:val="28"/>
          <w:szCs w:val="28"/>
          <w:lang w:val="en-US" w:eastAsia="zh-CN"/>
        </w:rPr>
      </w:pPr>
      <w:bookmarkStart w:id="254" w:name="_Toc14741"/>
      <w:bookmarkStart w:id="255" w:name="_Toc28789"/>
      <w:bookmarkStart w:id="256" w:name="_Toc11078"/>
      <w:bookmarkStart w:id="257" w:name="_Toc23672"/>
      <w:bookmarkStart w:id="258" w:name="_Toc22973"/>
      <w:bookmarkStart w:id="259" w:name="_Toc10225"/>
      <w:r>
        <w:rPr>
          <w:rFonts w:hint="default" w:ascii="Times New Roman" w:hAnsi="Times New Roman" w:eastAsia="宋体" w:cs="Times New Roman"/>
          <w:b/>
          <w:bCs/>
          <w:color w:val="000000"/>
          <w:sz w:val="28"/>
          <w:szCs w:val="28"/>
          <w:lang w:val="en-US" w:eastAsia="zh-CN"/>
        </w:rPr>
        <w:t>2、其他环境保护措施的实施情况</w:t>
      </w:r>
      <w:bookmarkEnd w:id="254"/>
      <w:bookmarkEnd w:id="255"/>
      <w:bookmarkEnd w:id="256"/>
      <w:bookmarkEnd w:id="257"/>
      <w:bookmarkEnd w:id="258"/>
      <w:bookmarkEnd w:id="25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b/>
          <w:bCs/>
          <w:color w:val="000000"/>
          <w:sz w:val="24"/>
          <w:szCs w:val="24"/>
          <w:lang w:val="en-US" w:eastAsia="zh-CN"/>
        </w:rPr>
      </w:pPr>
      <w:bookmarkStart w:id="260" w:name="_Toc19844"/>
      <w:bookmarkStart w:id="261" w:name="_Toc15899"/>
      <w:bookmarkStart w:id="262" w:name="_Toc16926"/>
      <w:bookmarkStart w:id="263" w:name="_Toc21877"/>
      <w:bookmarkStart w:id="264" w:name="_Toc30561"/>
      <w:bookmarkStart w:id="265" w:name="_Toc3964"/>
      <w:r>
        <w:rPr>
          <w:rFonts w:hint="default" w:ascii="Times New Roman" w:hAnsi="Times New Roman" w:eastAsia="宋体" w:cs="Times New Roman"/>
          <w:b/>
          <w:bCs/>
          <w:color w:val="000000"/>
          <w:sz w:val="24"/>
          <w:szCs w:val="24"/>
          <w:lang w:val="en-US" w:eastAsia="zh-CN"/>
        </w:rPr>
        <w:t>2.1制度措施落实情况</w:t>
      </w:r>
      <w:bookmarkEnd w:id="260"/>
      <w:bookmarkEnd w:id="261"/>
      <w:bookmarkEnd w:id="262"/>
      <w:bookmarkEnd w:id="263"/>
      <w:bookmarkEnd w:id="264"/>
      <w:bookmarkEnd w:id="26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环境监测计划。企业对</w:t>
      </w:r>
      <w:r>
        <w:rPr>
          <w:rFonts w:hint="eastAsia" w:ascii="Times New Roman" w:hAnsi="Times New Roman" w:eastAsia="宋体" w:cs="Times New Roman"/>
          <w:color w:val="000000"/>
          <w:sz w:val="24"/>
          <w:lang w:val="en-US" w:eastAsia="zh-CN"/>
        </w:rPr>
        <w:t>本项目</w:t>
      </w:r>
      <w:r>
        <w:rPr>
          <w:rFonts w:hint="default" w:ascii="Times New Roman" w:hAnsi="Times New Roman" w:eastAsia="宋体" w:cs="Times New Roman"/>
          <w:color w:val="000000"/>
          <w:sz w:val="24"/>
          <w:lang w:val="en-US" w:eastAsia="zh-CN"/>
        </w:rPr>
        <w:t>所有排气筒、厂界无组织废气及厂界噪声进行了监测。根据监测结果，①</w:t>
      </w:r>
      <w:r>
        <w:rPr>
          <w:rFonts w:hint="eastAsia" w:cs="Times New Roman"/>
          <w:color w:val="000000"/>
          <w:sz w:val="24"/>
          <w:lang w:val="en-US" w:eastAsia="zh-CN"/>
        </w:rPr>
        <w:t>废气能够达到</w:t>
      </w:r>
      <w:r>
        <w:rPr>
          <w:rFonts w:hint="eastAsia"/>
          <w:color w:val="auto"/>
          <w:sz w:val="24"/>
        </w:rPr>
        <w:t>《大气污染物综合排放标准》（GB16297-1996）</w:t>
      </w:r>
      <w:r>
        <w:rPr>
          <w:rFonts w:hint="default" w:ascii="Times New Roman" w:hAnsi="Times New Roman" w:cs="Times New Roman"/>
          <w:color w:val="000000"/>
          <w:sz w:val="24"/>
        </w:rPr>
        <w:t>二</w:t>
      </w:r>
      <w:r>
        <w:rPr>
          <w:rFonts w:hint="eastAsia" w:cs="Times New Roman"/>
          <w:color w:val="000000"/>
          <w:sz w:val="24"/>
          <w:lang w:val="en-US" w:eastAsia="zh-CN"/>
        </w:rPr>
        <w:t>类区</w:t>
      </w:r>
      <w:r>
        <w:rPr>
          <w:rFonts w:hint="default" w:ascii="Times New Roman" w:hAnsi="Times New Roman" w:cs="Times New Roman"/>
          <w:color w:val="000000"/>
          <w:sz w:val="24"/>
        </w:rPr>
        <w:t>标准</w:t>
      </w:r>
      <w:r>
        <w:rPr>
          <w:rFonts w:hint="eastAsia" w:ascii="Times New Roman" w:hAnsi="Times New Roman" w:eastAsia="宋体" w:cs="Times New Roman"/>
          <w:color w:val="000000"/>
          <w:sz w:val="24"/>
          <w:lang w:val="en-US" w:eastAsia="zh-CN"/>
        </w:rPr>
        <w:t>要求；②</w:t>
      </w:r>
      <w:r>
        <w:rPr>
          <w:rFonts w:hint="default" w:ascii="Times New Roman" w:hAnsi="Times New Roman" w:eastAsia="宋体" w:cs="Times New Roman"/>
          <w:color w:val="000000"/>
          <w:sz w:val="24"/>
          <w:lang w:val="en-US" w:eastAsia="zh-CN"/>
        </w:rPr>
        <w:t>噪声能够达到《工业企业厂界环境噪声排放标准》（GB1234</w:t>
      </w:r>
      <w:r>
        <w:rPr>
          <w:rFonts w:hint="eastAsia" w:cs="Times New Roman"/>
          <w:color w:val="000000"/>
          <w:sz w:val="24"/>
          <w:lang w:val="en-US" w:eastAsia="zh-CN"/>
        </w:rPr>
        <w:t>8</w:t>
      </w:r>
      <w:r>
        <w:rPr>
          <w:rFonts w:hint="default" w:ascii="Times New Roman" w:hAnsi="Times New Roman" w:eastAsia="宋体" w:cs="Times New Roman"/>
          <w:color w:val="000000"/>
          <w:sz w:val="24"/>
          <w:lang w:val="en-US" w:eastAsia="zh-CN"/>
        </w:rPr>
        <w:t>-2008）</w:t>
      </w:r>
      <w:r>
        <w:rPr>
          <w:rFonts w:hint="eastAsia" w:ascii="宋体" w:hAnsi="宋体" w:eastAsia="宋体" w:cs="宋体"/>
          <w:color w:val="000000"/>
          <w:sz w:val="24"/>
          <w:lang w:val="en-US" w:eastAsia="zh-CN"/>
        </w:rPr>
        <w:t>Ⅲ</w:t>
      </w:r>
      <w:r>
        <w:rPr>
          <w:rFonts w:hint="default" w:ascii="Times New Roman" w:hAnsi="Times New Roman" w:eastAsia="宋体" w:cs="Times New Roman"/>
          <w:color w:val="000000"/>
          <w:sz w:val="24"/>
          <w:lang w:val="en-US" w:eastAsia="zh-CN"/>
        </w:rPr>
        <w:t>类标准。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b/>
          <w:bCs/>
          <w:color w:val="000000"/>
          <w:sz w:val="24"/>
          <w:szCs w:val="24"/>
          <w:lang w:val="en-US" w:eastAsia="zh-CN"/>
        </w:rPr>
      </w:pPr>
      <w:bookmarkStart w:id="266" w:name="_Toc3554"/>
      <w:bookmarkStart w:id="267" w:name="_Toc29005"/>
      <w:bookmarkStart w:id="268" w:name="_Toc4854"/>
      <w:bookmarkStart w:id="269" w:name="_Toc24853"/>
      <w:bookmarkStart w:id="270" w:name="_Toc25196"/>
      <w:bookmarkStart w:id="271" w:name="_Toc23851"/>
      <w:r>
        <w:rPr>
          <w:rFonts w:hint="default" w:ascii="Times New Roman" w:hAnsi="Times New Roman" w:eastAsia="宋体" w:cs="Times New Roman"/>
          <w:b/>
          <w:bCs/>
          <w:color w:val="000000"/>
          <w:sz w:val="24"/>
          <w:szCs w:val="24"/>
          <w:lang w:val="en-US" w:eastAsia="zh-CN"/>
        </w:rPr>
        <w:t>2.2配套措施落实情况</w:t>
      </w:r>
      <w:bookmarkEnd w:id="266"/>
      <w:bookmarkEnd w:id="267"/>
      <w:bookmarkEnd w:id="268"/>
      <w:bookmarkEnd w:id="269"/>
      <w:bookmarkEnd w:id="270"/>
      <w:bookmarkEnd w:id="27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（1）</w:t>
      </w:r>
      <w:r>
        <w:rPr>
          <w:rFonts w:hint="eastAsia" w:eastAsia="宋体" w:cs="Times New Roman"/>
          <w:color w:val="000000"/>
          <w:sz w:val="24"/>
          <w:lang w:val="en-US" w:eastAsia="zh-CN"/>
        </w:rPr>
        <w:t>每台</w:t>
      </w:r>
      <w:r>
        <w:rPr>
          <w:rFonts w:ascii="Times New Roman" w:hAnsi="Times New Roman"/>
          <w:color w:val="000000"/>
          <w:sz w:val="24"/>
        </w:rPr>
        <w:t>破碎机、过滤筛</w:t>
      </w:r>
      <w:r>
        <w:rPr>
          <w:rFonts w:hint="eastAsia" w:eastAsia="宋体" w:cs="Times New Roman"/>
          <w:color w:val="000000"/>
          <w:sz w:val="24"/>
          <w:lang w:val="en-US" w:eastAsia="zh-CN"/>
        </w:rPr>
        <w:t>均配备机械袋式除尘器，防治颗粒物对环境污染。</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lang w:val="en-US" w:eastAsia="zh-CN"/>
        </w:rPr>
      </w:pPr>
      <w:r>
        <w:rPr>
          <w:rFonts w:hint="eastAsia" w:eastAsia="宋体" w:cs="Times New Roman"/>
          <w:color w:val="000000"/>
          <w:sz w:val="24"/>
          <w:lang w:val="en-US" w:eastAsia="zh-CN"/>
        </w:rPr>
        <w:t>设备采取隔音、降噪、减震措施，减低噪声值，加强厂房隔音效果，确保噪声达到Ⅱ类区标准。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lang w:val="en-US" w:eastAsia="zh-CN"/>
        </w:rPr>
        <w:t>项目</w:t>
      </w:r>
      <w:r>
        <w:rPr>
          <w:rFonts w:hint="default" w:ascii="Times New Roman" w:hAnsi="Times New Roman" w:eastAsia="宋体" w:cs="Times New Roman"/>
          <w:color w:val="000000"/>
          <w:sz w:val="24"/>
          <w:szCs w:val="24"/>
        </w:rPr>
        <w:t>无卫生防护距离要求。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b/>
          <w:bCs/>
          <w:color w:val="000000"/>
          <w:sz w:val="24"/>
          <w:szCs w:val="24"/>
          <w:lang w:val="en-US" w:eastAsia="zh-CN"/>
        </w:rPr>
      </w:pPr>
      <w:bookmarkStart w:id="272" w:name="_Toc14668"/>
      <w:bookmarkStart w:id="273" w:name="_Toc24898"/>
      <w:bookmarkStart w:id="274" w:name="_Toc30672"/>
      <w:bookmarkStart w:id="275" w:name="_Toc9144"/>
      <w:bookmarkStart w:id="276" w:name="_Toc23151"/>
      <w:bookmarkStart w:id="277" w:name="_Toc30316"/>
      <w:r>
        <w:rPr>
          <w:rFonts w:hint="default" w:ascii="Times New Roman" w:hAnsi="Times New Roman" w:eastAsia="宋体" w:cs="Times New Roman"/>
          <w:b/>
          <w:bCs/>
          <w:color w:val="000000"/>
          <w:sz w:val="24"/>
          <w:szCs w:val="24"/>
          <w:lang w:val="en-US" w:eastAsia="zh-CN"/>
        </w:rPr>
        <w:t>2.3其他措施落实情况</w:t>
      </w:r>
      <w:bookmarkEnd w:id="272"/>
      <w:bookmarkEnd w:id="273"/>
      <w:bookmarkEnd w:id="274"/>
      <w:bookmarkEnd w:id="275"/>
      <w:bookmarkEnd w:id="276"/>
      <w:bookmarkEnd w:id="27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本项目为</w:t>
      </w:r>
      <w:r>
        <w:rPr>
          <w:rFonts w:hint="eastAsia" w:cs="Times New Roman"/>
          <w:color w:val="000000"/>
          <w:sz w:val="24"/>
          <w:lang w:val="en-US" w:eastAsia="zh-CN"/>
        </w:rPr>
        <w:t>新建</w:t>
      </w:r>
      <w:r>
        <w:rPr>
          <w:rFonts w:hint="default" w:ascii="Times New Roman" w:hAnsi="Times New Roman" w:eastAsia="宋体" w:cs="Times New Roman"/>
          <w:color w:val="000000"/>
          <w:sz w:val="24"/>
          <w:lang w:val="en-US" w:eastAsia="zh-CN"/>
        </w:rPr>
        <w:t>项目，</w:t>
      </w:r>
      <w:r>
        <w:rPr>
          <w:rFonts w:hint="eastAsia" w:eastAsia="宋体" w:cs="Times New Roman"/>
          <w:color w:val="000000"/>
          <w:sz w:val="24"/>
          <w:lang w:val="en-US" w:eastAsia="zh-CN"/>
        </w:rPr>
        <w:t>项目现址所在地为现为空地</w:t>
      </w:r>
      <w:r>
        <w:rPr>
          <w:rFonts w:hint="default" w:ascii="Times New Roman" w:hAnsi="Times New Roman" w:eastAsia="宋体" w:cs="Times New Roman"/>
          <w:color w:val="000000"/>
          <w:sz w:val="24"/>
          <w:lang w:val="en-US" w:eastAsia="zh-CN"/>
        </w:rPr>
        <w:t>，</w:t>
      </w:r>
      <w:r>
        <w:rPr>
          <w:rFonts w:hint="eastAsia" w:eastAsia="宋体" w:cs="Times New Roman"/>
          <w:color w:val="000000"/>
          <w:sz w:val="24"/>
          <w:lang w:val="en-US" w:eastAsia="zh-CN"/>
        </w:rPr>
        <w:t>环境现状较好，无工业污染情况，</w:t>
      </w:r>
      <w:r>
        <w:rPr>
          <w:rFonts w:hint="default" w:ascii="Times New Roman" w:hAnsi="Times New Roman" w:eastAsia="宋体" w:cs="Times New Roman"/>
          <w:color w:val="000000"/>
          <w:sz w:val="24"/>
          <w:lang w:val="en-US" w:eastAsia="zh-CN"/>
        </w:rPr>
        <w:t>不涉及林地补偿、珍稀动植物保护、区域环境整治、相关外围工程建设情况等其他措施。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0"/>
        <w:rPr>
          <w:rFonts w:hint="default" w:ascii="Times New Roman" w:hAnsi="Times New Roman" w:eastAsia="宋体" w:cs="Times New Roman"/>
          <w:b/>
          <w:bCs/>
          <w:color w:val="000000"/>
          <w:sz w:val="28"/>
          <w:szCs w:val="28"/>
          <w:lang w:val="en-US" w:eastAsia="zh-CN"/>
        </w:rPr>
      </w:pPr>
      <w:bookmarkStart w:id="278" w:name="_Toc15067"/>
      <w:bookmarkStart w:id="279" w:name="_Toc3484"/>
      <w:bookmarkStart w:id="280" w:name="_Toc6883"/>
      <w:bookmarkStart w:id="281" w:name="_Toc29339"/>
      <w:bookmarkStart w:id="282" w:name="_Toc5027"/>
      <w:bookmarkStart w:id="283" w:name="_Toc18156"/>
      <w:r>
        <w:rPr>
          <w:rFonts w:hint="default" w:ascii="Times New Roman" w:hAnsi="Times New Roman" w:eastAsia="宋体" w:cs="Times New Roman"/>
          <w:b/>
          <w:bCs/>
          <w:color w:val="000000"/>
          <w:sz w:val="28"/>
          <w:szCs w:val="28"/>
          <w:lang w:val="en-US" w:eastAsia="zh-CN"/>
        </w:rPr>
        <w:t>3、整改工作情况</w:t>
      </w:r>
      <w:bookmarkEnd w:id="278"/>
      <w:bookmarkEnd w:id="279"/>
      <w:bookmarkEnd w:id="280"/>
      <w:bookmarkEnd w:id="281"/>
      <w:bookmarkEnd w:id="282"/>
      <w:bookmarkEnd w:id="28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color w:val="000000"/>
          <w:sz w:val="24"/>
          <w:lang w:val="en-US" w:eastAsia="zh-CN"/>
        </w:rPr>
        <w:t>工程竣工验收期间，涉及的整改措施为：严格遵守环保法律法规，强化从事环保工作人员业务培训，完善各项环境保护管理和监测制度，重点加强对污染治理设施的维护、保养和运行管理，完善运行台账记录。确保各项污染物长期稳定达标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right"/>
        <w:textAlignment w:val="auto"/>
        <w:outlineLvl w:val="9"/>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宁波市海曙住建建筑垃圾处理服务有限公司</w:t>
      </w:r>
    </w:p>
    <w:p>
      <w:pPr>
        <w:pStyle w:val="4"/>
        <w:ind w:firstLine="0" w:firstLineChars="0"/>
        <w:jc w:val="right"/>
        <w:rPr>
          <w:rFonts w:hint="eastAsia"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202</w:t>
      </w:r>
      <w:r>
        <w:rPr>
          <w:rFonts w:hint="eastAsia" w:eastAsia="宋体" w:cs="Times New Roman"/>
          <w:color w:val="000000"/>
          <w:sz w:val="24"/>
          <w:lang w:val="en-US" w:eastAsia="zh-CN"/>
        </w:rPr>
        <w:t>2</w:t>
      </w:r>
      <w:r>
        <w:rPr>
          <w:rFonts w:hint="eastAsia" w:ascii="Times New Roman" w:hAnsi="Times New Roman" w:eastAsia="宋体" w:cs="Times New Roman"/>
          <w:color w:val="000000"/>
          <w:sz w:val="24"/>
          <w:lang w:val="en-US" w:eastAsia="zh-CN"/>
        </w:rPr>
        <w:t>年</w:t>
      </w:r>
      <w:r>
        <w:rPr>
          <w:rFonts w:hint="eastAsia" w:eastAsia="宋体" w:cs="Times New Roman"/>
          <w:color w:val="000000"/>
          <w:sz w:val="24"/>
          <w:lang w:val="en-US" w:eastAsia="zh-CN"/>
        </w:rPr>
        <w:t>3</w:t>
      </w:r>
      <w:r>
        <w:rPr>
          <w:rFonts w:hint="eastAsia" w:ascii="Times New Roman" w:hAnsi="Times New Roman" w:eastAsia="宋体" w:cs="Times New Roman"/>
          <w:color w:val="000000"/>
          <w:sz w:val="24"/>
          <w:lang w:val="en-US" w:eastAsia="zh-CN"/>
        </w:rPr>
        <w:t>月</w:t>
      </w:r>
      <w:r>
        <w:rPr>
          <w:rFonts w:hint="eastAsia" w:eastAsia="宋体" w:cs="Times New Roman"/>
          <w:color w:val="000000"/>
          <w:sz w:val="24"/>
          <w:lang w:val="en-US" w:eastAsia="zh-CN"/>
        </w:rPr>
        <w:t>8</w:t>
      </w:r>
      <w:r>
        <w:rPr>
          <w:rFonts w:hint="eastAsia" w:ascii="Times New Roman" w:hAnsi="Times New Roman" w:eastAsia="宋体" w:cs="Times New Roman"/>
          <w:color w:val="000000"/>
          <w:sz w:val="24"/>
          <w:lang w:val="en-US" w:eastAsia="zh-CN"/>
        </w:rPr>
        <w:t>日</w:t>
      </w:r>
    </w:p>
    <w:p>
      <w:pPr>
        <w:pStyle w:val="4"/>
        <w:ind w:firstLine="0" w:firstLineChars="0"/>
        <w:jc w:val="center"/>
      </w:pPr>
    </w:p>
    <w:sectPr>
      <w:pgSz w:w="11907" w:h="16839"/>
      <w:pgMar w:top="1417" w:right="1417" w:bottom="1417" w:left="1417" w:header="1134" w:footer="1134" w:gutter="0"/>
      <w:pgBorders>
        <w:top w:val="none" w:sz="0" w:space="0"/>
        <w:left w:val="none" w:sz="0" w:space="0"/>
        <w:bottom w:val="none" w:sz="0" w:space="0"/>
        <w:right w:val="none" w:sz="0" w:space="0"/>
      </w:pgBorders>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Tahoma">
    <w:panose1 w:val="020B0604030504040204"/>
    <w:charset w:val="00"/>
    <w:family w:val="auto"/>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posOffset>2522855</wp:posOffset>
              </wp:positionH>
              <wp:positionV relativeFrom="paragraph">
                <wp:posOffset>-165100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rPr>
                              <w:rFonts w:hint="eastAsia" w:eastAsia="宋体"/>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1</w:t>
                          </w:r>
                          <w:r>
                            <w:rPr>
                              <w:rFonts w:hint="eastAsia"/>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8.65pt;margin-top:-13pt;height:144pt;width:144pt;mso-position-horizontal-relative:margin;mso-wrap-style:none;z-index:251659264;mso-width-relative:page;mso-height-relative:page;" filled="f" stroked="f" coordsize="21600,21600" o:gfxdata="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JZzMXYAAAACwEAAA8AAAAAAAAAAQAgAAAAIgAAAGRycy9kb3ducmV2Lnht&#10;bFBLAQIUABQAAAAIAIdO4kCk+9p2MgIAAGMEAAAOAAAAAAAAAAEAIAAAACcBAABkcnMvZTJvRG9j&#10;LnhtbFBLBQYAAAAABgAGAFkBAADLBQAAAAA=&#10;">
              <v:fill on="f" focussize="0,0"/>
              <v:stroke on="f" weight="0.5pt"/>
              <v:imagedata o:title=""/>
              <o:lock v:ext="edit" aspectratio="f"/>
              <v:textbox inset="0mm,0mm,0mm,0mm" style="mso-fit-shape-to-text:t;">
                <w:txbxContent>
                  <w:p>
                    <w:pPr>
                      <w:pStyle w:val="24"/>
                      <w:rPr>
                        <w:rFonts w:hint="eastAsia" w:eastAsia="宋体"/>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1</w:t>
                    </w:r>
                    <w:r>
                      <w:rPr>
                        <w:rFonts w:hint="eastAsia"/>
                        <w:sz w:val="21"/>
                        <w:szCs w:val="21"/>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2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2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24</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A59CB0"/>
    <w:multiLevelType w:val="singleLevel"/>
    <w:tmpl w:val="1CA59CB0"/>
    <w:lvl w:ilvl="0" w:tentative="0">
      <w:start w:val="5"/>
      <w:numFmt w:val="chineseCounting"/>
      <w:suff w:val="nothing"/>
      <w:lvlText w:val="%1、"/>
      <w:lvlJc w:val="left"/>
      <w:rPr>
        <w:rFonts w:hint="eastAsia"/>
      </w:rPr>
    </w:lvl>
  </w:abstractNum>
  <w:abstractNum w:abstractNumId="1">
    <w:nsid w:val="4CEC45CD"/>
    <w:multiLevelType w:val="multilevel"/>
    <w:tmpl w:val="4CEC45CD"/>
    <w:lvl w:ilvl="0" w:tentative="0">
      <w:start w:val="1"/>
      <w:numFmt w:val="decimal"/>
      <w:pStyle w:val="3"/>
      <w:lvlText w:val="%1"/>
      <w:lvlJc w:val="left"/>
      <w:pPr>
        <w:tabs>
          <w:tab w:val="left" w:pos="0"/>
        </w:tabs>
        <w:ind w:left="0" w:firstLine="0"/>
      </w:pPr>
      <w:rPr>
        <w:rFonts w:hint="eastAsia"/>
      </w:rPr>
    </w:lvl>
    <w:lvl w:ilvl="1" w:tentative="0">
      <w:start w:val="1"/>
      <w:numFmt w:val="decimal"/>
      <w:pStyle w:val="5"/>
      <w:lvlText w:val="%1.%2"/>
      <w:lvlJc w:val="left"/>
      <w:pPr>
        <w:tabs>
          <w:tab w:val="left" w:pos="0"/>
        </w:tabs>
        <w:ind w:left="0" w:firstLine="0"/>
      </w:pPr>
      <w:rPr>
        <w:rFonts w:hint="eastAsia"/>
      </w:rPr>
    </w:lvl>
    <w:lvl w:ilvl="2" w:tentative="0">
      <w:start w:val="1"/>
      <w:numFmt w:val="decimal"/>
      <w:lvlText w:val="%1.%2.%3"/>
      <w:lvlJc w:val="left"/>
      <w:pPr>
        <w:tabs>
          <w:tab w:val="left" w:pos="1135"/>
        </w:tabs>
        <w:ind w:left="568" w:firstLine="0"/>
      </w:pPr>
      <w:rPr>
        <w:rFonts w:hint="eastAsia"/>
      </w:rPr>
    </w:lvl>
    <w:lvl w:ilvl="3" w:tentative="0">
      <w:start w:val="1"/>
      <w:numFmt w:val="decimal"/>
      <w:pStyle w:val="7"/>
      <w:lvlText w:val="%1.%2.%3.%4"/>
      <w:lvlJc w:val="left"/>
      <w:pPr>
        <w:tabs>
          <w:tab w:val="left" w:pos="864"/>
        </w:tabs>
        <w:ind w:left="864" w:hanging="864"/>
      </w:pPr>
      <w:rPr>
        <w:rFonts w:hint="eastAsia"/>
      </w:rPr>
    </w:lvl>
    <w:lvl w:ilvl="4" w:tentative="0">
      <w:start w:val="1"/>
      <w:numFmt w:val="decimal"/>
      <w:pStyle w:val="8"/>
      <w:lvlText w:val="%1.%2.%3.%4.%5"/>
      <w:lvlJc w:val="left"/>
      <w:pPr>
        <w:tabs>
          <w:tab w:val="left" w:pos="1008"/>
        </w:tabs>
        <w:ind w:left="1008" w:hanging="1008"/>
      </w:pPr>
      <w:rPr>
        <w:rFonts w:hint="eastAsia"/>
      </w:rPr>
    </w:lvl>
    <w:lvl w:ilvl="5" w:tentative="0">
      <w:start w:val="1"/>
      <w:numFmt w:val="decimal"/>
      <w:pStyle w:val="9"/>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5B0F8504"/>
    <w:multiLevelType w:val="singleLevel"/>
    <w:tmpl w:val="5B0F8504"/>
    <w:lvl w:ilvl="0" w:tentative="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bordersDoNotSurroundHeader w:val="0"/>
  <w:bordersDoNotSurroundFooter w:val="0"/>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266"/>
    <w:rsid w:val="00000660"/>
    <w:rsid w:val="000009E2"/>
    <w:rsid w:val="00000DD6"/>
    <w:rsid w:val="00001B9E"/>
    <w:rsid w:val="00001BE2"/>
    <w:rsid w:val="00001C97"/>
    <w:rsid w:val="00002024"/>
    <w:rsid w:val="00002ABB"/>
    <w:rsid w:val="00003187"/>
    <w:rsid w:val="00003C30"/>
    <w:rsid w:val="00003EC6"/>
    <w:rsid w:val="00004052"/>
    <w:rsid w:val="000040DA"/>
    <w:rsid w:val="0000417C"/>
    <w:rsid w:val="0000431C"/>
    <w:rsid w:val="00004455"/>
    <w:rsid w:val="00004472"/>
    <w:rsid w:val="000044E5"/>
    <w:rsid w:val="00004FB0"/>
    <w:rsid w:val="000054F7"/>
    <w:rsid w:val="000059C8"/>
    <w:rsid w:val="000073DD"/>
    <w:rsid w:val="00007EAC"/>
    <w:rsid w:val="000105E8"/>
    <w:rsid w:val="0001068F"/>
    <w:rsid w:val="000106B5"/>
    <w:rsid w:val="00010E68"/>
    <w:rsid w:val="000114AE"/>
    <w:rsid w:val="00011953"/>
    <w:rsid w:val="0001259C"/>
    <w:rsid w:val="00012619"/>
    <w:rsid w:val="0001267D"/>
    <w:rsid w:val="000132DC"/>
    <w:rsid w:val="0001343B"/>
    <w:rsid w:val="0001353F"/>
    <w:rsid w:val="0001374E"/>
    <w:rsid w:val="00013C0E"/>
    <w:rsid w:val="0001507D"/>
    <w:rsid w:val="0001546A"/>
    <w:rsid w:val="00015ED0"/>
    <w:rsid w:val="0001631A"/>
    <w:rsid w:val="00016335"/>
    <w:rsid w:val="00016341"/>
    <w:rsid w:val="00016454"/>
    <w:rsid w:val="000165F6"/>
    <w:rsid w:val="00016ABE"/>
    <w:rsid w:val="00016B81"/>
    <w:rsid w:val="000175E3"/>
    <w:rsid w:val="00017831"/>
    <w:rsid w:val="000179FB"/>
    <w:rsid w:val="00017BE4"/>
    <w:rsid w:val="00017D6D"/>
    <w:rsid w:val="000204F6"/>
    <w:rsid w:val="000207F2"/>
    <w:rsid w:val="00020A85"/>
    <w:rsid w:val="0002145F"/>
    <w:rsid w:val="000215AB"/>
    <w:rsid w:val="0002164B"/>
    <w:rsid w:val="00021D25"/>
    <w:rsid w:val="00022644"/>
    <w:rsid w:val="000229A7"/>
    <w:rsid w:val="000231F1"/>
    <w:rsid w:val="0002351F"/>
    <w:rsid w:val="00023D66"/>
    <w:rsid w:val="0002415F"/>
    <w:rsid w:val="00024325"/>
    <w:rsid w:val="00024484"/>
    <w:rsid w:val="0002473B"/>
    <w:rsid w:val="00024907"/>
    <w:rsid w:val="00024BF4"/>
    <w:rsid w:val="000255C0"/>
    <w:rsid w:val="00025DC5"/>
    <w:rsid w:val="000264EE"/>
    <w:rsid w:val="0002666B"/>
    <w:rsid w:val="00026B50"/>
    <w:rsid w:val="00026C14"/>
    <w:rsid w:val="000274E1"/>
    <w:rsid w:val="000276C6"/>
    <w:rsid w:val="00027ED0"/>
    <w:rsid w:val="00027EF5"/>
    <w:rsid w:val="0003043A"/>
    <w:rsid w:val="00030D2B"/>
    <w:rsid w:val="0003100D"/>
    <w:rsid w:val="0003120A"/>
    <w:rsid w:val="0003129E"/>
    <w:rsid w:val="000312B2"/>
    <w:rsid w:val="0003131F"/>
    <w:rsid w:val="000317BD"/>
    <w:rsid w:val="00031814"/>
    <w:rsid w:val="000321E6"/>
    <w:rsid w:val="0003411A"/>
    <w:rsid w:val="00034413"/>
    <w:rsid w:val="000346E3"/>
    <w:rsid w:val="00034C21"/>
    <w:rsid w:val="0003517C"/>
    <w:rsid w:val="000351A5"/>
    <w:rsid w:val="0003570B"/>
    <w:rsid w:val="00035CB2"/>
    <w:rsid w:val="000361A6"/>
    <w:rsid w:val="000366A0"/>
    <w:rsid w:val="00036D72"/>
    <w:rsid w:val="00036D87"/>
    <w:rsid w:val="0003705E"/>
    <w:rsid w:val="000375B9"/>
    <w:rsid w:val="000377DF"/>
    <w:rsid w:val="0004073A"/>
    <w:rsid w:val="000412B7"/>
    <w:rsid w:val="00041499"/>
    <w:rsid w:val="000415C8"/>
    <w:rsid w:val="00041EF5"/>
    <w:rsid w:val="000423B3"/>
    <w:rsid w:val="00042830"/>
    <w:rsid w:val="00042844"/>
    <w:rsid w:val="00042CD2"/>
    <w:rsid w:val="00042FDB"/>
    <w:rsid w:val="0004315B"/>
    <w:rsid w:val="00043E21"/>
    <w:rsid w:val="00043FFC"/>
    <w:rsid w:val="00044242"/>
    <w:rsid w:val="000442E5"/>
    <w:rsid w:val="000443D8"/>
    <w:rsid w:val="00044B90"/>
    <w:rsid w:val="00044C51"/>
    <w:rsid w:val="00045357"/>
    <w:rsid w:val="0004581D"/>
    <w:rsid w:val="00045AEF"/>
    <w:rsid w:val="00045DDF"/>
    <w:rsid w:val="00046161"/>
    <w:rsid w:val="000462FA"/>
    <w:rsid w:val="00046788"/>
    <w:rsid w:val="00046F07"/>
    <w:rsid w:val="000478FF"/>
    <w:rsid w:val="000501C8"/>
    <w:rsid w:val="00050B8E"/>
    <w:rsid w:val="00050CB7"/>
    <w:rsid w:val="0005126A"/>
    <w:rsid w:val="00051C93"/>
    <w:rsid w:val="00051E89"/>
    <w:rsid w:val="00051FB2"/>
    <w:rsid w:val="0005258F"/>
    <w:rsid w:val="0005274C"/>
    <w:rsid w:val="00052C0A"/>
    <w:rsid w:val="00052F28"/>
    <w:rsid w:val="0005312F"/>
    <w:rsid w:val="0005349D"/>
    <w:rsid w:val="00053C3E"/>
    <w:rsid w:val="00053C7A"/>
    <w:rsid w:val="00053CDC"/>
    <w:rsid w:val="00054229"/>
    <w:rsid w:val="00054D72"/>
    <w:rsid w:val="00054F75"/>
    <w:rsid w:val="00055082"/>
    <w:rsid w:val="00055165"/>
    <w:rsid w:val="0005568D"/>
    <w:rsid w:val="00055C89"/>
    <w:rsid w:val="00056266"/>
    <w:rsid w:val="00056834"/>
    <w:rsid w:val="00056AD7"/>
    <w:rsid w:val="0005744E"/>
    <w:rsid w:val="000575BE"/>
    <w:rsid w:val="00060055"/>
    <w:rsid w:val="00060340"/>
    <w:rsid w:val="00060872"/>
    <w:rsid w:val="00060992"/>
    <w:rsid w:val="000618A9"/>
    <w:rsid w:val="00061BD2"/>
    <w:rsid w:val="00061E7C"/>
    <w:rsid w:val="00062734"/>
    <w:rsid w:val="000628CC"/>
    <w:rsid w:val="0006294C"/>
    <w:rsid w:val="000630B6"/>
    <w:rsid w:val="000637BE"/>
    <w:rsid w:val="000639B1"/>
    <w:rsid w:val="00064238"/>
    <w:rsid w:val="00064500"/>
    <w:rsid w:val="00064A90"/>
    <w:rsid w:val="00064CD3"/>
    <w:rsid w:val="0006518D"/>
    <w:rsid w:val="00065754"/>
    <w:rsid w:val="000657A2"/>
    <w:rsid w:val="00065AF4"/>
    <w:rsid w:val="00065BC5"/>
    <w:rsid w:val="00065D13"/>
    <w:rsid w:val="000660F6"/>
    <w:rsid w:val="00066170"/>
    <w:rsid w:val="00066FA6"/>
    <w:rsid w:val="00066FEB"/>
    <w:rsid w:val="00067011"/>
    <w:rsid w:val="000679EB"/>
    <w:rsid w:val="00070021"/>
    <w:rsid w:val="0007027F"/>
    <w:rsid w:val="0007103A"/>
    <w:rsid w:val="000718CE"/>
    <w:rsid w:val="0007255D"/>
    <w:rsid w:val="00072754"/>
    <w:rsid w:val="00072A81"/>
    <w:rsid w:val="00072E05"/>
    <w:rsid w:val="00073E8A"/>
    <w:rsid w:val="00074276"/>
    <w:rsid w:val="00074CC0"/>
    <w:rsid w:val="0007537D"/>
    <w:rsid w:val="00075580"/>
    <w:rsid w:val="000759A4"/>
    <w:rsid w:val="00075A3D"/>
    <w:rsid w:val="00075AFF"/>
    <w:rsid w:val="00076402"/>
    <w:rsid w:val="000764ED"/>
    <w:rsid w:val="00076975"/>
    <w:rsid w:val="00076A62"/>
    <w:rsid w:val="00076C88"/>
    <w:rsid w:val="00080473"/>
    <w:rsid w:val="00080692"/>
    <w:rsid w:val="00080C1D"/>
    <w:rsid w:val="00080C81"/>
    <w:rsid w:val="0008126F"/>
    <w:rsid w:val="000812BA"/>
    <w:rsid w:val="0008194E"/>
    <w:rsid w:val="00081ACD"/>
    <w:rsid w:val="00081BE5"/>
    <w:rsid w:val="0008206B"/>
    <w:rsid w:val="00082949"/>
    <w:rsid w:val="00082973"/>
    <w:rsid w:val="00082D00"/>
    <w:rsid w:val="00082F6C"/>
    <w:rsid w:val="00083120"/>
    <w:rsid w:val="000833BA"/>
    <w:rsid w:val="0008365B"/>
    <w:rsid w:val="0008371E"/>
    <w:rsid w:val="00083D64"/>
    <w:rsid w:val="000840A6"/>
    <w:rsid w:val="0008421C"/>
    <w:rsid w:val="00084525"/>
    <w:rsid w:val="00084A1E"/>
    <w:rsid w:val="00084BA2"/>
    <w:rsid w:val="00085280"/>
    <w:rsid w:val="00085E70"/>
    <w:rsid w:val="00085FB2"/>
    <w:rsid w:val="00086012"/>
    <w:rsid w:val="0008629A"/>
    <w:rsid w:val="00086EEE"/>
    <w:rsid w:val="0008717B"/>
    <w:rsid w:val="000871FE"/>
    <w:rsid w:val="0008748D"/>
    <w:rsid w:val="000874E0"/>
    <w:rsid w:val="000875B6"/>
    <w:rsid w:val="000875DE"/>
    <w:rsid w:val="00087B12"/>
    <w:rsid w:val="0009035A"/>
    <w:rsid w:val="00091C77"/>
    <w:rsid w:val="00092B7A"/>
    <w:rsid w:val="00092EFD"/>
    <w:rsid w:val="00093208"/>
    <w:rsid w:val="00094002"/>
    <w:rsid w:val="000940DE"/>
    <w:rsid w:val="0009489C"/>
    <w:rsid w:val="0009491E"/>
    <w:rsid w:val="0009575E"/>
    <w:rsid w:val="00095D42"/>
    <w:rsid w:val="00095D74"/>
    <w:rsid w:val="000962E6"/>
    <w:rsid w:val="00096E17"/>
    <w:rsid w:val="00097850"/>
    <w:rsid w:val="00097FC5"/>
    <w:rsid w:val="000A0669"/>
    <w:rsid w:val="000A10CC"/>
    <w:rsid w:val="000A167E"/>
    <w:rsid w:val="000A1869"/>
    <w:rsid w:val="000A1B96"/>
    <w:rsid w:val="000A21B0"/>
    <w:rsid w:val="000A239B"/>
    <w:rsid w:val="000A2F55"/>
    <w:rsid w:val="000A3210"/>
    <w:rsid w:val="000A3769"/>
    <w:rsid w:val="000A4161"/>
    <w:rsid w:val="000A41BD"/>
    <w:rsid w:val="000A4755"/>
    <w:rsid w:val="000A5D90"/>
    <w:rsid w:val="000A5FC0"/>
    <w:rsid w:val="000A6184"/>
    <w:rsid w:val="000A6C01"/>
    <w:rsid w:val="000A6F30"/>
    <w:rsid w:val="000A6F89"/>
    <w:rsid w:val="000A78E0"/>
    <w:rsid w:val="000A7C26"/>
    <w:rsid w:val="000A7E85"/>
    <w:rsid w:val="000B0A4A"/>
    <w:rsid w:val="000B0E1D"/>
    <w:rsid w:val="000B1359"/>
    <w:rsid w:val="000B1920"/>
    <w:rsid w:val="000B1BE1"/>
    <w:rsid w:val="000B2011"/>
    <w:rsid w:val="000B2111"/>
    <w:rsid w:val="000B2357"/>
    <w:rsid w:val="000B3545"/>
    <w:rsid w:val="000B355E"/>
    <w:rsid w:val="000B3773"/>
    <w:rsid w:val="000B38D1"/>
    <w:rsid w:val="000B5205"/>
    <w:rsid w:val="000B5D2B"/>
    <w:rsid w:val="000B5FB1"/>
    <w:rsid w:val="000B65A0"/>
    <w:rsid w:val="000B6628"/>
    <w:rsid w:val="000B66A3"/>
    <w:rsid w:val="000B69B7"/>
    <w:rsid w:val="000B6EBB"/>
    <w:rsid w:val="000B7130"/>
    <w:rsid w:val="000B738B"/>
    <w:rsid w:val="000B7736"/>
    <w:rsid w:val="000B7D45"/>
    <w:rsid w:val="000C0856"/>
    <w:rsid w:val="000C1A32"/>
    <w:rsid w:val="000C1F73"/>
    <w:rsid w:val="000C1F75"/>
    <w:rsid w:val="000C2EC0"/>
    <w:rsid w:val="000C32B4"/>
    <w:rsid w:val="000C358F"/>
    <w:rsid w:val="000C3669"/>
    <w:rsid w:val="000C3994"/>
    <w:rsid w:val="000C4213"/>
    <w:rsid w:val="000C4457"/>
    <w:rsid w:val="000C47EF"/>
    <w:rsid w:val="000C4993"/>
    <w:rsid w:val="000C4C15"/>
    <w:rsid w:val="000C5258"/>
    <w:rsid w:val="000C5365"/>
    <w:rsid w:val="000C5657"/>
    <w:rsid w:val="000C58B2"/>
    <w:rsid w:val="000C5DB5"/>
    <w:rsid w:val="000C62FE"/>
    <w:rsid w:val="000C63CE"/>
    <w:rsid w:val="000C6855"/>
    <w:rsid w:val="000C6AD9"/>
    <w:rsid w:val="000C70A1"/>
    <w:rsid w:val="000C7AAE"/>
    <w:rsid w:val="000C7AC3"/>
    <w:rsid w:val="000C7C1E"/>
    <w:rsid w:val="000D01DF"/>
    <w:rsid w:val="000D04D0"/>
    <w:rsid w:val="000D10F9"/>
    <w:rsid w:val="000D1B3E"/>
    <w:rsid w:val="000D2C7C"/>
    <w:rsid w:val="000D2F6F"/>
    <w:rsid w:val="000D2FF5"/>
    <w:rsid w:val="000D3C2E"/>
    <w:rsid w:val="000D3E90"/>
    <w:rsid w:val="000D4513"/>
    <w:rsid w:val="000D4615"/>
    <w:rsid w:val="000D478E"/>
    <w:rsid w:val="000D4A4F"/>
    <w:rsid w:val="000D4E1E"/>
    <w:rsid w:val="000D50F4"/>
    <w:rsid w:val="000D55FE"/>
    <w:rsid w:val="000D64FF"/>
    <w:rsid w:val="000D66ED"/>
    <w:rsid w:val="000D72CD"/>
    <w:rsid w:val="000D7350"/>
    <w:rsid w:val="000D7756"/>
    <w:rsid w:val="000D7A8F"/>
    <w:rsid w:val="000E00B8"/>
    <w:rsid w:val="000E060F"/>
    <w:rsid w:val="000E0C21"/>
    <w:rsid w:val="000E1154"/>
    <w:rsid w:val="000E2331"/>
    <w:rsid w:val="000E31AA"/>
    <w:rsid w:val="000E31FC"/>
    <w:rsid w:val="000E3553"/>
    <w:rsid w:val="000E3871"/>
    <w:rsid w:val="000E3A51"/>
    <w:rsid w:val="000E3AF4"/>
    <w:rsid w:val="000E4222"/>
    <w:rsid w:val="000E48C6"/>
    <w:rsid w:val="000E516E"/>
    <w:rsid w:val="000E5749"/>
    <w:rsid w:val="000E581F"/>
    <w:rsid w:val="000E61DF"/>
    <w:rsid w:val="000E64A0"/>
    <w:rsid w:val="000E6F78"/>
    <w:rsid w:val="000E77C8"/>
    <w:rsid w:val="000F034F"/>
    <w:rsid w:val="000F0729"/>
    <w:rsid w:val="000F084C"/>
    <w:rsid w:val="000F09DD"/>
    <w:rsid w:val="000F23D3"/>
    <w:rsid w:val="000F3023"/>
    <w:rsid w:val="000F38BA"/>
    <w:rsid w:val="000F3CC4"/>
    <w:rsid w:val="000F3F7A"/>
    <w:rsid w:val="000F473B"/>
    <w:rsid w:val="000F4D42"/>
    <w:rsid w:val="000F557D"/>
    <w:rsid w:val="000F5A41"/>
    <w:rsid w:val="000F5A75"/>
    <w:rsid w:val="000F5B36"/>
    <w:rsid w:val="000F66F8"/>
    <w:rsid w:val="000F6A94"/>
    <w:rsid w:val="000F6E5B"/>
    <w:rsid w:val="000F79D4"/>
    <w:rsid w:val="000F7E61"/>
    <w:rsid w:val="00100869"/>
    <w:rsid w:val="0010283A"/>
    <w:rsid w:val="00102869"/>
    <w:rsid w:val="001036D5"/>
    <w:rsid w:val="0010381D"/>
    <w:rsid w:val="00103F30"/>
    <w:rsid w:val="00104440"/>
    <w:rsid w:val="00105431"/>
    <w:rsid w:val="00105A1F"/>
    <w:rsid w:val="00105ADD"/>
    <w:rsid w:val="0010626B"/>
    <w:rsid w:val="00106EE3"/>
    <w:rsid w:val="00110013"/>
    <w:rsid w:val="001111E7"/>
    <w:rsid w:val="00111208"/>
    <w:rsid w:val="00111B41"/>
    <w:rsid w:val="00112081"/>
    <w:rsid w:val="00112746"/>
    <w:rsid w:val="001129A0"/>
    <w:rsid w:val="00112A3A"/>
    <w:rsid w:val="00112B60"/>
    <w:rsid w:val="00113119"/>
    <w:rsid w:val="0011367C"/>
    <w:rsid w:val="00113FEC"/>
    <w:rsid w:val="00114582"/>
    <w:rsid w:val="00114955"/>
    <w:rsid w:val="00114D5B"/>
    <w:rsid w:val="00115F8C"/>
    <w:rsid w:val="001165C0"/>
    <w:rsid w:val="00116912"/>
    <w:rsid w:val="00116C27"/>
    <w:rsid w:val="00116DC1"/>
    <w:rsid w:val="00116E6E"/>
    <w:rsid w:val="00117038"/>
    <w:rsid w:val="00117186"/>
    <w:rsid w:val="00117213"/>
    <w:rsid w:val="00117C40"/>
    <w:rsid w:val="00120924"/>
    <w:rsid w:val="00120DEF"/>
    <w:rsid w:val="0012146D"/>
    <w:rsid w:val="001215FC"/>
    <w:rsid w:val="001218ED"/>
    <w:rsid w:val="00121E2C"/>
    <w:rsid w:val="00121EA1"/>
    <w:rsid w:val="00122217"/>
    <w:rsid w:val="001225F9"/>
    <w:rsid w:val="00122A6A"/>
    <w:rsid w:val="00122CFE"/>
    <w:rsid w:val="00122E9D"/>
    <w:rsid w:val="0012364A"/>
    <w:rsid w:val="0012394D"/>
    <w:rsid w:val="001239F7"/>
    <w:rsid w:val="00123E22"/>
    <w:rsid w:val="0012471C"/>
    <w:rsid w:val="00124858"/>
    <w:rsid w:val="001252B1"/>
    <w:rsid w:val="00125380"/>
    <w:rsid w:val="001258E0"/>
    <w:rsid w:val="00125903"/>
    <w:rsid w:val="00126568"/>
    <w:rsid w:val="00126CFC"/>
    <w:rsid w:val="00127294"/>
    <w:rsid w:val="001274CD"/>
    <w:rsid w:val="00127823"/>
    <w:rsid w:val="0013009D"/>
    <w:rsid w:val="001303E2"/>
    <w:rsid w:val="00130D4E"/>
    <w:rsid w:val="001310BC"/>
    <w:rsid w:val="001314D4"/>
    <w:rsid w:val="0013186A"/>
    <w:rsid w:val="00131FA6"/>
    <w:rsid w:val="001328B6"/>
    <w:rsid w:val="00132CCF"/>
    <w:rsid w:val="001330B8"/>
    <w:rsid w:val="0013393B"/>
    <w:rsid w:val="00133AE7"/>
    <w:rsid w:val="00134738"/>
    <w:rsid w:val="00134987"/>
    <w:rsid w:val="00135255"/>
    <w:rsid w:val="0013575D"/>
    <w:rsid w:val="00135DC4"/>
    <w:rsid w:val="001361FD"/>
    <w:rsid w:val="00136F19"/>
    <w:rsid w:val="00136F28"/>
    <w:rsid w:val="00137014"/>
    <w:rsid w:val="001374FC"/>
    <w:rsid w:val="00140020"/>
    <w:rsid w:val="00140B3C"/>
    <w:rsid w:val="0014123D"/>
    <w:rsid w:val="001414BB"/>
    <w:rsid w:val="001417B1"/>
    <w:rsid w:val="00141C1A"/>
    <w:rsid w:val="001422C0"/>
    <w:rsid w:val="001430EF"/>
    <w:rsid w:val="0014363D"/>
    <w:rsid w:val="00143BEE"/>
    <w:rsid w:val="00144131"/>
    <w:rsid w:val="00144753"/>
    <w:rsid w:val="001449D6"/>
    <w:rsid w:val="00144BEC"/>
    <w:rsid w:val="00147845"/>
    <w:rsid w:val="0014799F"/>
    <w:rsid w:val="00147C6A"/>
    <w:rsid w:val="00150B86"/>
    <w:rsid w:val="0015123D"/>
    <w:rsid w:val="001513AD"/>
    <w:rsid w:val="00151765"/>
    <w:rsid w:val="001517CA"/>
    <w:rsid w:val="00152073"/>
    <w:rsid w:val="0015228A"/>
    <w:rsid w:val="001524C0"/>
    <w:rsid w:val="001527A3"/>
    <w:rsid w:val="00152989"/>
    <w:rsid w:val="0015325E"/>
    <w:rsid w:val="00153292"/>
    <w:rsid w:val="001536CF"/>
    <w:rsid w:val="001536EF"/>
    <w:rsid w:val="00153835"/>
    <w:rsid w:val="00153BA9"/>
    <w:rsid w:val="00153BD1"/>
    <w:rsid w:val="00153CDA"/>
    <w:rsid w:val="00154256"/>
    <w:rsid w:val="001543BE"/>
    <w:rsid w:val="001545CF"/>
    <w:rsid w:val="00154728"/>
    <w:rsid w:val="00154D7A"/>
    <w:rsid w:val="001551CC"/>
    <w:rsid w:val="0015654F"/>
    <w:rsid w:val="00156573"/>
    <w:rsid w:val="0015674B"/>
    <w:rsid w:val="001567DC"/>
    <w:rsid w:val="0015695E"/>
    <w:rsid w:val="00157ECE"/>
    <w:rsid w:val="00160FF1"/>
    <w:rsid w:val="0016155B"/>
    <w:rsid w:val="001619C2"/>
    <w:rsid w:val="00161DFC"/>
    <w:rsid w:val="001622EF"/>
    <w:rsid w:val="0016243B"/>
    <w:rsid w:val="0016327F"/>
    <w:rsid w:val="0016329C"/>
    <w:rsid w:val="00163CC4"/>
    <w:rsid w:val="00164A68"/>
    <w:rsid w:val="00164D39"/>
    <w:rsid w:val="00164EBA"/>
    <w:rsid w:val="00164F95"/>
    <w:rsid w:val="00165236"/>
    <w:rsid w:val="001654EC"/>
    <w:rsid w:val="00165F7A"/>
    <w:rsid w:val="0016602E"/>
    <w:rsid w:val="0016606D"/>
    <w:rsid w:val="00166E03"/>
    <w:rsid w:val="00166EC0"/>
    <w:rsid w:val="0016783F"/>
    <w:rsid w:val="00167BBB"/>
    <w:rsid w:val="00170001"/>
    <w:rsid w:val="00170AF0"/>
    <w:rsid w:val="0017112C"/>
    <w:rsid w:val="00171383"/>
    <w:rsid w:val="001715F4"/>
    <w:rsid w:val="001717D5"/>
    <w:rsid w:val="00172545"/>
    <w:rsid w:val="0017274C"/>
    <w:rsid w:val="00172E65"/>
    <w:rsid w:val="00174970"/>
    <w:rsid w:val="00174EF1"/>
    <w:rsid w:val="001751A3"/>
    <w:rsid w:val="00175523"/>
    <w:rsid w:val="001757F4"/>
    <w:rsid w:val="00175B13"/>
    <w:rsid w:val="00176312"/>
    <w:rsid w:val="0017645E"/>
    <w:rsid w:val="001765CD"/>
    <w:rsid w:val="001766AC"/>
    <w:rsid w:val="00176784"/>
    <w:rsid w:val="00176A9E"/>
    <w:rsid w:val="00176DF2"/>
    <w:rsid w:val="001772D6"/>
    <w:rsid w:val="001773C2"/>
    <w:rsid w:val="00177825"/>
    <w:rsid w:val="001778A3"/>
    <w:rsid w:val="00177C84"/>
    <w:rsid w:val="001803D9"/>
    <w:rsid w:val="001805F2"/>
    <w:rsid w:val="00180F00"/>
    <w:rsid w:val="0018203B"/>
    <w:rsid w:val="0018260A"/>
    <w:rsid w:val="00182933"/>
    <w:rsid w:val="00182F8E"/>
    <w:rsid w:val="0018358B"/>
    <w:rsid w:val="00184CA3"/>
    <w:rsid w:val="00185714"/>
    <w:rsid w:val="00185860"/>
    <w:rsid w:val="001862FE"/>
    <w:rsid w:val="001868FC"/>
    <w:rsid w:val="00186958"/>
    <w:rsid w:val="0018796F"/>
    <w:rsid w:val="00187B02"/>
    <w:rsid w:val="00190C1D"/>
    <w:rsid w:val="00190D37"/>
    <w:rsid w:val="00190E0B"/>
    <w:rsid w:val="001911B9"/>
    <w:rsid w:val="001912C4"/>
    <w:rsid w:val="00191753"/>
    <w:rsid w:val="0019262C"/>
    <w:rsid w:val="00192957"/>
    <w:rsid w:val="00192C1C"/>
    <w:rsid w:val="001938BF"/>
    <w:rsid w:val="00194ECF"/>
    <w:rsid w:val="00194F1B"/>
    <w:rsid w:val="001950AE"/>
    <w:rsid w:val="001952E6"/>
    <w:rsid w:val="001953E6"/>
    <w:rsid w:val="0019554C"/>
    <w:rsid w:val="00195853"/>
    <w:rsid w:val="00196A6E"/>
    <w:rsid w:val="00196B92"/>
    <w:rsid w:val="00196CB9"/>
    <w:rsid w:val="00196D74"/>
    <w:rsid w:val="00196D7F"/>
    <w:rsid w:val="00196F4C"/>
    <w:rsid w:val="00197A0D"/>
    <w:rsid w:val="00197BF1"/>
    <w:rsid w:val="001A0037"/>
    <w:rsid w:val="001A00B8"/>
    <w:rsid w:val="001A0674"/>
    <w:rsid w:val="001A0937"/>
    <w:rsid w:val="001A0F20"/>
    <w:rsid w:val="001A1048"/>
    <w:rsid w:val="001A14C3"/>
    <w:rsid w:val="001A1DA1"/>
    <w:rsid w:val="001A1E3B"/>
    <w:rsid w:val="001A22F4"/>
    <w:rsid w:val="001A235C"/>
    <w:rsid w:val="001A2B41"/>
    <w:rsid w:val="001A34D3"/>
    <w:rsid w:val="001A37AB"/>
    <w:rsid w:val="001A3909"/>
    <w:rsid w:val="001A3B37"/>
    <w:rsid w:val="001A4049"/>
    <w:rsid w:val="001A409D"/>
    <w:rsid w:val="001A4480"/>
    <w:rsid w:val="001A5A7C"/>
    <w:rsid w:val="001A5C52"/>
    <w:rsid w:val="001A60D9"/>
    <w:rsid w:val="001A618E"/>
    <w:rsid w:val="001A648B"/>
    <w:rsid w:val="001A65E8"/>
    <w:rsid w:val="001A6972"/>
    <w:rsid w:val="001A7EC1"/>
    <w:rsid w:val="001B0324"/>
    <w:rsid w:val="001B0976"/>
    <w:rsid w:val="001B0CEF"/>
    <w:rsid w:val="001B10A9"/>
    <w:rsid w:val="001B1BFF"/>
    <w:rsid w:val="001B21E6"/>
    <w:rsid w:val="001B21FE"/>
    <w:rsid w:val="001B26DB"/>
    <w:rsid w:val="001B289A"/>
    <w:rsid w:val="001B2CEE"/>
    <w:rsid w:val="001B2F19"/>
    <w:rsid w:val="001B32A0"/>
    <w:rsid w:val="001B3358"/>
    <w:rsid w:val="001B37FE"/>
    <w:rsid w:val="001B3E04"/>
    <w:rsid w:val="001B4511"/>
    <w:rsid w:val="001B4BAD"/>
    <w:rsid w:val="001B53B5"/>
    <w:rsid w:val="001B5C5C"/>
    <w:rsid w:val="001B6871"/>
    <w:rsid w:val="001B767E"/>
    <w:rsid w:val="001B77B2"/>
    <w:rsid w:val="001B7C3D"/>
    <w:rsid w:val="001B7C98"/>
    <w:rsid w:val="001C0213"/>
    <w:rsid w:val="001C0325"/>
    <w:rsid w:val="001C03E2"/>
    <w:rsid w:val="001C0947"/>
    <w:rsid w:val="001C0C09"/>
    <w:rsid w:val="001C0D15"/>
    <w:rsid w:val="001C1061"/>
    <w:rsid w:val="001C283C"/>
    <w:rsid w:val="001C2A80"/>
    <w:rsid w:val="001C3006"/>
    <w:rsid w:val="001C3117"/>
    <w:rsid w:val="001C40F9"/>
    <w:rsid w:val="001C43AE"/>
    <w:rsid w:val="001C4453"/>
    <w:rsid w:val="001C4E2D"/>
    <w:rsid w:val="001C4E7D"/>
    <w:rsid w:val="001C5130"/>
    <w:rsid w:val="001C5422"/>
    <w:rsid w:val="001C5BA3"/>
    <w:rsid w:val="001C75A7"/>
    <w:rsid w:val="001C7D9E"/>
    <w:rsid w:val="001C7EB8"/>
    <w:rsid w:val="001D0634"/>
    <w:rsid w:val="001D08CB"/>
    <w:rsid w:val="001D0F85"/>
    <w:rsid w:val="001D12EC"/>
    <w:rsid w:val="001D144D"/>
    <w:rsid w:val="001D1568"/>
    <w:rsid w:val="001D18B2"/>
    <w:rsid w:val="001D18E7"/>
    <w:rsid w:val="001D1BD8"/>
    <w:rsid w:val="001D27D3"/>
    <w:rsid w:val="001D2A04"/>
    <w:rsid w:val="001D2C51"/>
    <w:rsid w:val="001D3E99"/>
    <w:rsid w:val="001D45D8"/>
    <w:rsid w:val="001D4696"/>
    <w:rsid w:val="001D521C"/>
    <w:rsid w:val="001D534B"/>
    <w:rsid w:val="001D54FD"/>
    <w:rsid w:val="001D5657"/>
    <w:rsid w:val="001D6629"/>
    <w:rsid w:val="001D76A8"/>
    <w:rsid w:val="001D7D74"/>
    <w:rsid w:val="001E0171"/>
    <w:rsid w:val="001E0298"/>
    <w:rsid w:val="001E05C0"/>
    <w:rsid w:val="001E0A47"/>
    <w:rsid w:val="001E104C"/>
    <w:rsid w:val="001E1680"/>
    <w:rsid w:val="001E2483"/>
    <w:rsid w:val="001E3413"/>
    <w:rsid w:val="001E394C"/>
    <w:rsid w:val="001E44FD"/>
    <w:rsid w:val="001E454D"/>
    <w:rsid w:val="001E50E9"/>
    <w:rsid w:val="001E582A"/>
    <w:rsid w:val="001E6827"/>
    <w:rsid w:val="001E68FC"/>
    <w:rsid w:val="001E6EEC"/>
    <w:rsid w:val="001E7060"/>
    <w:rsid w:val="001E7BDA"/>
    <w:rsid w:val="001E7C80"/>
    <w:rsid w:val="001F00E3"/>
    <w:rsid w:val="001F04F7"/>
    <w:rsid w:val="001F152A"/>
    <w:rsid w:val="001F16AE"/>
    <w:rsid w:val="001F16F1"/>
    <w:rsid w:val="001F2017"/>
    <w:rsid w:val="001F2158"/>
    <w:rsid w:val="001F24CD"/>
    <w:rsid w:val="001F2D54"/>
    <w:rsid w:val="001F2EAA"/>
    <w:rsid w:val="001F35DD"/>
    <w:rsid w:val="001F414E"/>
    <w:rsid w:val="001F4BD9"/>
    <w:rsid w:val="001F4C1C"/>
    <w:rsid w:val="001F4CEC"/>
    <w:rsid w:val="001F4D03"/>
    <w:rsid w:val="001F556B"/>
    <w:rsid w:val="001F59E9"/>
    <w:rsid w:val="001F5B61"/>
    <w:rsid w:val="001F5C70"/>
    <w:rsid w:val="001F64ED"/>
    <w:rsid w:val="001F7291"/>
    <w:rsid w:val="001F7344"/>
    <w:rsid w:val="001F7E53"/>
    <w:rsid w:val="001F7F9F"/>
    <w:rsid w:val="002002B7"/>
    <w:rsid w:val="002002F2"/>
    <w:rsid w:val="0020081C"/>
    <w:rsid w:val="00200AF2"/>
    <w:rsid w:val="00200C7E"/>
    <w:rsid w:val="00200CE8"/>
    <w:rsid w:val="00201617"/>
    <w:rsid w:val="00201668"/>
    <w:rsid w:val="00201C2E"/>
    <w:rsid w:val="00202004"/>
    <w:rsid w:val="00202BC5"/>
    <w:rsid w:val="00202E03"/>
    <w:rsid w:val="002030A8"/>
    <w:rsid w:val="00203CE8"/>
    <w:rsid w:val="00203D0A"/>
    <w:rsid w:val="00204D74"/>
    <w:rsid w:val="00204FB4"/>
    <w:rsid w:val="00205440"/>
    <w:rsid w:val="00205B77"/>
    <w:rsid w:val="00207162"/>
    <w:rsid w:val="00207902"/>
    <w:rsid w:val="00207F7D"/>
    <w:rsid w:val="002104B3"/>
    <w:rsid w:val="00210591"/>
    <w:rsid w:val="00211907"/>
    <w:rsid w:val="00211C68"/>
    <w:rsid w:val="00211E82"/>
    <w:rsid w:val="002121F6"/>
    <w:rsid w:val="00212262"/>
    <w:rsid w:val="00212548"/>
    <w:rsid w:val="00212A4C"/>
    <w:rsid w:val="00213245"/>
    <w:rsid w:val="00213F9A"/>
    <w:rsid w:val="00214BF1"/>
    <w:rsid w:val="00214D3C"/>
    <w:rsid w:val="00214EBA"/>
    <w:rsid w:val="0021578B"/>
    <w:rsid w:val="002158EB"/>
    <w:rsid w:val="00215919"/>
    <w:rsid w:val="002168B9"/>
    <w:rsid w:val="002169F6"/>
    <w:rsid w:val="00216E39"/>
    <w:rsid w:val="002170AA"/>
    <w:rsid w:val="00217D93"/>
    <w:rsid w:val="002206CD"/>
    <w:rsid w:val="00220B12"/>
    <w:rsid w:val="00221116"/>
    <w:rsid w:val="002217E0"/>
    <w:rsid w:val="002218C2"/>
    <w:rsid w:val="002219AB"/>
    <w:rsid w:val="00221FCE"/>
    <w:rsid w:val="0022200B"/>
    <w:rsid w:val="0022252F"/>
    <w:rsid w:val="00222FB1"/>
    <w:rsid w:val="002230DA"/>
    <w:rsid w:val="002230EC"/>
    <w:rsid w:val="002239EF"/>
    <w:rsid w:val="00223E12"/>
    <w:rsid w:val="002242F7"/>
    <w:rsid w:val="00224333"/>
    <w:rsid w:val="00224358"/>
    <w:rsid w:val="00224689"/>
    <w:rsid w:val="00224FEB"/>
    <w:rsid w:val="00225846"/>
    <w:rsid w:val="00225ADA"/>
    <w:rsid w:val="00225AEE"/>
    <w:rsid w:val="0022604E"/>
    <w:rsid w:val="002261C5"/>
    <w:rsid w:val="0022628D"/>
    <w:rsid w:val="00227C42"/>
    <w:rsid w:val="0023010F"/>
    <w:rsid w:val="0023025B"/>
    <w:rsid w:val="002306E2"/>
    <w:rsid w:val="00230B42"/>
    <w:rsid w:val="0023101B"/>
    <w:rsid w:val="00231D09"/>
    <w:rsid w:val="00232761"/>
    <w:rsid w:val="00232898"/>
    <w:rsid w:val="00233142"/>
    <w:rsid w:val="00233548"/>
    <w:rsid w:val="00233826"/>
    <w:rsid w:val="00233875"/>
    <w:rsid w:val="00233B12"/>
    <w:rsid w:val="00233C31"/>
    <w:rsid w:val="0023428F"/>
    <w:rsid w:val="002348C2"/>
    <w:rsid w:val="00234983"/>
    <w:rsid w:val="00234ED3"/>
    <w:rsid w:val="002359EF"/>
    <w:rsid w:val="00235C98"/>
    <w:rsid w:val="00235EDD"/>
    <w:rsid w:val="00236168"/>
    <w:rsid w:val="002370ED"/>
    <w:rsid w:val="00237500"/>
    <w:rsid w:val="00240352"/>
    <w:rsid w:val="00240A0D"/>
    <w:rsid w:val="00240FD5"/>
    <w:rsid w:val="00243032"/>
    <w:rsid w:val="00243234"/>
    <w:rsid w:val="002435DB"/>
    <w:rsid w:val="0024385E"/>
    <w:rsid w:val="00243BE5"/>
    <w:rsid w:val="00243C7F"/>
    <w:rsid w:val="00244004"/>
    <w:rsid w:val="002440CD"/>
    <w:rsid w:val="00244B44"/>
    <w:rsid w:val="0024553B"/>
    <w:rsid w:val="00245BA8"/>
    <w:rsid w:val="00245C77"/>
    <w:rsid w:val="00245D1D"/>
    <w:rsid w:val="002463FA"/>
    <w:rsid w:val="00246F61"/>
    <w:rsid w:val="0024709E"/>
    <w:rsid w:val="002470C3"/>
    <w:rsid w:val="002472DA"/>
    <w:rsid w:val="002473B0"/>
    <w:rsid w:val="00247B36"/>
    <w:rsid w:val="00247E17"/>
    <w:rsid w:val="00247E94"/>
    <w:rsid w:val="0025029E"/>
    <w:rsid w:val="002504A8"/>
    <w:rsid w:val="00250B64"/>
    <w:rsid w:val="00250C36"/>
    <w:rsid w:val="00250ED8"/>
    <w:rsid w:val="00250F1E"/>
    <w:rsid w:val="00250F30"/>
    <w:rsid w:val="00251575"/>
    <w:rsid w:val="002517B2"/>
    <w:rsid w:val="00251CC0"/>
    <w:rsid w:val="00251F7E"/>
    <w:rsid w:val="0025201A"/>
    <w:rsid w:val="002538E3"/>
    <w:rsid w:val="00253DDF"/>
    <w:rsid w:val="00253E37"/>
    <w:rsid w:val="002541CE"/>
    <w:rsid w:val="0025476F"/>
    <w:rsid w:val="00254978"/>
    <w:rsid w:val="002549F3"/>
    <w:rsid w:val="00254D21"/>
    <w:rsid w:val="00255ED5"/>
    <w:rsid w:val="00256445"/>
    <w:rsid w:val="00256593"/>
    <w:rsid w:val="00256F01"/>
    <w:rsid w:val="00256F36"/>
    <w:rsid w:val="00257067"/>
    <w:rsid w:val="0025755E"/>
    <w:rsid w:val="002577C4"/>
    <w:rsid w:val="00257A09"/>
    <w:rsid w:val="00257DBD"/>
    <w:rsid w:val="0026093D"/>
    <w:rsid w:val="00260C67"/>
    <w:rsid w:val="00260C87"/>
    <w:rsid w:val="00260FB0"/>
    <w:rsid w:val="00261A78"/>
    <w:rsid w:val="00261AF8"/>
    <w:rsid w:val="00262FA6"/>
    <w:rsid w:val="0026327E"/>
    <w:rsid w:val="002636D0"/>
    <w:rsid w:val="00263949"/>
    <w:rsid w:val="002642FE"/>
    <w:rsid w:val="00264785"/>
    <w:rsid w:val="00265713"/>
    <w:rsid w:val="00265768"/>
    <w:rsid w:val="002660BE"/>
    <w:rsid w:val="00266368"/>
    <w:rsid w:val="00266529"/>
    <w:rsid w:val="00266535"/>
    <w:rsid w:val="0026654F"/>
    <w:rsid w:val="00267294"/>
    <w:rsid w:val="00267981"/>
    <w:rsid w:val="00267B58"/>
    <w:rsid w:val="00267F78"/>
    <w:rsid w:val="00270573"/>
    <w:rsid w:val="00271328"/>
    <w:rsid w:val="002714B9"/>
    <w:rsid w:val="00271CD0"/>
    <w:rsid w:val="002723D3"/>
    <w:rsid w:val="002729DE"/>
    <w:rsid w:val="00272C18"/>
    <w:rsid w:val="00272D28"/>
    <w:rsid w:val="002740AC"/>
    <w:rsid w:val="00274ADE"/>
    <w:rsid w:val="002750AF"/>
    <w:rsid w:val="0027534E"/>
    <w:rsid w:val="0027565C"/>
    <w:rsid w:val="00276552"/>
    <w:rsid w:val="00276779"/>
    <w:rsid w:val="002767D4"/>
    <w:rsid w:val="002769CE"/>
    <w:rsid w:val="00276BD1"/>
    <w:rsid w:val="00277BE0"/>
    <w:rsid w:val="00277C6F"/>
    <w:rsid w:val="00280B8B"/>
    <w:rsid w:val="002812D2"/>
    <w:rsid w:val="00281635"/>
    <w:rsid w:val="00281C0D"/>
    <w:rsid w:val="002826F7"/>
    <w:rsid w:val="00282983"/>
    <w:rsid w:val="002829C0"/>
    <w:rsid w:val="00282BAC"/>
    <w:rsid w:val="002833F3"/>
    <w:rsid w:val="00283714"/>
    <w:rsid w:val="002839EA"/>
    <w:rsid w:val="002839ED"/>
    <w:rsid w:val="00283AC5"/>
    <w:rsid w:val="00284E0D"/>
    <w:rsid w:val="002854E1"/>
    <w:rsid w:val="00285B85"/>
    <w:rsid w:val="0028629E"/>
    <w:rsid w:val="002869BB"/>
    <w:rsid w:val="00286E30"/>
    <w:rsid w:val="002878BC"/>
    <w:rsid w:val="00287CBA"/>
    <w:rsid w:val="00287E42"/>
    <w:rsid w:val="00287F62"/>
    <w:rsid w:val="002903B2"/>
    <w:rsid w:val="0029081F"/>
    <w:rsid w:val="00290EC3"/>
    <w:rsid w:val="002912AE"/>
    <w:rsid w:val="00291731"/>
    <w:rsid w:val="00291972"/>
    <w:rsid w:val="00292748"/>
    <w:rsid w:val="002931BB"/>
    <w:rsid w:val="002934DC"/>
    <w:rsid w:val="002938B9"/>
    <w:rsid w:val="00293B70"/>
    <w:rsid w:val="00294570"/>
    <w:rsid w:val="002945AF"/>
    <w:rsid w:val="00294825"/>
    <w:rsid w:val="00294D74"/>
    <w:rsid w:val="00295CE4"/>
    <w:rsid w:val="002964EA"/>
    <w:rsid w:val="00296760"/>
    <w:rsid w:val="0029683E"/>
    <w:rsid w:val="00296A1F"/>
    <w:rsid w:val="00296A54"/>
    <w:rsid w:val="002970A4"/>
    <w:rsid w:val="00297357"/>
    <w:rsid w:val="00297638"/>
    <w:rsid w:val="00297B27"/>
    <w:rsid w:val="002A02AD"/>
    <w:rsid w:val="002A05B2"/>
    <w:rsid w:val="002A0CC8"/>
    <w:rsid w:val="002A127F"/>
    <w:rsid w:val="002A1C37"/>
    <w:rsid w:val="002A2D19"/>
    <w:rsid w:val="002A3272"/>
    <w:rsid w:val="002A3363"/>
    <w:rsid w:val="002A3370"/>
    <w:rsid w:val="002A349D"/>
    <w:rsid w:val="002A350F"/>
    <w:rsid w:val="002A356B"/>
    <w:rsid w:val="002A35B4"/>
    <w:rsid w:val="002A37E5"/>
    <w:rsid w:val="002A3AC9"/>
    <w:rsid w:val="002A4BCD"/>
    <w:rsid w:val="002A5451"/>
    <w:rsid w:val="002A62E3"/>
    <w:rsid w:val="002A63C7"/>
    <w:rsid w:val="002A6861"/>
    <w:rsid w:val="002A70B0"/>
    <w:rsid w:val="002B05B3"/>
    <w:rsid w:val="002B1082"/>
    <w:rsid w:val="002B1827"/>
    <w:rsid w:val="002B1D1C"/>
    <w:rsid w:val="002B21CF"/>
    <w:rsid w:val="002B2670"/>
    <w:rsid w:val="002B2907"/>
    <w:rsid w:val="002B2F99"/>
    <w:rsid w:val="002B3B9E"/>
    <w:rsid w:val="002B430D"/>
    <w:rsid w:val="002B4AE2"/>
    <w:rsid w:val="002B4ED0"/>
    <w:rsid w:val="002B5532"/>
    <w:rsid w:val="002B5B15"/>
    <w:rsid w:val="002B5D50"/>
    <w:rsid w:val="002B5F25"/>
    <w:rsid w:val="002B726F"/>
    <w:rsid w:val="002B7454"/>
    <w:rsid w:val="002B7B1D"/>
    <w:rsid w:val="002C1090"/>
    <w:rsid w:val="002C1553"/>
    <w:rsid w:val="002C181B"/>
    <w:rsid w:val="002C20A1"/>
    <w:rsid w:val="002C257B"/>
    <w:rsid w:val="002C2605"/>
    <w:rsid w:val="002C2781"/>
    <w:rsid w:val="002C28D9"/>
    <w:rsid w:val="002C308B"/>
    <w:rsid w:val="002C38C6"/>
    <w:rsid w:val="002C3C63"/>
    <w:rsid w:val="002C4A98"/>
    <w:rsid w:val="002C5283"/>
    <w:rsid w:val="002C530A"/>
    <w:rsid w:val="002C5411"/>
    <w:rsid w:val="002C60E1"/>
    <w:rsid w:val="002C69FC"/>
    <w:rsid w:val="002C6A69"/>
    <w:rsid w:val="002C6C8A"/>
    <w:rsid w:val="002C7438"/>
    <w:rsid w:val="002C76F1"/>
    <w:rsid w:val="002C785D"/>
    <w:rsid w:val="002D04F2"/>
    <w:rsid w:val="002D1429"/>
    <w:rsid w:val="002D149C"/>
    <w:rsid w:val="002D1C2B"/>
    <w:rsid w:val="002D1D52"/>
    <w:rsid w:val="002D23AA"/>
    <w:rsid w:val="002D2627"/>
    <w:rsid w:val="002D284F"/>
    <w:rsid w:val="002D2B7F"/>
    <w:rsid w:val="002D31BF"/>
    <w:rsid w:val="002D3465"/>
    <w:rsid w:val="002D37D9"/>
    <w:rsid w:val="002D3A4F"/>
    <w:rsid w:val="002D44AE"/>
    <w:rsid w:val="002D4B81"/>
    <w:rsid w:val="002D4D70"/>
    <w:rsid w:val="002D4F64"/>
    <w:rsid w:val="002D4FCB"/>
    <w:rsid w:val="002D58D6"/>
    <w:rsid w:val="002D5A3B"/>
    <w:rsid w:val="002D5D33"/>
    <w:rsid w:val="002D5D86"/>
    <w:rsid w:val="002D6772"/>
    <w:rsid w:val="002D6910"/>
    <w:rsid w:val="002D6BC0"/>
    <w:rsid w:val="002D6C2B"/>
    <w:rsid w:val="002D71D1"/>
    <w:rsid w:val="002D7345"/>
    <w:rsid w:val="002D7EE1"/>
    <w:rsid w:val="002E0261"/>
    <w:rsid w:val="002E06D4"/>
    <w:rsid w:val="002E1245"/>
    <w:rsid w:val="002E1754"/>
    <w:rsid w:val="002E1DEF"/>
    <w:rsid w:val="002E235D"/>
    <w:rsid w:val="002E2B13"/>
    <w:rsid w:val="002E2F40"/>
    <w:rsid w:val="002E35B1"/>
    <w:rsid w:val="002E35DC"/>
    <w:rsid w:val="002E3796"/>
    <w:rsid w:val="002E3AD7"/>
    <w:rsid w:val="002E5482"/>
    <w:rsid w:val="002E54DE"/>
    <w:rsid w:val="002E5F39"/>
    <w:rsid w:val="002E6C63"/>
    <w:rsid w:val="002E6EBD"/>
    <w:rsid w:val="002E6EE7"/>
    <w:rsid w:val="002E76AD"/>
    <w:rsid w:val="002E794D"/>
    <w:rsid w:val="002F01EC"/>
    <w:rsid w:val="002F0428"/>
    <w:rsid w:val="002F094E"/>
    <w:rsid w:val="002F097F"/>
    <w:rsid w:val="002F1D77"/>
    <w:rsid w:val="002F1F2C"/>
    <w:rsid w:val="002F2D96"/>
    <w:rsid w:val="002F371E"/>
    <w:rsid w:val="002F391B"/>
    <w:rsid w:val="002F3C00"/>
    <w:rsid w:val="002F41A6"/>
    <w:rsid w:val="002F4377"/>
    <w:rsid w:val="002F4592"/>
    <w:rsid w:val="002F45D2"/>
    <w:rsid w:val="002F4ACB"/>
    <w:rsid w:val="002F5220"/>
    <w:rsid w:val="002F559E"/>
    <w:rsid w:val="002F6040"/>
    <w:rsid w:val="002F637C"/>
    <w:rsid w:val="002F64B4"/>
    <w:rsid w:val="002F6DA7"/>
    <w:rsid w:val="002F7380"/>
    <w:rsid w:val="002F7A79"/>
    <w:rsid w:val="00300379"/>
    <w:rsid w:val="003003E5"/>
    <w:rsid w:val="00300AF0"/>
    <w:rsid w:val="00301255"/>
    <w:rsid w:val="0030291A"/>
    <w:rsid w:val="00302C0F"/>
    <w:rsid w:val="00302D72"/>
    <w:rsid w:val="003031DB"/>
    <w:rsid w:val="00303786"/>
    <w:rsid w:val="003038C5"/>
    <w:rsid w:val="00303E65"/>
    <w:rsid w:val="003053A4"/>
    <w:rsid w:val="00305689"/>
    <w:rsid w:val="00305B02"/>
    <w:rsid w:val="00305B27"/>
    <w:rsid w:val="00306373"/>
    <w:rsid w:val="00307506"/>
    <w:rsid w:val="003106E1"/>
    <w:rsid w:val="00310B00"/>
    <w:rsid w:val="00310FC8"/>
    <w:rsid w:val="00311037"/>
    <w:rsid w:val="00312137"/>
    <w:rsid w:val="003126FF"/>
    <w:rsid w:val="00312914"/>
    <w:rsid w:val="00312987"/>
    <w:rsid w:val="00313127"/>
    <w:rsid w:val="003131CB"/>
    <w:rsid w:val="003140A6"/>
    <w:rsid w:val="003140DF"/>
    <w:rsid w:val="00314852"/>
    <w:rsid w:val="00314B36"/>
    <w:rsid w:val="00314E21"/>
    <w:rsid w:val="00314ECA"/>
    <w:rsid w:val="00314F48"/>
    <w:rsid w:val="003152A8"/>
    <w:rsid w:val="00315578"/>
    <w:rsid w:val="00315730"/>
    <w:rsid w:val="0031599A"/>
    <w:rsid w:val="00315F11"/>
    <w:rsid w:val="00316055"/>
    <w:rsid w:val="00316784"/>
    <w:rsid w:val="00316869"/>
    <w:rsid w:val="00316906"/>
    <w:rsid w:val="00316D9E"/>
    <w:rsid w:val="00317808"/>
    <w:rsid w:val="0032050C"/>
    <w:rsid w:val="003205B1"/>
    <w:rsid w:val="00320891"/>
    <w:rsid w:val="00320C30"/>
    <w:rsid w:val="00321801"/>
    <w:rsid w:val="003218DF"/>
    <w:rsid w:val="00321B26"/>
    <w:rsid w:val="00321BE6"/>
    <w:rsid w:val="00322862"/>
    <w:rsid w:val="00322AAF"/>
    <w:rsid w:val="00322D42"/>
    <w:rsid w:val="003231D9"/>
    <w:rsid w:val="00323431"/>
    <w:rsid w:val="00325091"/>
    <w:rsid w:val="0032559D"/>
    <w:rsid w:val="0032568F"/>
    <w:rsid w:val="00325E2E"/>
    <w:rsid w:val="00327573"/>
    <w:rsid w:val="003275C1"/>
    <w:rsid w:val="00327A2D"/>
    <w:rsid w:val="00327D56"/>
    <w:rsid w:val="00330447"/>
    <w:rsid w:val="00330957"/>
    <w:rsid w:val="00330E92"/>
    <w:rsid w:val="003310DF"/>
    <w:rsid w:val="003317C5"/>
    <w:rsid w:val="0033208B"/>
    <w:rsid w:val="00332204"/>
    <w:rsid w:val="0033247A"/>
    <w:rsid w:val="00333031"/>
    <w:rsid w:val="00333C5C"/>
    <w:rsid w:val="00333C80"/>
    <w:rsid w:val="00333DC4"/>
    <w:rsid w:val="0033400C"/>
    <w:rsid w:val="00334466"/>
    <w:rsid w:val="003345F0"/>
    <w:rsid w:val="00335131"/>
    <w:rsid w:val="00335E13"/>
    <w:rsid w:val="00335FCB"/>
    <w:rsid w:val="00335FD8"/>
    <w:rsid w:val="00337D0F"/>
    <w:rsid w:val="00337E5A"/>
    <w:rsid w:val="003403E6"/>
    <w:rsid w:val="00340588"/>
    <w:rsid w:val="00340A33"/>
    <w:rsid w:val="00340A6A"/>
    <w:rsid w:val="00340D43"/>
    <w:rsid w:val="00340EB1"/>
    <w:rsid w:val="003413BF"/>
    <w:rsid w:val="003417C6"/>
    <w:rsid w:val="00342438"/>
    <w:rsid w:val="00342626"/>
    <w:rsid w:val="00342B6B"/>
    <w:rsid w:val="00343000"/>
    <w:rsid w:val="00343161"/>
    <w:rsid w:val="00343706"/>
    <w:rsid w:val="003438BD"/>
    <w:rsid w:val="00343C30"/>
    <w:rsid w:val="00344060"/>
    <w:rsid w:val="003445DE"/>
    <w:rsid w:val="00344866"/>
    <w:rsid w:val="00345206"/>
    <w:rsid w:val="0034537D"/>
    <w:rsid w:val="003455F4"/>
    <w:rsid w:val="00346ED3"/>
    <w:rsid w:val="00347337"/>
    <w:rsid w:val="00347626"/>
    <w:rsid w:val="00347997"/>
    <w:rsid w:val="00347E0C"/>
    <w:rsid w:val="003504A9"/>
    <w:rsid w:val="00350B12"/>
    <w:rsid w:val="00351130"/>
    <w:rsid w:val="003517AC"/>
    <w:rsid w:val="0035184E"/>
    <w:rsid w:val="00351ABF"/>
    <w:rsid w:val="00351B9A"/>
    <w:rsid w:val="00351F3B"/>
    <w:rsid w:val="00352816"/>
    <w:rsid w:val="00352FF4"/>
    <w:rsid w:val="003530E9"/>
    <w:rsid w:val="003532A3"/>
    <w:rsid w:val="003537E1"/>
    <w:rsid w:val="00353807"/>
    <w:rsid w:val="003539A6"/>
    <w:rsid w:val="003539C0"/>
    <w:rsid w:val="00353A18"/>
    <w:rsid w:val="00353AF0"/>
    <w:rsid w:val="00353B85"/>
    <w:rsid w:val="003541F4"/>
    <w:rsid w:val="003544EA"/>
    <w:rsid w:val="0035462D"/>
    <w:rsid w:val="00354A0E"/>
    <w:rsid w:val="003551B5"/>
    <w:rsid w:val="0035582D"/>
    <w:rsid w:val="003558F1"/>
    <w:rsid w:val="00355F92"/>
    <w:rsid w:val="0035636F"/>
    <w:rsid w:val="00356705"/>
    <w:rsid w:val="00356879"/>
    <w:rsid w:val="0035717A"/>
    <w:rsid w:val="003574D9"/>
    <w:rsid w:val="00357AB6"/>
    <w:rsid w:val="003604F8"/>
    <w:rsid w:val="003608B3"/>
    <w:rsid w:val="00360A39"/>
    <w:rsid w:val="00360D14"/>
    <w:rsid w:val="00360DA8"/>
    <w:rsid w:val="003615A6"/>
    <w:rsid w:val="00362C7C"/>
    <w:rsid w:val="003631F4"/>
    <w:rsid w:val="003633FB"/>
    <w:rsid w:val="00363848"/>
    <w:rsid w:val="003646D0"/>
    <w:rsid w:val="00364772"/>
    <w:rsid w:val="003648CA"/>
    <w:rsid w:val="00364BA0"/>
    <w:rsid w:val="00365018"/>
    <w:rsid w:val="00365571"/>
    <w:rsid w:val="003658B2"/>
    <w:rsid w:val="00365DE3"/>
    <w:rsid w:val="003661B9"/>
    <w:rsid w:val="00366440"/>
    <w:rsid w:val="0036783E"/>
    <w:rsid w:val="00367AC9"/>
    <w:rsid w:val="00370165"/>
    <w:rsid w:val="003701F7"/>
    <w:rsid w:val="00370DBB"/>
    <w:rsid w:val="00370DF5"/>
    <w:rsid w:val="00370E0A"/>
    <w:rsid w:val="003717C4"/>
    <w:rsid w:val="003718E4"/>
    <w:rsid w:val="00371DCA"/>
    <w:rsid w:val="00371E5B"/>
    <w:rsid w:val="0037214C"/>
    <w:rsid w:val="00372848"/>
    <w:rsid w:val="00373CF6"/>
    <w:rsid w:val="00373D1C"/>
    <w:rsid w:val="00373E63"/>
    <w:rsid w:val="003742A2"/>
    <w:rsid w:val="00374936"/>
    <w:rsid w:val="00374E57"/>
    <w:rsid w:val="00375045"/>
    <w:rsid w:val="0037527C"/>
    <w:rsid w:val="003756EF"/>
    <w:rsid w:val="00375ACA"/>
    <w:rsid w:val="003761EA"/>
    <w:rsid w:val="0037630B"/>
    <w:rsid w:val="00376884"/>
    <w:rsid w:val="003774F9"/>
    <w:rsid w:val="003778AF"/>
    <w:rsid w:val="00377EFD"/>
    <w:rsid w:val="00377F0C"/>
    <w:rsid w:val="0038018E"/>
    <w:rsid w:val="003808CE"/>
    <w:rsid w:val="00381045"/>
    <w:rsid w:val="00381CFD"/>
    <w:rsid w:val="00381D27"/>
    <w:rsid w:val="00381DA3"/>
    <w:rsid w:val="00381F9F"/>
    <w:rsid w:val="00382988"/>
    <w:rsid w:val="00382B69"/>
    <w:rsid w:val="00384CBF"/>
    <w:rsid w:val="00385114"/>
    <w:rsid w:val="00385129"/>
    <w:rsid w:val="00385150"/>
    <w:rsid w:val="003853BF"/>
    <w:rsid w:val="00385B5A"/>
    <w:rsid w:val="00385E48"/>
    <w:rsid w:val="00385E8D"/>
    <w:rsid w:val="0038633B"/>
    <w:rsid w:val="003869D8"/>
    <w:rsid w:val="00386C5C"/>
    <w:rsid w:val="00387027"/>
    <w:rsid w:val="00387029"/>
    <w:rsid w:val="00387361"/>
    <w:rsid w:val="00387CC7"/>
    <w:rsid w:val="003902D6"/>
    <w:rsid w:val="00390886"/>
    <w:rsid w:val="00391878"/>
    <w:rsid w:val="00391F64"/>
    <w:rsid w:val="0039219E"/>
    <w:rsid w:val="00392316"/>
    <w:rsid w:val="00392744"/>
    <w:rsid w:val="00392911"/>
    <w:rsid w:val="00393354"/>
    <w:rsid w:val="00393433"/>
    <w:rsid w:val="00393B07"/>
    <w:rsid w:val="00393BED"/>
    <w:rsid w:val="0039438A"/>
    <w:rsid w:val="0039459D"/>
    <w:rsid w:val="00394A6C"/>
    <w:rsid w:val="00395112"/>
    <w:rsid w:val="00395117"/>
    <w:rsid w:val="0039553B"/>
    <w:rsid w:val="00395657"/>
    <w:rsid w:val="00395B31"/>
    <w:rsid w:val="00395F61"/>
    <w:rsid w:val="0039615A"/>
    <w:rsid w:val="00396ACB"/>
    <w:rsid w:val="00396B69"/>
    <w:rsid w:val="00396B7A"/>
    <w:rsid w:val="0039732B"/>
    <w:rsid w:val="003A028F"/>
    <w:rsid w:val="003A06EF"/>
    <w:rsid w:val="003A0EDE"/>
    <w:rsid w:val="003A11F3"/>
    <w:rsid w:val="003A2434"/>
    <w:rsid w:val="003A2438"/>
    <w:rsid w:val="003A2DB7"/>
    <w:rsid w:val="003A312B"/>
    <w:rsid w:val="003A3513"/>
    <w:rsid w:val="003A357A"/>
    <w:rsid w:val="003A364F"/>
    <w:rsid w:val="003A39AD"/>
    <w:rsid w:val="003A3F36"/>
    <w:rsid w:val="003A4250"/>
    <w:rsid w:val="003A433F"/>
    <w:rsid w:val="003A43F3"/>
    <w:rsid w:val="003A4490"/>
    <w:rsid w:val="003A46BA"/>
    <w:rsid w:val="003A4BA6"/>
    <w:rsid w:val="003A4FAD"/>
    <w:rsid w:val="003A56A7"/>
    <w:rsid w:val="003A5E9C"/>
    <w:rsid w:val="003A608C"/>
    <w:rsid w:val="003A6277"/>
    <w:rsid w:val="003A7689"/>
    <w:rsid w:val="003B0240"/>
    <w:rsid w:val="003B0841"/>
    <w:rsid w:val="003B118F"/>
    <w:rsid w:val="003B137E"/>
    <w:rsid w:val="003B1401"/>
    <w:rsid w:val="003B168B"/>
    <w:rsid w:val="003B1988"/>
    <w:rsid w:val="003B1D7E"/>
    <w:rsid w:val="003B1FFA"/>
    <w:rsid w:val="003B27B3"/>
    <w:rsid w:val="003B2DDF"/>
    <w:rsid w:val="003B32C1"/>
    <w:rsid w:val="003B34D3"/>
    <w:rsid w:val="003B4DA8"/>
    <w:rsid w:val="003B4E3E"/>
    <w:rsid w:val="003B511F"/>
    <w:rsid w:val="003B5EE6"/>
    <w:rsid w:val="003B6247"/>
    <w:rsid w:val="003B6608"/>
    <w:rsid w:val="003B697E"/>
    <w:rsid w:val="003B6B91"/>
    <w:rsid w:val="003B6EA8"/>
    <w:rsid w:val="003B72C3"/>
    <w:rsid w:val="003B760E"/>
    <w:rsid w:val="003B7CA3"/>
    <w:rsid w:val="003B7D65"/>
    <w:rsid w:val="003B7E0D"/>
    <w:rsid w:val="003B7EF3"/>
    <w:rsid w:val="003C1864"/>
    <w:rsid w:val="003C188A"/>
    <w:rsid w:val="003C1983"/>
    <w:rsid w:val="003C1E49"/>
    <w:rsid w:val="003C2401"/>
    <w:rsid w:val="003C27C2"/>
    <w:rsid w:val="003C3734"/>
    <w:rsid w:val="003C5099"/>
    <w:rsid w:val="003C50A9"/>
    <w:rsid w:val="003C50EB"/>
    <w:rsid w:val="003C5743"/>
    <w:rsid w:val="003C5E74"/>
    <w:rsid w:val="003C6205"/>
    <w:rsid w:val="003C679E"/>
    <w:rsid w:val="003C68D1"/>
    <w:rsid w:val="003C7409"/>
    <w:rsid w:val="003D069B"/>
    <w:rsid w:val="003D0860"/>
    <w:rsid w:val="003D096E"/>
    <w:rsid w:val="003D1384"/>
    <w:rsid w:val="003D219F"/>
    <w:rsid w:val="003D2333"/>
    <w:rsid w:val="003D25F1"/>
    <w:rsid w:val="003D274F"/>
    <w:rsid w:val="003D28AC"/>
    <w:rsid w:val="003D3916"/>
    <w:rsid w:val="003D3D0B"/>
    <w:rsid w:val="003D3E04"/>
    <w:rsid w:val="003D3EFC"/>
    <w:rsid w:val="003D4257"/>
    <w:rsid w:val="003D456A"/>
    <w:rsid w:val="003D4ACF"/>
    <w:rsid w:val="003D4B37"/>
    <w:rsid w:val="003D54E4"/>
    <w:rsid w:val="003D5FEE"/>
    <w:rsid w:val="003D62FF"/>
    <w:rsid w:val="003D67CA"/>
    <w:rsid w:val="003D6D6B"/>
    <w:rsid w:val="003D7605"/>
    <w:rsid w:val="003D775F"/>
    <w:rsid w:val="003D7B06"/>
    <w:rsid w:val="003D7F65"/>
    <w:rsid w:val="003E07D4"/>
    <w:rsid w:val="003E0A49"/>
    <w:rsid w:val="003E0EFA"/>
    <w:rsid w:val="003E12E9"/>
    <w:rsid w:val="003E2BAE"/>
    <w:rsid w:val="003E2C2A"/>
    <w:rsid w:val="003E2C35"/>
    <w:rsid w:val="003E2DBF"/>
    <w:rsid w:val="003E33D3"/>
    <w:rsid w:val="003E3A14"/>
    <w:rsid w:val="003E3B28"/>
    <w:rsid w:val="003E3B5E"/>
    <w:rsid w:val="003E4B34"/>
    <w:rsid w:val="003E4FBA"/>
    <w:rsid w:val="003E5E29"/>
    <w:rsid w:val="003E6696"/>
    <w:rsid w:val="003E6DAA"/>
    <w:rsid w:val="003E743E"/>
    <w:rsid w:val="003E7467"/>
    <w:rsid w:val="003E7508"/>
    <w:rsid w:val="003E7AA7"/>
    <w:rsid w:val="003E7E4A"/>
    <w:rsid w:val="003F0A63"/>
    <w:rsid w:val="003F10FA"/>
    <w:rsid w:val="003F16BF"/>
    <w:rsid w:val="003F17EF"/>
    <w:rsid w:val="003F1C3F"/>
    <w:rsid w:val="003F2570"/>
    <w:rsid w:val="003F2734"/>
    <w:rsid w:val="003F2ABF"/>
    <w:rsid w:val="003F30FA"/>
    <w:rsid w:val="003F31FA"/>
    <w:rsid w:val="003F3609"/>
    <w:rsid w:val="003F3687"/>
    <w:rsid w:val="003F3721"/>
    <w:rsid w:val="003F3761"/>
    <w:rsid w:val="003F3F43"/>
    <w:rsid w:val="003F45C4"/>
    <w:rsid w:val="003F4BF6"/>
    <w:rsid w:val="003F4F52"/>
    <w:rsid w:val="003F4F5D"/>
    <w:rsid w:val="003F5C43"/>
    <w:rsid w:val="003F5ECB"/>
    <w:rsid w:val="003F66A6"/>
    <w:rsid w:val="003F69B3"/>
    <w:rsid w:val="0040008C"/>
    <w:rsid w:val="0040034F"/>
    <w:rsid w:val="0040069A"/>
    <w:rsid w:val="00400936"/>
    <w:rsid w:val="00400BE3"/>
    <w:rsid w:val="00401259"/>
    <w:rsid w:val="0040199B"/>
    <w:rsid w:val="00401C83"/>
    <w:rsid w:val="00401D53"/>
    <w:rsid w:val="0040225F"/>
    <w:rsid w:val="004023EB"/>
    <w:rsid w:val="00402CF0"/>
    <w:rsid w:val="00402E9D"/>
    <w:rsid w:val="004030E6"/>
    <w:rsid w:val="00403201"/>
    <w:rsid w:val="00403410"/>
    <w:rsid w:val="00403698"/>
    <w:rsid w:val="0040375B"/>
    <w:rsid w:val="00403E55"/>
    <w:rsid w:val="00404020"/>
    <w:rsid w:val="00404884"/>
    <w:rsid w:val="00404B41"/>
    <w:rsid w:val="00405385"/>
    <w:rsid w:val="004056C4"/>
    <w:rsid w:val="004068E4"/>
    <w:rsid w:val="00406AD3"/>
    <w:rsid w:val="00407258"/>
    <w:rsid w:val="004072D6"/>
    <w:rsid w:val="0040799E"/>
    <w:rsid w:val="004103C7"/>
    <w:rsid w:val="00410505"/>
    <w:rsid w:val="00410CD8"/>
    <w:rsid w:val="0041128C"/>
    <w:rsid w:val="004114C6"/>
    <w:rsid w:val="00411E2D"/>
    <w:rsid w:val="0041218A"/>
    <w:rsid w:val="004127BD"/>
    <w:rsid w:val="00412FEE"/>
    <w:rsid w:val="00413512"/>
    <w:rsid w:val="0041377B"/>
    <w:rsid w:val="00413946"/>
    <w:rsid w:val="00413E30"/>
    <w:rsid w:val="004141A1"/>
    <w:rsid w:val="00415E70"/>
    <w:rsid w:val="004160B6"/>
    <w:rsid w:val="0041694E"/>
    <w:rsid w:val="0041738A"/>
    <w:rsid w:val="00417721"/>
    <w:rsid w:val="00417B7A"/>
    <w:rsid w:val="00417C3F"/>
    <w:rsid w:val="00417E3A"/>
    <w:rsid w:val="004200C5"/>
    <w:rsid w:val="0042133F"/>
    <w:rsid w:val="0042161B"/>
    <w:rsid w:val="004216B1"/>
    <w:rsid w:val="00421C1E"/>
    <w:rsid w:val="00421EC7"/>
    <w:rsid w:val="00422100"/>
    <w:rsid w:val="004226FB"/>
    <w:rsid w:val="004228F4"/>
    <w:rsid w:val="00422B77"/>
    <w:rsid w:val="00423690"/>
    <w:rsid w:val="00423D01"/>
    <w:rsid w:val="00423F8C"/>
    <w:rsid w:val="0042428F"/>
    <w:rsid w:val="004245D7"/>
    <w:rsid w:val="004246F9"/>
    <w:rsid w:val="004250B6"/>
    <w:rsid w:val="00425428"/>
    <w:rsid w:val="00425577"/>
    <w:rsid w:val="004258DD"/>
    <w:rsid w:val="00425D76"/>
    <w:rsid w:val="0042637A"/>
    <w:rsid w:val="004273CB"/>
    <w:rsid w:val="00427714"/>
    <w:rsid w:val="00427C46"/>
    <w:rsid w:val="00427E3A"/>
    <w:rsid w:val="00430DFA"/>
    <w:rsid w:val="00430F0F"/>
    <w:rsid w:val="0043110B"/>
    <w:rsid w:val="004311D6"/>
    <w:rsid w:val="00431DC3"/>
    <w:rsid w:val="00431F1D"/>
    <w:rsid w:val="00432BC8"/>
    <w:rsid w:val="00433011"/>
    <w:rsid w:val="0043330C"/>
    <w:rsid w:val="00433728"/>
    <w:rsid w:val="004339E2"/>
    <w:rsid w:val="00433D14"/>
    <w:rsid w:val="0043481F"/>
    <w:rsid w:val="00434C17"/>
    <w:rsid w:val="00435397"/>
    <w:rsid w:val="00435D86"/>
    <w:rsid w:val="00435EC9"/>
    <w:rsid w:val="00436009"/>
    <w:rsid w:val="004360F6"/>
    <w:rsid w:val="0043613F"/>
    <w:rsid w:val="004364A8"/>
    <w:rsid w:val="00436D2D"/>
    <w:rsid w:val="00437207"/>
    <w:rsid w:val="004372E1"/>
    <w:rsid w:val="004378CB"/>
    <w:rsid w:val="00437B89"/>
    <w:rsid w:val="00437C31"/>
    <w:rsid w:val="004401F9"/>
    <w:rsid w:val="004403B4"/>
    <w:rsid w:val="00441D31"/>
    <w:rsid w:val="00441E88"/>
    <w:rsid w:val="00442258"/>
    <w:rsid w:val="00442D8A"/>
    <w:rsid w:val="00442F02"/>
    <w:rsid w:val="00442F76"/>
    <w:rsid w:val="0044324F"/>
    <w:rsid w:val="00443546"/>
    <w:rsid w:val="0044393B"/>
    <w:rsid w:val="00443AE7"/>
    <w:rsid w:val="00443D29"/>
    <w:rsid w:val="004452B6"/>
    <w:rsid w:val="00445660"/>
    <w:rsid w:val="004464A9"/>
    <w:rsid w:val="0044666E"/>
    <w:rsid w:val="0044677B"/>
    <w:rsid w:val="0044689D"/>
    <w:rsid w:val="00446FB2"/>
    <w:rsid w:val="0044719D"/>
    <w:rsid w:val="00447B7A"/>
    <w:rsid w:val="004500AD"/>
    <w:rsid w:val="00450569"/>
    <w:rsid w:val="00451955"/>
    <w:rsid w:val="00452187"/>
    <w:rsid w:val="0045250A"/>
    <w:rsid w:val="00452F37"/>
    <w:rsid w:val="004531C7"/>
    <w:rsid w:val="004535B7"/>
    <w:rsid w:val="004537D2"/>
    <w:rsid w:val="00453A7C"/>
    <w:rsid w:val="00453EDE"/>
    <w:rsid w:val="004541FE"/>
    <w:rsid w:val="004544E9"/>
    <w:rsid w:val="0045464E"/>
    <w:rsid w:val="004547DE"/>
    <w:rsid w:val="00454BD9"/>
    <w:rsid w:val="00454C6A"/>
    <w:rsid w:val="0045517E"/>
    <w:rsid w:val="00455760"/>
    <w:rsid w:val="0045615D"/>
    <w:rsid w:val="00456697"/>
    <w:rsid w:val="00456AD0"/>
    <w:rsid w:val="004573CF"/>
    <w:rsid w:val="00457674"/>
    <w:rsid w:val="004576FE"/>
    <w:rsid w:val="0046011C"/>
    <w:rsid w:val="00460759"/>
    <w:rsid w:val="00460E59"/>
    <w:rsid w:val="004612F8"/>
    <w:rsid w:val="00461847"/>
    <w:rsid w:val="0046188C"/>
    <w:rsid w:val="00462099"/>
    <w:rsid w:val="00462195"/>
    <w:rsid w:val="0046262D"/>
    <w:rsid w:val="004627B2"/>
    <w:rsid w:val="00462D21"/>
    <w:rsid w:val="00463178"/>
    <w:rsid w:val="0046374A"/>
    <w:rsid w:val="00463AF6"/>
    <w:rsid w:val="00463C35"/>
    <w:rsid w:val="0046405F"/>
    <w:rsid w:val="004641DA"/>
    <w:rsid w:val="00464B6D"/>
    <w:rsid w:val="00464C74"/>
    <w:rsid w:val="00465713"/>
    <w:rsid w:val="00465FCC"/>
    <w:rsid w:val="00466626"/>
    <w:rsid w:val="00467114"/>
    <w:rsid w:val="00467253"/>
    <w:rsid w:val="00467813"/>
    <w:rsid w:val="00467ABA"/>
    <w:rsid w:val="00467E1F"/>
    <w:rsid w:val="00470679"/>
    <w:rsid w:val="00470EA8"/>
    <w:rsid w:val="004710EB"/>
    <w:rsid w:val="004714C0"/>
    <w:rsid w:val="00471B7B"/>
    <w:rsid w:val="00472D2A"/>
    <w:rsid w:val="00472D70"/>
    <w:rsid w:val="00473A1C"/>
    <w:rsid w:val="0047402F"/>
    <w:rsid w:val="0047451F"/>
    <w:rsid w:val="004746BC"/>
    <w:rsid w:val="00474894"/>
    <w:rsid w:val="00474D45"/>
    <w:rsid w:val="00475A89"/>
    <w:rsid w:val="00475AA0"/>
    <w:rsid w:val="00475B7C"/>
    <w:rsid w:val="00475F00"/>
    <w:rsid w:val="0047629D"/>
    <w:rsid w:val="004764A2"/>
    <w:rsid w:val="00476C6F"/>
    <w:rsid w:val="00476EAB"/>
    <w:rsid w:val="004770D1"/>
    <w:rsid w:val="00477B86"/>
    <w:rsid w:val="00477C6F"/>
    <w:rsid w:val="0048013C"/>
    <w:rsid w:val="00480313"/>
    <w:rsid w:val="0048070B"/>
    <w:rsid w:val="00480845"/>
    <w:rsid w:val="00480A50"/>
    <w:rsid w:val="004812A4"/>
    <w:rsid w:val="004815F5"/>
    <w:rsid w:val="00481B7E"/>
    <w:rsid w:val="0048244E"/>
    <w:rsid w:val="0048352E"/>
    <w:rsid w:val="00483A2E"/>
    <w:rsid w:val="00483F1E"/>
    <w:rsid w:val="004842B0"/>
    <w:rsid w:val="004846A6"/>
    <w:rsid w:val="004851C1"/>
    <w:rsid w:val="00485674"/>
    <w:rsid w:val="00485AB3"/>
    <w:rsid w:val="00485B24"/>
    <w:rsid w:val="00485DBC"/>
    <w:rsid w:val="0048677E"/>
    <w:rsid w:val="004868C9"/>
    <w:rsid w:val="00486B94"/>
    <w:rsid w:val="00486CE3"/>
    <w:rsid w:val="00487A64"/>
    <w:rsid w:val="00487F14"/>
    <w:rsid w:val="00490182"/>
    <w:rsid w:val="004902F4"/>
    <w:rsid w:val="0049087C"/>
    <w:rsid w:val="00490B3A"/>
    <w:rsid w:val="00491217"/>
    <w:rsid w:val="004918F0"/>
    <w:rsid w:val="00491968"/>
    <w:rsid w:val="00491970"/>
    <w:rsid w:val="00491A3D"/>
    <w:rsid w:val="00491D2E"/>
    <w:rsid w:val="00491D3D"/>
    <w:rsid w:val="00491F36"/>
    <w:rsid w:val="00492A15"/>
    <w:rsid w:val="004932EB"/>
    <w:rsid w:val="00493376"/>
    <w:rsid w:val="004938F4"/>
    <w:rsid w:val="00494196"/>
    <w:rsid w:val="0049426C"/>
    <w:rsid w:val="00494395"/>
    <w:rsid w:val="004943F4"/>
    <w:rsid w:val="0049444D"/>
    <w:rsid w:val="004947BE"/>
    <w:rsid w:val="0049493E"/>
    <w:rsid w:val="00494A1A"/>
    <w:rsid w:val="00494B9C"/>
    <w:rsid w:val="00494BFF"/>
    <w:rsid w:val="00495647"/>
    <w:rsid w:val="004956AF"/>
    <w:rsid w:val="00495BB2"/>
    <w:rsid w:val="00495C6E"/>
    <w:rsid w:val="00495C82"/>
    <w:rsid w:val="00495DFD"/>
    <w:rsid w:val="00496289"/>
    <w:rsid w:val="0049628E"/>
    <w:rsid w:val="004962BE"/>
    <w:rsid w:val="004965C4"/>
    <w:rsid w:val="00496961"/>
    <w:rsid w:val="00496BF1"/>
    <w:rsid w:val="00496E91"/>
    <w:rsid w:val="00496FAD"/>
    <w:rsid w:val="00497505"/>
    <w:rsid w:val="00497BE7"/>
    <w:rsid w:val="004A0549"/>
    <w:rsid w:val="004A12A0"/>
    <w:rsid w:val="004A12C2"/>
    <w:rsid w:val="004A1EB3"/>
    <w:rsid w:val="004A22B1"/>
    <w:rsid w:val="004A3053"/>
    <w:rsid w:val="004A319A"/>
    <w:rsid w:val="004A3659"/>
    <w:rsid w:val="004A3664"/>
    <w:rsid w:val="004A3918"/>
    <w:rsid w:val="004A41A3"/>
    <w:rsid w:val="004A4631"/>
    <w:rsid w:val="004A4951"/>
    <w:rsid w:val="004A53D8"/>
    <w:rsid w:val="004A5661"/>
    <w:rsid w:val="004A5D45"/>
    <w:rsid w:val="004A645D"/>
    <w:rsid w:val="004A6B63"/>
    <w:rsid w:val="004A788D"/>
    <w:rsid w:val="004A7A99"/>
    <w:rsid w:val="004B00E5"/>
    <w:rsid w:val="004B06F3"/>
    <w:rsid w:val="004B0893"/>
    <w:rsid w:val="004B0DDE"/>
    <w:rsid w:val="004B1937"/>
    <w:rsid w:val="004B1973"/>
    <w:rsid w:val="004B1993"/>
    <w:rsid w:val="004B2055"/>
    <w:rsid w:val="004B2147"/>
    <w:rsid w:val="004B338B"/>
    <w:rsid w:val="004B373C"/>
    <w:rsid w:val="004B3B1D"/>
    <w:rsid w:val="004B4124"/>
    <w:rsid w:val="004B4211"/>
    <w:rsid w:val="004B4373"/>
    <w:rsid w:val="004B43B5"/>
    <w:rsid w:val="004B43E4"/>
    <w:rsid w:val="004B46A7"/>
    <w:rsid w:val="004B52B9"/>
    <w:rsid w:val="004B5B37"/>
    <w:rsid w:val="004B5DD2"/>
    <w:rsid w:val="004B5E09"/>
    <w:rsid w:val="004B5EE1"/>
    <w:rsid w:val="004B5FDE"/>
    <w:rsid w:val="004B60F2"/>
    <w:rsid w:val="004B62C6"/>
    <w:rsid w:val="004C00BA"/>
    <w:rsid w:val="004C15CE"/>
    <w:rsid w:val="004C1847"/>
    <w:rsid w:val="004C1B85"/>
    <w:rsid w:val="004C1DE5"/>
    <w:rsid w:val="004C1EB7"/>
    <w:rsid w:val="004C245F"/>
    <w:rsid w:val="004C2A56"/>
    <w:rsid w:val="004C2CAC"/>
    <w:rsid w:val="004C2D6F"/>
    <w:rsid w:val="004C341B"/>
    <w:rsid w:val="004C35AD"/>
    <w:rsid w:val="004C36B9"/>
    <w:rsid w:val="004C37DD"/>
    <w:rsid w:val="004C411C"/>
    <w:rsid w:val="004C442F"/>
    <w:rsid w:val="004C455A"/>
    <w:rsid w:val="004C4989"/>
    <w:rsid w:val="004C52C5"/>
    <w:rsid w:val="004C574A"/>
    <w:rsid w:val="004C5E69"/>
    <w:rsid w:val="004C6014"/>
    <w:rsid w:val="004C6253"/>
    <w:rsid w:val="004C65C8"/>
    <w:rsid w:val="004C660E"/>
    <w:rsid w:val="004C67E8"/>
    <w:rsid w:val="004C6874"/>
    <w:rsid w:val="004C69B5"/>
    <w:rsid w:val="004C6B99"/>
    <w:rsid w:val="004C732F"/>
    <w:rsid w:val="004C7459"/>
    <w:rsid w:val="004C7C66"/>
    <w:rsid w:val="004D05B9"/>
    <w:rsid w:val="004D06C8"/>
    <w:rsid w:val="004D0D6A"/>
    <w:rsid w:val="004D0D6E"/>
    <w:rsid w:val="004D11C0"/>
    <w:rsid w:val="004D14B4"/>
    <w:rsid w:val="004D1C1C"/>
    <w:rsid w:val="004D1E0B"/>
    <w:rsid w:val="004D1EF5"/>
    <w:rsid w:val="004D26DF"/>
    <w:rsid w:val="004D278F"/>
    <w:rsid w:val="004D2DC4"/>
    <w:rsid w:val="004D3E1A"/>
    <w:rsid w:val="004D3F61"/>
    <w:rsid w:val="004D45B0"/>
    <w:rsid w:val="004D4973"/>
    <w:rsid w:val="004D49FE"/>
    <w:rsid w:val="004D511B"/>
    <w:rsid w:val="004D5850"/>
    <w:rsid w:val="004D58DD"/>
    <w:rsid w:val="004D5B21"/>
    <w:rsid w:val="004D5FD9"/>
    <w:rsid w:val="004D6F38"/>
    <w:rsid w:val="004D6FB2"/>
    <w:rsid w:val="004D7543"/>
    <w:rsid w:val="004D7B1C"/>
    <w:rsid w:val="004E1B62"/>
    <w:rsid w:val="004E1DC2"/>
    <w:rsid w:val="004E20DB"/>
    <w:rsid w:val="004E2AF1"/>
    <w:rsid w:val="004E2E38"/>
    <w:rsid w:val="004E3261"/>
    <w:rsid w:val="004E3868"/>
    <w:rsid w:val="004E3917"/>
    <w:rsid w:val="004E41FB"/>
    <w:rsid w:val="004E4760"/>
    <w:rsid w:val="004E4D27"/>
    <w:rsid w:val="004E51E9"/>
    <w:rsid w:val="004E529B"/>
    <w:rsid w:val="004E559F"/>
    <w:rsid w:val="004E5A23"/>
    <w:rsid w:val="004E5B73"/>
    <w:rsid w:val="004E5E97"/>
    <w:rsid w:val="004E60A2"/>
    <w:rsid w:val="004E6506"/>
    <w:rsid w:val="004E70BC"/>
    <w:rsid w:val="004E7268"/>
    <w:rsid w:val="004E7849"/>
    <w:rsid w:val="004F1374"/>
    <w:rsid w:val="004F13D9"/>
    <w:rsid w:val="004F2282"/>
    <w:rsid w:val="004F2E97"/>
    <w:rsid w:val="004F3239"/>
    <w:rsid w:val="004F34A1"/>
    <w:rsid w:val="004F389D"/>
    <w:rsid w:val="004F4695"/>
    <w:rsid w:val="004F4806"/>
    <w:rsid w:val="004F4C21"/>
    <w:rsid w:val="004F4C5B"/>
    <w:rsid w:val="004F4F9D"/>
    <w:rsid w:val="004F5A23"/>
    <w:rsid w:val="004F61F2"/>
    <w:rsid w:val="004F655E"/>
    <w:rsid w:val="004F6C27"/>
    <w:rsid w:val="004F749A"/>
    <w:rsid w:val="004F7995"/>
    <w:rsid w:val="004F7BA3"/>
    <w:rsid w:val="004F7F59"/>
    <w:rsid w:val="0050014A"/>
    <w:rsid w:val="00501525"/>
    <w:rsid w:val="005015BD"/>
    <w:rsid w:val="00501679"/>
    <w:rsid w:val="005017A7"/>
    <w:rsid w:val="005019CE"/>
    <w:rsid w:val="00501ED1"/>
    <w:rsid w:val="00501FC4"/>
    <w:rsid w:val="0050212C"/>
    <w:rsid w:val="005023E7"/>
    <w:rsid w:val="00502CDA"/>
    <w:rsid w:val="00502E89"/>
    <w:rsid w:val="00502F33"/>
    <w:rsid w:val="00503C72"/>
    <w:rsid w:val="00503F26"/>
    <w:rsid w:val="00504BE3"/>
    <w:rsid w:val="005052CE"/>
    <w:rsid w:val="00505835"/>
    <w:rsid w:val="00505C84"/>
    <w:rsid w:val="00506996"/>
    <w:rsid w:val="005074F6"/>
    <w:rsid w:val="00507826"/>
    <w:rsid w:val="00507DDE"/>
    <w:rsid w:val="00507E40"/>
    <w:rsid w:val="00507F8E"/>
    <w:rsid w:val="00510C85"/>
    <w:rsid w:val="00510E13"/>
    <w:rsid w:val="00511295"/>
    <w:rsid w:val="005113BF"/>
    <w:rsid w:val="00511635"/>
    <w:rsid w:val="005118C3"/>
    <w:rsid w:val="00512209"/>
    <w:rsid w:val="00512271"/>
    <w:rsid w:val="00512E69"/>
    <w:rsid w:val="00513041"/>
    <w:rsid w:val="0051345F"/>
    <w:rsid w:val="005139CC"/>
    <w:rsid w:val="00513C6B"/>
    <w:rsid w:val="00513C96"/>
    <w:rsid w:val="0051439E"/>
    <w:rsid w:val="005147D4"/>
    <w:rsid w:val="00514A80"/>
    <w:rsid w:val="005150B5"/>
    <w:rsid w:val="00515CE7"/>
    <w:rsid w:val="00515D16"/>
    <w:rsid w:val="00515D9C"/>
    <w:rsid w:val="00515FE5"/>
    <w:rsid w:val="00516261"/>
    <w:rsid w:val="00516818"/>
    <w:rsid w:val="00516C90"/>
    <w:rsid w:val="00516D9A"/>
    <w:rsid w:val="00516F17"/>
    <w:rsid w:val="005173B0"/>
    <w:rsid w:val="0051744F"/>
    <w:rsid w:val="00517BB1"/>
    <w:rsid w:val="00517E61"/>
    <w:rsid w:val="00517EBC"/>
    <w:rsid w:val="00521697"/>
    <w:rsid w:val="00521B10"/>
    <w:rsid w:val="00521DF0"/>
    <w:rsid w:val="00523653"/>
    <w:rsid w:val="00523916"/>
    <w:rsid w:val="0052395B"/>
    <w:rsid w:val="005245CC"/>
    <w:rsid w:val="0052464B"/>
    <w:rsid w:val="0052473D"/>
    <w:rsid w:val="00524772"/>
    <w:rsid w:val="00524D06"/>
    <w:rsid w:val="005257FA"/>
    <w:rsid w:val="00526F75"/>
    <w:rsid w:val="0052743B"/>
    <w:rsid w:val="005276DF"/>
    <w:rsid w:val="00527F2B"/>
    <w:rsid w:val="00530C5C"/>
    <w:rsid w:val="00530EE9"/>
    <w:rsid w:val="005319CD"/>
    <w:rsid w:val="00531AC9"/>
    <w:rsid w:val="00532058"/>
    <w:rsid w:val="0053227D"/>
    <w:rsid w:val="005327F0"/>
    <w:rsid w:val="00532823"/>
    <w:rsid w:val="00532CC6"/>
    <w:rsid w:val="00533120"/>
    <w:rsid w:val="00533DAA"/>
    <w:rsid w:val="00534356"/>
    <w:rsid w:val="00534E67"/>
    <w:rsid w:val="005351B3"/>
    <w:rsid w:val="005356F1"/>
    <w:rsid w:val="005362B2"/>
    <w:rsid w:val="005362BE"/>
    <w:rsid w:val="005362C2"/>
    <w:rsid w:val="00536393"/>
    <w:rsid w:val="0053666C"/>
    <w:rsid w:val="00536921"/>
    <w:rsid w:val="00536A27"/>
    <w:rsid w:val="00536F7B"/>
    <w:rsid w:val="00537220"/>
    <w:rsid w:val="0054034F"/>
    <w:rsid w:val="00540A34"/>
    <w:rsid w:val="00540ACF"/>
    <w:rsid w:val="00540E21"/>
    <w:rsid w:val="0054190D"/>
    <w:rsid w:val="005419A6"/>
    <w:rsid w:val="00542060"/>
    <w:rsid w:val="0054220E"/>
    <w:rsid w:val="005434D1"/>
    <w:rsid w:val="0054366A"/>
    <w:rsid w:val="00543C87"/>
    <w:rsid w:val="00543E92"/>
    <w:rsid w:val="00544897"/>
    <w:rsid w:val="00544F51"/>
    <w:rsid w:val="00545011"/>
    <w:rsid w:val="00545E1F"/>
    <w:rsid w:val="00545E53"/>
    <w:rsid w:val="0054646A"/>
    <w:rsid w:val="005500DE"/>
    <w:rsid w:val="00550E81"/>
    <w:rsid w:val="00550EA6"/>
    <w:rsid w:val="00551462"/>
    <w:rsid w:val="00551CEE"/>
    <w:rsid w:val="00551E92"/>
    <w:rsid w:val="00551F6C"/>
    <w:rsid w:val="005520A9"/>
    <w:rsid w:val="005520DA"/>
    <w:rsid w:val="005521D2"/>
    <w:rsid w:val="00553373"/>
    <w:rsid w:val="005536D3"/>
    <w:rsid w:val="00555837"/>
    <w:rsid w:val="00555C8E"/>
    <w:rsid w:val="00555D13"/>
    <w:rsid w:val="00555F93"/>
    <w:rsid w:val="00557660"/>
    <w:rsid w:val="005576C1"/>
    <w:rsid w:val="005613A0"/>
    <w:rsid w:val="005615D4"/>
    <w:rsid w:val="00561E95"/>
    <w:rsid w:val="00562EFB"/>
    <w:rsid w:val="005631A6"/>
    <w:rsid w:val="005631DE"/>
    <w:rsid w:val="00563357"/>
    <w:rsid w:val="005639BA"/>
    <w:rsid w:val="005649BF"/>
    <w:rsid w:val="00564AAD"/>
    <w:rsid w:val="00564B3D"/>
    <w:rsid w:val="00564B4E"/>
    <w:rsid w:val="005653EE"/>
    <w:rsid w:val="005659E8"/>
    <w:rsid w:val="00565B0E"/>
    <w:rsid w:val="00565DDC"/>
    <w:rsid w:val="00565E0F"/>
    <w:rsid w:val="005661B3"/>
    <w:rsid w:val="00566854"/>
    <w:rsid w:val="0056778B"/>
    <w:rsid w:val="00567919"/>
    <w:rsid w:val="00567A55"/>
    <w:rsid w:val="00567C64"/>
    <w:rsid w:val="00567D7F"/>
    <w:rsid w:val="00570085"/>
    <w:rsid w:val="005706AA"/>
    <w:rsid w:val="00570750"/>
    <w:rsid w:val="00570B30"/>
    <w:rsid w:val="005712C0"/>
    <w:rsid w:val="005712FD"/>
    <w:rsid w:val="005714AB"/>
    <w:rsid w:val="0057180F"/>
    <w:rsid w:val="0057223C"/>
    <w:rsid w:val="00572A50"/>
    <w:rsid w:val="00573F3E"/>
    <w:rsid w:val="005744BB"/>
    <w:rsid w:val="005744D0"/>
    <w:rsid w:val="00574E16"/>
    <w:rsid w:val="00574EE2"/>
    <w:rsid w:val="0057587F"/>
    <w:rsid w:val="00575894"/>
    <w:rsid w:val="0057591C"/>
    <w:rsid w:val="00575B4D"/>
    <w:rsid w:val="00575FAF"/>
    <w:rsid w:val="00576113"/>
    <w:rsid w:val="00576215"/>
    <w:rsid w:val="00576480"/>
    <w:rsid w:val="00576A45"/>
    <w:rsid w:val="00577944"/>
    <w:rsid w:val="005801A0"/>
    <w:rsid w:val="00580422"/>
    <w:rsid w:val="0058068D"/>
    <w:rsid w:val="005807FE"/>
    <w:rsid w:val="00580C41"/>
    <w:rsid w:val="00581100"/>
    <w:rsid w:val="0058169E"/>
    <w:rsid w:val="00581721"/>
    <w:rsid w:val="0058177D"/>
    <w:rsid w:val="005819C7"/>
    <w:rsid w:val="00581BE1"/>
    <w:rsid w:val="00581D7A"/>
    <w:rsid w:val="005823EF"/>
    <w:rsid w:val="005824AD"/>
    <w:rsid w:val="0058254E"/>
    <w:rsid w:val="00582662"/>
    <w:rsid w:val="00582B65"/>
    <w:rsid w:val="00582E5F"/>
    <w:rsid w:val="00583399"/>
    <w:rsid w:val="005836EE"/>
    <w:rsid w:val="00583B5A"/>
    <w:rsid w:val="00584215"/>
    <w:rsid w:val="0058468C"/>
    <w:rsid w:val="005849D3"/>
    <w:rsid w:val="00584B89"/>
    <w:rsid w:val="0058511C"/>
    <w:rsid w:val="005853B1"/>
    <w:rsid w:val="00586066"/>
    <w:rsid w:val="00586172"/>
    <w:rsid w:val="0058630D"/>
    <w:rsid w:val="00587405"/>
    <w:rsid w:val="005876F6"/>
    <w:rsid w:val="00590368"/>
    <w:rsid w:val="00590A6C"/>
    <w:rsid w:val="00590F0B"/>
    <w:rsid w:val="00591C9E"/>
    <w:rsid w:val="00592902"/>
    <w:rsid w:val="0059350E"/>
    <w:rsid w:val="005935FC"/>
    <w:rsid w:val="00593D54"/>
    <w:rsid w:val="005945AB"/>
    <w:rsid w:val="00594695"/>
    <w:rsid w:val="00594B54"/>
    <w:rsid w:val="00595A0C"/>
    <w:rsid w:val="00595FEC"/>
    <w:rsid w:val="00596024"/>
    <w:rsid w:val="005964EB"/>
    <w:rsid w:val="00596691"/>
    <w:rsid w:val="005970C3"/>
    <w:rsid w:val="00597A5E"/>
    <w:rsid w:val="00597A71"/>
    <w:rsid w:val="00597E04"/>
    <w:rsid w:val="00597E66"/>
    <w:rsid w:val="00597EE1"/>
    <w:rsid w:val="005A0614"/>
    <w:rsid w:val="005A0640"/>
    <w:rsid w:val="005A1A55"/>
    <w:rsid w:val="005A1DCB"/>
    <w:rsid w:val="005A2FC6"/>
    <w:rsid w:val="005A332D"/>
    <w:rsid w:val="005A4463"/>
    <w:rsid w:val="005A5367"/>
    <w:rsid w:val="005A593E"/>
    <w:rsid w:val="005A596D"/>
    <w:rsid w:val="005A5A5D"/>
    <w:rsid w:val="005A60A0"/>
    <w:rsid w:val="005A644C"/>
    <w:rsid w:val="005A684F"/>
    <w:rsid w:val="005A6C20"/>
    <w:rsid w:val="005A7B16"/>
    <w:rsid w:val="005A7E57"/>
    <w:rsid w:val="005B0B54"/>
    <w:rsid w:val="005B0F02"/>
    <w:rsid w:val="005B1288"/>
    <w:rsid w:val="005B13C5"/>
    <w:rsid w:val="005B2A45"/>
    <w:rsid w:val="005B2BAC"/>
    <w:rsid w:val="005B30A7"/>
    <w:rsid w:val="005B34A9"/>
    <w:rsid w:val="005B3838"/>
    <w:rsid w:val="005B3916"/>
    <w:rsid w:val="005B41B6"/>
    <w:rsid w:val="005B48B5"/>
    <w:rsid w:val="005B49AC"/>
    <w:rsid w:val="005B510A"/>
    <w:rsid w:val="005B534A"/>
    <w:rsid w:val="005B5400"/>
    <w:rsid w:val="005B5511"/>
    <w:rsid w:val="005B57B4"/>
    <w:rsid w:val="005B5A17"/>
    <w:rsid w:val="005B5EAC"/>
    <w:rsid w:val="005B6E66"/>
    <w:rsid w:val="005B7893"/>
    <w:rsid w:val="005B7D5F"/>
    <w:rsid w:val="005B7F78"/>
    <w:rsid w:val="005C06FB"/>
    <w:rsid w:val="005C0C37"/>
    <w:rsid w:val="005C1532"/>
    <w:rsid w:val="005C1837"/>
    <w:rsid w:val="005C1CF8"/>
    <w:rsid w:val="005C1D02"/>
    <w:rsid w:val="005C1FA3"/>
    <w:rsid w:val="005C29AC"/>
    <w:rsid w:val="005C2C2A"/>
    <w:rsid w:val="005C2EA7"/>
    <w:rsid w:val="005C2F74"/>
    <w:rsid w:val="005C3697"/>
    <w:rsid w:val="005C3BCE"/>
    <w:rsid w:val="005C4C82"/>
    <w:rsid w:val="005C50BC"/>
    <w:rsid w:val="005C5484"/>
    <w:rsid w:val="005C55A9"/>
    <w:rsid w:val="005C5996"/>
    <w:rsid w:val="005C59B9"/>
    <w:rsid w:val="005C60C0"/>
    <w:rsid w:val="005C6579"/>
    <w:rsid w:val="005C65B6"/>
    <w:rsid w:val="005C6B78"/>
    <w:rsid w:val="005C7866"/>
    <w:rsid w:val="005C7B31"/>
    <w:rsid w:val="005D0807"/>
    <w:rsid w:val="005D0943"/>
    <w:rsid w:val="005D0958"/>
    <w:rsid w:val="005D110E"/>
    <w:rsid w:val="005D178E"/>
    <w:rsid w:val="005D1B7E"/>
    <w:rsid w:val="005D1CB1"/>
    <w:rsid w:val="005D1D30"/>
    <w:rsid w:val="005D1EB6"/>
    <w:rsid w:val="005D1EBD"/>
    <w:rsid w:val="005D32B4"/>
    <w:rsid w:val="005D35E3"/>
    <w:rsid w:val="005D36E8"/>
    <w:rsid w:val="005D402E"/>
    <w:rsid w:val="005D524A"/>
    <w:rsid w:val="005D5485"/>
    <w:rsid w:val="005D56F6"/>
    <w:rsid w:val="005D5B82"/>
    <w:rsid w:val="005D61A9"/>
    <w:rsid w:val="005D6748"/>
    <w:rsid w:val="005D6B01"/>
    <w:rsid w:val="005D7078"/>
    <w:rsid w:val="005D7788"/>
    <w:rsid w:val="005D7BAE"/>
    <w:rsid w:val="005D7D65"/>
    <w:rsid w:val="005E01C1"/>
    <w:rsid w:val="005E02C6"/>
    <w:rsid w:val="005E0856"/>
    <w:rsid w:val="005E0A9E"/>
    <w:rsid w:val="005E0C87"/>
    <w:rsid w:val="005E1275"/>
    <w:rsid w:val="005E12F9"/>
    <w:rsid w:val="005E1D5E"/>
    <w:rsid w:val="005E23F6"/>
    <w:rsid w:val="005E3220"/>
    <w:rsid w:val="005E3575"/>
    <w:rsid w:val="005E5124"/>
    <w:rsid w:val="005E522E"/>
    <w:rsid w:val="005E558D"/>
    <w:rsid w:val="005E5765"/>
    <w:rsid w:val="005E5E88"/>
    <w:rsid w:val="005E5FB9"/>
    <w:rsid w:val="005E6136"/>
    <w:rsid w:val="005E61BC"/>
    <w:rsid w:val="005E62C8"/>
    <w:rsid w:val="005E6527"/>
    <w:rsid w:val="005E67AA"/>
    <w:rsid w:val="005E69D0"/>
    <w:rsid w:val="005E6AF2"/>
    <w:rsid w:val="005E7463"/>
    <w:rsid w:val="005E7590"/>
    <w:rsid w:val="005E7613"/>
    <w:rsid w:val="005F136A"/>
    <w:rsid w:val="005F18A7"/>
    <w:rsid w:val="005F1A78"/>
    <w:rsid w:val="005F1F69"/>
    <w:rsid w:val="005F268D"/>
    <w:rsid w:val="005F2DB5"/>
    <w:rsid w:val="005F3081"/>
    <w:rsid w:val="005F3655"/>
    <w:rsid w:val="005F36A3"/>
    <w:rsid w:val="005F4949"/>
    <w:rsid w:val="005F4A0C"/>
    <w:rsid w:val="005F4C39"/>
    <w:rsid w:val="005F4FD0"/>
    <w:rsid w:val="005F5073"/>
    <w:rsid w:val="005F5272"/>
    <w:rsid w:val="005F53A9"/>
    <w:rsid w:val="005F5FF2"/>
    <w:rsid w:val="005F6DF5"/>
    <w:rsid w:val="005F6FCE"/>
    <w:rsid w:val="005F7EFB"/>
    <w:rsid w:val="0060019F"/>
    <w:rsid w:val="00601307"/>
    <w:rsid w:val="00601712"/>
    <w:rsid w:val="00601762"/>
    <w:rsid w:val="00601CE4"/>
    <w:rsid w:val="00602B14"/>
    <w:rsid w:val="006032F6"/>
    <w:rsid w:val="006033A4"/>
    <w:rsid w:val="00603DCD"/>
    <w:rsid w:val="006040C8"/>
    <w:rsid w:val="00604373"/>
    <w:rsid w:val="006051D1"/>
    <w:rsid w:val="00605356"/>
    <w:rsid w:val="006060B3"/>
    <w:rsid w:val="006067D5"/>
    <w:rsid w:val="00606CDE"/>
    <w:rsid w:val="00606D26"/>
    <w:rsid w:val="006074DA"/>
    <w:rsid w:val="006079A4"/>
    <w:rsid w:val="00607A08"/>
    <w:rsid w:val="00607BE1"/>
    <w:rsid w:val="00607E69"/>
    <w:rsid w:val="006103B5"/>
    <w:rsid w:val="00610446"/>
    <w:rsid w:val="00610460"/>
    <w:rsid w:val="00610702"/>
    <w:rsid w:val="00610877"/>
    <w:rsid w:val="00610E83"/>
    <w:rsid w:val="00610EAB"/>
    <w:rsid w:val="00610F95"/>
    <w:rsid w:val="00610FC0"/>
    <w:rsid w:val="006113C8"/>
    <w:rsid w:val="00611432"/>
    <w:rsid w:val="00611528"/>
    <w:rsid w:val="00611668"/>
    <w:rsid w:val="006116D3"/>
    <w:rsid w:val="00611CE0"/>
    <w:rsid w:val="0061221F"/>
    <w:rsid w:val="00612306"/>
    <w:rsid w:val="0061310E"/>
    <w:rsid w:val="00613165"/>
    <w:rsid w:val="0061366B"/>
    <w:rsid w:val="0061384A"/>
    <w:rsid w:val="006139F6"/>
    <w:rsid w:val="00615180"/>
    <w:rsid w:val="00615366"/>
    <w:rsid w:val="006154C9"/>
    <w:rsid w:val="006155CE"/>
    <w:rsid w:val="006160D3"/>
    <w:rsid w:val="00616248"/>
    <w:rsid w:val="0061657C"/>
    <w:rsid w:val="00616DD5"/>
    <w:rsid w:val="00616FA9"/>
    <w:rsid w:val="00617EEB"/>
    <w:rsid w:val="0062049C"/>
    <w:rsid w:val="00620FB5"/>
    <w:rsid w:val="0062143C"/>
    <w:rsid w:val="00621618"/>
    <w:rsid w:val="00621817"/>
    <w:rsid w:val="00621958"/>
    <w:rsid w:val="00621A52"/>
    <w:rsid w:val="00621FA9"/>
    <w:rsid w:val="0062201C"/>
    <w:rsid w:val="00623223"/>
    <w:rsid w:val="00623AE7"/>
    <w:rsid w:val="00623FD4"/>
    <w:rsid w:val="00624DD3"/>
    <w:rsid w:val="00624DE6"/>
    <w:rsid w:val="00627469"/>
    <w:rsid w:val="006276A0"/>
    <w:rsid w:val="00627B45"/>
    <w:rsid w:val="00627DE7"/>
    <w:rsid w:val="00630403"/>
    <w:rsid w:val="006306A8"/>
    <w:rsid w:val="006309D6"/>
    <w:rsid w:val="006309DE"/>
    <w:rsid w:val="00630DD0"/>
    <w:rsid w:val="006321AA"/>
    <w:rsid w:val="006325F1"/>
    <w:rsid w:val="00632645"/>
    <w:rsid w:val="006328CE"/>
    <w:rsid w:val="00632E65"/>
    <w:rsid w:val="00633161"/>
    <w:rsid w:val="0063322B"/>
    <w:rsid w:val="00633805"/>
    <w:rsid w:val="00633BE3"/>
    <w:rsid w:val="006349EF"/>
    <w:rsid w:val="00634E16"/>
    <w:rsid w:val="0063601E"/>
    <w:rsid w:val="006360F1"/>
    <w:rsid w:val="0063613D"/>
    <w:rsid w:val="00636F68"/>
    <w:rsid w:val="00637981"/>
    <w:rsid w:val="00637EF5"/>
    <w:rsid w:val="0064098D"/>
    <w:rsid w:val="00640D0A"/>
    <w:rsid w:val="0064126B"/>
    <w:rsid w:val="0064181A"/>
    <w:rsid w:val="00641C24"/>
    <w:rsid w:val="00642904"/>
    <w:rsid w:val="006431A5"/>
    <w:rsid w:val="00643DC4"/>
    <w:rsid w:val="006443FF"/>
    <w:rsid w:val="006446F1"/>
    <w:rsid w:val="00644D38"/>
    <w:rsid w:val="006451F6"/>
    <w:rsid w:val="006455D4"/>
    <w:rsid w:val="00645A5B"/>
    <w:rsid w:val="0064706D"/>
    <w:rsid w:val="00647134"/>
    <w:rsid w:val="0064718B"/>
    <w:rsid w:val="00647259"/>
    <w:rsid w:val="00647AEC"/>
    <w:rsid w:val="00647FC2"/>
    <w:rsid w:val="006500FC"/>
    <w:rsid w:val="00650671"/>
    <w:rsid w:val="00650B68"/>
    <w:rsid w:val="00650B95"/>
    <w:rsid w:val="00650CFD"/>
    <w:rsid w:val="00650F83"/>
    <w:rsid w:val="00651349"/>
    <w:rsid w:val="006514C6"/>
    <w:rsid w:val="00652245"/>
    <w:rsid w:val="006523BE"/>
    <w:rsid w:val="006528DD"/>
    <w:rsid w:val="00652EFB"/>
    <w:rsid w:val="006532C9"/>
    <w:rsid w:val="00653B53"/>
    <w:rsid w:val="00653FF7"/>
    <w:rsid w:val="0065428F"/>
    <w:rsid w:val="00654847"/>
    <w:rsid w:val="00654C4B"/>
    <w:rsid w:val="00654CBC"/>
    <w:rsid w:val="00655B47"/>
    <w:rsid w:val="00655DFA"/>
    <w:rsid w:val="006566A8"/>
    <w:rsid w:val="006566D0"/>
    <w:rsid w:val="006568F1"/>
    <w:rsid w:val="00656A3F"/>
    <w:rsid w:val="00656AE5"/>
    <w:rsid w:val="00656DB8"/>
    <w:rsid w:val="00656F77"/>
    <w:rsid w:val="00660097"/>
    <w:rsid w:val="006606FC"/>
    <w:rsid w:val="0066083D"/>
    <w:rsid w:val="00660A22"/>
    <w:rsid w:val="0066113B"/>
    <w:rsid w:val="006615AB"/>
    <w:rsid w:val="006623A1"/>
    <w:rsid w:val="00662417"/>
    <w:rsid w:val="00664151"/>
    <w:rsid w:val="0066440B"/>
    <w:rsid w:val="00664585"/>
    <w:rsid w:val="00664D9F"/>
    <w:rsid w:val="00664EEB"/>
    <w:rsid w:val="00664F6A"/>
    <w:rsid w:val="0066549F"/>
    <w:rsid w:val="006654A9"/>
    <w:rsid w:val="006656CC"/>
    <w:rsid w:val="00665B40"/>
    <w:rsid w:val="00665C65"/>
    <w:rsid w:val="00665FDD"/>
    <w:rsid w:val="00666588"/>
    <w:rsid w:val="00666671"/>
    <w:rsid w:val="00666842"/>
    <w:rsid w:val="00667413"/>
    <w:rsid w:val="006675E8"/>
    <w:rsid w:val="0067119D"/>
    <w:rsid w:val="0067131F"/>
    <w:rsid w:val="00671B45"/>
    <w:rsid w:val="00672173"/>
    <w:rsid w:val="0067217E"/>
    <w:rsid w:val="00672F17"/>
    <w:rsid w:val="00672F1B"/>
    <w:rsid w:val="006734E2"/>
    <w:rsid w:val="006737D5"/>
    <w:rsid w:val="006738FA"/>
    <w:rsid w:val="00673D56"/>
    <w:rsid w:val="0067417A"/>
    <w:rsid w:val="006743C0"/>
    <w:rsid w:val="00675609"/>
    <w:rsid w:val="0067642F"/>
    <w:rsid w:val="00676440"/>
    <w:rsid w:val="006765DF"/>
    <w:rsid w:val="006766FA"/>
    <w:rsid w:val="006768D1"/>
    <w:rsid w:val="00677135"/>
    <w:rsid w:val="006772CC"/>
    <w:rsid w:val="006775DE"/>
    <w:rsid w:val="00677774"/>
    <w:rsid w:val="00680088"/>
    <w:rsid w:val="0068010D"/>
    <w:rsid w:val="00680C93"/>
    <w:rsid w:val="006812CA"/>
    <w:rsid w:val="00682643"/>
    <w:rsid w:val="00682E7C"/>
    <w:rsid w:val="00682EB5"/>
    <w:rsid w:val="006839B3"/>
    <w:rsid w:val="006849B0"/>
    <w:rsid w:val="00684DD9"/>
    <w:rsid w:val="00685306"/>
    <w:rsid w:val="00685C80"/>
    <w:rsid w:val="006864B9"/>
    <w:rsid w:val="0068736B"/>
    <w:rsid w:val="00687480"/>
    <w:rsid w:val="00687B0A"/>
    <w:rsid w:val="00690077"/>
    <w:rsid w:val="0069072B"/>
    <w:rsid w:val="00690868"/>
    <w:rsid w:val="0069092D"/>
    <w:rsid w:val="00690BDA"/>
    <w:rsid w:val="006910B9"/>
    <w:rsid w:val="0069137E"/>
    <w:rsid w:val="006915F3"/>
    <w:rsid w:val="0069235B"/>
    <w:rsid w:val="006925AD"/>
    <w:rsid w:val="0069272D"/>
    <w:rsid w:val="00692AB1"/>
    <w:rsid w:val="00692FB4"/>
    <w:rsid w:val="0069330A"/>
    <w:rsid w:val="00693799"/>
    <w:rsid w:val="006939E4"/>
    <w:rsid w:val="00693A8A"/>
    <w:rsid w:val="00693C7E"/>
    <w:rsid w:val="00693E9F"/>
    <w:rsid w:val="00693EF0"/>
    <w:rsid w:val="00693FAB"/>
    <w:rsid w:val="0069496E"/>
    <w:rsid w:val="00694B7F"/>
    <w:rsid w:val="00694E5C"/>
    <w:rsid w:val="00695564"/>
    <w:rsid w:val="00695DCD"/>
    <w:rsid w:val="00695E2D"/>
    <w:rsid w:val="00695FE9"/>
    <w:rsid w:val="00696468"/>
    <w:rsid w:val="0069691C"/>
    <w:rsid w:val="006978E7"/>
    <w:rsid w:val="006A001F"/>
    <w:rsid w:val="006A04BA"/>
    <w:rsid w:val="006A0B29"/>
    <w:rsid w:val="006A11BA"/>
    <w:rsid w:val="006A1768"/>
    <w:rsid w:val="006A1E07"/>
    <w:rsid w:val="006A2159"/>
    <w:rsid w:val="006A2467"/>
    <w:rsid w:val="006A26D9"/>
    <w:rsid w:val="006A2AE6"/>
    <w:rsid w:val="006A2F22"/>
    <w:rsid w:val="006A3719"/>
    <w:rsid w:val="006A38CA"/>
    <w:rsid w:val="006A3EDD"/>
    <w:rsid w:val="006A424C"/>
    <w:rsid w:val="006A4325"/>
    <w:rsid w:val="006A45C3"/>
    <w:rsid w:val="006A49BE"/>
    <w:rsid w:val="006A4C0B"/>
    <w:rsid w:val="006A4E08"/>
    <w:rsid w:val="006A571C"/>
    <w:rsid w:val="006A5D03"/>
    <w:rsid w:val="006A68CE"/>
    <w:rsid w:val="006A6B9C"/>
    <w:rsid w:val="006A6F0E"/>
    <w:rsid w:val="006A70AD"/>
    <w:rsid w:val="006A74A6"/>
    <w:rsid w:val="006A7AC8"/>
    <w:rsid w:val="006A7E44"/>
    <w:rsid w:val="006A7E99"/>
    <w:rsid w:val="006B11E7"/>
    <w:rsid w:val="006B167D"/>
    <w:rsid w:val="006B176F"/>
    <w:rsid w:val="006B1CF6"/>
    <w:rsid w:val="006B1E11"/>
    <w:rsid w:val="006B2515"/>
    <w:rsid w:val="006B29E4"/>
    <w:rsid w:val="006B3116"/>
    <w:rsid w:val="006B3F4B"/>
    <w:rsid w:val="006B3F72"/>
    <w:rsid w:val="006B3FE1"/>
    <w:rsid w:val="006B400C"/>
    <w:rsid w:val="006B42F5"/>
    <w:rsid w:val="006B43F2"/>
    <w:rsid w:val="006B485D"/>
    <w:rsid w:val="006B48CF"/>
    <w:rsid w:val="006B4918"/>
    <w:rsid w:val="006B4BC9"/>
    <w:rsid w:val="006B4D5D"/>
    <w:rsid w:val="006B5094"/>
    <w:rsid w:val="006B5693"/>
    <w:rsid w:val="006B5E73"/>
    <w:rsid w:val="006B603B"/>
    <w:rsid w:val="006B60A2"/>
    <w:rsid w:val="006B60B7"/>
    <w:rsid w:val="006B6131"/>
    <w:rsid w:val="006B73AB"/>
    <w:rsid w:val="006B7529"/>
    <w:rsid w:val="006B7620"/>
    <w:rsid w:val="006C0370"/>
    <w:rsid w:val="006C0591"/>
    <w:rsid w:val="006C08F3"/>
    <w:rsid w:val="006C0D02"/>
    <w:rsid w:val="006C0F5D"/>
    <w:rsid w:val="006C1A2F"/>
    <w:rsid w:val="006C1D5B"/>
    <w:rsid w:val="006C2922"/>
    <w:rsid w:val="006C389B"/>
    <w:rsid w:val="006C3C78"/>
    <w:rsid w:val="006C4009"/>
    <w:rsid w:val="006C412A"/>
    <w:rsid w:val="006C4B69"/>
    <w:rsid w:val="006C5C65"/>
    <w:rsid w:val="006C5C70"/>
    <w:rsid w:val="006C7055"/>
    <w:rsid w:val="006C743C"/>
    <w:rsid w:val="006C74F4"/>
    <w:rsid w:val="006C77F0"/>
    <w:rsid w:val="006C7A71"/>
    <w:rsid w:val="006C7B10"/>
    <w:rsid w:val="006C7D50"/>
    <w:rsid w:val="006C7EBA"/>
    <w:rsid w:val="006D0BE4"/>
    <w:rsid w:val="006D0FA8"/>
    <w:rsid w:val="006D0FB1"/>
    <w:rsid w:val="006D12E8"/>
    <w:rsid w:val="006D2279"/>
    <w:rsid w:val="006D280D"/>
    <w:rsid w:val="006D3108"/>
    <w:rsid w:val="006D336F"/>
    <w:rsid w:val="006D38A9"/>
    <w:rsid w:val="006D3F06"/>
    <w:rsid w:val="006D4CF4"/>
    <w:rsid w:val="006D4D5F"/>
    <w:rsid w:val="006D4E9F"/>
    <w:rsid w:val="006D5555"/>
    <w:rsid w:val="006D5951"/>
    <w:rsid w:val="006D5D2D"/>
    <w:rsid w:val="006D680A"/>
    <w:rsid w:val="006D685B"/>
    <w:rsid w:val="006D709A"/>
    <w:rsid w:val="006D79AE"/>
    <w:rsid w:val="006D7DE7"/>
    <w:rsid w:val="006E0366"/>
    <w:rsid w:val="006E0EF0"/>
    <w:rsid w:val="006E1FE4"/>
    <w:rsid w:val="006E2176"/>
    <w:rsid w:val="006E28B2"/>
    <w:rsid w:val="006E2AD2"/>
    <w:rsid w:val="006E344A"/>
    <w:rsid w:val="006E3A43"/>
    <w:rsid w:val="006E3C60"/>
    <w:rsid w:val="006E41A0"/>
    <w:rsid w:val="006E464E"/>
    <w:rsid w:val="006E4AD9"/>
    <w:rsid w:val="006E4EC0"/>
    <w:rsid w:val="006E4F4A"/>
    <w:rsid w:val="006E5136"/>
    <w:rsid w:val="006E5363"/>
    <w:rsid w:val="006E5405"/>
    <w:rsid w:val="006E5BAF"/>
    <w:rsid w:val="006E5F8B"/>
    <w:rsid w:val="006E6293"/>
    <w:rsid w:val="006E6313"/>
    <w:rsid w:val="006E6395"/>
    <w:rsid w:val="006E6949"/>
    <w:rsid w:val="006E6B9A"/>
    <w:rsid w:val="006E790B"/>
    <w:rsid w:val="006E7A36"/>
    <w:rsid w:val="006E7B38"/>
    <w:rsid w:val="006F099D"/>
    <w:rsid w:val="006F0E5F"/>
    <w:rsid w:val="006F1560"/>
    <w:rsid w:val="006F1BDB"/>
    <w:rsid w:val="006F1FC8"/>
    <w:rsid w:val="006F236F"/>
    <w:rsid w:val="006F3869"/>
    <w:rsid w:val="006F3CE5"/>
    <w:rsid w:val="006F4168"/>
    <w:rsid w:val="006F5351"/>
    <w:rsid w:val="006F5BDF"/>
    <w:rsid w:val="006F5EEF"/>
    <w:rsid w:val="006F5F12"/>
    <w:rsid w:val="006F634A"/>
    <w:rsid w:val="006F63AA"/>
    <w:rsid w:val="006F6433"/>
    <w:rsid w:val="006F6A3D"/>
    <w:rsid w:val="006F743F"/>
    <w:rsid w:val="006F7F94"/>
    <w:rsid w:val="0070003E"/>
    <w:rsid w:val="00700061"/>
    <w:rsid w:val="00700304"/>
    <w:rsid w:val="007010F4"/>
    <w:rsid w:val="00701914"/>
    <w:rsid w:val="00701C7D"/>
    <w:rsid w:val="00701D0E"/>
    <w:rsid w:val="00701F64"/>
    <w:rsid w:val="007033DF"/>
    <w:rsid w:val="00703677"/>
    <w:rsid w:val="00703994"/>
    <w:rsid w:val="00703E28"/>
    <w:rsid w:val="007041D4"/>
    <w:rsid w:val="007043DD"/>
    <w:rsid w:val="00704481"/>
    <w:rsid w:val="007048F5"/>
    <w:rsid w:val="00704B13"/>
    <w:rsid w:val="00704BEA"/>
    <w:rsid w:val="00704BF4"/>
    <w:rsid w:val="0070538D"/>
    <w:rsid w:val="007053D6"/>
    <w:rsid w:val="00705415"/>
    <w:rsid w:val="0070554B"/>
    <w:rsid w:val="00705CAE"/>
    <w:rsid w:val="00705D93"/>
    <w:rsid w:val="00706340"/>
    <w:rsid w:val="0070694E"/>
    <w:rsid w:val="00706A0B"/>
    <w:rsid w:val="00706E79"/>
    <w:rsid w:val="00707776"/>
    <w:rsid w:val="00707A5C"/>
    <w:rsid w:val="00707A78"/>
    <w:rsid w:val="00707AE7"/>
    <w:rsid w:val="00707C63"/>
    <w:rsid w:val="00710055"/>
    <w:rsid w:val="007109EB"/>
    <w:rsid w:val="00710AC7"/>
    <w:rsid w:val="00710C30"/>
    <w:rsid w:val="00710E32"/>
    <w:rsid w:val="007119B9"/>
    <w:rsid w:val="00711C48"/>
    <w:rsid w:val="00712F71"/>
    <w:rsid w:val="00713434"/>
    <w:rsid w:val="00713C0B"/>
    <w:rsid w:val="00713DEA"/>
    <w:rsid w:val="0071438D"/>
    <w:rsid w:val="00714BD8"/>
    <w:rsid w:val="00715352"/>
    <w:rsid w:val="00715E03"/>
    <w:rsid w:val="00716DF2"/>
    <w:rsid w:val="00716E6E"/>
    <w:rsid w:val="00716EAF"/>
    <w:rsid w:val="00716F0C"/>
    <w:rsid w:val="007172E6"/>
    <w:rsid w:val="007176EC"/>
    <w:rsid w:val="007176F7"/>
    <w:rsid w:val="00717838"/>
    <w:rsid w:val="00717A4A"/>
    <w:rsid w:val="00720117"/>
    <w:rsid w:val="0072085B"/>
    <w:rsid w:val="00720877"/>
    <w:rsid w:val="007209A3"/>
    <w:rsid w:val="00722381"/>
    <w:rsid w:val="00722CCB"/>
    <w:rsid w:val="00722E03"/>
    <w:rsid w:val="00723482"/>
    <w:rsid w:val="00723CEB"/>
    <w:rsid w:val="00724748"/>
    <w:rsid w:val="00724803"/>
    <w:rsid w:val="00725148"/>
    <w:rsid w:val="00725C69"/>
    <w:rsid w:val="00726423"/>
    <w:rsid w:val="007266C8"/>
    <w:rsid w:val="007269AD"/>
    <w:rsid w:val="00727133"/>
    <w:rsid w:val="007272AD"/>
    <w:rsid w:val="0072737B"/>
    <w:rsid w:val="0072764E"/>
    <w:rsid w:val="00727D1E"/>
    <w:rsid w:val="00730026"/>
    <w:rsid w:val="00730207"/>
    <w:rsid w:val="0073043A"/>
    <w:rsid w:val="00731078"/>
    <w:rsid w:val="00731C9E"/>
    <w:rsid w:val="00732184"/>
    <w:rsid w:val="0073267A"/>
    <w:rsid w:val="00732A79"/>
    <w:rsid w:val="00732C5A"/>
    <w:rsid w:val="007334D1"/>
    <w:rsid w:val="00733550"/>
    <w:rsid w:val="00733F7C"/>
    <w:rsid w:val="0073411F"/>
    <w:rsid w:val="0073546D"/>
    <w:rsid w:val="00735573"/>
    <w:rsid w:val="007356D9"/>
    <w:rsid w:val="0073606F"/>
    <w:rsid w:val="00736B31"/>
    <w:rsid w:val="00736BE4"/>
    <w:rsid w:val="00736F69"/>
    <w:rsid w:val="0073718E"/>
    <w:rsid w:val="00737830"/>
    <w:rsid w:val="00737D6A"/>
    <w:rsid w:val="00743AC6"/>
    <w:rsid w:val="0074408C"/>
    <w:rsid w:val="0074416B"/>
    <w:rsid w:val="007441D2"/>
    <w:rsid w:val="00744721"/>
    <w:rsid w:val="0074472D"/>
    <w:rsid w:val="00744DF9"/>
    <w:rsid w:val="007459A8"/>
    <w:rsid w:val="00746747"/>
    <w:rsid w:val="00747FF2"/>
    <w:rsid w:val="00750C40"/>
    <w:rsid w:val="007512C5"/>
    <w:rsid w:val="007516FF"/>
    <w:rsid w:val="00751A35"/>
    <w:rsid w:val="00751AA3"/>
    <w:rsid w:val="00751EC2"/>
    <w:rsid w:val="00753026"/>
    <w:rsid w:val="00753BAE"/>
    <w:rsid w:val="007542E8"/>
    <w:rsid w:val="0075495D"/>
    <w:rsid w:val="00754D8E"/>
    <w:rsid w:val="007550DC"/>
    <w:rsid w:val="00755D23"/>
    <w:rsid w:val="00755EE7"/>
    <w:rsid w:val="00755F35"/>
    <w:rsid w:val="00756221"/>
    <w:rsid w:val="007569F3"/>
    <w:rsid w:val="007575C6"/>
    <w:rsid w:val="00757CCD"/>
    <w:rsid w:val="00760C67"/>
    <w:rsid w:val="00760C85"/>
    <w:rsid w:val="00760E8E"/>
    <w:rsid w:val="00760F72"/>
    <w:rsid w:val="00761950"/>
    <w:rsid w:val="00761D0B"/>
    <w:rsid w:val="007626D8"/>
    <w:rsid w:val="007627F6"/>
    <w:rsid w:val="00762955"/>
    <w:rsid w:val="00762FCC"/>
    <w:rsid w:val="00763619"/>
    <w:rsid w:val="00763659"/>
    <w:rsid w:val="0076367D"/>
    <w:rsid w:val="0076371A"/>
    <w:rsid w:val="007638C3"/>
    <w:rsid w:val="0076456D"/>
    <w:rsid w:val="0076480E"/>
    <w:rsid w:val="007665CE"/>
    <w:rsid w:val="007668D1"/>
    <w:rsid w:val="00766BCC"/>
    <w:rsid w:val="00766CA9"/>
    <w:rsid w:val="00767C8F"/>
    <w:rsid w:val="00767EC4"/>
    <w:rsid w:val="007704D1"/>
    <w:rsid w:val="00770633"/>
    <w:rsid w:val="00770B54"/>
    <w:rsid w:val="00771B4F"/>
    <w:rsid w:val="00771E9E"/>
    <w:rsid w:val="0077205E"/>
    <w:rsid w:val="007723FB"/>
    <w:rsid w:val="00772B35"/>
    <w:rsid w:val="00773E08"/>
    <w:rsid w:val="00773FDB"/>
    <w:rsid w:val="00774168"/>
    <w:rsid w:val="00774475"/>
    <w:rsid w:val="00774AA1"/>
    <w:rsid w:val="00774B43"/>
    <w:rsid w:val="00774C3D"/>
    <w:rsid w:val="00774CCD"/>
    <w:rsid w:val="00774D04"/>
    <w:rsid w:val="00775558"/>
    <w:rsid w:val="0077571D"/>
    <w:rsid w:val="007758AC"/>
    <w:rsid w:val="00775DFC"/>
    <w:rsid w:val="00776D4D"/>
    <w:rsid w:val="00776EA1"/>
    <w:rsid w:val="00777045"/>
    <w:rsid w:val="00780185"/>
    <w:rsid w:val="007801C4"/>
    <w:rsid w:val="0078088C"/>
    <w:rsid w:val="0078155D"/>
    <w:rsid w:val="00781AA4"/>
    <w:rsid w:val="00781BCB"/>
    <w:rsid w:val="00781FE1"/>
    <w:rsid w:val="007826BA"/>
    <w:rsid w:val="00782C7F"/>
    <w:rsid w:val="00782E5D"/>
    <w:rsid w:val="007832C6"/>
    <w:rsid w:val="00783355"/>
    <w:rsid w:val="00783453"/>
    <w:rsid w:val="00783717"/>
    <w:rsid w:val="00784318"/>
    <w:rsid w:val="007847B6"/>
    <w:rsid w:val="00784AA3"/>
    <w:rsid w:val="00784B37"/>
    <w:rsid w:val="00784DEC"/>
    <w:rsid w:val="00784EF8"/>
    <w:rsid w:val="007857BF"/>
    <w:rsid w:val="00786826"/>
    <w:rsid w:val="00786BC9"/>
    <w:rsid w:val="00787E35"/>
    <w:rsid w:val="00790480"/>
    <w:rsid w:val="00790795"/>
    <w:rsid w:val="00790D8F"/>
    <w:rsid w:val="00791268"/>
    <w:rsid w:val="00792405"/>
    <w:rsid w:val="00793790"/>
    <w:rsid w:val="00793921"/>
    <w:rsid w:val="00793C97"/>
    <w:rsid w:val="00794710"/>
    <w:rsid w:val="00794D94"/>
    <w:rsid w:val="00794EAB"/>
    <w:rsid w:val="00795256"/>
    <w:rsid w:val="007952C4"/>
    <w:rsid w:val="007952D9"/>
    <w:rsid w:val="007953F6"/>
    <w:rsid w:val="0079553C"/>
    <w:rsid w:val="00795C5D"/>
    <w:rsid w:val="007962D7"/>
    <w:rsid w:val="007962FB"/>
    <w:rsid w:val="00796BF0"/>
    <w:rsid w:val="0079773E"/>
    <w:rsid w:val="00797FBD"/>
    <w:rsid w:val="007A05CD"/>
    <w:rsid w:val="007A0634"/>
    <w:rsid w:val="007A0745"/>
    <w:rsid w:val="007A0E22"/>
    <w:rsid w:val="007A1424"/>
    <w:rsid w:val="007A19C5"/>
    <w:rsid w:val="007A1B7E"/>
    <w:rsid w:val="007A1C10"/>
    <w:rsid w:val="007A1D44"/>
    <w:rsid w:val="007A24D9"/>
    <w:rsid w:val="007A2DE0"/>
    <w:rsid w:val="007A31F5"/>
    <w:rsid w:val="007A39FF"/>
    <w:rsid w:val="007A3FE5"/>
    <w:rsid w:val="007A43D3"/>
    <w:rsid w:val="007A43ED"/>
    <w:rsid w:val="007A4A1C"/>
    <w:rsid w:val="007A5484"/>
    <w:rsid w:val="007A54EC"/>
    <w:rsid w:val="007A5576"/>
    <w:rsid w:val="007A5A73"/>
    <w:rsid w:val="007A6160"/>
    <w:rsid w:val="007A6578"/>
    <w:rsid w:val="007A696D"/>
    <w:rsid w:val="007A6C37"/>
    <w:rsid w:val="007A6DD0"/>
    <w:rsid w:val="007A70C1"/>
    <w:rsid w:val="007A7113"/>
    <w:rsid w:val="007A7378"/>
    <w:rsid w:val="007A79F1"/>
    <w:rsid w:val="007B010B"/>
    <w:rsid w:val="007B07ED"/>
    <w:rsid w:val="007B0B5D"/>
    <w:rsid w:val="007B0C4D"/>
    <w:rsid w:val="007B0CE9"/>
    <w:rsid w:val="007B0E27"/>
    <w:rsid w:val="007B0FDC"/>
    <w:rsid w:val="007B1056"/>
    <w:rsid w:val="007B183B"/>
    <w:rsid w:val="007B1950"/>
    <w:rsid w:val="007B1CEF"/>
    <w:rsid w:val="007B1DE5"/>
    <w:rsid w:val="007B21A3"/>
    <w:rsid w:val="007B2E42"/>
    <w:rsid w:val="007B320C"/>
    <w:rsid w:val="007B34A0"/>
    <w:rsid w:val="007B399E"/>
    <w:rsid w:val="007B3C2B"/>
    <w:rsid w:val="007B3C89"/>
    <w:rsid w:val="007B47D2"/>
    <w:rsid w:val="007B48AE"/>
    <w:rsid w:val="007B5283"/>
    <w:rsid w:val="007B5B40"/>
    <w:rsid w:val="007B6034"/>
    <w:rsid w:val="007B6281"/>
    <w:rsid w:val="007B6E3A"/>
    <w:rsid w:val="007B6E40"/>
    <w:rsid w:val="007B6F39"/>
    <w:rsid w:val="007B7013"/>
    <w:rsid w:val="007B7120"/>
    <w:rsid w:val="007B71B1"/>
    <w:rsid w:val="007B71F8"/>
    <w:rsid w:val="007B73CA"/>
    <w:rsid w:val="007B74A8"/>
    <w:rsid w:val="007B795C"/>
    <w:rsid w:val="007C00ED"/>
    <w:rsid w:val="007C05F1"/>
    <w:rsid w:val="007C0868"/>
    <w:rsid w:val="007C108A"/>
    <w:rsid w:val="007C158E"/>
    <w:rsid w:val="007C15FC"/>
    <w:rsid w:val="007C20BD"/>
    <w:rsid w:val="007C21C1"/>
    <w:rsid w:val="007C249B"/>
    <w:rsid w:val="007C2890"/>
    <w:rsid w:val="007C3B6F"/>
    <w:rsid w:val="007C3DCC"/>
    <w:rsid w:val="007C3F6F"/>
    <w:rsid w:val="007C4B57"/>
    <w:rsid w:val="007C4BF3"/>
    <w:rsid w:val="007C4E7D"/>
    <w:rsid w:val="007C5331"/>
    <w:rsid w:val="007C55BF"/>
    <w:rsid w:val="007C5A46"/>
    <w:rsid w:val="007C60D4"/>
    <w:rsid w:val="007C6401"/>
    <w:rsid w:val="007C790D"/>
    <w:rsid w:val="007C7A59"/>
    <w:rsid w:val="007C7ACC"/>
    <w:rsid w:val="007C7D02"/>
    <w:rsid w:val="007D0917"/>
    <w:rsid w:val="007D0A3A"/>
    <w:rsid w:val="007D0EC1"/>
    <w:rsid w:val="007D148F"/>
    <w:rsid w:val="007D1873"/>
    <w:rsid w:val="007D1B62"/>
    <w:rsid w:val="007D1F12"/>
    <w:rsid w:val="007D2077"/>
    <w:rsid w:val="007D2FAC"/>
    <w:rsid w:val="007D3104"/>
    <w:rsid w:val="007D4B17"/>
    <w:rsid w:val="007D4DB3"/>
    <w:rsid w:val="007D5A56"/>
    <w:rsid w:val="007D5D00"/>
    <w:rsid w:val="007D5DB4"/>
    <w:rsid w:val="007D5FCE"/>
    <w:rsid w:val="007D6093"/>
    <w:rsid w:val="007D6221"/>
    <w:rsid w:val="007D6457"/>
    <w:rsid w:val="007D6569"/>
    <w:rsid w:val="007D671B"/>
    <w:rsid w:val="007D6CC2"/>
    <w:rsid w:val="007D6DD7"/>
    <w:rsid w:val="007D6E0E"/>
    <w:rsid w:val="007D7027"/>
    <w:rsid w:val="007D7586"/>
    <w:rsid w:val="007D7A61"/>
    <w:rsid w:val="007E0048"/>
    <w:rsid w:val="007E0514"/>
    <w:rsid w:val="007E0832"/>
    <w:rsid w:val="007E0DAF"/>
    <w:rsid w:val="007E111D"/>
    <w:rsid w:val="007E1C22"/>
    <w:rsid w:val="007E22D7"/>
    <w:rsid w:val="007E339D"/>
    <w:rsid w:val="007E3860"/>
    <w:rsid w:val="007E40ED"/>
    <w:rsid w:val="007E42AF"/>
    <w:rsid w:val="007E435F"/>
    <w:rsid w:val="007E48FC"/>
    <w:rsid w:val="007E4A83"/>
    <w:rsid w:val="007E4AD4"/>
    <w:rsid w:val="007E4B1A"/>
    <w:rsid w:val="007E4E20"/>
    <w:rsid w:val="007E5838"/>
    <w:rsid w:val="007E5C3F"/>
    <w:rsid w:val="007E6682"/>
    <w:rsid w:val="007E6B12"/>
    <w:rsid w:val="007E709B"/>
    <w:rsid w:val="007E7E33"/>
    <w:rsid w:val="007F00CF"/>
    <w:rsid w:val="007F086A"/>
    <w:rsid w:val="007F142A"/>
    <w:rsid w:val="007F19C6"/>
    <w:rsid w:val="007F1A31"/>
    <w:rsid w:val="007F1AF5"/>
    <w:rsid w:val="007F1EE9"/>
    <w:rsid w:val="007F2357"/>
    <w:rsid w:val="007F25A8"/>
    <w:rsid w:val="007F334F"/>
    <w:rsid w:val="007F34BC"/>
    <w:rsid w:val="007F3CE7"/>
    <w:rsid w:val="007F4840"/>
    <w:rsid w:val="007F50A8"/>
    <w:rsid w:val="007F50C6"/>
    <w:rsid w:val="007F5ADC"/>
    <w:rsid w:val="007F5FAB"/>
    <w:rsid w:val="007F7007"/>
    <w:rsid w:val="007F7718"/>
    <w:rsid w:val="00800837"/>
    <w:rsid w:val="00801402"/>
    <w:rsid w:val="0080151F"/>
    <w:rsid w:val="0080187F"/>
    <w:rsid w:val="00801D8C"/>
    <w:rsid w:val="0080203B"/>
    <w:rsid w:val="008022B8"/>
    <w:rsid w:val="00802A34"/>
    <w:rsid w:val="00802E61"/>
    <w:rsid w:val="008035B6"/>
    <w:rsid w:val="0080389A"/>
    <w:rsid w:val="008039B8"/>
    <w:rsid w:val="00803F5A"/>
    <w:rsid w:val="0080496D"/>
    <w:rsid w:val="00804D19"/>
    <w:rsid w:val="00805018"/>
    <w:rsid w:val="008056B7"/>
    <w:rsid w:val="00805A21"/>
    <w:rsid w:val="00805BA8"/>
    <w:rsid w:val="00805D15"/>
    <w:rsid w:val="0080672D"/>
    <w:rsid w:val="00806CBA"/>
    <w:rsid w:val="00807187"/>
    <w:rsid w:val="0080767C"/>
    <w:rsid w:val="00807A42"/>
    <w:rsid w:val="00807E64"/>
    <w:rsid w:val="00807FCF"/>
    <w:rsid w:val="00810ABF"/>
    <w:rsid w:val="00810AEE"/>
    <w:rsid w:val="00810CE6"/>
    <w:rsid w:val="00810E1A"/>
    <w:rsid w:val="00811331"/>
    <w:rsid w:val="00812702"/>
    <w:rsid w:val="00812CDB"/>
    <w:rsid w:val="008138FE"/>
    <w:rsid w:val="00814380"/>
    <w:rsid w:val="008150B7"/>
    <w:rsid w:val="008150DC"/>
    <w:rsid w:val="008154F5"/>
    <w:rsid w:val="008157EC"/>
    <w:rsid w:val="00816C02"/>
    <w:rsid w:val="00816F63"/>
    <w:rsid w:val="00816FE2"/>
    <w:rsid w:val="00817300"/>
    <w:rsid w:val="00817505"/>
    <w:rsid w:val="00820A4F"/>
    <w:rsid w:val="00820C0A"/>
    <w:rsid w:val="00820D77"/>
    <w:rsid w:val="00820EFE"/>
    <w:rsid w:val="00821418"/>
    <w:rsid w:val="00821678"/>
    <w:rsid w:val="00821791"/>
    <w:rsid w:val="00821A14"/>
    <w:rsid w:val="00821B4F"/>
    <w:rsid w:val="00821EDA"/>
    <w:rsid w:val="00822372"/>
    <w:rsid w:val="008229D0"/>
    <w:rsid w:val="00823712"/>
    <w:rsid w:val="0082383A"/>
    <w:rsid w:val="008238C2"/>
    <w:rsid w:val="00823A3B"/>
    <w:rsid w:val="00823A4D"/>
    <w:rsid w:val="008241AE"/>
    <w:rsid w:val="00824747"/>
    <w:rsid w:val="00824A51"/>
    <w:rsid w:val="0082551C"/>
    <w:rsid w:val="00825862"/>
    <w:rsid w:val="00825B9C"/>
    <w:rsid w:val="00826200"/>
    <w:rsid w:val="008273FA"/>
    <w:rsid w:val="00827504"/>
    <w:rsid w:val="00827A95"/>
    <w:rsid w:val="008303A1"/>
    <w:rsid w:val="008305A2"/>
    <w:rsid w:val="00830834"/>
    <w:rsid w:val="00830973"/>
    <w:rsid w:val="00831033"/>
    <w:rsid w:val="008322BB"/>
    <w:rsid w:val="00833718"/>
    <w:rsid w:val="00834C02"/>
    <w:rsid w:val="00835D7F"/>
    <w:rsid w:val="0083640F"/>
    <w:rsid w:val="00836791"/>
    <w:rsid w:val="008367B3"/>
    <w:rsid w:val="00836AF4"/>
    <w:rsid w:val="00836D08"/>
    <w:rsid w:val="008375F7"/>
    <w:rsid w:val="008376BD"/>
    <w:rsid w:val="00837F01"/>
    <w:rsid w:val="00837F49"/>
    <w:rsid w:val="008402E7"/>
    <w:rsid w:val="00840766"/>
    <w:rsid w:val="00840897"/>
    <w:rsid w:val="00840AA9"/>
    <w:rsid w:val="008411D9"/>
    <w:rsid w:val="00841741"/>
    <w:rsid w:val="0084179A"/>
    <w:rsid w:val="00842021"/>
    <w:rsid w:val="008429CB"/>
    <w:rsid w:val="008429D1"/>
    <w:rsid w:val="0084306F"/>
    <w:rsid w:val="00843426"/>
    <w:rsid w:val="00843C28"/>
    <w:rsid w:val="00844A40"/>
    <w:rsid w:val="00845231"/>
    <w:rsid w:val="0084541B"/>
    <w:rsid w:val="00845819"/>
    <w:rsid w:val="00845F93"/>
    <w:rsid w:val="0084719D"/>
    <w:rsid w:val="008473B0"/>
    <w:rsid w:val="00847537"/>
    <w:rsid w:val="00847F4E"/>
    <w:rsid w:val="008507B5"/>
    <w:rsid w:val="008509B1"/>
    <w:rsid w:val="00850D27"/>
    <w:rsid w:val="00850F41"/>
    <w:rsid w:val="0085173C"/>
    <w:rsid w:val="00851C4B"/>
    <w:rsid w:val="00851D4C"/>
    <w:rsid w:val="008525D4"/>
    <w:rsid w:val="00852DD7"/>
    <w:rsid w:val="00853774"/>
    <w:rsid w:val="00853B64"/>
    <w:rsid w:val="00853D1B"/>
    <w:rsid w:val="00853F99"/>
    <w:rsid w:val="00854A71"/>
    <w:rsid w:val="00855861"/>
    <w:rsid w:val="00855C83"/>
    <w:rsid w:val="0085610F"/>
    <w:rsid w:val="00856425"/>
    <w:rsid w:val="0085716E"/>
    <w:rsid w:val="00860089"/>
    <w:rsid w:val="0086051C"/>
    <w:rsid w:val="00860616"/>
    <w:rsid w:val="00860787"/>
    <w:rsid w:val="00860D38"/>
    <w:rsid w:val="00860EFE"/>
    <w:rsid w:val="00861659"/>
    <w:rsid w:val="00861D07"/>
    <w:rsid w:val="00861EB0"/>
    <w:rsid w:val="00862561"/>
    <w:rsid w:val="00863509"/>
    <w:rsid w:val="0086373C"/>
    <w:rsid w:val="00863FE2"/>
    <w:rsid w:val="008642C8"/>
    <w:rsid w:val="008647AB"/>
    <w:rsid w:val="00865083"/>
    <w:rsid w:val="008666D4"/>
    <w:rsid w:val="00866DBD"/>
    <w:rsid w:val="00867BE4"/>
    <w:rsid w:val="00867D09"/>
    <w:rsid w:val="00870146"/>
    <w:rsid w:val="00870CB0"/>
    <w:rsid w:val="00871096"/>
    <w:rsid w:val="00871ADD"/>
    <w:rsid w:val="00872E1F"/>
    <w:rsid w:val="00873609"/>
    <w:rsid w:val="008736CD"/>
    <w:rsid w:val="00873AE3"/>
    <w:rsid w:val="0087408E"/>
    <w:rsid w:val="00874B40"/>
    <w:rsid w:val="00874F45"/>
    <w:rsid w:val="00875544"/>
    <w:rsid w:val="0087564C"/>
    <w:rsid w:val="00876938"/>
    <w:rsid w:val="00876C91"/>
    <w:rsid w:val="00876D73"/>
    <w:rsid w:val="00876F68"/>
    <w:rsid w:val="00876FCD"/>
    <w:rsid w:val="0087729F"/>
    <w:rsid w:val="00877664"/>
    <w:rsid w:val="00877BB3"/>
    <w:rsid w:val="00877DD1"/>
    <w:rsid w:val="008806EE"/>
    <w:rsid w:val="0088081E"/>
    <w:rsid w:val="0088135B"/>
    <w:rsid w:val="00881566"/>
    <w:rsid w:val="00881E46"/>
    <w:rsid w:val="00882D5F"/>
    <w:rsid w:val="008835B2"/>
    <w:rsid w:val="00883AB4"/>
    <w:rsid w:val="008843D8"/>
    <w:rsid w:val="00885A05"/>
    <w:rsid w:val="0088629D"/>
    <w:rsid w:val="00887325"/>
    <w:rsid w:val="00890025"/>
    <w:rsid w:val="008902D6"/>
    <w:rsid w:val="00890675"/>
    <w:rsid w:val="00891926"/>
    <w:rsid w:val="00891D94"/>
    <w:rsid w:val="00891E3E"/>
    <w:rsid w:val="00892792"/>
    <w:rsid w:val="00892875"/>
    <w:rsid w:val="00892919"/>
    <w:rsid w:val="00892B3D"/>
    <w:rsid w:val="00892D05"/>
    <w:rsid w:val="0089314C"/>
    <w:rsid w:val="00893229"/>
    <w:rsid w:val="00893439"/>
    <w:rsid w:val="0089454B"/>
    <w:rsid w:val="00895151"/>
    <w:rsid w:val="008955D5"/>
    <w:rsid w:val="00895C8B"/>
    <w:rsid w:val="008969C4"/>
    <w:rsid w:val="008A0CC6"/>
    <w:rsid w:val="008A2585"/>
    <w:rsid w:val="008A2862"/>
    <w:rsid w:val="008A2ABF"/>
    <w:rsid w:val="008A2E39"/>
    <w:rsid w:val="008A3C5C"/>
    <w:rsid w:val="008A40A3"/>
    <w:rsid w:val="008A43D5"/>
    <w:rsid w:val="008A4C16"/>
    <w:rsid w:val="008A5175"/>
    <w:rsid w:val="008A5B78"/>
    <w:rsid w:val="008A608A"/>
    <w:rsid w:val="008A6693"/>
    <w:rsid w:val="008A66A0"/>
    <w:rsid w:val="008A68B9"/>
    <w:rsid w:val="008A712E"/>
    <w:rsid w:val="008A7392"/>
    <w:rsid w:val="008A76FB"/>
    <w:rsid w:val="008B0708"/>
    <w:rsid w:val="008B135D"/>
    <w:rsid w:val="008B1979"/>
    <w:rsid w:val="008B29CF"/>
    <w:rsid w:val="008B2BEB"/>
    <w:rsid w:val="008B3825"/>
    <w:rsid w:val="008B4353"/>
    <w:rsid w:val="008B473E"/>
    <w:rsid w:val="008B4AA7"/>
    <w:rsid w:val="008B4BCB"/>
    <w:rsid w:val="008B4D5A"/>
    <w:rsid w:val="008B5778"/>
    <w:rsid w:val="008B5C1D"/>
    <w:rsid w:val="008B5D5F"/>
    <w:rsid w:val="008B66C1"/>
    <w:rsid w:val="008B69AA"/>
    <w:rsid w:val="008B6C2B"/>
    <w:rsid w:val="008B7127"/>
    <w:rsid w:val="008B79C0"/>
    <w:rsid w:val="008B7EA2"/>
    <w:rsid w:val="008C01CB"/>
    <w:rsid w:val="008C0451"/>
    <w:rsid w:val="008C0FC3"/>
    <w:rsid w:val="008C1728"/>
    <w:rsid w:val="008C19D7"/>
    <w:rsid w:val="008C1EFC"/>
    <w:rsid w:val="008C2B58"/>
    <w:rsid w:val="008C2F02"/>
    <w:rsid w:val="008C3DBF"/>
    <w:rsid w:val="008C3EF9"/>
    <w:rsid w:val="008C457D"/>
    <w:rsid w:val="008C4831"/>
    <w:rsid w:val="008C58AF"/>
    <w:rsid w:val="008C5C66"/>
    <w:rsid w:val="008C6266"/>
    <w:rsid w:val="008C681A"/>
    <w:rsid w:val="008C6AD0"/>
    <w:rsid w:val="008C76F7"/>
    <w:rsid w:val="008D0856"/>
    <w:rsid w:val="008D123F"/>
    <w:rsid w:val="008D137E"/>
    <w:rsid w:val="008D1B6A"/>
    <w:rsid w:val="008D1DC7"/>
    <w:rsid w:val="008D1EF3"/>
    <w:rsid w:val="008D1FBC"/>
    <w:rsid w:val="008D317C"/>
    <w:rsid w:val="008D329E"/>
    <w:rsid w:val="008D3EC9"/>
    <w:rsid w:val="008D4FD7"/>
    <w:rsid w:val="008D5378"/>
    <w:rsid w:val="008D556C"/>
    <w:rsid w:val="008D62B8"/>
    <w:rsid w:val="008D6352"/>
    <w:rsid w:val="008D6477"/>
    <w:rsid w:val="008D66D8"/>
    <w:rsid w:val="008D7845"/>
    <w:rsid w:val="008E0484"/>
    <w:rsid w:val="008E07EC"/>
    <w:rsid w:val="008E0939"/>
    <w:rsid w:val="008E12B2"/>
    <w:rsid w:val="008E136C"/>
    <w:rsid w:val="008E1C17"/>
    <w:rsid w:val="008E20E2"/>
    <w:rsid w:val="008E26D0"/>
    <w:rsid w:val="008E2798"/>
    <w:rsid w:val="008E288E"/>
    <w:rsid w:val="008E2DD1"/>
    <w:rsid w:val="008E2F5E"/>
    <w:rsid w:val="008E318B"/>
    <w:rsid w:val="008E3FE6"/>
    <w:rsid w:val="008E4B06"/>
    <w:rsid w:val="008E4FB7"/>
    <w:rsid w:val="008E5C4B"/>
    <w:rsid w:val="008E5E60"/>
    <w:rsid w:val="008E5ED5"/>
    <w:rsid w:val="008E5FCF"/>
    <w:rsid w:val="008E6710"/>
    <w:rsid w:val="008E6C31"/>
    <w:rsid w:val="008E7FAE"/>
    <w:rsid w:val="008F100E"/>
    <w:rsid w:val="008F1C1E"/>
    <w:rsid w:val="008F1EAA"/>
    <w:rsid w:val="008F1FF5"/>
    <w:rsid w:val="008F2453"/>
    <w:rsid w:val="008F25DF"/>
    <w:rsid w:val="008F3998"/>
    <w:rsid w:val="008F3EC2"/>
    <w:rsid w:val="008F4007"/>
    <w:rsid w:val="008F4243"/>
    <w:rsid w:val="008F445E"/>
    <w:rsid w:val="008F46EF"/>
    <w:rsid w:val="008F48E4"/>
    <w:rsid w:val="008F6380"/>
    <w:rsid w:val="008F683A"/>
    <w:rsid w:val="008F683E"/>
    <w:rsid w:val="008F6B88"/>
    <w:rsid w:val="008F718D"/>
    <w:rsid w:val="008F7537"/>
    <w:rsid w:val="008F7D31"/>
    <w:rsid w:val="009000B0"/>
    <w:rsid w:val="00900275"/>
    <w:rsid w:val="009002BD"/>
    <w:rsid w:val="00900957"/>
    <w:rsid w:val="00900991"/>
    <w:rsid w:val="00900AAB"/>
    <w:rsid w:val="009010B8"/>
    <w:rsid w:val="009017BA"/>
    <w:rsid w:val="00901830"/>
    <w:rsid w:val="00901882"/>
    <w:rsid w:val="0090189F"/>
    <w:rsid w:val="009021AC"/>
    <w:rsid w:val="00902811"/>
    <w:rsid w:val="00902B9D"/>
    <w:rsid w:val="00902D29"/>
    <w:rsid w:val="0090495F"/>
    <w:rsid w:val="0090512B"/>
    <w:rsid w:val="0090523E"/>
    <w:rsid w:val="009052E6"/>
    <w:rsid w:val="00905839"/>
    <w:rsid w:val="00906392"/>
    <w:rsid w:val="0090655E"/>
    <w:rsid w:val="00907008"/>
    <w:rsid w:val="009072B3"/>
    <w:rsid w:val="0090741B"/>
    <w:rsid w:val="009100E4"/>
    <w:rsid w:val="00910282"/>
    <w:rsid w:val="0091055D"/>
    <w:rsid w:val="00911BC0"/>
    <w:rsid w:val="00912068"/>
    <w:rsid w:val="009126B9"/>
    <w:rsid w:val="00912943"/>
    <w:rsid w:val="0091294C"/>
    <w:rsid w:val="00914355"/>
    <w:rsid w:val="00914A8E"/>
    <w:rsid w:val="00914C0E"/>
    <w:rsid w:val="00915264"/>
    <w:rsid w:val="00915800"/>
    <w:rsid w:val="0091582C"/>
    <w:rsid w:val="0091596C"/>
    <w:rsid w:val="00915A6F"/>
    <w:rsid w:val="00915FB8"/>
    <w:rsid w:val="009168AF"/>
    <w:rsid w:val="00916A67"/>
    <w:rsid w:val="009172B0"/>
    <w:rsid w:val="00917C7D"/>
    <w:rsid w:val="00917DD3"/>
    <w:rsid w:val="00920507"/>
    <w:rsid w:val="00920783"/>
    <w:rsid w:val="00920A35"/>
    <w:rsid w:val="00920C56"/>
    <w:rsid w:val="0092145F"/>
    <w:rsid w:val="00921483"/>
    <w:rsid w:val="009215DA"/>
    <w:rsid w:val="0092172B"/>
    <w:rsid w:val="00921B29"/>
    <w:rsid w:val="00921BC7"/>
    <w:rsid w:val="00922ECF"/>
    <w:rsid w:val="00922FDA"/>
    <w:rsid w:val="009230AE"/>
    <w:rsid w:val="00924194"/>
    <w:rsid w:val="00924828"/>
    <w:rsid w:val="0092511F"/>
    <w:rsid w:val="00925170"/>
    <w:rsid w:val="00925C25"/>
    <w:rsid w:val="00925C63"/>
    <w:rsid w:val="00926116"/>
    <w:rsid w:val="00926225"/>
    <w:rsid w:val="00926C4F"/>
    <w:rsid w:val="00927504"/>
    <w:rsid w:val="009275B3"/>
    <w:rsid w:val="00927AFD"/>
    <w:rsid w:val="009300EC"/>
    <w:rsid w:val="00930C00"/>
    <w:rsid w:val="009315A0"/>
    <w:rsid w:val="009315A2"/>
    <w:rsid w:val="009315FA"/>
    <w:rsid w:val="0093166F"/>
    <w:rsid w:val="00931A52"/>
    <w:rsid w:val="00931CE1"/>
    <w:rsid w:val="00931D56"/>
    <w:rsid w:val="00932C50"/>
    <w:rsid w:val="00932C79"/>
    <w:rsid w:val="00932D98"/>
    <w:rsid w:val="009334E5"/>
    <w:rsid w:val="00933C3A"/>
    <w:rsid w:val="00933C9D"/>
    <w:rsid w:val="00933D9E"/>
    <w:rsid w:val="00934203"/>
    <w:rsid w:val="0093461A"/>
    <w:rsid w:val="00935074"/>
    <w:rsid w:val="0093507A"/>
    <w:rsid w:val="009357DF"/>
    <w:rsid w:val="009360EC"/>
    <w:rsid w:val="009362F0"/>
    <w:rsid w:val="00937205"/>
    <w:rsid w:val="00937D58"/>
    <w:rsid w:val="00940039"/>
    <w:rsid w:val="00941795"/>
    <w:rsid w:val="00942523"/>
    <w:rsid w:val="00942FB5"/>
    <w:rsid w:val="00943035"/>
    <w:rsid w:val="00943A09"/>
    <w:rsid w:val="00945134"/>
    <w:rsid w:val="00945473"/>
    <w:rsid w:val="00946602"/>
    <w:rsid w:val="00946B6D"/>
    <w:rsid w:val="009471F7"/>
    <w:rsid w:val="009475ED"/>
    <w:rsid w:val="00947EB5"/>
    <w:rsid w:val="00947F56"/>
    <w:rsid w:val="00950034"/>
    <w:rsid w:val="0095013C"/>
    <w:rsid w:val="00950846"/>
    <w:rsid w:val="009509D4"/>
    <w:rsid w:val="00950F15"/>
    <w:rsid w:val="00950F5E"/>
    <w:rsid w:val="00951929"/>
    <w:rsid w:val="00951972"/>
    <w:rsid w:val="00951B5D"/>
    <w:rsid w:val="00951D4B"/>
    <w:rsid w:val="00951E4C"/>
    <w:rsid w:val="009524FA"/>
    <w:rsid w:val="00952F28"/>
    <w:rsid w:val="00953D0B"/>
    <w:rsid w:val="00953D6F"/>
    <w:rsid w:val="00954703"/>
    <w:rsid w:val="00954C3F"/>
    <w:rsid w:val="00954E51"/>
    <w:rsid w:val="00955A98"/>
    <w:rsid w:val="009569C9"/>
    <w:rsid w:val="00956A4F"/>
    <w:rsid w:val="00956E92"/>
    <w:rsid w:val="00956F50"/>
    <w:rsid w:val="009576E6"/>
    <w:rsid w:val="00957CF5"/>
    <w:rsid w:val="0096073E"/>
    <w:rsid w:val="00960BBF"/>
    <w:rsid w:val="00960F87"/>
    <w:rsid w:val="00961337"/>
    <w:rsid w:val="009616D9"/>
    <w:rsid w:val="0096181E"/>
    <w:rsid w:val="00961972"/>
    <w:rsid w:val="00961E42"/>
    <w:rsid w:val="00962536"/>
    <w:rsid w:val="0096254B"/>
    <w:rsid w:val="0096286A"/>
    <w:rsid w:val="00962F39"/>
    <w:rsid w:val="00963137"/>
    <w:rsid w:val="009637FF"/>
    <w:rsid w:val="00963C11"/>
    <w:rsid w:val="0096425A"/>
    <w:rsid w:val="0096449E"/>
    <w:rsid w:val="00964D56"/>
    <w:rsid w:val="00966391"/>
    <w:rsid w:val="009665C7"/>
    <w:rsid w:val="00966BB0"/>
    <w:rsid w:val="0096724F"/>
    <w:rsid w:val="00967B72"/>
    <w:rsid w:val="00970B36"/>
    <w:rsid w:val="00970EFB"/>
    <w:rsid w:val="009713EE"/>
    <w:rsid w:val="00971793"/>
    <w:rsid w:val="009718C9"/>
    <w:rsid w:val="009718E8"/>
    <w:rsid w:val="00972215"/>
    <w:rsid w:val="0097237C"/>
    <w:rsid w:val="00972813"/>
    <w:rsid w:val="00972ACC"/>
    <w:rsid w:val="00972B50"/>
    <w:rsid w:val="009732A4"/>
    <w:rsid w:val="009738D6"/>
    <w:rsid w:val="00973C2C"/>
    <w:rsid w:val="009744BF"/>
    <w:rsid w:val="0097474A"/>
    <w:rsid w:val="00974DBC"/>
    <w:rsid w:val="00975A95"/>
    <w:rsid w:val="00975FEC"/>
    <w:rsid w:val="009765FA"/>
    <w:rsid w:val="00976ACB"/>
    <w:rsid w:val="00976BC3"/>
    <w:rsid w:val="00976D98"/>
    <w:rsid w:val="009776CF"/>
    <w:rsid w:val="00977934"/>
    <w:rsid w:val="00981114"/>
    <w:rsid w:val="009817A6"/>
    <w:rsid w:val="00981DF0"/>
    <w:rsid w:val="009823A0"/>
    <w:rsid w:val="009829B0"/>
    <w:rsid w:val="00983744"/>
    <w:rsid w:val="009840E8"/>
    <w:rsid w:val="00984874"/>
    <w:rsid w:val="009848FC"/>
    <w:rsid w:val="00984907"/>
    <w:rsid w:val="00984A59"/>
    <w:rsid w:val="00984CEA"/>
    <w:rsid w:val="00984E6C"/>
    <w:rsid w:val="00985880"/>
    <w:rsid w:val="00985A99"/>
    <w:rsid w:val="009871CC"/>
    <w:rsid w:val="00987985"/>
    <w:rsid w:val="009901C0"/>
    <w:rsid w:val="0099047E"/>
    <w:rsid w:val="009912A0"/>
    <w:rsid w:val="009912DA"/>
    <w:rsid w:val="00991541"/>
    <w:rsid w:val="009915E5"/>
    <w:rsid w:val="00992011"/>
    <w:rsid w:val="00992831"/>
    <w:rsid w:val="00992DEA"/>
    <w:rsid w:val="00992F42"/>
    <w:rsid w:val="00993016"/>
    <w:rsid w:val="009934C5"/>
    <w:rsid w:val="00993599"/>
    <w:rsid w:val="009944E7"/>
    <w:rsid w:val="0099478F"/>
    <w:rsid w:val="00995075"/>
    <w:rsid w:val="00995827"/>
    <w:rsid w:val="00995A82"/>
    <w:rsid w:val="009962FF"/>
    <w:rsid w:val="00997186"/>
    <w:rsid w:val="009973C2"/>
    <w:rsid w:val="00997627"/>
    <w:rsid w:val="00997AE5"/>
    <w:rsid w:val="00997B7F"/>
    <w:rsid w:val="00997BE9"/>
    <w:rsid w:val="00997D68"/>
    <w:rsid w:val="009A030B"/>
    <w:rsid w:val="009A0A8A"/>
    <w:rsid w:val="009A0BE1"/>
    <w:rsid w:val="009A10CF"/>
    <w:rsid w:val="009A11BA"/>
    <w:rsid w:val="009A18D2"/>
    <w:rsid w:val="009A1927"/>
    <w:rsid w:val="009A1B94"/>
    <w:rsid w:val="009A2360"/>
    <w:rsid w:val="009A25D1"/>
    <w:rsid w:val="009A2AA4"/>
    <w:rsid w:val="009A2F05"/>
    <w:rsid w:val="009A3266"/>
    <w:rsid w:val="009A3700"/>
    <w:rsid w:val="009A3C0A"/>
    <w:rsid w:val="009A3C0C"/>
    <w:rsid w:val="009A3C1F"/>
    <w:rsid w:val="009A3DBA"/>
    <w:rsid w:val="009A4287"/>
    <w:rsid w:val="009A4855"/>
    <w:rsid w:val="009A5627"/>
    <w:rsid w:val="009A5D2E"/>
    <w:rsid w:val="009A5DED"/>
    <w:rsid w:val="009A6762"/>
    <w:rsid w:val="009A79A7"/>
    <w:rsid w:val="009B001C"/>
    <w:rsid w:val="009B03AA"/>
    <w:rsid w:val="009B10A4"/>
    <w:rsid w:val="009B15E0"/>
    <w:rsid w:val="009B17FB"/>
    <w:rsid w:val="009B1EC6"/>
    <w:rsid w:val="009B2086"/>
    <w:rsid w:val="009B2480"/>
    <w:rsid w:val="009B2E58"/>
    <w:rsid w:val="009B2F64"/>
    <w:rsid w:val="009B2F89"/>
    <w:rsid w:val="009B35DD"/>
    <w:rsid w:val="009B38F5"/>
    <w:rsid w:val="009B390B"/>
    <w:rsid w:val="009B3E51"/>
    <w:rsid w:val="009B43AB"/>
    <w:rsid w:val="009B4994"/>
    <w:rsid w:val="009B4AB6"/>
    <w:rsid w:val="009B4FAA"/>
    <w:rsid w:val="009B52E3"/>
    <w:rsid w:val="009B5357"/>
    <w:rsid w:val="009B58BB"/>
    <w:rsid w:val="009B58E0"/>
    <w:rsid w:val="009B6467"/>
    <w:rsid w:val="009B665E"/>
    <w:rsid w:val="009B67C1"/>
    <w:rsid w:val="009B6871"/>
    <w:rsid w:val="009B69BF"/>
    <w:rsid w:val="009B69D9"/>
    <w:rsid w:val="009B6E0F"/>
    <w:rsid w:val="009B73EF"/>
    <w:rsid w:val="009B76C5"/>
    <w:rsid w:val="009B7724"/>
    <w:rsid w:val="009B793E"/>
    <w:rsid w:val="009B7949"/>
    <w:rsid w:val="009C01EA"/>
    <w:rsid w:val="009C02CA"/>
    <w:rsid w:val="009C02F1"/>
    <w:rsid w:val="009C0569"/>
    <w:rsid w:val="009C0611"/>
    <w:rsid w:val="009C0F2D"/>
    <w:rsid w:val="009C1B2F"/>
    <w:rsid w:val="009C1F99"/>
    <w:rsid w:val="009C22A8"/>
    <w:rsid w:val="009C277B"/>
    <w:rsid w:val="009C2DC9"/>
    <w:rsid w:val="009C2F8F"/>
    <w:rsid w:val="009C308F"/>
    <w:rsid w:val="009C3AB8"/>
    <w:rsid w:val="009C3E77"/>
    <w:rsid w:val="009C3EFE"/>
    <w:rsid w:val="009C415D"/>
    <w:rsid w:val="009C428C"/>
    <w:rsid w:val="009C4536"/>
    <w:rsid w:val="009C543B"/>
    <w:rsid w:val="009C5918"/>
    <w:rsid w:val="009C5995"/>
    <w:rsid w:val="009C5CD8"/>
    <w:rsid w:val="009C6123"/>
    <w:rsid w:val="009C6F18"/>
    <w:rsid w:val="009C798C"/>
    <w:rsid w:val="009D095C"/>
    <w:rsid w:val="009D0BA8"/>
    <w:rsid w:val="009D2364"/>
    <w:rsid w:val="009D2B98"/>
    <w:rsid w:val="009D2BDB"/>
    <w:rsid w:val="009D403C"/>
    <w:rsid w:val="009D46A5"/>
    <w:rsid w:val="009D48EB"/>
    <w:rsid w:val="009D4BD3"/>
    <w:rsid w:val="009D4F25"/>
    <w:rsid w:val="009D58D3"/>
    <w:rsid w:val="009D5B4F"/>
    <w:rsid w:val="009D6639"/>
    <w:rsid w:val="009D66DA"/>
    <w:rsid w:val="009D6DAA"/>
    <w:rsid w:val="009D7E44"/>
    <w:rsid w:val="009E2109"/>
    <w:rsid w:val="009E244C"/>
    <w:rsid w:val="009E250A"/>
    <w:rsid w:val="009E2670"/>
    <w:rsid w:val="009E3523"/>
    <w:rsid w:val="009E3572"/>
    <w:rsid w:val="009E36C1"/>
    <w:rsid w:val="009E37AF"/>
    <w:rsid w:val="009E38F0"/>
    <w:rsid w:val="009E396F"/>
    <w:rsid w:val="009E3C5D"/>
    <w:rsid w:val="009E3E14"/>
    <w:rsid w:val="009E45CD"/>
    <w:rsid w:val="009E4A96"/>
    <w:rsid w:val="009E4B59"/>
    <w:rsid w:val="009E4D14"/>
    <w:rsid w:val="009E4D6C"/>
    <w:rsid w:val="009E5556"/>
    <w:rsid w:val="009E56D6"/>
    <w:rsid w:val="009E5D51"/>
    <w:rsid w:val="009E65BD"/>
    <w:rsid w:val="009E65FC"/>
    <w:rsid w:val="009E662C"/>
    <w:rsid w:val="009E67E2"/>
    <w:rsid w:val="009E6878"/>
    <w:rsid w:val="009E6D11"/>
    <w:rsid w:val="009E6DD0"/>
    <w:rsid w:val="009E751A"/>
    <w:rsid w:val="009E79B4"/>
    <w:rsid w:val="009E7AD5"/>
    <w:rsid w:val="009F0305"/>
    <w:rsid w:val="009F1091"/>
    <w:rsid w:val="009F1141"/>
    <w:rsid w:val="009F15E2"/>
    <w:rsid w:val="009F166B"/>
    <w:rsid w:val="009F1900"/>
    <w:rsid w:val="009F1F94"/>
    <w:rsid w:val="009F2CAB"/>
    <w:rsid w:val="009F39CB"/>
    <w:rsid w:val="009F4065"/>
    <w:rsid w:val="009F40A3"/>
    <w:rsid w:val="009F5192"/>
    <w:rsid w:val="009F52C1"/>
    <w:rsid w:val="009F5497"/>
    <w:rsid w:val="009F76D9"/>
    <w:rsid w:val="009F7C21"/>
    <w:rsid w:val="009F7F69"/>
    <w:rsid w:val="00A00130"/>
    <w:rsid w:val="00A0068F"/>
    <w:rsid w:val="00A0086B"/>
    <w:rsid w:val="00A00934"/>
    <w:rsid w:val="00A014EC"/>
    <w:rsid w:val="00A01CA3"/>
    <w:rsid w:val="00A020E4"/>
    <w:rsid w:val="00A02283"/>
    <w:rsid w:val="00A023F6"/>
    <w:rsid w:val="00A0275B"/>
    <w:rsid w:val="00A02FF5"/>
    <w:rsid w:val="00A035AC"/>
    <w:rsid w:val="00A041C9"/>
    <w:rsid w:val="00A05D5E"/>
    <w:rsid w:val="00A06174"/>
    <w:rsid w:val="00A06B2F"/>
    <w:rsid w:val="00A06DAA"/>
    <w:rsid w:val="00A06E85"/>
    <w:rsid w:val="00A071B8"/>
    <w:rsid w:val="00A073AD"/>
    <w:rsid w:val="00A0768A"/>
    <w:rsid w:val="00A0792C"/>
    <w:rsid w:val="00A10FE1"/>
    <w:rsid w:val="00A110EF"/>
    <w:rsid w:val="00A11174"/>
    <w:rsid w:val="00A11352"/>
    <w:rsid w:val="00A11EDF"/>
    <w:rsid w:val="00A11F83"/>
    <w:rsid w:val="00A1228C"/>
    <w:rsid w:val="00A12BD1"/>
    <w:rsid w:val="00A12C4C"/>
    <w:rsid w:val="00A12C7A"/>
    <w:rsid w:val="00A12D45"/>
    <w:rsid w:val="00A13011"/>
    <w:rsid w:val="00A13144"/>
    <w:rsid w:val="00A13595"/>
    <w:rsid w:val="00A139FE"/>
    <w:rsid w:val="00A1434A"/>
    <w:rsid w:val="00A14C1C"/>
    <w:rsid w:val="00A1503B"/>
    <w:rsid w:val="00A153B0"/>
    <w:rsid w:val="00A15E81"/>
    <w:rsid w:val="00A160AB"/>
    <w:rsid w:val="00A1612E"/>
    <w:rsid w:val="00A16D74"/>
    <w:rsid w:val="00A16D7B"/>
    <w:rsid w:val="00A17097"/>
    <w:rsid w:val="00A17B16"/>
    <w:rsid w:val="00A20164"/>
    <w:rsid w:val="00A2045C"/>
    <w:rsid w:val="00A20C5D"/>
    <w:rsid w:val="00A20DBE"/>
    <w:rsid w:val="00A214F8"/>
    <w:rsid w:val="00A2299E"/>
    <w:rsid w:val="00A229F0"/>
    <w:rsid w:val="00A23590"/>
    <w:rsid w:val="00A235A1"/>
    <w:rsid w:val="00A23EFE"/>
    <w:rsid w:val="00A24D52"/>
    <w:rsid w:val="00A268AA"/>
    <w:rsid w:val="00A26A5B"/>
    <w:rsid w:val="00A26BD8"/>
    <w:rsid w:val="00A27099"/>
    <w:rsid w:val="00A271BC"/>
    <w:rsid w:val="00A271E5"/>
    <w:rsid w:val="00A301F9"/>
    <w:rsid w:val="00A309F6"/>
    <w:rsid w:val="00A30A03"/>
    <w:rsid w:val="00A31359"/>
    <w:rsid w:val="00A31452"/>
    <w:rsid w:val="00A31FF8"/>
    <w:rsid w:val="00A32325"/>
    <w:rsid w:val="00A32784"/>
    <w:rsid w:val="00A32FA6"/>
    <w:rsid w:val="00A33042"/>
    <w:rsid w:val="00A337BA"/>
    <w:rsid w:val="00A33AA2"/>
    <w:rsid w:val="00A33EF6"/>
    <w:rsid w:val="00A3410F"/>
    <w:rsid w:val="00A3531E"/>
    <w:rsid w:val="00A35D21"/>
    <w:rsid w:val="00A361D6"/>
    <w:rsid w:val="00A36970"/>
    <w:rsid w:val="00A36C40"/>
    <w:rsid w:val="00A378CD"/>
    <w:rsid w:val="00A37FA1"/>
    <w:rsid w:val="00A37FAF"/>
    <w:rsid w:val="00A4036B"/>
    <w:rsid w:val="00A40552"/>
    <w:rsid w:val="00A40A0A"/>
    <w:rsid w:val="00A40AAD"/>
    <w:rsid w:val="00A40B5F"/>
    <w:rsid w:val="00A41136"/>
    <w:rsid w:val="00A4138A"/>
    <w:rsid w:val="00A415EE"/>
    <w:rsid w:val="00A41669"/>
    <w:rsid w:val="00A41886"/>
    <w:rsid w:val="00A418A4"/>
    <w:rsid w:val="00A418AA"/>
    <w:rsid w:val="00A4191D"/>
    <w:rsid w:val="00A425B5"/>
    <w:rsid w:val="00A429DB"/>
    <w:rsid w:val="00A42E44"/>
    <w:rsid w:val="00A43144"/>
    <w:rsid w:val="00A43480"/>
    <w:rsid w:val="00A43561"/>
    <w:rsid w:val="00A43EF7"/>
    <w:rsid w:val="00A4430D"/>
    <w:rsid w:val="00A44359"/>
    <w:rsid w:val="00A44841"/>
    <w:rsid w:val="00A44DA6"/>
    <w:rsid w:val="00A453E7"/>
    <w:rsid w:val="00A45836"/>
    <w:rsid w:val="00A4628B"/>
    <w:rsid w:val="00A465CA"/>
    <w:rsid w:val="00A46697"/>
    <w:rsid w:val="00A4688B"/>
    <w:rsid w:val="00A46919"/>
    <w:rsid w:val="00A46AD7"/>
    <w:rsid w:val="00A46B0F"/>
    <w:rsid w:val="00A476D0"/>
    <w:rsid w:val="00A4781F"/>
    <w:rsid w:val="00A47B7E"/>
    <w:rsid w:val="00A50465"/>
    <w:rsid w:val="00A519CB"/>
    <w:rsid w:val="00A51B33"/>
    <w:rsid w:val="00A51EC2"/>
    <w:rsid w:val="00A52398"/>
    <w:rsid w:val="00A527FB"/>
    <w:rsid w:val="00A52944"/>
    <w:rsid w:val="00A53083"/>
    <w:rsid w:val="00A536CB"/>
    <w:rsid w:val="00A536EA"/>
    <w:rsid w:val="00A53CCA"/>
    <w:rsid w:val="00A5412B"/>
    <w:rsid w:val="00A55088"/>
    <w:rsid w:val="00A55383"/>
    <w:rsid w:val="00A553BC"/>
    <w:rsid w:val="00A553E1"/>
    <w:rsid w:val="00A554E6"/>
    <w:rsid w:val="00A55963"/>
    <w:rsid w:val="00A568F9"/>
    <w:rsid w:val="00A569BB"/>
    <w:rsid w:val="00A5701C"/>
    <w:rsid w:val="00A57020"/>
    <w:rsid w:val="00A57C3D"/>
    <w:rsid w:val="00A57F1E"/>
    <w:rsid w:val="00A600D6"/>
    <w:rsid w:val="00A60CC2"/>
    <w:rsid w:val="00A616F7"/>
    <w:rsid w:val="00A61A78"/>
    <w:rsid w:val="00A62460"/>
    <w:rsid w:val="00A62F05"/>
    <w:rsid w:val="00A635CF"/>
    <w:rsid w:val="00A6371C"/>
    <w:rsid w:val="00A638DF"/>
    <w:rsid w:val="00A639A7"/>
    <w:rsid w:val="00A63B57"/>
    <w:rsid w:val="00A63E47"/>
    <w:rsid w:val="00A63FD5"/>
    <w:rsid w:val="00A63FF4"/>
    <w:rsid w:val="00A6599C"/>
    <w:rsid w:val="00A65D4A"/>
    <w:rsid w:val="00A670BC"/>
    <w:rsid w:val="00A671BE"/>
    <w:rsid w:val="00A6769D"/>
    <w:rsid w:val="00A6796F"/>
    <w:rsid w:val="00A67FAD"/>
    <w:rsid w:val="00A7012F"/>
    <w:rsid w:val="00A70858"/>
    <w:rsid w:val="00A7180D"/>
    <w:rsid w:val="00A71B3A"/>
    <w:rsid w:val="00A72601"/>
    <w:rsid w:val="00A72D37"/>
    <w:rsid w:val="00A730A5"/>
    <w:rsid w:val="00A734FB"/>
    <w:rsid w:val="00A73E22"/>
    <w:rsid w:val="00A74525"/>
    <w:rsid w:val="00A74786"/>
    <w:rsid w:val="00A747B4"/>
    <w:rsid w:val="00A7486D"/>
    <w:rsid w:val="00A756D7"/>
    <w:rsid w:val="00A75A61"/>
    <w:rsid w:val="00A760F1"/>
    <w:rsid w:val="00A766FA"/>
    <w:rsid w:val="00A7702B"/>
    <w:rsid w:val="00A7717F"/>
    <w:rsid w:val="00A772D9"/>
    <w:rsid w:val="00A77448"/>
    <w:rsid w:val="00A7768C"/>
    <w:rsid w:val="00A776D4"/>
    <w:rsid w:val="00A77ABB"/>
    <w:rsid w:val="00A805DA"/>
    <w:rsid w:val="00A80759"/>
    <w:rsid w:val="00A80C38"/>
    <w:rsid w:val="00A81778"/>
    <w:rsid w:val="00A81FBE"/>
    <w:rsid w:val="00A82688"/>
    <w:rsid w:val="00A83C53"/>
    <w:rsid w:val="00A83FD9"/>
    <w:rsid w:val="00A845B1"/>
    <w:rsid w:val="00A85BD3"/>
    <w:rsid w:val="00A85FD6"/>
    <w:rsid w:val="00A86DC9"/>
    <w:rsid w:val="00A870D5"/>
    <w:rsid w:val="00A87808"/>
    <w:rsid w:val="00A87B34"/>
    <w:rsid w:val="00A909F1"/>
    <w:rsid w:val="00A91584"/>
    <w:rsid w:val="00A91B12"/>
    <w:rsid w:val="00A91BF4"/>
    <w:rsid w:val="00A926E1"/>
    <w:rsid w:val="00A927D9"/>
    <w:rsid w:val="00A933F7"/>
    <w:rsid w:val="00A938BC"/>
    <w:rsid w:val="00A94AAD"/>
    <w:rsid w:val="00A94B13"/>
    <w:rsid w:val="00A95494"/>
    <w:rsid w:val="00A954CB"/>
    <w:rsid w:val="00A95599"/>
    <w:rsid w:val="00A9582B"/>
    <w:rsid w:val="00A95E32"/>
    <w:rsid w:val="00A960DE"/>
    <w:rsid w:val="00A967C3"/>
    <w:rsid w:val="00A96E5A"/>
    <w:rsid w:val="00A977E8"/>
    <w:rsid w:val="00A97BF6"/>
    <w:rsid w:val="00AA021B"/>
    <w:rsid w:val="00AA079C"/>
    <w:rsid w:val="00AA0ECD"/>
    <w:rsid w:val="00AA1423"/>
    <w:rsid w:val="00AA1B6B"/>
    <w:rsid w:val="00AA1E04"/>
    <w:rsid w:val="00AA27BC"/>
    <w:rsid w:val="00AA2909"/>
    <w:rsid w:val="00AA3496"/>
    <w:rsid w:val="00AA37CC"/>
    <w:rsid w:val="00AA3FF7"/>
    <w:rsid w:val="00AA4D2E"/>
    <w:rsid w:val="00AA50F6"/>
    <w:rsid w:val="00AA53DC"/>
    <w:rsid w:val="00AA570D"/>
    <w:rsid w:val="00AA5758"/>
    <w:rsid w:val="00AA5FAA"/>
    <w:rsid w:val="00AA62AC"/>
    <w:rsid w:val="00AA66E1"/>
    <w:rsid w:val="00AA74B7"/>
    <w:rsid w:val="00AA773E"/>
    <w:rsid w:val="00AA7D3A"/>
    <w:rsid w:val="00AB06C4"/>
    <w:rsid w:val="00AB0B51"/>
    <w:rsid w:val="00AB0D15"/>
    <w:rsid w:val="00AB0DAA"/>
    <w:rsid w:val="00AB0FA9"/>
    <w:rsid w:val="00AB1186"/>
    <w:rsid w:val="00AB157D"/>
    <w:rsid w:val="00AB1DDF"/>
    <w:rsid w:val="00AB2F9F"/>
    <w:rsid w:val="00AB3086"/>
    <w:rsid w:val="00AB4380"/>
    <w:rsid w:val="00AB474C"/>
    <w:rsid w:val="00AB4A14"/>
    <w:rsid w:val="00AB4AA8"/>
    <w:rsid w:val="00AB5462"/>
    <w:rsid w:val="00AB58CC"/>
    <w:rsid w:val="00AB5A87"/>
    <w:rsid w:val="00AB5C35"/>
    <w:rsid w:val="00AB5C4A"/>
    <w:rsid w:val="00AB6164"/>
    <w:rsid w:val="00AB645A"/>
    <w:rsid w:val="00AB6B99"/>
    <w:rsid w:val="00AB6FB2"/>
    <w:rsid w:val="00AB7538"/>
    <w:rsid w:val="00AB7577"/>
    <w:rsid w:val="00AB762B"/>
    <w:rsid w:val="00AB76B4"/>
    <w:rsid w:val="00AB78B5"/>
    <w:rsid w:val="00AC022B"/>
    <w:rsid w:val="00AC06DF"/>
    <w:rsid w:val="00AC1E56"/>
    <w:rsid w:val="00AC25D5"/>
    <w:rsid w:val="00AC3124"/>
    <w:rsid w:val="00AC316A"/>
    <w:rsid w:val="00AC3407"/>
    <w:rsid w:val="00AC3493"/>
    <w:rsid w:val="00AC48C2"/>
    <w:rsid w:val="00AC4A59"/>
    <w:rsid w:val="00AC51E1"/>
    <w:rsid w:val="00AC5203"/>
    <w:rsid w:val="00AC552B"/>
    <w:rsid w:val="00AC5B8B"/>
    <w:rsid w:val="00AC6504"/>
    <w:rsid w:val="00AC682A"/>
    <w:rsid w:val="00AC6C68"/>
    <w:rsid w:val="00AC6E63"/>
    <w:rsid w:val="00AC7C99"/>
    <w:rsid w:val="00AC7D7D"/>
    <w:rsid w:val="00AD0046"/>
    <w:rsid w:val="00AD0094"/>
    <w:rsid w:val="00AD06FA"/>
    <w:rsid w:val="00AD1EC3"/>
    <w:rsid w:val="00AD3953"/>
    <w:rsid w:val="00AD3956"/>
    <w:rsid w:val="00AD3A5C"/>
    <w:rsid w:val="00AD3B46"/>
    <w:rsid w:val="00AD3C91"/>
    <w:rsid w:val="00AD4369"/>
    <w:rsid w:val="00AD4D7B"/>
    <w:rsid w:val="00AD540B"/>
    <w:rsid w:val="00AD578E"/>
    <w:rsid w:val="00AD60EF"/>
    <w:rsid w:val="00AD62D0"/>
    <w:rsid w:val="00AD65B7"/>
    <w:rsid w:val="00AD69CA"/>
    <w:rsid w:val="00AD6B4D"/>
    <w:rsid w:val="00AD6BAC"/>
    <w:rsid w:val="00AD6D4D"/>
    <w:rsid w:val="00AD6DC1"/>
    <w:rsid w:val="00AD6FBA"/>
    <w:rsid w:val="00AD744F"/>
    <w:rsid w:val="00AD76A1"/>
    <w:rsid w:val="00AD792D"/>
    <w:rsid w:val="00AD7BAB"/>
    <w:rsid w:val="00AD7F43"/>
    <w:rsid w:val="00AE06D3"/>
    <w:rsid w:val="00AE0D45"/>
    <w:rsid w:val="00AE143F"/>
    <w:rsid w:val="00AE14A5"/>
    <w:rsid w:val="00AE1BFE"/>
    <w:rsid w:val="00AE1D60"/>
    <w:rsid w:val="00AE23E2"/>
    <w:rsid w:val="00AE24FC"/>
    <w:rsid w:val="00AE2A51"/>
    <w:rsid w:val="00AE3026"/>
    <w:rsid w:val="00AE329F"/>
    <w:rsid w:val="00AE3D5B"/>
    <w:rsid w:val="00AE4132"/>
    <w:rsid w:val="00AE42C0"/>
    <w:rsid w:val="00AE42E0"/>
    <w:rsid w:val="00AE4394"/>
    <w:rsid w:val="00AE4526"/>
    <w:rsid w:val="00AE49F2"/>
    <w:rsid w:val="00AE5107"/>
    <w:rsid w:val="00AE5797"/>
    <w:rsid w:val="00AE5A39"/>
    <w:rsid w:val="00AE73ED"/>
    <w:rsid w:val="00AE7651"/>
    <w:rsid w:val="00AF007E"/>
    <w:rsid w:val="00AF03D7"/>
    <w:rsid w:val="00AF0A92"/>
    <w:rsid w:val="00AF1796"/>
    <w:rsid w:val="00AF1B0F"/>
    <w:rsid w:val="00AF1BEB"/>
    <w:rsid w:val="00AF1C41"/>
    <w:rsid w:val="00AF289D"/>
    <w:rsid w:val="00AF3056"/>
    <w:rsid w:val="00AF31B3"/>
    <w:rsid w:val="00AF324E"/>
    <w:rsid w:val="00AF3490"/>
    <w:rsid w:val="00AF47AE"/>
    <w:rsid w:val="00AF4EE7"/>
    <w:rsid w:val="00AF4FE7"/>
    <w:rsid w:val="00AF5D1F"/>
    <w:rsid w:val="00AF6A73"/>
    <w:rsid w:val="00AF7128"/>
    <w:rsid w:val="00AF727F"/>
    <w:rsid w:val="00AF74E8"/>
    <w:rsid w:val="00AF7BD2"/>
    <w:rsid w:val="00AF7F88"/>
    <w:rsid w:val="00B00E4E"/>
    <w:rsid w:val="00B0160D"/>
    <w:rsid w:val="00B017BA"/>
    <w:rsid w:val="00B0195B"/>
    <w:rsid w:val="00B02C84"/>
    <w:rsid w:val="00B03035"/>
    <w:rsid w:val="00B03195"/>
    <w:rsid w:val="00B0378B"/>
    <w:rsid w:val="00B03E60"/>
    <w:rsid w:val="00B0439A"/>
    <w:rsid w:val="00B04D49"/>
    <w:rsid w:val="00B05238"/>
    <w:rsid w:val="00B05440"/>
    <w:rsid w:val="00B05510"/>
    <w:rsid w:val="00B05B7D"/>
    <w:rsid w:val="00B06463"/>
    <w:rsid w:val="00B068D9"/>
    <w:rsid w:val="00B071ED"/>
    <w:rsid w:val="00B07A94"/>
    <w:rsid w:val="00B1009E"/>
    <w:rsid w:val="00B10C22"/>
    <w:rsid w:val="00B1139F"/>
    <w:rsid w:val="00B1149A"/>
    <w:rsid w:val="00B12565"/>
    <w:rsid w:val="00B12EF5"/>
    <w:rsid w:val="00B12F50"/>
    <w:rsid w:val="00B12F88"/>
    <w:rsid w:val="00B1319C"/>
    <w:rsid w:val="00B13EE6"/>
    <w:rsid w:val="00B14A80"/>
    <w:rsid w:val="00B14BF5"/>
    <w:rsid w:val="00B14C15"/>
    <w:rsid w:val="00B15242"/>
    <w:rsid w:val="00B15343"/>
    <w:rsid w:val="00B156ED"/>
    <w:rsid w:val="00B15738"/>
    <w:rsid w:val="00B15AF6"/>
    <w:rsid w:val="00B1631B"/>
    <w:rsid w:val="00B17207"/>
    <w:rsid w:val="00B17757"/>
    <w:rsid w:val="00B17AFD"/>
    <w:rsid w:val="00B17CF8"/>
    <w:rsid w:val="00B20692"/>
    <w:rsid w:val="00B211BF"/>
    <w:rsid w:val="00B21CDF"/>
    <w:rsid w:val="00B224EE"/>
    <w:rsid w:val="00B226B3"/>
    <w:rsid w:val="00B234D0"/>
    <w:rsid w:val="00B23849"/>
    <w:rsid w:val="00B23C2F"/>
    <w:rsid w:val="00B2576A"/>
    <w:rsid w:val="00B25C26"/>
    <w:rsid w:val="00B25E03"/>
    <w:rsid w:val="00B265CE"/>
    <w:rsid w:val="00B26772"/>
    <w:rsid w:val="00B267F8"/>
    <w:rsid w:val="00B26B6F"/>
    <w:rsid w:val="00B27D70"/>
    <w:rsid w:val="00B304FF"/>
    <w:rsid w:val="00B309D6"/>
    <w:rsid w:val="00B30ACA"/>
    <w:rsid w:val="00B30C1D"/>
    <w:rsid w:val="00B3111E"/>
    <w:rsid w:val="00B31948"/>
    <w:rsid w:val="00B32291"/>
    <w:rsid w:val="00B327CC"/>
    <w:rsid w:val="00B32A22"/>
    <w:rsid w:val="00B32E6F"/>
    <w:rsid w:val="00B33531"/>
    <w:rsid w:val="00B336C9"/>
    <w:rsid w:val="00B33828"/>
    <w:rsid w:val="00B34753"/>
    <w:rsid w:val="00B34939"/>
    <w:rsid w:val="00B34AC9"/>
    <w:rsid w:val="00B34E20"/>
    <w:rsid w:val="00B35010"/>
    <w:rsid w:val="00B3531C"/>
    <w:rsid w:val="00B354DD"/>
    <w:rsid w:val="00B35629"/>
    <w:rsid w:val="00B3581E"/>
    <w:rsid w:val="00B35A81"/>
    <w:rsid w:val="00B3629D"/>
    <w:rsid w:val="00B36E4E"/>
    <w:rsid w:val="00B36F73"/>
    <w:rsid w:val="00B37693"/>
    <w:rsid w:val="00B37BC8"/>
    <w:rsid w:val="00B403C8"/>
    <w:rsid w:val="00B405C6"/>
    <w:rsid w:val="00B40992"/>
    <w:rsid w:val="00B412D9"/>
    <w:rsid w:val="00B41465"/>
    <w:rsid w:val="00B41997"/>
    <w:rsid w:val="00B4251F"/>
    <w:rsid w:val="00B427F1"/>
    <w:rsid w:val="00B4323B"/>
    <w:rsid w:val="00B4345D"/>
    <w:rsid w:val="00B440E6"/>
    <w:rsid w:val="00B4433B"/>
    <w:rsid w:val="00B4450B"/>
    <w:rsid w:val="00B4478C"/>
    <w:rsid w:val="00B447D0"/>
    <w:rsid w:val="00B44A70"/>
    <w:rsid w:val="00B44E08"/>
    <w:rsid w:val="00B44EAD"/>
    <w:rsid w:val="00B45432"/>
    <w:rsid w:val="00B46228"/>
    <w:rsid w:val="00B46510"/>
    <w:rsid w:val="00B4666C"/>
    <w:rsid w:val="00B46B52"/>
    <w:rsid w:val="00B47EF6"/>
    <w:rsid w:val="00B47FAB"/>
    <w:rsid w:val="00B5038B"/>
    <w:rsid w:val="00B5080D"/>
    <w:rsid w:val="00B50C03"/>
    <w:rsid w:val="00B516F7"/>
    <w:rsid w:val="00B51721"/>
    <w:rsid w:val="00B5215E"/>
    <w:rsid w:val="00B5246E"/>
    <w:rsid w:val="00B52879"/>
    <w:rsid w:val="00B52D53"/>
    <w:rsid w:val="00B53C36"/>
    <w:rsid w:val="00B53D60"/>
    <w:rsid w:val="00B54425"/>
    <w:rsid w:val="00B549EF"/>
    <w:rsid w:val="00B54D31"/>
    <w:rsid w:val="00B5511B"/>
    <w:rsid w:val="00B556DF"/>
    <w:rsid w:val="00B55A53"/>
    <w:rsid w:val="00B55BC6"/>
    <w:rsid w:val="00B56323"/>
    <w:rsid w:val="00B56A41"/>
    <w:rsid w:val="00B56F58"/>
    <w:rsid w:val="00B5742B"/>
    <w:rsid w:val="00B5744B"/>
    <w:rsid w:val="00B5758B"/>
    <w:rsid w:val="00B57918"/>
    <w:rsid w:val="00B5799F"/>
    <w:rsid w:val="00B60B5C"/>
    <w:rsid w:val="00B61086"/>
    <w:rsid w:val="00B61136"/>
    <w:rsid w:val="00B6145C"/>
    <w:rsid w:val="00B617DC"/>
    <w:rsid w:val="00B6273D"/>
    <w:rsid w:val="00B62821"/>
    <w:rsid w:val="00B62B3D"/>
    <w:rsid w:val="00B62FF1"/>
    <w:rsid w:val="00B6307C"/>
    <w:rsid w:val="00B638D6"/>
    <w:rsid w:val="00B64636"/>
    <w:rsid w:val="00B6493B"/>
    <w:rsid w:val="00B64966"/>
    <w:rsid w:val="00B6503C"/>
    <w:rsid w:val="00B65081"/>
    <w:rsid w:val="00B65436"/>
    <w:rsid w:val="00B65861"/>
    <w:rsid w:val="00B65C17"/>
    <w:rsid w:val="00B65C88"/>
    <w:rsid w:val="00B65CE0"/>
    <w:rsid w:val="00B65FD4"/>
    <w:rsid w:val="00B66021"/>
    <w:rsid w:val="00B669EA"/>
    <w:rsid w:val="00B67358"/>
    <w:rsid w:val="00B6782C"/>
    <w:rsid w:val="00B67CEE"/>
    <w:rsid w:val="00B700DD"/>
    <w:rsid w:val="00B708F4"/>
    <w:rsid w:val="00B71043"/>
    <w:rsid w:val="00B72A6F"/>
    <w:rsid w:val="00B72CB4"/>
    <w:rsid w:val="00B73118"/>
    <w:rsid w:val="00B737F4"/>
    <w:rsid w:val="00B7380A"/>
    <w:rsid w:val="00B73CC2"/>
    <w:rsid w:val="00B740BF"/>
    <w:rsid w:val="00B7427D"/>
    <w:rsid w:val="00B74E3E"/>
    <w:rsid w:val="00B7509C"/>
    <w:rsid w:val="00B7524B"/>
    <w:rsid w:val="00B754AB"/>
    <w:rsid w:val="00B765AF"/>
    <w:rsid w:val="00B770D8"/>
    <w:rsid w:val="00B77255"/>
    <w:rsid w:val="00B773A8"/>
    <w:rsid w:val="00B773C9"/>
    <w:rsid w:val="00B776F4"/>
    <w:rsid w:val="00B77A65"/>
    <w:rsid w:val="00B77FE3"/>
    <w:rsid w:val="00B809A1"/>
    <w:rsid w:val="00B809D2"/>
    <w:rsid w:val="00B80D60"/>
    <w:rsid w:val="00B81112"/>
    <w:rsid w:val="00B814FA"/>
    <w:rsid w:val="00B81587"/>
    <w:rsid w:val="00B815D8"/>
    <w:rsid w:val="00B81ECE"/>
    <w:rsid w:val="00B82066"/>
    <w:rsid w:val="00B82AFB"/>
    <w:rsid w:val="00B82BE5"/>
    <w:rsid w:val="00B83F43"/>
    <w:rsid w:val="00B8418F"/>
    <w:rsid w:val="00B848F0"/>
    <w:rsid w:val="00B84927"/>
    <w:rsid w:val="00B8493E"/>
    <w:rsid w:val="00B84D22"/>
    <w:rsid w:val="00B84EB6"/>
    <w:rsid w:val="00B8522A"/>
    <w:rsid w:val="00B85469"/>
    <w:rsid w:val="00B85629"/>
    <w:rsid w:val="00B8629D"/>
    <w:rsid w:val="00B8699F"/>
    <w:rsid w:val="00B870C3"/>
    <w:rsid w:val="00B87779"/>
    <w:rsid w:val="00B87B21"/>
    <w:rsid w:val="00B87CFA"/>
    <w:rsid w:val="00B87DD4"/>
    <w:rsid w:val="00B90356"/>
    <w:rsid w:val="00B907DF"/>
    <w:rsid w:val="00B90A4E"/>
    <w:rsid w:val="00B9185E"/>
    <w:rsid w:val="00B9220E"/>
    <w:rsid w:val="00B9263A"/>
    <w:rsid w:val="00B92966"/>
    <w:rsid w:val="00B92A6E"/>
    <w:rsid w:val="00B92DCA"/>
    <w:rsid w:val="00B92F48"/>
    <w:rsid w:val="00B93170"/>
    <w:rsid w:val="00B931E6"/>
    <w:rsid w:val="00B932F2"/>
    <w:rsid w:val="00B93A51"/>
    <w:rsid w:val="00B93CDF"/>
    <w:rsid w:val="00B941BE"/>
    <w:rsid w:val="00B94515"/>
    <w:rsid w:val="00B94545"/>
    <w:rsid w:val="00B94676"/>
    <w:rsid w:val="00B95288"/>
    <w:rsid w:val="00B958E6"/>
    <w:rsid w:val="00B97398"/>
    <w:rsid w:val="00B97782"/>
    <w:rsid w:val="00B97904"/>
    <w:rsid w:val="00B97BA6"/>
    <w:rsid w:val="00B97D20"/>
    <w:rsid w:val="00BA0039"/>
    <w:rsid w:val="00BA01B6"/>
    <w:rsid w:val="00BA14DF"/>
    <w:rsid w:val="00BA1722"/>
    <w:rsid w:val="00BA20D1"/>
    <w:rsid w:val="00BA2321"/>
    <w:rsid w:val="00BA25BC"/>
    <w:rsid w:val="00BA2BF7"/>
    <w:rsid w:val="00BA2E55"/>
    <w:rsid w:val="00BA32AC"/>
    <w:rsid w:val="00BA3E1D"/>
    <w:rsid w:val="00BA411E"/>
    <w:rsid w:val="00BA4340"/>
    <w:rsid w:val="00BA4E34"/>
    <w:rsid w:val="00BA55D8"/>
    <w:rsid w:val="00BA592C"/>
    <w:rsid w:val="00BA5E3C"/>
    <w:rsid w:val="00BA626D"/>
    <w:rsid w:val="00BA6D1A"/>
    <w:rsid w:val="00BA76EF"/>
    <w:rsid w:val="00BA7B6B"/>
    <w:rsid w:val="00BA7D77"/>
    <w:rsid w:val="00BA7E6E"/>
    <w:rsid w:val="00BB05B8"/>
    <w:rsid w:val="00BB1054"/>
    <w:rsid w:val="00BB145E"/>
    <w:rsid w:val="00BB15BE"/>
    <w:rsid w:val="00BB17F0"/>
    <w:rsid w:val="00BB19D6"/>
    <w:rsid w:val="00BB2123"/>
    <w:rsid w:val="00BB2C0E"/>
    <w:rsid w:val="00BB3419"/>
    <w:rsid w:val="00BB4487"/>
    <w:rsid w:val="00BB47A2"/>
    <w:rsid w:val="00BB5776"/>
    <w:rsid w:val="00BB5EC5"/>
    <w:rsid w:val="00BB5F23"/>
    <w:rsid w:val="00BB6024"/>
    <w:rsid w:val="00BB607B"/>
    <w:rsid w:val="00BB6807"/>
    <w:rsid w:val="00BB68B5"/>
    <w:rsid w:val="00BB6C6D"/>
    <w:rsid w:val="00BB6FC7"/>
    <w:rsid w:val="00BB751C"/>
    <w:rsid w:val="00BB7634"/>
    <w:rsid w:val="00BB7C92"/>
    <w:rsid w:val="00BB7D19"/>
    <w:rsid w:val="00BB7D22"/>
    <w:rsid w:val="00BC0173"/>
    <w:rsid w:val="00BC02F3"/>
    <w:rsid w:val="00BC1AC4"/>
    <w:rsid w:val="00BC243F"/>
    <w:rsid w:val="00BC2A59"/>
    <w:rsid w:val="00BC2A99"/>
    <w:rsid w:val="00BC2DDA"/>
    <w:rsid w:val="00BC2E31"/>
    <w:rsid w:val="00BC2F80"/>
    <w:rsid w:val="00BC3052"/>
    <w:rsid w:val="00BC369C"/>
    <w:rsid w:val="00BC3A82"/>
    <w:rsid w:val="00BC43F7"/>
    <w:rsid w:val="00BC450A"/>
    <w:rsid w:val="00BC4631"/>
    <w:rsid w:val="00BC46B5"/>
    <w:rsid w:val="00BC539F"/>
    <w:rsid w:val="00BC5DCD"/>
    <w:rsid w:val="00BC5F95"/>
    <w:rsid w:val="00BC6B9D"/>
    <w:rsid w:val="00BC7161"/>
    <w:rsid w:val="00BC7405"/>
    <w:rsid w:val="00BC7590"/>
    <w:rsid w:val="00BC7750"/>
    <w:rsid w:val="00BC7D60"/>
    <w:rsid w:val="00BC7F57"/>
    <w:rsid w:val="00BD026F"/>
    <w:rsid w:val="00BD0282"/>
    <w:rsid w:val="00BD06AE"/>
    <w:rsid w:val="00BD133D"/>
    <w:rsid w:val="00BD1847"/>
    <w:rsid w:val="00BD240B"/>
    <w:rsid w:val="00BD24F8"/>
    <w:rsid w:val="00BD28AA"/>
    <w:rsid w:val="00BD36FA"/>
    <w:rsid w:val="00BD38A5"/>
    <w:rsid w:val="00BD3956"/>
    <w:rsid w:val="00BD3A61"/>
    <w:rsid w:val="00BD406F"/>
    <w:rsid w:val="00BD40C2"/>
    <w:rsid w:val="00BD467E"/>
    <w:rsid w:val="00BD55E4"/>
    <w:rsid w:val="00BD6417"/>
    <w:rsid w:val="00BD6D48"/>
    <w:rsid w:val="00BD6F3A"/>
    <w:rsid w:val="00BD76B4"/>
    <w:rsid w:val="00BD7F9F"/>
    <w:rsid w:val="00BE00FD"/>
    <w:rsid w:val="00BE0118"/>
    <w:rsid w:val="00BE06A3"/>
    <w:rsid w:val="00BE0778"/>
    <w:rsid w:val="00BE0A0D"/>
    <w:rsid w:val="00BE0B41"/>
    <w:rsid w:val="00BE0CF1"/>
    <w:rsid w:val="00BE0FF1"/>
    <w:rsid w:val="00BE12AD"/>
    <w:rsid w:val="00BE177A"/>
    <w:rsid w:val="00BE1849"/>
    <w:rsid w:val="00BE1C80"/>
    <w:rsid w:val="00BE2394"/>
    <w:rsid w:val="00BE239F"/>
    <w:rsid w:val="00BE304E"/>
    <w:rsid w:val="00BE377A"/>
    <w:rsid w:val="00BE3DE1"/>
    <w:rsid w:val="00BE41FF"/>
    <w:rsid w:val="00BE4708"/>
    <w:rsid w:val="00BE4A2E"/>
    <w:rsid w:val="00BE4C51"/>
    <w:rsid w:val="00BE51D7"/>
    <w:rsid w:val="00BE5D28"/>
    <w:rsid w:val="00BE6169"/>
    <w:rsid w:val="00BE621A"/>
    <w:rsid w:val="00BE68BB"/>
    <w:rsid w:val="00BE6C65"/>
    <w:rsid w:val="00BE6CD4"/>
    <w:rsid w:val="00BE6CEE"/>
    <w:rsid w:val="00BE6EA1"/>
    <w:rsid w:val="00BE6F81"/>
    <w:rsid w:val="00BE7344"/>
    <w:rsid w:val="00BE7709"/>
    <w:rsid w:val="00BE778E"/>
    <w:rsid w:val="00BF03DC"/>
    <w:rsid w:val="00BF08A3"/>
    <w:rsid w:val="00BF0E83"/>
    <w:rsid w:val="00BF0FE2"/>
    <w:rsid w:val="00BF13AC"/>
    <w:rsid w:val="00BF1C91"/>
    <w:rsid w:val="00BF26C5"/>
    <w:rsid w:val="00BF2F7A"/>
    <w:rsid w:val="00BF3943"/>
    <w:rsid w:val="00BF4C88"/>
    <w:rsid w:val="00BF5281"/>
    <w:rsid w:val="00BF6BA5"/>
    <w:rsid w:val="00BF70BA"/>
    <w:rsid w:val="00BF7597"/>
    <w:rsid w:val="00C00494"/>
    <w:rsid w:val="00C00541"/>
    <w:rsid w:val="00C00D68"/>
    <w:rsid w:val="00C0115B"/>
    <w:rsid w:val="00C01649"/>
    <w:rsid w:val="00C01FD5"/>
    <w:rsid w:val="00C02772"/>
    <w:rsid w:val="00C02856"/>
    <w:rsid w:val="00C02994"/>
    <w:rsid w:val="00C038FE"/>
    <w:rsid w:val="00C03C87"/>
    <w:rsid w:val="00C03D83"/>
    <w:rsid w:val="00C03D9B"/>
    <w:rsid w:val="00C04632"/>
    <w:rsid w:val="00C05083"/>
    <w:rsid w:val="00C053ED"/>
    <w:rsid w:val="00C05B40"/>
    <w:rsid w:val="00C05EBE"/>
    <w:rsid w:val="00C066E5"/>
    <w:rsid w:val="00C06AEC"/>
    <w:rsid w:val="00C06CD7"/>
    <w:rsid w:val="00C07BED"/>
    <w:rsid w:val="00C07F55"/>
    <w:rsid w:val="00C07F7E"/>
    <w:rsid w:val="00C108BF"/>
    <w:rsid w:val="00C111BC"/>
    <w:rsid w:val="00C111F1"/>
    <w:rsid w:val="00C11434"/>
    <w:rsid w:val="00C1157A"/>
    <w:rsid w:val="00C118D7"/>
    <w:rsid w:val="00C1239A"/>
    <w:rsid w:val="00C132A4"/>
    <w:rsid w:val="00C13A4F"/>
    <w:rsid w:val="00C13CBF"/>
    <w:rsid w:val="00C145F8"/>
    <w:rsid w:val="00C151FA"/>
    <w:rsid w:val="00C15628"/>
    <w:rsid w:val="00C164FB"/>
    <w:rsid w:val="00C166B3"/>
    <w:rsid w:val="00C173D0"/>
    <w:rsid w:val="00C17DC7"/>
    <w:rsid w:val="00C17E15"/>
    <w:rsid w:val="00C206E6"/>
    <w:rsid w:val="00C20B51"/>
    <w:rsid w:val="00C20F23"/>
    <w:rsid w:val="00C21458"/>
    <w:rsid w:val="00C2296C"/>
    <w:rsid w:val="00C22B45"/>
    <w:rsid w:val="00C23579"/>
    <w:rsid w:val="00C236EE"/>
    <w:rsid w:val="00C2415F"/>
    <w:rsid w:val="00C2422C"/>
    <w:rsid w:val="00C242D6"/>
    <w:rsid w:val="00C2465B"/>
    <w:rsid w:val="00C25092"/>
    <w:rsid w:val="00C25412"/>
    <w:rsid w:val="00C257AE"/>
    <w:rsid w:val="00C25ECC"/>
    <w:rsid w:val="00C2611D"/>
    <w:rsid w:val="00C26672"/>
    <w:rsid w:val="00C26BD5"/>
    <w:rsid w:val="00C26DB5"/>
    <w:rsid w:val="00C2704F"/>
    <w:rsid w:val="00C27C50"/>
    <w:rsid w:val="00C27E4C"/>
    <w:rsid w:val="00C30055"/>
    <w:rsid w:val="00C3030E"/>
    <w:rsid w:val="00C304E4"/>
    <w:rsid w:val="00C3063C"/>
    <w:rsid w:val="00C30781"/>
    <w:rsid w:val="00C3143D"/>
    <w:rsid w:val="00C318F2"/>
    <w:rsid w:val="00C31B20"/>
    <w:rsid w:val="00C32115"/>
    <w:rsid w:val="00C3246D"/>
    <w:rsid w:val="00C32A53"/>
    <w:rsid w:val="00C32E6D"/>
    <w:rsid w:val="00C33597"/>
    <w:rsid w:val="00C340B3"/>
    <w:rsid w:val="00C34F6B"/>
    <w:rsid w:val="00C34F8F"/>
    <w:rsid w:val="00C35104"/>
    <w:rsid w:val="00C353A3"/>
    <w:rsid w:val="00C35426"/>
    <w:rsid w:val="00C3576D"/>
    <w:rsid w:val="00C3582F"/>
    <w:rsid w:val="00C359A2"/>
    <w:rsid w:val="00C366FF"/>
    <w:rsid w:val="00C36916"/>
    <w:rsid w:val="00C3691E"/>
    <w:rsid w:val="00C36D38"/>
    <w:rsid w:val="00C373C8"/>
    <w:rsid w:val="00C373EC"/>
    <w:rsid w:val="00C375CC"/>
    <w:rsid w:val="00C37645"/>
    <w:rsid w:val="00C40729"/>
    <w:rsid w:val="00C40978"/>
    <w:rsid w:val="00C40A98"/>
    <w:rsid w:val="00C41164"/>
    <w:rsid w:val="00C4118F"/>
    <w:rsid w:val="00C41193"/>
    <w:rsid w:val="00C41284"/>
    <w:rsid w:val="00C4164E"/>
    <w:rsid w:val="00C41A19"/>
    <w:rsid w:val="00C41E77"/>
    <w:rsid w:val="00C42685"/>
    <w:rsid w:val="00C429E5"/>
    <w:rsid w:val="00C43671"/>
    <w:rsid w:val="00C4379F"/>
    <w:rsid w:val="00C439E1"/>
    <w:rsid w:val="00C43F20"/>
    <w:rsid w:val="00C4405D"/>
    <w:rsid w:val="00C441AA"/>
    <w:rsid w:val="00C445D6"/>
    <w:rsid w:val="00C44A04"/>
    <w:rsid w:val="00C44CD8"/>
    <w:rsid w:val="00C45037"/>
    <w:rsid w:val="00C45497"/>
    <w:rsid w:val="00C46168"/>
    <w:rsid w:val="00C461AE"/>
    <w:rsid w:val="00C463FC"/>
    <w:rsid w:val="00C46428"/>
    <w:rsid w:val="00C46645"/>
    <w:rsid w:val="00C472C2"/>
    <w:rsid w:val="00C479D8"/>
    <w:rsid w:val="00C47EAB"/>
    <w:rsid w:val="00C5088B"/>
    <w:rsid w:val="00C50BBD"/>
    <w:rsid w:val="00C510AE"/>
    <w:rsid w:val="00C5136E"/>
    <w:rsid w:val="00C5184A"/>
    <w:rsid w:val="00C51EA4"/>
    <w:rsid w:val="00C5255C"/>
    <w:rsid w:val="00C52567"/>
    <w:rsid w:val="00C532AF"/>
    <w:rsid w:val="00C5346B"/>
    <w:rsid w:val="00C535F4"/>
    <w:rsid w:val="00C53B4A"/>
    <w:rsid w:val="00C53B91"/>
    <w:rsid w:val="00C54357"/>
    <w:rsid w:val="00C55877"/>
    <w:rsid w:val="00C55C0A"/>
    <w:rsid w:val="00C55D6C"/>
    <w:rsid w:val="00C5615A"/>
    <w:rsid w:val="00C575ED"/>
    <w:rsid w:val="00C57C4B"/>
    <w:rsid w:val="00C57D20"/>
    <w:rsid w:val="00C57D32"/>
    <w:rsid w:val="00C57E93"/>
    <w:rsid w:val="00C60ADB"/>
    <w:rsid w:val="00C60B2B"/>
    <w:rsid w:val="00C60E92"/>
    <w:rsid w:val="00C61470"/>
    <w:rsid w:val="00C619A2"/>
    <w:rsid w:val="00C62154"/>
    <w:rsid w:val="00C62593"/>
    <w:rsid w:val="00C627D4"/>
    <w:rsid w:val="00C62A09"/>
    <w:rsid w:val="00C62A1A"/>
    <w:rsid w:val="00C6302F"/>
    <w:rsid w:val="00C64029"/>
    <w:rsid w:val="00C64982"/>
    <w:rsid w:val="00C64F50"/>
    <w:rsid w:val="00C658C3"/>
    <w:rsid w:val="00C65E25"/>
    <w:rsid w:val="00C66412"/>
    <w:rsid w:val="00C66485"/>
    <w:rsid w:val="00C6682E"/>
    <w:rsid w:val="00C66B62"/>
    <w:rsid w:val="00C66B71"/>
    <w:rsid w:val="00C66C4C"/>
    <w:rsid w:val="00C66E5F"/>
    <w:rsid w:val="00C6700D"/>
    <w:rsid w:val="00C675EB"/>
    <w:rsid w:val="00C67DE3"/>
    <w:rsid w:val="00C700EE"/>
    <w:rsid w:val="00C7019D"/>
    <w:rsid w:val="00C70615"/>
    <w:rsid w:val="00C70C0D"/>
    <w:rsid w:val="00C70F61"/>
    <w:rsid w:val="00C723E1"/>
    <w:rsid w:val="00C73766"/>
    <w:rsid w:val="00C73920"/>
    <w:rsid w:val="00C73A47"/>
    <w:rsid w:val="00C73B73"/>
    <w:rsid w:val="00C74B1A"/>
    <w:rsid w:val="00C74D31"/>
    <w:rsid w:val="00C76CD4"/>
    <w:rsid w:val="00C76ECD"/>
    <w:rsid w:val="00C77423"/>
    <w:rsid w:val="00C8073A"/>
    <w:rsid w:val="00C80AE5"/>
    <w:rsid w:val="00C81707"/>
    <w:rsid w:val="00C82BF6"/>
    <w:rsid w:val="00C83343"/>
    <w:rsid w:val="00C834DA"/>
    <w:rsid w:val="00C835B6"/>
    <w:rsid w:val="00C83AB3"/>
    <w:rsid w:val="00C84896"/>
    <w:rsid w:val="00C854C8"/>
    <w:rsid w:val="00C85831"/>
    <w:rsid w:val="00C85A0D"/>
    <w:rsid w:val="00C866C8"/>
    <w:rsid w:val="00C86EDD"/>
    <w:rsid w:val="00C902AB"/>
    <w:rsid w:val="00C90990"/>
    <w:rsid w:val="00C90EC3"/>
    <w:rsid w:val="00C918B4"/>
    <w:rsid w:val="00C91A4F"/>
    <w:rsid w:val="00C91BC6"/>
    <w:rsid w:val="00C91FB9"/>
    <w:rsid w:val="00C92070"/>
    <w:rsid w:val="00C92323"/>
    <w:rsid w:val="00C9242B"/>
    <w:rsid w:val="00C9267C"/>
    <w:rsid w:val="00C930B4"/>
    <w:rsid w:val="00C9318E"/>
    <w:rsid w:val="00C93FAE"/>
    <w:rsid w:val="00C9409A"/>
    <w:rsid w:val="00C94629"/>
    <w:rsid w:val="00C94D46"/>
    <w:rsid w:val="00C94EEF"/>
    <w:rsid w:val="00C953D7"/>
    <w:rsid w:val="00C95725"/>
    <w:rsid w:val="00C95949"/>
    <w:rsid w:val="00C965E9"/>
    <w:rsid w:val="00C974E5"/>
    <w:rsid w:val="00CA0244"/>
    <w:rsid w:val="00CA0477"/>
    <w:rsid w:val="00CA096F"/>
    <w:rsid w:val="00CA1251"/>
    <w:rsid w:val="00CA1B3C"/>
    <w:rsid w:val="00CA2AAA"/>
    <w:rsid w:val="00CA342C"/>
    <w:rsid w:val="00CA3EBA"/>
    <w:rsid w:val="00CA446E"/>
    <w:rsid w:val="00CA458E"/>
    <w:rsid w:val="00CA494A"/>
    <w:rsid w:val="00CA499B"/>
    <w:rsid w:val="00CA49A7"/>
    <w:rsid w:val="00CA4A97"/>
    <w:rsid w:val="00CA4C91"/>
    <w:rsid w:val="00CA506C"/>
    <w:rsid w:val="00CA64A0"/>
    <w:rsid w:val="00CA6B9A"/>
    <w:rsid w:val="00CA744B"/>
    <w:rsid w:val="00CA74ED"/>
    <w:rsid w:val="00CA75BB"/>
    <w:rsid w:val="00CA7B8A"/>
    <w:rsid w:val="00CB0639"/>
    <w:rsid w:val="00CB104C"/>
    <w:rsid w:val="00CB10A1"/>
    <w:rsid w:val="00CB12DC"/>
    <w:rsid w:val="00CB1657"/>
    <w:rsid w:val="00CB24A7"/>
    <w:rsid w:val="00CB255F"/>
    <w:rsid w:val="00CB3570"/>
    <w:rsid w:val="00CB390B"/>
    <w:rsid w:val="00CB4024"/>
    <w:rsid w:val="00CB4332"/>
    <w:rsid w:val="00CB470C"/>
    <w:rsid w:val="00CB4BAE"/>
    <w:rsid w:val="00CB4F56"/>
    <w:rsid w:val="00CB5037"/>
    <w:rsid w:val="00CB5A91"/>
    <w:rsid w:val="00CB6054"/>
    <w:rsid w:val="00CB60B4"/>
    <w:rsid w:val="00CB6111"/>
    <w:rsid w:val="00CB652F"/>
    <w:rsid w:val="00CB66E0"/>
    <w:rsid w:val="00CB76BB"/>
    <w:rsid w:val="00CB7E31"/>
    <w:rsid w:val="00CC0D15"/>
    <w:rsid w:val="00CC0EC1"/>
    <w:rsid w:val="00CC11B2"/>
    <w:rsid w:val="00CC139A"/>
    <w:rsid w:val="00CC153A"/>
    <w:rsid w:val="00CC1875"/>
    <w:rsid w:val="00CC1963"/>
    <w:rsid w:val="00CC19FA"/>
    <w:rsid w:val="00CC1A66"/>
    <w:rsid w:val="00CC1C13"/>
    <w:rsid w:val="00CC272B"/>
    <w:rsid w:val="00CC2B8F"/>
    <w:rsid w:val="00CC3871"/>
    <w:rsid w:val="00CC3F49"/>
    <w:rsid w:val="00CC4003"/>
    <w:rsid w:val="00CC4623"/>
    <w:rsid w:val="00CC487A"/>
    <w:rsid w:val="00CC4EC4"/>
    <w:rsid w:val="00CC5002"/>
    <w:rsid w:val="00CC6405"/>
    <w:rsid w:val="00CC6898"/>
    <w:rsid w:val="00CC6A01"/>
    <w:rsid w:val="00CC7A36"/>
    <w:rsid w:val="00CC7C6B"/>
    <w:rsid w:val="00CC7FCA"/>
    <w:rsid w:val="00CD0254"/>
    <w:rsid w:val="00CD0DFF"/>
    <w:rsid w:val="00CD1346"/>
    <w:rsid w:val="00CD1402"/>
    <w:rsid w:val="00CD14CA"/>
    <w:rsid w:val="00CD1623"/>
    <w:rsid w:val="00CD193C"/>
    <w:rsid w:val="00CD1BB4"/>
    <w:rsid w:val="00CD2195"/>
    <w:rsid w:val="00CD36EE"/>
    <w:rsid w:val="00CD433E"/>
    <w:rsid w:val="00CD4600"/>
    <w:rsid w:val="00CD460A"/>
    <w:rsid w:val="00CD4937"/>
    <w:rsid w:val="00CD4F90"/>
    <w:rsid w:val="00CD55B3"/>
    <w:rsid w:val="00CD6A9E"/>
    <w:rsid w:val="00CD6AD9"/>
    <w:rsid w:val="00CD731E"/>
    <w:rsid w:val="00CD765D"/>
    <w:rsid w:val="00CD7802"/>
    <w:rsid w:val="00CD79F5"/>
    <w:rsid w:val="00CD7C3D"/>
    <w:rsid w:val="00CE0774"/>
    <w:rsid w:val="00CE0A1A"/>
    <w:rsid w:val="00CE0ECE"/>
    <w:rsid w:val="00CE1EF9"/>
    <w:rsid w:val="00CE20DF"/>
    <w:rsid w:val="00CE244A"/>
    <w:rsid w:val="00CE2FB1"/>
    <w:rsid w:val="00CE32EA"/>
    <w:rsid w:val="00CE3564"/>
    <w:rsid w:val="00CE3DF8"/>
    <w:rsid w:val="00CE401C"/>
    <w:rsid w:val="00CE49EF"/>
    <w:rsid w:val="00CE6EE9"/>
    <w:rsid w:val="00CE705A"/>
    <w:rsid w:val="00CE7772"/>
    <w:rsid w:val="00CE7B10"/>
    <w:rsid w:val="00CE7F9C"/>
    <w:rsid w:val="00CF06AE"/>
    <w:rsid w:val="00CF0B11"/>
    <w:rsid w:val="00CF1A1D"/>
    <w:rsid w:val="00CF20E4"/>
    <w:rsid w:val="00CF2D3D"/>
    <w:rsid w:val="00CF3459"/>
    <w:rsid w:val="00CF354A"/>
    <w:rsid w:val="00CF38BA"/>
    <w:rsid w:val="00CF3B62"/>
    <w:rsid w:val="00CF4402"/>
    <w:rsid w:val="00CF5214"/>
    <w:rsid w:val="00CF529C"/>
    <w:rsid w:val="00CF556B"/>
    <w:rsid w:val="00CF5B2F"/>
    <w:rsid w:val="00CF60C1"/>
    <w:rsid w:val="00CF7329"/>
    <w:rsid w:val="00CF7DCD"/>
    <w:rsid w:val="00D00880"/>
    <w:rsid w:val="00D00A07"/>
    <w:rsid w:val="00D00C9F"/>
    <w:rsid w:val="00D01285"/>
    <w:rsid w:val="00D01931"/>
    <w:rsid w:val="00D01B6B"/>
    <w:rsid w:val="00D01D46"/>
    <w:rsid w:val="00D0251A"/>
    <w:rsid w:val="00D0350D"/>
    <w:rsid w:val="00D0422B"/>
    <w:rsid w:val="00D043EA"/>
    <w:rsid w:val="00D044E7"/>
    <w:rsid w:val="00D044F9"/>
    <w:rsid w:val="00D04844"/>
    <w:rsid w:val="00D04871"/>
    <w:rsid w:val="00D06312"/>
    <w:rsid w:val="00D06634"/>
    <w:rsid w:val="00D06758"/>
    <w:rsid w:val="00D0691D"/>
    <w:rsid w:val="00D06959"/>
    <w:rsid w:val="00D07196"/>
    <w:rsid w:val="00D078FE"/>
    <w:rsid w:val="00D1018B"/>
    <w:rsid w:val="00D102F5"/>
    <w:rsid w:val="00D10647"/>
    <w:rsid w:val="00D10878"/>
    <w:rsid w:val="00D11930"/>
    <w:rsid w:val="00D11C38"/>
    <w:rsid w:val="00D11DDB"/>
    <w:rsid w:val="00D12ADD"/>
    <w:rsid w:val="00D1438E"/>
    <w:rsid w:val="00D144BD"/>
    <w:rsid w:val="00D15593"/>
    <w:rsid w:val="00D1586D"/>
    <w:rsid w:val="00D162F5"/>
    <w:rsid w:val="00D164FF"/>
    <w:rsid w:val="00D1664F"/>
    <w:rsid w:val="00D16C54"/>
    <w:rsid w:val="00D16DB5"/>
    <w:rsid w:val="00D16F90"/>
    <w:rsid w:val="00D17587"/>
    <w:rsid w:val="00D20955"/>
    <w:rsid w:val="00D20BD0"/>
    <w:rsid w:val="00D21D61"/>
    <w:rsid w:val="00D22909"/>
    <w:rsid w:val="00D22E79"/>
    <w:rsid w:val="00D2319C"/>
    <w:rsid w:val="00D23FB7"/>
    <w:rsid w:val="00D240B5"/>
    <w:rsid w:val="00D24635"/>
    <w:rsid w:val="00D24BCB"/>
    <w:rsid w:val="00D24CF0"/>
    <w:rsid w:val="00D250F6"/>
    <w:rsid w:val="00D25834"/>
    <w:rsid w:val="00D25924"/>
    <w:rsid w:val="00D26448"/>
    <w:rsid w:val="00D26692"/>
    <w:rsid w:val="00D2725B"/>
    <w:rsid w:val="00D27A23"/>
    <w:rsid w:val="00D27D6C"/>
    <w:rsid w:val="00D27F5D"/>
    <w:rsid w:val="00D30162"/>
    <w:rsid w:val="00D3037F"/>
    <w:rsid w:val="00D308AD"/>
    <w:rsid w:val="00D30A7E"/>
    <w:rsid w:val="00D30E48"/>
    <w:rsid w:val="00D31247"/>
    <w:rsid w:val="00D31691"/>
    <w:rsid w:val="00D317AC"/>
    <w:rsid w:val="00D31876"/>
    <w:rsid w:val="00D3203C"/>
    <w:rsid w:val="00D321AC"/>
    <w:rsid w:val="00D321B9"/>
    <w:rsid w:val="00D32829"/>
    <w:rsid w:val="00D32E5A"/>
    <w:rsid w:val="00D330BD"/>
    <w:rsid w:val="00D33182"/>
    <w:rsid w:val="00D3353A"/>
    <w:rsid w:val="00D33C15"/>
    <w:rsid w:val="00D34492"/>
    <w:rsid w:val="00D34A1A"/>
    <w:rsid w:val="00D34CB7"/>
    <w:rsid w:val="00D34E4E"/>
    <w:rsid w:val="00D34F27"/>
    <w:rsid w:val="00D35046"/>
    <w:rsid w:val="00D35408"/>
    <w:rsid w:val="00D358DE"/>
    <w:rsid w:val="00D35BE8"/>
    <w:rsid w:val="00D35EBB"/>
    <w:rsid w:val="00D37494"/>
    <w:rsid w:val="00D37779"/>
    <w:rsid w:val="00D37CEB"/>
    <w:rsid w:val="00D40B36"/>
    <w:rsid w:val="00D40DEE"/>
    <w:rsid w:val="00D40E7E"/>
    <w:rsid w:val="00D41671"/>
    <w:rsid w:val="00D41B0E"/>
    <w:rsid w:val="00D42633"/>
    <w:rsid w:val="00D42D38"/>
    <w:rsid w:val="00D42E51"/>
    <w:rsid w:val="00D434A8"/>
    <w:rsid w:val="00D43ADC"/>
    <w:rsid w:val="00D442F0"/>
    <w:rsid w:val="00D443F9"/>
    <w:rsid w:val="00D450FD"/>
    <w:rsid w:val="00D45482"/>
    <w:rsid w:val="00D45B7F"/>
    <w:rsid w:val="00D45E77"/>
    <w:rsid w:val="00D45F38"/>
    <w:rsid w:val="00D46360"/>
    <w:rsid w:val="00D46FD2"/>
    <w:rsid w:val="00D47484"/>
    <w:rsid w:val="00D47EA7"/>
    <w:rsid w:val="00D50658"/>
    <w:rsid w:val="00D50ABB"/>
    <w:rsid w:val="00D51226"/>
    <w:rsid w:val="00D5128A"/>
    <w:rsid w:val="00D514AE"/>
    <w:rsid w:val="00D5200C"/>
    <w:rsid w:val="00D52082"/>
    <w:rsid w:val="00D526D1"/>
    <w:rsid w:val="00D52C84"/>
    <w:rsid w:val="00D53746"/>
    <w:rsid w:val="00D53FAC"/>
    <w:rsid w:val="00D54905"/>
    <w:rsid w:val="00D54DAE"/>
    <w:rsid w:val="00D552E7"/>
    <w:rsid w:val="00D55A1B"/>
    <w:rsid w:val="00D56050"/>
    <w:rsid w:val="00D5668F"/>
    <w:rsid w:val="00D56A8E"/>
    <w:rsid w:val="00D57734"/>
    <w:rsid w:val="00D57AFE"/>
    <w:rsid w:val="00D60014"/>
    <w:rsid w:val="00D60271"/>
    <w:rsid w:val="00D60621"/>
    <w:rsid w:val="00D60F2B"/>
    <w:rsid w:val="00D612DE"/>
    <w:rsid w:val="00D614DC"/>
    <w:rsid w:val="00D61863"/>
    <w:rsid w:val="00D61891"/>
    <w:rsid w:val="00D619BE"/>
    <w:rsid w:val="00D61D4C"/>
    <w:rsid w:val="00D6263C"/>
    <w:rsid w:val="00D6280B"/>
    <w:rsid w:val="00D63851"/>
    <w:rsid w:val="00D63C2C"/>
    <w:rsid w:val="00D63D2D"/>
    <w:rsid w:val="00D65493"/>
    <w:rsid w:val="00D6560A"/>
    <w:rsid w:val="00D65DEC"/>
    <w:rsid w:val="00D65EE9"/>
    <w:rsid w:val="00D6745F"/>
    <w:rsid w:val="00D67650"/>
    <w:rsid w:val="00D7086A"/>
    <w:rsid w:val="00D7118D"/>
    <w:rsid w:val="00D711AC"/>
    <w:rsid w:val="00D714C0"/>
    <w:rsid w:val="00D71DEB"/>
    <w:rsid w:val="00D71FA8"/>
    <w:rsid w:val="00D7202B"/>
    <w:rsid w:val="00D727FA"/>
    <w:rsid w:val="00D72E09"/>
    <w:rsid w:val="00D72F5E"/>
    <w:rsid w:val="00D73684"/>
    <w:rsid w:val="00D7382D"/>
    <w:rsid w:val="00D745D2"/>
    <w:rsid w:val="00D74919"/>
    <w:rsid w:val="00D74DA4"/>
    <w:rsid w:val="00D753F8"/>
    <w:rsid w:val="00D7548D"/>
    <w:rsid w:val="00D75AA2"/>
    <w:rsid w:val="00D75AD8"/>
    <w:rsid w:val="00D762DD"/>
    <w:rsid w:val="00D76C81"/>
    <w:rsid w:val="00D773E3"/>
    <w:rsid w:val="00D77B0B"/>
    <w:rsid w:val="00D77E89"/>
    <w:rsid w:val="00D8077F"/>
    <w:rsid w:val="00D80D75"/>
    <w:rsid w:val="00D80DDD"/>
    <w:rsid w:val="00D80EB9"/>
    <w:rsid w:val="00D810A6"/>
    <w:rsid w:val="00D81235"/>
    <w:rsid w:val="00D812E9"/>
    <w:rsid w:val="00D82589"/>
    <w:rsid w:val="00D82A3F"/>
    <w:rsid w:val="00D830F7"/>
    <w:rsid w:val="00D848F7"/>
    <w:rsid w:val="00D851C3"/>
    <w:rsid w:val="00D855B1"/>
    <w:rsid w:val="00D85A94"/>
    <w:rsid w:val="00D86AB9"/>
    <w:rsid w:val="00D86B6F"/>
    <w:rsid w:val="00D875B8"/>
    <w:rsid w:val="00D87702"/>
    <w:rsid w:val="00D879FD"/>
    <w:rsid w:val="00D90E61"/>
    <w:rsid w:val="00D9189F"/>
    <w:rsid w:val="00D91B20"/>
    <w:rsid w:val="00D91F14"/>
    <w:rsid w:val="00D92391"/>
    <w:rsid w:val="00D95084"/>
    <w:rsid w:val="00D957F8"/>
    <w:rsid w:val="00D96279"/>
    <w:rsid w:val="00D96516"/>
    <w:rsid w:val="00D96DBA"/>
    <w:rsid w:val="00D96E3E"/>
    <w:rsid w:val="00D97713"/>
    <w:rsid w:val="00DA0227"/>
    <w:rsid w:val="00DA05FB"/>
    <w:rsid w:val="00DA0920"/>
    <w:rsid w:val="00DA0D34"/>
    <w:rsid w:val="00DA0F4B"/>
    <w:rsid w:val="00DA1963"/>
    <w:rsid w:val="00DA2025"/>
    <w:rsid w:val="00DA25DD"/>
    <w:rsid w:val="00DA28F2"/>
    <w:rsid w:val="00DA3160"/>
    <w:rsid w:val="00DA3234"/>
    <w:rsid w:val="00DA364F"/>
    <w:rsid w:val="00DA4131"/>
    <w:rsid w:val="00DA436A"/>
    <w:rsid w:val="00DA51FF"/>
    <w:rsid w:val="00DA54BD"/>
    <w:rsid w:val="00DA6081"/>
    <w:rsid w:val="00DA6670"/>
    <w:rsid w:val="00DA67F4"/>
    <w:rsid w:val="00DA690C"/>
    <w:rsid w:val="00DA6C72"/>
    <w:rsid w:val="00DA6D17"/>
    <w:rsid w:val="00DA70A1"/>
    <w:rsid w:val="00DA781A"/>
    <w:rsid w:val="00DB00CE"/>
    <w:rsid w:val="00DB076E"/>
    <w:rsid w:val="00DB0A83"/>
    <w:rsid w:val="00DB0B04"/>
    <w:rsid w:val="00DB0F3D"/>
    <w:rsid w:val="00DB1025"/>
    <w:rsid w:val="00DB1953"/>
    <w:rsid w:val="00DB1EB0"/>
    <w:rsid w:val="00DB2267"/>
    <w:rsid w:val="00DB253C"/>
    <w:rsid w:val="00DB2AD2"/>
    <w:rsid w:val="00DB32D6"/>
    <w:rsid w:val="00DB3D23"/>
    <w:rsid w:val="00DB40D9"/>
    <w:rsid w:val="00DB417E"/>
    <w:rsid w:val="00DB44AE"/>
    <w:rsid w:val="00DB4864"/>
    <w:rsid w:val="00DB49C9"/>
    <w:rsid w:val="00DB4E9C"/>
    <w:rsid w:val="00DB5BC1"/>
    <w:rsid w:val="00DB5FE7"/>
    <w:rsid w:val="00DB68A5"/>
    <w:rsid w:val="00DB6B23"/>
    <w:rsid w:val="00DB6EBF"/>
    <w:rsid w:val="00DB7118"/>
    <w:rsid w:val="00DB7307"/>
    <w:rsid w:val="00DB7798"/>
    <w:rsid w:val="00DB7FB2"/>
    <w:rsid w:val="00DC04F8"/>
    <w:rsid w:val="00DC073F"/>
    <w:rsid w:val="00DC0BF4"/>
    <w:rsid w:val="00DC1B4A"/>
    <w:rsid w:val="00DC1F3A"/>
    <w:rsid w:val="00DC25A7"/>
    <w:rsid w:val="00DC2715"/>
    <w:rsid w:val="00DC2C8D"/>
    <w:rsid w:val="00DC2C9F"/>
    <w:rsid w:val="00DC2DEC"/>
    <w:rsid w:val="00DC321F"/>
    <w:rsid w:val="00DC3AFD"/>
    <w:rsid w:val="00DC4820"/>
    <w:rsid w:val="00DC49D5"/>
    <w:rsid w:val="00DC4FBF"/>
    <w:rsid w:val="00DC59B3"/>
    <w:rsid w:val="00DC5AB1"/>
    <w:rsid w:val="00DC6484"/>
    <w:rsid w:val="00DC6798"/>
    <w:rsid w:val="00DC75E8"/>
    <w:rsid w:val="00DC7E8A"/>
    <w:rsid w:val="00DC7EA3"/>
    <w:rsid w:val="00DD0F0B"/>
    <w:rsid w:val="00DD13E0"/>
    <w:rsid w:val="00DD1B6F"/>
    <w:rsid w:val="00DD2241"/>
    <w:rsid w:val="00DD234F"/>
    <w:rsid w:val="00DD2622"/>
    <w:rsid w:val="00DD2848"/>
    <w:rsid w:val="00DD28D3"/>
    <w:rsid w:val="00DD2967"/>
    <w:rsid w:val="00DD2E16"/>
    <w:rsid w:val="00DD30D9"/>
    <w:rsid w:val="00DD35E2"/>
    <w:rsid w:val="00DD3836"/>
    <w:rsid w:val="00DD3AB0"/>
    <w:rsid w:val="00DD3D8E"/>
    <w:rsid w:val="00DD4901"/>
    <w:rsid w:val="00DD4C49"/>
    <w:rsid w:val="00DD4E96"/>
    <w:rsid w:val="00DD5009"/>
    <w:rsid w:val="00DD504A"/>
    <w:rsid w:val="00DD517D"/>
    <w:rsid w:val="00DD55B3"/>
    <w:rsid w:val="00DD5B46"/>
    <w:rsid w:val="00DD5B91"/>
    <w:rsid w:val="00DD6683"/>
    <w:rsid w:val="00DD7452"/>
    <w:rsid w:val="00DD76E4"/>
    <w:rsid w:val="00DD76E7"/>
    <w:rsid w:val="00DE0797"/>
    <w:rsid w:val="00DE07EF"/>
    <w:rsid w:val="00DE09BC"/>
    <w:rsid w:val="00DE0A60"/>
    <w:rsid w:val="00DE0F67"/>
    <w:rsid w:val="00DE16C9"/>
    <w:rsid w:val="00DE191A"/>
    <w:rsid w:val="00DE2B2B"/>
    <w:rsid w:val="00DE2C7F"/>
    <w:rsid w:val="00DE2CA5"/>
    <w:rsid w:val="00DE33A9"/>
    <w:rsid w:val="00DE3A2F"/>
    <w:rsid w:val="00DE3DB8"/>
    <w:rsid w:val="00DE4835"/>
    <w:rsid w:val="00DE4B89"/>
    <w:rsid w:val="00DE52EA"/>
    <w:rsid w:val="00DE5812"/>
    <w:rsid w:val="00DE5BFA"/>
    <w:rsid w:val="00DE5D80"/>
    <w:rsid w:val="00DE5E5D"/>
    <w:rsid w:val="00DE6010"/>
    <w:rsid w:val="00DE642F"/>
    <w:rsid w:val="00DE67BD"/>
    <w:rsid w:val="00DF0305"/>
    <w:rsid w:val="00DF0920"/>
    <w:rsid w:val="00DF0A4B"/>
    <w:rsid w:val="00DF145F"/>
    <w:rsid w:val="00DF24AB"/>
    <w:rsid w:val="00DF2E56"/>
    <w:rsid w:val="00DF340D"/>
    <w:rsid w:val="00DF37C8"/>
    <w:rsid w:val="00DF3896"/>
    <w:rsid w:val="00DF4174"/>
    <w:rsid w:val="00DF480C"/>
    <w:rsid w:val="00DF544A"/>
    <w:rsid w:val="00DF5BC6"/>
    <w:rsid w:val="00DF5CD8"/>
    <w:rsid w:val="00DF60F3"/>
    <w:rsid w:val="00DF76E4"/>
    <w:rsid w:val="00DF7D92"/>
    <w:rsid w:val="00E004E9"/>
    <w:rsid w:val="00E01805"/>
    <w:rsid w:val="00E01809"/>
    <w:rsid w:val="00E02677"/>
    <w:rsid w:val="00E028E6"/>
    <w:rsid w:val="00E0291F"/>
    <w:rsid w:val="00E03739"/>
    <w:rsid w:val="00E0389D"/>
    <w:rsid w:val="00E039D9"/>
    <w:rsid w:val="00E03AEA"/>
    <w:rsid w:val="00E0476A"/>
    <w:rsid w:val="00E047F3"/>
    <w:rsid w:val="00E04AB1"/>
    <w:rsid w:val="00E0505D"/>
    <w:rsid w:val="00E05914"/>
    <w:rsid w:val="00E06874"/>
    <w:rsid w:val="00E07452"/>
    <w:rsid w:val="00E079C4"/>
    <w:rsid w:val="00E07EE3"/>
    <w:rsid w:val="00E10258"/>
    <w:rsid w:val="00E10577"/>
    <w:rsid w:val="00E10AAB"/>
    <w:rsid w:val="00E10E56"/>
    <w:rsid w:val="00E10EAE"/>
    <w:rsid w:val="00E1114F"/>
    <w:rsid w:val="00E1128B"/>
    <w:rsid w:val="00E11DB5"/>
    <w:rsid w:val="00E11FC4"/>
    <w:rsid w:val="00E122F8"/>
    <w:rsid w:val="00E123A2"/>
    <w:rsid w:val="00E123DD"/>
    <w:rsid w:val="00E12DBB"/>
    <w:rsid w:val="00E13091"/>
    <w:rsid w:val="00E13125"/>
    <w:rsid w:val="00E1319C"/>
    <w:rsid w:val="00E13C5C"/>
    <w:rsid w:val="00E1426F"/>
    <w:rsid w:val="00E1456C"/>
    <w:rsid w:val="00E14BF8"/>
    <w:rsid w:val="00E14F3F"/>
    <w:rsid w:val="00E15094"/>
    <w:rsid w:val="00E153FF"/>
    <w:rsid w:val="00E16492"/>
    <w:rsid w:val="00E167C7"/>
    <w:rsid w:val="00E16DC1"/>
    <w:rsid w:val="00E16F8A"/>
    <w:rsid w:val="00E17AAD"/>
    <w:rsid w:val="00E17B36"/>
    <w:rsid w:val="00E200DD"/>
    <w:rsid w:val="00E2013A"/>
    <w:rsid w:val="00E201C9"/>
    <w:rsid w:val="00E20D3A"/>
    <w:rsid w:val="00E20E31"/>
    <w:rsid w:val="00E21350"/>
    <w:rsid w:val="00E21968"/>
    <w:rsid w:val="00E21C18"/>
    <w:rsid w:val="00E2265B"/>
    <w:rsid w:val="00E228F1"/>
    <w:rsid w:val="00E23625"/>
    <w:rsid w:val="00E23728"/>
    <w:rsid w:val="00E24042"/>
    <w:rsid w:val="00E24759"/>
    <w:rsid w:val="00E24F50"/>
    <w:rsid w:val="00E250B4"/>
    <w:rsid w:val="00E252DA"/>
    <w:rsid w:val="00E25CB8"/>
    <w:rsid w:val="00E25D40"/>
    <w:rsid w:val="00E26171"/>
    <w:rsid w:val="00E265F2"/>
    <w:rsid w:val="00E26A94"/>
    <w:rsid w:val="00E26AEF"/>
    <w:rsid w:val="00E305DA"/>
    <w:rsid w:val="00E306F3"/>
    <w:rsid w:val="00E3094A"/>
    <w:rsid w:val="00E30D7C"/>
    <w:rsid w:val="00E3122E"/>
    <w:rsid w:val="00E313C0"/>
    <w:rsid w:val="00E31DE5"/>
    <w:rsid w:val="00E31F84"/>
    <w:rsid w:val="00E322CB"/>
    <w:rsid w:val="00E326C4"/>
    <w:rsid w:val="00E3397E"/>
    <w:rsid w:val="00E33C4D"/>
    <w:rsid w:val="00E33F2D"/>
    <w:rsid w:val="00E340B3"/>
    <w:rsid w:val="00E342DE"/>
    <w:rsid w:val="00E34A59"/>
    <w:rsid w:val="00E34D0F"/>
    <w:rsid w:val="00E34EEF"/>
    <w:rsid w:val="00E3525C"/>
    <w:rsid w:val="00E359FF"/>
    <w:rsid w:val="00E36AE1"/>
    <w:rsid w:val="00E36F55"/>
    <w:rsid w:val="00E378CA"/>
    <w:rsid w:val="00E406B8"/>
    <w:rsid w:val="00E40C7B"/>
    <w:rsid w:val="00E40E1C"/>
    <w:rsid w:val="00E4112F"/>
    <w:rsid w:val="00E41172"/>
    <w:rsid w:val="00E41317"/>
    <w:rsid w:val="00E41F2F"/>
    <w:rsid w:val="00E4283B"/>
    <w:rsid w:val="00E4409B"/>
    <w:rsid w:val="00E44163"/>
    <w:rsid w:val="00E457E8"/>
    <w:rsid w:val="00E46088"/>
    <w:rsid w:val="00E462A8"/>
    <w:rsid w:val="00E47D8C"/>
    <w:rsid w:val="00E51323"/>
    <w:rsid w:val="00E519C1"/>
    <w:rsid w:val="00E52C63"/>
    <w:rsid w:val="00E52D6E"/>
    <w:rsid w:val="00E5307D"/>
    <w:rsid w:val="00E53AE9"/>
    <w:rsid w:val="00E53BCB"/>
    <w:rsid w:val="00E53EA8"/>
    <w:rsid w:val="00E540B9"/>
    <w:rsid w:val="00E540BE"/>
    <w:rsid w:val="00E54BC5"/>
    <w:rsid w:val="00E55275"/>
    <w:rsid w:val="00E55323"/>
    <w:rsid w:val="00E55983"/>
    <w:rsid w:val="00E56175"/>
    <w:rsid w:val="00E56431"/>
    <w:rsid w:val="00E56607"/>
    <w:rsid w:val="00E56CE7"/>
    <w:rsid w:val="00E56F2F"/>
    <w:rsid w:val="00E57083"/>
    <w:rsid w:val="00E572E3"/>
    <w:rsid w:val="00E6013C"/>
    <w:rsid w:val="00E60BB2"/>
    <w:rsid w:val="00E61100"/>
    <w:rsid w:val="00E6160A"/>
    <w:rsid w:val="00E6182C"/>
    <w:rsid w:val="00E61A50"/>
    <w:rsid w:val="00E61F0A"/>
    <w:rsid w:val="00E62038"/>
    <w:rsid w:val="00E6299E"/>
    <w:rsid w:val="00E62B37"/>
    <w:rsid w:val="00E62B3E"/>
    <w:rsid w:val="00E62CCF"/>
    <w:rsid w:val="00E62EF2"/>
    <w:rsid w:val="00E6320E"/>
    <w:rsid w:val="00E63994"/>
    <w:rsid w:val="00E63C0E"/>
    <w:rsid w:val="00E63DC7"/>
    <w:rsid w:val="00E64570"/>
    <w:rsid w:val="00E64A83"/>
    <w:rsid w:val="00E64CD4"/>
    <w:rsid w:val="00E6510E"/>
    <w:rsid w:val="00E654D8"/>
    <w:rsid w:val="00E65E7D"/>
    <w:rsid w:val="00E662B2"/>
    <w:rsid w:val="00E668BE"/>
    <w:rsid w:val="00E668F0"/>
    <w:rsid w:val="00E66A77"/>
    <w:rsid w:val="00E6730A"/>
    <w:rsid w:val="00E676A5"/>
    <w:rsid w:val="00E70191"/>
    <w:rsid w:val="00E70AF1"/>
    <w:rsid w:val="00E70CAF"/>
    <w:rsid w:val="00E71454"/>
    <w:rsid w:val="00E715E3"/>
    <w:rsid w:val="00E715F6"/>
    <w:rsid w:val="00E717A7"/>
    <w:rsid w:val="00E717C9"/>
    <w:rsid w:val="00E719D6"/>
    <w:rsid w:val="00E71C2B"/>
    <w:rsid w:val="00E72019"/>
    <w:rsid w:val="00E7218C"/>
    <w:rsid w:val="00E722F7"/>
    <w:rsid w:val="00E73AAF"/>
    <w:rsid w:val="00E74030"/>
    <w:rsid w:val="00E74373"/>
    <w:rsid w:val="00E74F3D"/>
    <w:rsid w:val="00E752C5"/>
    <w:rsid w:val="00E752CC"/>
    <w:rsid w:val="00E75D8F"/>
    <w:rsid w:val="00E761C5"/>
    <w:rsid w:val="00E77051"/>
    <w:rsid w:val="00E7727C"/>
    <w:rsid w:val="00E80B37"/>
    <w:rsid w:val="00E819E7"/>
    <w:rsid w:val="00E81BAE"/>
    <w:rsid w:val="00E81E87"/>
    <w:rsid w:val="00E82191"/>
    <w:rsid w:val="00E82667"/>
    <w:rsid w:val="00E8313C"/>
    <w:rsid w:val="00E8320C"/>
    <w:rsid w:val="00E8371C"/>
    <w:rsid w:val="00E837E1"/>
    <w:rsid w:val="00E840AF"/>
    <w:rsid w:val="00E8435C"/>
    <w:rsid w:val="00E8470E"/>
    <w:rsid w:val="00E84997"/>
    <w:rsid w:val="00E84F47"/>
    <w:rsid w:val="00E85175"/>
    <w:rsid w:val="00E852F0"/>
    <w:rsid w:val="00E85D72"/>
    <w:rsid w:val="00E85D80"/>
    <w:rsid w:val="00E85EBC"/>
    <w:rsid w:val="00E86169"/>
    <w:rsid w:val="00E86450"/>
    <w:rsid w:val="00E86916"/>
    <w:rsid w:val="00E86BAB"/>
    <w:rsid w:val="00E86F72"/>
    <w:rsid w:val="00E87533"/>
    <w:rsid w:val="00E87A46"/>
    <w:rsid w:val="00E900FD"/>
    <w:rsid w:val="00E902E2"/>
    <w:rsid w:val="00E915FF"/>
    <w:rsid w:val="00E91BCB"/>
    <w:rsid w:val="00E91E39"/>
    <w:rsid w:val="00E934BC"/>
    <w:rsid w:val="00E9352E"/>
    <w:rsid w:val="00E93696"/>
    <w:rsid w:val="00E93743"/>
    <w:rsid w:val="00E9402E"/>
    <w:rsid w:val="00E9486B"/>
    <w:rsid w:val="00E94D8B"/>
    <w:rsid w:val="00E9540C"/>
    <w:rsid w:val="00E95540"/>
    <w:rsid w:val="00E9577C"/>
    <w:rsid w:val="00E95B88"/>
    <w:rsid w:val="00E965B7"/>
    <w:rsid w:val="00E9688E"/>
    <w:rsid w:val="00E96E56"/>
    <w:rsid w:val="00E97048"/>
    <w:rsid w:val="00E974E0"/>
    <w:rsid w:val="00E97683"/>
    <w:rsid w:val="00E97918"/>
    <w:rsid w:val="00E97971"/>
    <w:rsid w:val="00E97AAE"/>
    <w:rsid w:val="00E97F97"/>
    <w:rsid w:val="00EA004C"/>
    <w:rsid w:val="00EA041C"/>
    <w:rsid w:val="00EA09BB"/>
    <w:rsid w:val="00EA0A02"/>
    <w:rsid w:val="00EA155E"/>
    <w:rsid w:val="00EA15CB"/>
    <w:rsid w:val="00EA175D"/>
    <w:rsid w:val="00EA1764"/>
    <w:rsid w:val="00EA1B1B"/>
    <w:rsid w:val="00EA211B"/>
    <w:rsid w:val="00EA242C"/>
    <w:rsid w:val="00EA25AE"/>
    <w:rsid w:val="00EA263E"/>
    <w:rsid w:val="00EA2EBC"/>
    <w:rsid w:val="00EA308F"/>
    <w:rsid w:val="00EA3430"/>
    <w:rsid w:val="00EA34A2"/>
    <w:rsid w:val="00EA3C79"/>
    <w:rsid w:val="00EA41EF"/>
    <w:rsid w:val="00EA45F8"/>
    <w:rsid w:val="00EA4AA1"/>
    <w:rsid w:val="00EA4ADD"/>
    <w:rsid w:val="00EA518D"/>
    <w:rsid w:val="00EA5243"/>
    <w:rsid w:val="00EA537F"/>
    <w:rsid w:val="00EA5568"/>
    <w:rsid w:val="00EA5794"/>
    <w:rsid w:val="00EA58BA"/>
    <w:rsid w:val="00EA5E0D"/>
    <w:rsid w:val="00EA6148"/>
    <w:rsid w:val="00EA62CF"/>
    <w:rsid w:val="00EA66E3"/>
    <w:rsid w:val="00EA6E25"/>
    <w:rsid w:val="00EA70EC"/>
    <w:rsid w:val="00EA72C4"/>
    <w:rsid w:val="00EA76A9"/>
    <w:rsid w:val="00EA7805"/>
    <w:rsid w:val="00EA787C"/>
    <w:rsid w:val="00EB0504"/>
    <w:rsid w:val="00EB0A20"/>
    <w:rsid w:val="00EB0C05"/>
    <w:rsid w:val="00EB0F77"/>
    <w:rsid w:val="00EB288C"/>
    <w:rsid w:val="00EB2A64"/>
    <w:rsid w:val="00EB2B54"/>
    <w:rsid w:val="00EB30A8"/>
    <w:rsid w:val="00EB391C"/>
    <w:rsid w:val="00EB432D"/>
    <w:rsid w:val="00EB4375"/>
    <w:rsid w:val="00EB441F"/>
    <w:rsid w:val="00EB446F"/>
    <w:rsid w:val="00EB55B6"/>
    <w:rsid w:val="00EB5D36"/>
    <w:rsid w:val="00EB66C4"/>
    <w:rsid w:val="00EB6DEF"/>
    <w:rsid w:val="00EB7A40"/>
    <w:rsid w:val="00EB7D04"/>
    <w:rsid w:val="00EC0404"/>
    <w:rsid w:val="00EC0C5D"/>
    <w:rsid w:val="00EC0CAB"/>
    <w:rsid w:val="00EC1004"/>
    <w:rsid w:val="00EC1343"/>
    <w:rsid w:val="00EC1633"/>
    <w:rsid w:val="00EC212C"/>
    <w:rsid w:val="00EC221C"/>
    <w:rsid w:val="00EC23E7"/>
    <w:rsid w:val="00EC274F"/>
    <w:rsid w:val="00EC33E2"/>
    <w:rsid w:val="00EC350D"/>
    <w:rsid w:val="00EC469B"/>
    <w:rsid w:val="00EC58A2"/>
    <w:rsid w:val="00EC601C"/>
    <w:rsid w:val="00EC64D8"/>
    <w:rsid w:val="00EC65DE"/>
    <w:rsid w:val="00EC6620"/>
    <w:rsid w:val="00EC663D"/>
    <w:rsid w:val="00EC6F74"/>
    <w:rsid w:val="00EC7BAD"/>
    <w:rsid w:val="00EC7D76"/>
    <w:rsid w:val="00ED0A43"/>
    <w:rsid w:val="00ED12ED"/>
    <w:rsid w:val="00ED1727"/>
    <w:rsid w:val="00ED1784"/>
    <w:rsid w:val="00ED1C54"/>
    <w:rsid w:val="00ED1EF1"/>
    <w:rsid w:val="00ED1EF5"/>
    <w:rsid w:val="00ED244D"/>
    <w:rsid w:val="00ED28E8"/>
    <w:rsid w:val="00ED2F85"/>
    <w:rsid w:val="00ED3558"/>
    <w:rsid w:val="00ED4AA7"/>
    <w:rsid w:val="00ED4C50"/>
    <w:rsid w:val="00ED4EED"/>
    <w:rsid w:val="00ED516D"/>
    <w:rsid w:val="00ED5309"/>
    <w:rsid w:val="00ED5C6A"/>
    <w:rsid w:val="00ED5FB1"/>
    <w:rsid w:val="00ED61EE"/>
    <w:rsid w:val="00ED6242"/>
    <w:rsid w:val="00ED6B9E"/>
    <w:rsid w:val="00ED796B"/>
    <w:rsid w:val="00ED7FF8"/>
    <w:rsid w:val="00EE00D8"/>
    <w:rsid w:val="00EE0372"/>
    <w:rsid w:val="00EE03CC"/>
    <w:rsid w:val="00EE06FF"/>
    <w:rsid w:val="00EE0D38"/>
    <w:rsid w:val="00EE126B"/>
    <w:rsid w:val="00EE203E"/>
    <w:rsid w:val="00EE2190"/>
    <w:rsid w:val="00EE227F"/>
    <w:rsid w:val="00EE24E1"/>
    <w:rsid w:val="00EE264C"/>
    <w:rsid w:val="00EE273A"/>
    <w:rsid w:val="00EE2D5F"/>
    <w:rsid w:val="00EE2E33"/>
    <w:rsid w:val="00EE2E3B"/>
    <w:rsid w:val="00EE314B"/>
    <w:rsid w:val="00EE31D9"/>
    <w:rsid w:val="00EE3436"/>
    <w:rsid w:val="00EE39DC"/>
    <w:rsid w:val="00EE3B77"/>
    <w:rsid w:val="00EE3C97"/>
    <w:rsid w:val="00EE42EA"/>
    <w:rsid w:val="00EE43FD"/>
    <w:rsid w:val="00EE4C0A"/>
    <w:rsid w:val="00EE4D4A"/>
    <w:rsid w:val="00EE53F5"/>
    <w:rsid w:val="00EE5518"/>
    <w:rsid w:val="00EF02B0"/>
    <w:rsid w:val="00EF035B"/>
    <w:rsid w:val="00EF0753"/>
    <w:rsid w:val="00EF07DC"/>
    <w:rsid w:val="00EF0C60"/>
    <w:rsid w:val="00EF2538"/>
    <w:rsid w:val="00EF2CA6"/>
    <w:rsid w:val="00EF2F12"/>
    <w:rsid w:val="00EF30D4"/>
    <w:rsid w:val="00EF34C4"/>
    <w:rsid w:val="00EF3B32"/>
    <w:rsid w:val="00EF3EC0"/>
    <w:rsid w:val="00EF3F0B"/>
    <w:rsid w:val="00EF4A5D"/>
    <w:rsid w:val="00EF4F16"/>
    <w:rsid w:val="00EF5020"/>
    <w:rsid w:val="00EF5160"/>
    <w:rsid w:val="00EF5534"/>
    <w:rsid w:val="00EF6A89"/>
    <w:rsid w:val="00EF6EB4"/>
    <w:rsid w:val="00EF7569"/>
    <w:rsid w:val="00F00FC1"/>
    <w:rsid w:val="00F010ED"/>
    <w:rsid w:val="00F01238"/>
    <w:rsid w:val="00F01268"/>
    <w:rsid w:val="00F013F9"/>
    <w:rsid w:val="00F01432"/>
    <w:rsid w:val="00F01D27"/>
    <w:rsid w:val="00F032EA"/>
    <w:rsid w:val="00F03A32"/>
    <w:rsid w:val="00F03B4B"/>
    <w:rsid w:val="00F053B9"/>
    <w:rsid w:val="00F05427"/>
    <w:rsid w:val="00F06C02"/>
    <w:rsid w:val="00F06E84"/>
    <w:rsid w:val="00F0722D"/>
    <w:rsid w:val="00F1058B"/>
    <w:rsid w:val="00F108C7"/>
    <w:rsid w:val="00F111AD"/>
    <w:rsid w:val="00F11576"/>
    <w:rsid w:val="00F117CC"/>
    <w:rsid w:val="00F11841"/>
    <w:rsid w:val="00F11A31"/>
    <w:rsid w:val="00F12065"/>
    <w:rsid w:val="00F120DF"/>
    <w:rsid w:val="00F123FC"/>
    <w:rsid w:val="00F12D54"/>
    <w:rsid w:val="00F152F6"/>
    <w:rsid w:val="00F15AA7"/>
    <w:rsid w:val="00F15B60"/>
    <w:rsid w:val="00F1605F"/>
    <w:rsid w:val="00F168A9"/>
    <w:rsid w:val="00F17130"/>
    <w:rsid w:val="00F20532"/>
    <w:rsid w:val="00F206A8"/>
    <w:rsid w:val="00F206B5"/>
    <w:rsid w:val="00F20B77"/>
    <w:rsid w:val="00F20D4D"/>
    <w:rsid w:val="00F2135B"/>
    <w:rsid w:val="00F217D5"/>
    <w:rsid w:val="00F21C35"/>
    <w:rsid w:val="00F22120"/>
    <w:rsid w:val="00F224B7"/>
    <w:rsid w:val="00F22D5C"/>
    <w:rsid w:val="00F23ECB"/>
    <w:rsid w:val="00F24223"/>
    <w:rsid w:val="00F2472F"/>
    <w:rsid w:val="00F247B5"/>
    <w:rsid w:val="00F24A82"/>
    <w:rsid w:val="00F24EEF"/>
    <w:rsid w:val="00F256C4"/>
    <w:rsid w:val="00F25DC6"/>
    <w:rsid w:val="00F261EE"/>
    <w:rsid w:val="00F2684B"/>
    <w:rsid w:val="00F2689E"/>
    <w:rsid w:val="00F26B64"/>
    <w:rsid w:val="00F273C5"/>
    <w:rsid w:val="00F277A8"/>
    <w:rsid w:val="00F27A07"/>
    <w:rsid w:val="00F27DE0"/>
    <w:rsid w:val="00F308A7"/>
    <w:rsid w:val="00F309AD"/>
    <w:rsid w:val="00F30C7A"/>
    <w:rsid w:val="00F30F79"/>
    <w:rsid w:val="00F30FB0"/>
    <w:rsid w:val="00F312C2"/>
    <w:rsid w:val="00F32042"/>
    <w:rsid w:val="00F32BB8"/>
    <w:rsid w:val="00F342E9"/>
    <w:rsid w:val="00F344C1"/>
    <w:rsid w:val="00F34D9C"/>
    <w:rsid w:val="00F35777"/>
    <w:rsid w:val="00F35B9B"/>
    <w:rsid w:val="00F36623"/>
    <w:rsid w:val="00F36963"/>
    <w:rsid w:val="00F37252"/>
    <w:rsid w:val="00F37E80"/>
    <w:rsid w:val="00F406BB"/>
    <w:rsid w:val="00F40DAA"/>
    <w:rsid w:val="00F417C3"/>
    <w:rsid w:val="00F417D2"/>
    <w:rsid w:val="00F41AB2"/>
    <w:rsid w:val="00F42013"/>
    <w:rsid w:val="00F42312"/>
    <w:rsid w:val="00F42775"/>
    <w:rsid w:val="00F43CFB"/>
    <w:rsid w:val="00F44B98"/>
    <w:rsid w:val="00F45589"/>
    <w:rsid w:val="00F45772"/>
    <w:rsid w:val="00F4592E"/>
    <w:rsid w:val="00F45FBE"/>
    <w:rsid w:val="00F4613C"/>
    <w:rsid w:val="00F46D39"/>
    <w:rsid w:val="00F46FCC"/>
    <w:rsid w:val="00F471D5"/>
    <w:rsid w:val="00F50AF7"/>
    <w:rsid w:val="00F50FF7"/>
    <w:rsid w:val="00F511FA"/>
    <w:rsid w:val="00F512BF"/>
    <w:rsid w:val="00F5190D"/>
    <w:rsid w:val="00F51A76"/>
    <w:rsid w:val="00F5206B"/>
    <w:rsid w:val="00F52F9A"/>
    <w:rsid w:val="00F53379"/>
    <w:rsid w:val="00F533FA"/>
    <w:rsid w:val="00F534F0"/>
    <w:rsid w:val="00F53CD1"/>
    <w:rsid w:val="00F53D8A"/>
    <w:rsid w:val="00F549EA"/>
    <w:rsid w:val="00F55311"/>
    <w:rsid w:val="00F5541F"/>
    <w:rsid w:val="00F555B5"/>
    <w:rsid w:val="00F556CB"/>
    <w:rsid w:val="00F55A2A"/>
    <w:rsid w:val="00F55ABA"/>
    <w:rsid w:val="00F55BD7"/>
    <w:rsid w:val="00F55E79"/>
    <w:rsid w:val="00F5609B"/>
    <w:rsid w:val="00F562FD"/>
    <w:rsid w:val="00F56420"/>
    <w:rsid w:val="00F56C52"/>
    <w:rsid w:val="00F572DF"/>
    <w:rsid w:val="00F60416"/>
    <w:rsid w:val="00F6083D"/>
    <w:rsid w:val="00F60AEB"/>
    <w:rsid w:val="00F60C4C"/>
    <w:rsid w:val="00F60D4A"/>
    <w:rsid w:val="00F62866"/>
    <w:rsid w:val="00F62F61"/>
    <w:rsid w:val="00F63658"/>
    <w:rsid w:val="00F63B0C"/>
    <w:rsid w:val="00F64516"/>
    <w:rsid w:val="00F64F90"/>
    <w:rsid w:val="00F651BF"/>
    <w:rsid w:val="00F65ABE"/>
    <w:rsid w:val="00F65FE7"/>
    <w:rsid w:val="00F66068"/>
    <w:rsid w:val="00F665DC"/>
    <w:rsid w:val="00F66E9A"/>
    <w:rsid w:val="00F6725E"/>
    <w:rsid w:val="00F67326"/>
    <w:rsid w:val="00F67AFE"/>
    <w:rsid w:val="00F7002E"/>
    <w:rsid w:val="00F700CB"/>
    <w:rsid w:val="00F70932"/>
    <w:rsid w:val="00F70E87"/>
    <w:rsid w:val="00F70EBA"/>
    <w:rsid w:val="00F70EDD"/>
    <w:rsid w:val="00F71835"/>
    <w:rsid w:val="00F71C2A"/>
    <w:rsid w:val="00F727AF"/>
    <w:rsid w:val="00F72F27"/>
    <w:rsid w:val="00F73091"/>
    <w:rsid w:val="00F73106"/>
    <w:rsid w:val="00F737E3"/>
    <w:rsid w:val="00F74504"/>
    <w:rsid w:val="00F75404"/>
    <w:rsid w:val="00F759C8"/>
    <w:rsid w:val="00F75B6B"/>
    <w:rsid w:val="00F75F62"/>
    <w:rsid w:val="00F763A3"/>
    <w:rsid w:val="00F7688A"/>
    <w:rsid w:val="00F76974"/>
    <w:rsid w:val="00F76C01"/>
    <w:rsid w:val="00F76E04"/>
    <w:rsid w:val="00F777A8"/>
    <w:rsid w:val="00F77897"/>
    <w:rsid w:val="00F778E7"/>
    <w:rsid w:val="00F77ACB"/>
    <w:rsid w:val="00F77E08"/>
    <w:rsid w:val="00F80CD2"/>
    <w:rsid w:val="00F80D2D"/>
    <w:rsid w:val="00F817D1"/>
    <w:rsid w:val="00F81A41"/>
    <w:rsid w:val="00F8236C"/>
    <w:rsid w:val="00F825FF"/>
    <w:rsid w:val="00F82A9F"/>
    <w:rsid w:val="00F83055"/>
    <w:rsid w:val="00F83906"/>
    <w:rsid w:val="00F83DD5"/>
    <w:rsid w:val="00F842A2"/>
    <w:rsid w:val="00F84520"/>
    <w:rsid w:val="00F853D4"/>
    <w:rsid w:val="00F8548A"/>
    <w:rsid w:val="00F85514"/>
    <w:rsid w:val="00F85BD2"/>
    <w:rsid w:val="00F85E8F"/>
    <w:rsid w:val="00F8659B"/>
    <w:rsid w:val="00F87317"/>
    <w:rsid w:val="00F87545"/>
    <w:rsid w:val="00F878F8"/>
    <w:rsid w:val="00F87BE4"/>
    <w:rsid w:val="00F87C2F"/>
    <w:rsid w:val="00F87EA9"/>
    <w:rsid w:val="00F903C8"/>
    <w:rsid w:val="00F90519"/>
    <w:rsid w:val="00F90FEA"/>
    <w:rsid w:val="00F912A1"/>
    <w:rsid w:val="00F91885"/>
    <w:rsid w:val="00F92013"/>
    <w:rsid w:val="00F920ED"/>
    <w:rsid w:val="00F92363"/>
    <w:rsid w:val="00F923D6"/>
    <w:rsid w:val="00F92F30"/>
    <w:rsid w:val="00F93246"/>
    <w:rsid w:val="00F93303"/>
    <w:rsid w:val="00F93B4F"/>
    <w:rsid w:val="00F93DEF"/>
    <w:rsid w:val="00F940B5"/>
    <w:rsid w:val="00F940FC"/>
    <w:rsid w:val="00F948CB"/>
    <w:rsid w:val="00F951B9"/>
    <w:rsid w:val="00F9573D"/>
    <w:rsid w:val="00F95A09"/>
    <w:rsid w:val="00F95CC7"/>
    <w:rsid w:val="00F95DF2"/>
    <w:rsid w:val="00F963D7"/>
    <w:rsid w:val="00F964AA"/>
    <w:rsid w:val="00F964DF"/>
    <w:rsid w:val="00F96735"/>
    <w:rsid w:val="00F9691F"/>
    <w:rsid w:val="00F96B82"/>
    <w:rsid w:val="00F96E73"/>
    <w:rsid w:val="00F97EE0"/>
    <w:rsid w:val="00FA0409"/>
    <w:rsid w:val="00FA0857"/>
    <w:rsid w:val="00FA0995"/>
    <w:rsid w:val="00FA0ABD"/>
    <w:rsid w:val="00FA1EC5"/>
    <w:rsid w:val="00FA242B"/>
    <w:rsid w:val="00FA297D"/>
    <w:rsid w:val="00FA2A04"/>
    <w:rsid w:val="00FA2CE6"/>
    <w:rsid w:val="00FA2CF6"/>
    <w:rsid w:val="00FA3554"/>
    <w:rsid w:val="00FA3981"/>
    <w:rsid w:val="00FA4575"/>
    <w:rsid w:val="00FA4FBD"/>
    <w:rsid w:val="00FA5185"/>
    <w:rsid w:val="00FA5448"/>
    <w:rsid w:val="00FA5CBC"/>
    <w:rsid w:val="00FA6356"/>
    <w:rsid w:val="00FA7117"/>
    <w:rsid w:val="00FA75B4"/>
    <w:rsid w:val="00FA7D3A"/>
    <w:rsid w:val="00FA7D47"/>
    <w:rsid w:val="00FA7E1B"/>
    <w:rsid w:val="00FB0B09"/>
    <w:rsid w:val="00FB0DD2"/>
    <w:rsid w:val="00FB14D2"/>
    <w:rsid w:val="00FB1520"/>
    <w:rsid w:val="00FB1852"/>
    <w:rsid w:val="00FB1B65"/>
    <w:rsid w:val="00FB260E"/>
    <w:rsid w:val="00FB2A52"/>
    <w:rsid w:val="00FB309A"/>
    <w:rsid w:val="00FB33C1"/>
    <w:rsid w:val="00FB3B4E"/>
    <w:rsid w:val="00FB428B"/>
    <w:rsid w:val="00FB4391"/>
    <w:rsid w:val="00FB4C28"/>
    <w:rsid w:val="00FB560D"/>
    <w:rsid w:val="00FB5F17"/>
    <w:rsid w:val="00FB61CA"/>
    <w:rsid w:val="00FB6AB0"/>
    <w:rsid w:val="00FB6EF2"/>
    <w:rsid w:val="00FB7343"/>
    <w:rsid w:val="00FB786A"/>
    <w:rsid w:val="00FB7D27"/>
    <w:rsid w:val="00FC02FA"/>
    <w:rsid w:val="00FC0774"/>
    <w:rsid w:val="00FC0C58"/>
    <w:rsid w:val="00FC1A69"/>
    <w:rsid w:val="00FC3513"/>
    <w:rsid w:val="00FC3524"/>
    <w:rsid w:val="00FC377B"/>
    <w:rsid w:val="00FC3ADA"/>
    <w:rsid w:val="00FC4661"/>
    <w:rsid w:val="00FC493A"/>
    <w:rsid w:val="00FC49C9"/>
    <w:rsid w:val="00FC5689"/>
    <w:rsid w:val="00FC5759"/>
    <w:rsid w:val="00FC58A4"/>
    <w:rsid w:val="00FC58F8"/>
    <w:rsid w:val="00FC5959"/>
    <w:rsid w:val="00FC7298"/>
    <w:rsid w:val="00FC7307"/>
    <w:rsid w:val="00FC7831"/>
    <w:rsid w:val="00FC7C82"/>
    <w:rsid w:val="00FC7CA0"/>
    <w:rsid w:val="00FC7E73"/>
    <w:rsid w:val="00FD0234"/>
    <w:rsid w:val="00FD119D"/>
    <w:rsid w:val="00FD143C"/>
    <w:rsid w:val="00FD1763"/>
    <w:rsid w:val="00FD1D24"/>
    <w:rsid w:val="00FD2165"/>
    <w:rsid w:val="00FD2351"/>
    <w:rsid w:val="00FD2401"/>
    <w:rsid w:val="00FD2B45"/>
    <w:rsid w:val="00FD2E4E"/>
    <w:rsid w:val="00FD3029"/>
    <w:rsid w:val="00FD369B"/>
    <w:rsid w:val="00FD41F4"/>
    <w:rsid w:val="00FD475A"/>
    <w:rsid w:val="00FD476C"/>
    <w:rsid w:val="00FD4D44"/>
    <w:rsid w:val="00FD5593"/>
    <w:rsid w:val="00FD59B1"/>
    <w:rsid w:val="00FD6010"/>
    <w:rsid w:val="00FD631B"/>
    <w:rsid w:val="00FD6D52"/>
    <w:rsid w:val="00FD727A"/>
    <w:rsid w:val="00FD7407"/>
    <w:rsid w:val="00FD77AB"/>
    <w:rsid w:val="00FD7B35"/>
    <w:rsid w:val="00FD7B6F"/>
    <w:rsid w:val="00FD7C75"/>
    <w:rsid w:val="00FE063C"/>
    <w:rsid w:val="00FE06E1"/>
    <w:rsid w:val="00FE084B"/>
    <w:rsid w:val="00FE08FB"/>
    <w:rsid w:val="00FE0B7B"/>
    <w:rsid w:val="00FE0EA3"/>
    <w:rsid w:val="00FE0F3E"/>
    <w:rsid w:val="00FE0F4D"/>
    <w:rsid w:val="00FE1447"/>
    <w:rsid w:val="00FE162F"/>
    <w:rsid w:val="00FE1660"/>
    <w:rsid w:val="00FE1876"/>
    <w:rsid w:val="00FE19F7"/>
    <w:rsid w:val="00FE1A05"/>
    <w:rsid w:val="00FE1AE8"/>
    <w:rsid w:val="00FE1F16"/>
    <w:rsid w:val="00FE1F71"/>
    <w:rsid w:val="00FE2166"/>
    <w:rsid w:val="00FE219C"/>
    <w:rsid w:val="00FE35C7"/>
    <w:rsid w:val="00FE3B3F"/>
    <w:rsid w:val="00FE3C7D"/>
    <w:rsid w:val="00FE41D9"/>
    <w:rsid w:val="00FE4240"/>
    <w:rsid w:val="00FE4CA7"/>
    <w:rsid w:val="00FE54AA"/>
    <w:rsid w:val="00FE581E"/>
    <w:rsid w:val="00FE5CCF"/>
    <w:rsid w:val="00FE5D88"/>
    <w:rsid w:val="00FE5FA7"/>
    <w:rsid w:val="00FE6153"/>
    <w:rsid w:val="00FE6B32"/>
    <w:rsid w:val="00FE75C0"/>
    <w:rsid w:val="00FF00D5"/>
    <w:rsid w:val="00FF017A"/>
    <w:rsid w:val="00FF01FB"/>
    <w:rsid w:val="00FF0318"/>
    <w:rsid w:val="00FF15BE"/>
    <w:rsid w:val="00FF1654"/>
    <w:rsid w:val="00FF1EC7"/>
    <w:rsid w:val="00FF2CCF"/>
    <w:rsid w:val="00FF3F21"/>
    <w:rsid w:val="00FF4004"/>
    <w:rsid w:val="00FF53ED"/>
    <w:rsid w:val="00FF55EA"/>
    <w:rsid w:val="00FF59B4"/>
    <w:rsid w:val="00FF5BF7"/>
    <w:rsid w:val="00FF5EAD"/>
    <w:rsid w:val="00FF6264"/>
    <w:rsid w:val="00FF68F0"/>
    <w:rsid w:val="00FF6B59"/>
    <w:rsid w:val="00FF6C61"/>
    <w:rsid w:val="00FF6CBB"/>
    <w:rsid w:val="00FF6D8D"/>
    <w:rsid w:val="00FF79F0"/>
    <w:rsid w:val="00FF7CC2"/>
    <w:rsid w:val="00FF7D8B"/>
    <w:rsid w:val="03B83502"/>
    <w:rsid w:val="08BB4F8A"/>
    <w:rsid w:val="0AFD45EB"/>
    <w:rsid w:val="0F3234FB"/>
    <w:rsid w:val="0FC12FB7"/>
    <w:rsid w:val="101D4871"/>
    <w:rsid w:val="106B5B82"/>
    <w:rsid w:val="125F270B"/>
    <w:rsid w:val="12703422"/>
    <w:rsid w:val="155F2C67"/>
    <w:rsid w:val="16C6485C"/>
    <w:rsid w:val="1C5E7FC7"/>
    <w:rsid w:val="1DFD645D"/>
    <w:rsid w:val="206B1B89"/>
    <w:rsid w:val="25701301"/>
    <w:rsid w:val="28631972"/>
    <w:rsid w:val="2CCC188D"/>
    <w:rsid w:val="2E3448E1"/>
    <w:rsid w:val="32304851"/>
    <w:rsid w:val="38571C24"/>
    <w:rsid w:val="3B0F187D"/>
    <w:rsid w:val="3BBC0511"/>
    <w:rsid w:val="3DD11264"/>
    <w:rsid w:val="3E9D6B6A"/>
    <w:rsid w:val="419E27A8"/>
    <w:rsid w:val="4220301F"/>
    <w:rsid w:val="46746BBE"/>
    <w:rsid w:val="469E01F1"/>
    <w:rsid w:val="47065EC1"/>
    <w:rsid w:val="4A940719"/>
    <w:rsid w:val="4CAF3308"/>
    <w:rsid w:val="51213C46"/>
    <w:rsid w:val="56E02B6B"/>
    <w:rsid w:val="59081BF3"/>
    <w:rsid w:val="5B915939"/>
    <w:rsid w:val="5DCF21C2"/>
    <w:rsid w:val="61272BA1"/>
    <w:rsid w:val="63672F18"/>
    <w:rsid w:val="63A95EDD"/>
    <w:rsid w:val="65E53E4C"/>
    <w:rsid w:val="68787743"/>
    <w:rsid w:val="692167E2"/>
    <w:rsid w:val="69772F9A"/>
    <w:rsid w:val="6B500E70"/>
    <w:rsid w:val="6CF8529F"/>
    <w:rsid w:val="6DD81B31"/>
    <w:rsid w:val="6F2B13DA"/>
    <w:rsid w:val="6F9E67B4"/>
    <w:rsid w:val="736F1BD6"/>
    <w:rsid w:val="75272FDF"/>
    <w:rsid w:val="75B4010B"/>
    <w:rsid w:val="78117032"/>
    <w:rsid w:val="7B9C6019"/>
    <w:rsid w:val="7C203C03"/>
    <w:rsid w:val="7D3A033E"/>
    <w:rsid w:val="7DE850EE"/>
    <w:rsid w:val="7E8F01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99" w:semiHidden="0" w:name="Subtitle"/>
    <w:lsdException w:uiPriority="0" w:name="Salutation"/>
    <w:lsdException w:uiPriority="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qFormat="1" w:unhideWhenUsed="0" w:uiPriority="0" w:semiHidden="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4"/>
    <w:link w:val="47"/>
    <w:qFormat/>
    <w:uiPriority w:val="0"/>
    <w:pPr>
      <w:keepNext/>
      <w:keepLines/>
      <w:numPr>
        <w:ilvl w:val="0"/>
        <w:numId w:val="1"/>
      </w:numPr>
      <w:spacing w:before="48" w:beforeLines="20" w:line="360" w:lineRule="auto"/>
      <w:jc w:val="left"/>
      <w:outlineLvl w:val="0"/>
    </w:pPr>
    <w:rPr>
      <w:rFonts w:ascii="黑体"/>
      <w:b/>
      <w:kern w:val="44"/>
      <w:sz w:val="32"/>
      <w:szCs w:val="21"/>
    </w:rPr>
  </w:style>
  <w:style w:type="paragraph" w:styleId="5">
    <w:name w:val="heading 2"/>
    <w:basedOn w:val="1"/>
    <w:next w:val="4"/>
    <w:link w:val="48"/>
    <w:qFormat/>
    <w:uiPriority w:val="0"/>
    <w:pPr>
      <w:keepNext/>
      <w:keepLines/>
      <w:numPr>
        <w:ilvl w:val="1"/>
        <w:numId w:val="1"/>
      </w:numPr>
      <w:spacing w:line="360" w:lineRule="auto"/>
      <w:jc w:val="left"/>
      <w:outlineLvl w:val="1"/>
    </w:pPr>
    <w:rPr>
      <w:b/>
      <w:bCs/>
      <w:smallCaps/>
      <w:sz w:val="28"/>
      <w:szCs w:val="28"/>
    </w:rPr>
  </w:style>
  <w:style w:type="paragraph" w:styleId="6">
    <w:name w:val="heading 3"/>
    <w:basedOn w:val="1"/>
    <w:next w:val="4"/>
    <w:link w:val="49"/>
    <w:qFormat/>
    <w:uiPriority w:val="0"/>
    <w:pPr>
      <w:keepNext/>
      <w:keepLines/>
      <w:tabs>
        <w:tab w:val="left" w:pos="900"/>
      </w:tabs>
      <w:spacing w:line="360" w:lineRule="auto"/>
      <w:outlineLvl w:val="2"/>
    </w:pPr>
    <w:rPr>
      <w:rFonts w:asciiTheme="majorEastAsia" w:hAnsiTheme="majorEastAsia" w:eastAsiaTheme="majorEastAsia"/>
      <w:b/>
      <w:bCs/>
      <w:sz w:val="24"/>
    </w:rPr>
  </w:style>
  <w:style w:type="paragraph" w:styleId="7">
    <w:name w:val="heading 4"/>
    <w:basedOn w:val="1"/>
    <w:next w:val="4"/>
    <w:link w:val="50"/>
    <w:qFormat/>
    <w:uiPriority w:val="0"/>
    <w:pPr>
      <w:numPr>
        <w:ilvl w:val="3"/>
        <w:numId w:val="1"/>
      </w:numPr>
      <w:adjustRightInd w:val="0"/>
      <w:spacing w:line="360" w:lineRule="auto"/>
      <w:jc w:val="left"/>
      <w:textAlignment w:val="baseline"/>
      <w:outlineLvl w:val="3"/>
    </w:pPr>
    <w:rPr>
      <w:b/>
      <w:bCs/>
      <w:smallCaps/>
      <w:sz w:val="24"/>
    </w:rPr>
  </w:style>
  <w:style w:type="paragraph" w:styleId="8">
    <w:name w:val="heading 5"/>
    <w:basedOn w:val="1"/>
    <w:next w:val="1"/>
    <w:link w:val="51"/>
    <w:qFormat/>
    <w:uiPriority w:val="0"/>
    <w:pPr>
      <w:keepNext/>
      <w:keepLines/>
      <w:numPr>
        <w:ilvl w:val="4"/>
        <w:numId w:val="1"/>
      </w:numPr>
      <w:spacing w:line="312" w:lineRule="auto"/>
      <w:outlineLvl w:val="4"/>
    </w:pPr>
    <w:rPr>
      <w:b/>
      <w:bCs/>
      <w:sz w:val="24"/>
      <w:szCs w:val="28"/>
    </w:rPr>
  </w:style>
  <w:style w:type="paragraph" w:styleId="9">
    <w:name w:val="heading 6"/>
    <w:basedOn w:val="1"/>
    <w:next w:val="1"/>
    <w:link w:val="52"/>
    <w:qFormat/>
    <w:uiPriority w:val="0"/>
    <w:pPr>
      <w:keepNext/>
      <w:keepLines/>
      <w:widowControl/>
      <w:numPr>
        <w:ilvl w:val="5"/>
        <w:numId w:val="1"/>
      </w:numPr>
      <w:spacing w:before="240" w:after="64" w:line="320" w:lineRule="auto"/>
      <w:jc w:val="left"/>
      <w:outlineLvl w:val="5"/>
    </w:pPr>
    <w:rPr>
      <w:rFonts w:ascii="Arial" w:hAnsi="Arial" w:eastAsia="黑体"/>
      <w:b/>
      <w:bCs/>
      <w:kern w:val="0"/>
      <w:sz w:val="24"/>
    </w:rPr>
  </w:style>
  <w:style w:type="paragraph" w:styleId="10">
    <w:name w:val="heading 7"/>
    <w:basedOn w:val="1"/>
    <w:next w:val="1"/>
    <w:link w:val="53"/>
    <w:qFormat/>
    <w:uiPriority w:val="0"/>
    <w:pPr>
      <w:keepNext/>
      <w:keepLines/>
      <w:widowControl/>
      <w:spacing w:before="240" w:after="64" w:line="320" w:lineRule="auto"/>
      <w:jc w:val="left"/>
      <w:outlineLvl w:val="6"/>
    </w:pPr>
    <w:rPr>
      <w:b/>
      <w:bCs/>
      <w:kern w:val="0"/>
      <w:sz w:val="24"/>
    </w:rPr>
  </w:style>
  <w:style w:type="paragraph" w:styleId="11">
    <w:name w:val="heading 8"/>
    <w:basedOn w:val="1"/>
    <w:next w:val="1"/>
    <w:link w:val="54"/>
    <w:qFormat/>
    <w:uiPriority w:val="0"/>
    <w:pPr>
      <w:keepNext/>
      <w:keepLines/>
      <w:widowControl/>
      <w:spacing w:before="240" w:after="64" w:line="320" w:lineRule="auto"/>
      <w:jc w:val="left"/>
      <w:outlineLvl w:val="7"/>
    </w:pPr>
    <w:rPr>
      <w:rFonts w:ascii="Arial" w:hAnsi="Arial" w:eastAsia="黑体"/>
      <w:kern w:val="0"/>
      <w:sz w:val="24"/>
    </w:rPr>
  </w:style>
  <w:style w:type="paragraph" w:styleId="12">
    <w:name w:val="heading 9"/>
    <w:basedOn w:val="1"/>
    <w:next w:val="1"/>
    <w:link w:val="55"/>
    <w:qFormat/>
    <w:uiPriority w:val="0"/>
    <w:pPr>
      <w:keepNext/>
      <w:keepLines/>
      <w:widowControl/>
      <w:spacing w:before="240" w:after="64" w:line="320" w:lineRule="auto"/>
      <w:jc w:val="left"/>
      <w:outlineLvl w:val="8"/>
    </w:pPr>
    <w:rPr>
      <w:rFonts w:ascii="Arial" w:hAnsi="Arial" w:eastAsia="黑体"/>
      <w:kern w:val="0"/>
      <w:szCs w:val="21"/>
    </w:rPr>
  </w:style>
  <w:style w:type="character" w:default="1" w:styleId="42">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4">
    <w:name w:val="正文首行缩进 2 + Times New Roman"/>
    <w:basedOn w:val="1"/>
    <w:link w:val="56"/>
    <w:qFormat/>
    <w:uiPriority w:val="0"/>
    <w:pPr>
      <w:tabs>
        <w:tab w:val="left" w:pos="0"/>
        <w:tab w:val="left" w:pos="3150"/>
      </w:tabs>
      <w:autoSpaceDE w:val="0"/>
      <w:autoSpaceDN w:val="0"/>
      <w:spacing w:line="360" w:lineRule="auto"/>
      <w:ind w:firstLine="480" w:firstLineChars="200"/>
    </w:pPr>
    <w:rPr>
      <w:rFonts w:eastAsiaTheme="majorEastAsia"/>
      <w:bCs/>
      <w:color w:val="000000"/>
      <w:kern w:val="0"/>
      <w:sz w:val="24"/>
    </w:rPr>
  </w:style>
  <w:style w:type="paragraph" w:styleId="13">
    <w:name w:val="toc 7"/>
    <w:basedOn w:val="1"/>
    <w:next w:val="1"/>
    <w:unhideWhenUsed/>
    <w:qFormat/>
    <w:uiPriority w:val="39"/>
    <w:pPr>
      <w:ind w:left="2520" w:leftChars="1200"/>
    </w:pPr>
    <w:rPr>
      <w:rFonts w:ascii="Calibri" w:hAnsi="Calibri"/>
      <w:szCs w:val="22"/>
    </w:rPr>
  </w:style>
  <w:style w:type="paragraph" w:styleId="14">
    <w:name w:val="Normal Indent"/>
    <w:basedOn w:val="1"/>
    <w:link w:val="93"/>
    <w:qFormat/>
    <w:uiPriority w:val="0"/>
    <w:pPr>
      <w:ind w:firstLine="420"/>
    </w:pPr>
    <w:rPr>
      <w:szCs w:val="20"/>
    </w:rPr>
  </w:style>
  <w:style w:type="paragraph" w:styleId="15">
    <w:name w:val="caption"/>
    <w:basedOn w:val="1"/>
    <w:next w:val="4"/>
    <w:link w:val="57"/>
    <w:qFormat/>
    <w:uiPriority w:val="0"/>
    <w:pPr>
      <w:tabs>
        <w:tab w:val="center" w:pos="10467"/>
        <w:tab w:val="left" w:pos="13095"/>
      </w:tabs>
      <w:jc w:val="center"/>
    </w:pPr>
    <w:rPr>
      <w:rFonts w:cs="Arial" w:asciiTheme="majorEastAsia" w:hAnsiTheme="majorEastAsia" w:eastAsiaTheme="majorEastAsia"/>
      <w:b/>
      <w:sz w:val="24"/>
    </w:rPr>
  </w:style>
  <w:style w:type="paragraph" w:styleId="16">
    <w:name w:val="Document Map"/>
    <w:basedOn w:val="1"/>
    <w:link w:val="76"/>
    <w:qFormat/>
    <w:uiPriority w:val="0"/>
    <w:pPr>
      <w:shd w:val="clear" w:color="auto" w:fill="000080"/>
    </w:pPr>
  </w:style>
  <w:style w:type="paragraph" w:styleId="17">
    <w:name w:val="annotation text"/>
    <w:basedOn w:val="1"/>
    <w:link w:val="70"/>
    <w:qFormat/>
    <w:uiPriority w:val="0"/>
    <w:pPr>
      <w:jc w:val="left"/>
    </w:pPr>
  </w:style>
  <w:style w:type="paragraph" w:styleId="18">
    <w:name w:val="Body Text Indent"/>
    <w:basedOn w:val="1"/>
    <w:link w:val="64"/>
    <w:unhideWhenUsed/>
    <w:qFormat/>
    <w:uiPriority w:val="99"/>
    <w:pPr>
      <w:spacing w:line="360" w:lineRule="auto"/>
      <w:ind w:firstLine="480" w:firstLineChars="200"/>
    </w:pPr>
    <w:rPr>
      <w:rFonts w:ascii="宋体" w:hAnsi="宋体"/>
      <w:sz w:val="24"/>
    </w:rPr>
  </w:style>
  <w:style w:type="paragraph" w:styleId="19">
    <w:name w:val="toc 5"/>
    <w:basedOn w:val="1"/>
    <w:next w:val="1"/>
    <w:unhideWhenUsed/>
    <w:qFormat/>
    <w:uiPriority w:val="39"/>
    <w:pPr>
      <w:ind w:left="1680" w:leftChars="800"/>
    </w:pPr>
    <w:rPr>
      <w:rFonts w:ascii="Calibri" w:hAnsi="Calibri"/>
      <w:szCs w:val="22"/>
    </w:rPr>
  </w:style>
  <w:style w:type="paragraph" w:styleId="20">
    <w:name w:val="toc 3"/>
    <w:basedOn w:val="1"/>
    <w:next w:val="1"/>
    <w:qFormat/>
    <w:uiPriority w:val="39"/>
    <w:pPr>
      <w:tabs>
        <w:tab w:val="left" w:pos="1052"/>
        <w:tab w:val="right" w:pos="1260"/>
        <w:tab w:val="right" w:leader="dot" w:pos="8610"/>
      </w:tabs>
      <w:ind w:left="420" w:right="80" w:rightChars="38"/>
    </w:pPr>
    <w:rPr>
      <w:sz w:val="24"/>
    </w:rPr>
  </w:style>
  <w:style w:type="paragraph" w:styleId="21">
    <w:name w:val="toc 8"/>
    <w:basedOn w:val="1"/>
    <w:next w:val="1"/>
    <w:unhideWhenUsed/>
    <w:qFormat/>
    <w:uiPriority w:val="39"/>
    <w:pPr>
      <w:ind w:left="2940" w:leftChars="1400"/>
    </w:pPr>
    <w:rPr>
      <w:rFonts w:ascii="Calibri" w:hAnsi="Calibri"/>
      <w:szCs w:val="22"/>
    </w:rPr>
  </w:style>
  <w:style w:type="paragraph" w:styleId="22">
    <w:name w:val="Body Text Indent 2"/>
    <w:basedOn w:val="1"/>
    <w:link w:val="98"/>
    <w:qFormat/>
    <w:uiPriority w:val="0"/>
    <w:pPr>
      <w:spacing w:after="120" w:line="480" w:lineRule="auto"/>
      <w:ind w:left="420" w:leftChars="200"/>
    </w:pPr>
  </w:style>
  <w:style w:type="paragraph" w:styleId="23">
    <w:name w:val="Balloon Text"/>
    <w:basedOn w:val="1"/>
    <w:link w:val="75"/>
    <w:semiHidden/>
    <w:qFormat/>
    <w:uiPriority w:val="0"/>
    <w:rPr>
      <w:sz w:val="18"/>
      <w:szCs w:val="18"/>
    </w:rPr>
  </w:style>
  <w:style w:type="paragraph" w:styleId="24">
    <w:name w:val="footer"/>
    <w:basedOn w:val="1"/>
    <w:link w:val="61"/>
    <w:qFormat/>
    <w:uiPriority w:val="99"/>
    <w:pPr>
      <w:tabs>
        <w:tab w:val="center" w:pos="4153"/>
        <w:tab w:val="right" w:pos="8306"/>
      </w:tabs>
      <w:snapToGrid w:val="0"/>
      <w:jc w:val="left"/>
    </w:pPr>
    <w:rPr>
      <w:sz w:val="18"/>
      <w:szCs w:val="18"/>
    </w:rPr>
  </w:style>
  <w:style w:type="paragraph" w:styleId="25">
    <w:name w:val="header"/>
    <w:basedOn w:val="1"/>
    <w:link w:val="60"/>
    <w:qFormat/>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pPr>
      <w:tabs>
        <w:tab w:val="left" w:pos="420"/>
        <w:tab w:val="right" w:leader="dot" w:pos="8640"/>
      </w:tabs>
      <w:snapToGrid w:val="0"/>
      <w:spacing w:before="120"/>
      <w:jc w:val="left"/>
    </w:pPr>
    <w:rPr>
      <w:b/>
      <w:bCs/>
      <w:iCs/>
      <w:sz w:val="24"/>
      <w:szCs w:val="28"/>
    </w:rPr>
  </w:style>
  <w:style w:type="paragraph" w:styleId="27">
    <w:name w:val="toc 4"/>
    <w:basedOn w:val="1"/>
    <w:next w:val="1"/>
    <w:qFormat/>
    <w:uiPriority w:val="0"/>
    <w:pPr>
      <w:ind w:left="630"/>
      <w:jc w:val="left"/>
    </w:pPr>
    <w:rPr>
      <w:sz w:val="18"/>
      <w:szCs w:val="18"/>
    </w:rPr>
  </w:style>
  <w:style w:type="paragraph" w:styleId="28">
    <w:name w:val="Subtitle"/>
    <w:basedOn w:val="1"/>
    <w:next w:val="1"/>
    <w:link w:val="89"/>
    <w:qFormat/>
    <w:uiPriority w:val="99"/>
    <w:pPr>
      <w:spacing w:before="240" w:after="60" w:line="312" w:lineRule="auto"/>
      <w:jc w:val="center"/>
      <w:outlineLvl w:val="1"/>
    </w:pPr>
    <w:rPr>
      <w:rFonts w:asciiTheme="majorHAnsi" w:hAnsiTheme="majorHAnsi" w:cstheme="majorBidi"/>
      <w:b/>
      <w:bCs/>
      <w:kern w:val="28"/>
      <w:sz w:val="32"/>
      <w:szCs w:val="32"/>
    </w:rPr>
  </w:style>
  <w:style w:type="paragraph" w:styleId="29">
    <w:name w:val="toc 6"/>
    <w:basedOn w:val="1"/>
    <w:next w:val="1"/>
    <w:unhideWhenUsed/>
    <w:qFormat/>
    <w:uiPriority w:val="39"/>
    <w:pPr>
      <w:ind w:left="2100" w:leftChars="1000"/>
    </w:pPr>
    <w:rPr>
      <w:rFonts w:ascii="Calibri" w:hAnsi="Calibri"/>
      <w:szCs w:val="22"/>
    </w:rPr>
  </w:style>
  <w:style w:type="paragraph" w:styleId="30">
    <w:name w:val="table of figures"/>
    <w:basedOn w:val="1"/>
    <w:next w:val="1"/>
    <w:qFormat/>
    <w:uiPriority w:val="0"/>
    <w:pPr>
      <w:widowControl/>
      <w:tabs>
        <w:tab w:val="right" w:leader="dot" w:pos="8889"/>
      </w:tabs>
      <w:spacing w:line="360" w:lineRule="auto"/>
      <w:jc w:val="left"/>
    </w:pPr>
    <w:rPr>
      <w:kern w:val="0"/>
      <w:sz w:val="24"/>
    </w:rPr>
  </w:style>
  <w:style w:type="paragraph" w:styleId="31">
    <w:name w:val="toc 2"/>
    <w:basedOn w:val="1"/>
    <w:next w:val="1"/>
    <w:qFormat/>
    <w:uiPriority w:val="39"/>
    <w:pPr>
      <w:tabs>
        <w:tab w:val="left" w:pos="735"/>
        <w:tab w:val="right" w:leader="dot" w:pos="8610"/>
      </w:tabs>
      <w:spacing w:before="120"/>
      <w:ind w:left="210"/>
      <w:jc w:val="left"/>
    </w:pPr>
    <w:rPr>
      <w:bCs/>
      <w:sz w:val="24"/>
      <w:szCs w:val="26"/>
    </w:rPr>
  </w:style>
  <w:style w:type="paragraph" w:styleId="32">
    <w:name w:val="toc 9"/>
    <w:basedOn w:val="1"/>
    <w:next w:val="1"/>
    <w:unhideWhenUsed/>
    <w:qFormat/>
    <w:uiPriority w:val="39"/>
    <w:pPr>
      <w:ind w:left="3360" w:leftChars="1600"/>
    </w:pPr>
    <w:rPr>
      <w:rFonts w:ascii="Calibri" w:hAnsi="Calibri"/>
      <w:szCs w:val="22"/>
    </w:rPr>
  </w:style>
  <w:style w:type="paragraph" w:styleId="33">
    <w:name w:val="Message Header"/>
    <w:basedOn w:val="1"/>
    <w:link w:val="77"/>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3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35">
    <w:name w:val="annotation subject"/>
    <w:basedOn w:val="17"/>
    <w:next w:val="17"/>
    <w:link w:val="78"/>
    <w:qFormat/>
    <w:uiPriority w:val="0"/>
    <w:rPr>
      <w:b/>
      <w:bCs/>
    </w:rPr>
  </w:style>
  <w:style w:type="paragraph" w:styleId="36">
    <w:name w:val="Body Text First Indent 2"/>
    <w:basedOn w:val="18"/>
    <w:link w:val="88"/>
    <w:qFormat/>
    <w:uiPriority w:val="0"/>
    <w:pPr>
      <w:spacing w:after="120" w:line="240" w:lineRule="auto"/>
      <w:ind w:left="420" w:leftChars="200" w:firstLine="420"/>
    </w:pPr>
    <w:rPr>
      <w:rFonts w:ascii="Times New Roman" w:hAnsi="Times New Roman"/>
      <w:sz w:val="21"/>
    </w:rPr>
  </w:style>
  <w:style w:type="table" w:styleId="38">
    <w:name w:val="Table Grid"/>
    <w:basedOn w:val="3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9">
    <w:name w:val="Table Theme"/>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0">
    <w:name w:val="Table Grid 5"/>
    <w:basedOn w:val="37"/>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41">
    <w:name w:val="Table Grid 6"/>
    <w:basedOn w:val="37"/>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character" w:styleId="43">
    <w:name w:val="Strong"/>
    <w:qFormat/>
    <w:uiPriority w:val="0"/>
    <w:rPr>
      <w:b/>
      <w:bCs/>
    </w:rPr>
  </w:style>
  <w:style w:type="character" w:styleId="44">
    <w:name w:val="page number"/>
    <w:qFormat/>
    <w:uiPriority w:val="0"/>
  </w:style>
  <w:style w:type="character" w:styleId="45">
    <w:name w:val="Hyperlink"/>
    <w:qFormat/>
    <w:uiPriority w:val="99"/>
    <w:rPr>
      <w:color w:val="0000FF"/>
      <w:u w:val="single"/>
    </w:rPr>
  </w:style>
  <w:style w:type="character" w:styleId="46">
    <w:name w:val="annotation reference"/>
    <w:qFormat/>
    <w:uiPriority w:val="0"/>
    <w:rPr>
      <w:sz w:val="21"/>
      <w:szCs w:val="21"/>
    </w:rPr>
  </w:style>
  <w:style w:type="character" w:customStyle="1" w:styleId="47">
    <w:name w:val="标题 1 Char"/>
    <w:link w:val="3"/>
    <w:qFormat/>
    <w:uiPriority w:val="0"/>
    <w:rPr>
      <w:rFonts w:ascii="黑体"/>
      <w:b/>
      <w:kern w:val="44"/>
      <w:sz w:val="32"/>
      <w:szCs w:val="21"/>
    </w:rPr>
  </w:style>
  <w:style w:type="character" w:customStyle="1" w:styleId="48">
    <w:name w:val="标题 2 Char"/>
    <w:link w:val="5"/>
    <w:qFormat/>
    <w:uiPriority w:val="0"/>
    <w:rPr>
      <w:b/>
      <w:bCs/>
      <w:smallCaps/>
      <w:kern w:val="2"/>
      <w:sz w:val="28"/>
      <w:szCs w:val="28"/>
    </w:rPr>
  </w:style>
  <w:style w:type="character" w:customStyle="1" w:styleId="49">
    <w:name w:val="标题 3 Char"/>
    <w:link w:val="6"/>
    <w:qFormat/>
    <w:uiPriority w:val="0"/>
    <w:rPr>
      <w:rFonts w:asciiTheme="majorEastAsia" w:hAnsiTheme="majorEastAsia" w:eastAsiaTheme="majorEastAsia"/>
      <w:b/>
      <w:bCs/>
      <w:kern w:val="2"/>
      <w:sz w:val="24"/>
      <w:szCs w:val="24"/>
    </w:rPr>
  </w:style>
  <w:style w:type="character" w:customStyle="1" w:styleId="50">
    <w:name w:val="标题 4 Char"/>
    <w:link w:val="7"/>
    <w:qFormat/>
    <w:uiPriority w:val="0"/>
    <w:rPr>
      <w:b/>
      <w:bCs/>
      <w:smallCaps/>
      <w:kern w:val="2"/>
      <w:sz w:val="24"/>
      <w:szCs w:val="24"/>
    </w:rPr>
  </w:style>
  <w:style w:type="character" w:customStyle="1" w:styleId="51">
    <w:name w:val="标题 5 Char"/>
    <w:link w:val="8"/>
    <w:qFormat/>
    <w:uiPriority w:val="0"/>
    <w:rPr>
      <w:b/>
      <w:bCs/>
      <w:kern w:val="2"/>
      <w:sz w:val="24"/>
      <w:szCs w:val="28"/>
    </w:rPr>
  </w:style>
  <w:style w:type="character" w:customStyle="1" w:styleId="52">
    <w:name w:val="标题 6 Char"/>
    <w:link w:val="9"/>
    <w:qFormat/>
    <w:uiPriority w:val="0"/>
    <w:rPr>
      <w:rFonts w:ascii="Arial" w:hAnsi="Arial" w:eastAsia="黑体"/>
      <w:b/>
      <w:bCs/>
      <w:sz w:val="24"/>
      <w:szCs w:val="24"/>
    </w:rPr>
  </w:style>
  <w:style w:type="character" w:customStyle="1" w:styleId="53">
    <w:name w:val="标题 7 Char"/>
    <w:link w:val="10"/>
    <w:qFormat/>
    <w:uiPriority w:val="0"/>
    <w:rPr>
      <w:b/>
      <w:bCs/>
      <w:sz w:val="24"/>
      <w:szCs w:val="24"/>
    </w:rPr>
  </w:style>
  <w:style w:type="character" w:customStyle="1" w:styleId="54">
    <w:name w:val="标题 8 Char"/>
    <w:link w:val="11"/>
    <w:qFormat/>
    <w:uiPriority w:val="0"/>
    <w:rPr>
      <w:rFonts w:ascii="Arial" w:hAnsi="Arial" w:eastAsia="黑体"/>
      <w:sz w:val="24"/>
      <w:szCs w:val="24"/>
    </w:rPr>
  </w:style>
  <w:style w:type="character" w:customStyle="1" w:styleId="55">
    <w:name w:val="标题 9 Char"/>
    <w:link w:val="12"/>
    <w:qFormat/>
    <w:uiPriority w:val="0"/>
    <w:rPr>
      <w:rFonts w:ascii="Arial" w:hAnsi="Arial" w:eastAsia="黑体"/>
      <w:sz w:val="21"/>
      <w:szCs w:val="21"/>
    </w:rPr>
  </w:style>
  <w:style w:type="character" w:customStyle="1" w:styleId="56">
    <w:name w:val="正文首行缩进 2 + Times New Roman Char"/>
    <w:link w:val="4"/>
    <w:qFormat/>
    <w:uiPriority w:val="0"/>
    <w:rPr>
      <w:rFonts w:eastAsiaTheme="majorEastAsia"/>
      <w:bCs/>
      <w:color w:val="000000"/>
      <w:sz w:val="24"/>
      <w:szCs w:val="24"/>
    </w:rPr>
  </w:style>
  <w:style w:type="character" w:customStyle="1" w:styleId="57">
    <w:name w:val="题注 Char"/>
    <w:link w:val="15"/>
    <w:qFormat/>
    <w:uiPriority w:val="0"/>
    <w:rPr>
      <w:rFonts w:cs="Arial" w:asciiTheme="majorEastAsia" w:hAnsiTheme="majorEastAsia" w:eastAsiaTheme="majorEastAsia"/>
      <w:b/>
      <w:kern w:val="2"/>
      <w:sz w:val="24"/>
      <w:szCs w:val="24"/>
    </w:rPr>
  </w:style>
  <w:style w:type="paragraph" w:customStyle="1" w:styleId="58">
    <w:name w:val="表格文字2"/>
    <w:basedOn w:val="1"/>
    <w:link w:val="59"/>
    <w:qFormat/>
    <w:uiPriority w:val="0"/>
    <w:pPr>
      <w:tabs>
        <w:tab w:val="left" w:pos="277"/>
        <w:tab w:val="left" w:pos="600"/>
        <w:tab w:val="left" w:pos="780"/>
        <w:tab w:val="left" w:pos="2517"/>
      </w:tabs>
      <w:adjustRightInd w:val="0"/>
      <w:spacing w:before="60"/>
      <w:jc w:val="center"/>
      <w:textAlignment w:val="baseline"/>
    </w:pPr>
    <w:rPr>
      <w:rFonts w:cs="宋体"/>
      <w:color w:val="000000" w:themeColor="text1"/>
      <w:kern w:val="0"/>
      <w:szCs w:val="21"/>
      <w14:textFill>
        <w14:solidFill>
          <w14:schemeClr w14:val="tx1"/>
        </w14:solidFill>
      </w14:textFill>
    </w:rPr>
  </w:style>
  <w:style w:type="character" w:customStyle="1" w:styleId="59">
    <w:name w:val="表格文字2 Char"/>
    <w:link w:val="58"/>
    <w:qFormat/>
    <w:uiPriority w:val="0"/>
    <w:rPr>
      <w:rFonts w:cs="宋体"/>
      <w:color w:val="000000" w:themeColor="text1"/>
      <w:sz w:val="21"/>
      <w:szCs w:val="21"/>
      <w14:textFill>
        <w14:solidFill>
          <w14:schemeClr w14:val="tx1"/>
        </w14:solidFill>
      </w14:textFill>
    </w:rPr>
  </w:style>
  <w:style w:type="character" w:customStyle="1" w:styleId="60">
    <w:name w:val="页眉 Char"/>
    <w:link w:val="25"/>
    <w:qFormat/>
    <w:uiPriority w:val="99"/>
    <w:rPr>
      <w:kern w:val="2"/>
      <w:sz w:val="18"/>
      <w:szCs w:val="18"/>
    </w:rPr>
  </w:style>
  <w:style w:type="character" w:customStyle="1" w:styleId="61">
    <w:name w:val="页脚 Char"/>
    <w:link w:val="24"/>
    <w:qFormat/>
    <w:uiPriority w:val="99"/>
    <w:rPr>
      <w:kern w:val="2"/>
      <w:sz w:val="18"/>
      <w:szCs w:val="18"/>
    </w:rPr>
  </w:style>
  <w:style w:type="paragraph" w:customStyle="1" w:styleId="62">
    <w:name w:val="封面项目竣工环境保护"/>
    <w:basedOn w:val="1"/>
    <w:qFormat/>
    <w:uiPriority w:val="0"/>
    <w:pPr>
      <w:spacing w:line="360" w:lineRule="auto"/>
      <w:jc w:val="center"/>
    </w:pPr>
    <w:rPr>
      <w:rFonts w:eastAsia="楷体_GB2312" w:cs="宋体"/>
      <w:b/>
      <w:bCs/>
      <w:spacing w:val="24"/>
      <w:sz w:val="52"/>
      <w:szCs w:val="20"/>
    </w:rPr>
  </w:style>
  <w:style w:type="paragraph" w:customStyle="1" w:styleId="63">
    <w:name w:val="表格文字1"/>
    <w:basedOn w:val="58"/>
    <w:qFormat/>
    <w:uiPriority w:val="0"/>
    <w:pPr>
      <w:jc w:val="both"/>
    </w:pPr>
  </w:style>
  <w:style w:type="character" w:customStyle="1" w:styleId="64">
    <w:name w:val="正文文本缩进 Char"/>
    <w:link w:val="18"/>
    <w:qFormat/>
    <w:uiPriority w:val="99"/>
    <w:rPr>
      <w:rFonts w:ascii="宋体" w:hAnsi="宋体"/>
      <w:kern w:val="2"/>
      <w:sz w:val="24"/>
      <w:szCs w:val="24"/>
    </w:rPr>
  </w:style>
  <w:style w:type="paragraph" w:customStyle="1" w:styleId="65">
    <w:name w:val="表格"/>
    <w:next w:val="1"/>
    <w:link w:val="91"/>
    <w:qFormat/>
    <w:uiPriority w:val="0"/>
    <w:pPr>
      <w:spacing w:line="380" w:lineRule="exact"/>
      <w:jc w:val="center"/>
    </w:pPr>
    <w:rPr>
      <w:rFonts w:ascii="Calibri" w:hAnsi="Calibri" w:eastAsia="宋体" w:cs="Times New Roman"/>
      <w:kern w:val="2"/>
      <w:sz w:val="21"/>
      <w:szCs w:val="21"/>
      <w:lang w:val="en-US" w:eastAsia="zh-CN" w:bidi="ar-SA"/>
    </w:rPr>
  </w:style>
  <w:style w:type="character" w:customStyle="1" w:styleId="66">
    <w:name w:val="表格备注"/>
    <w:qFormat/>
    <w:uiPriority w:val="0"/>
    <w:rPr>
      <w:rFonts w:ascii="华文楷体" w:hAnsi="华文楷体" w:eastAsia="楷体_GB2312"/>
      <w:kern w:val="0"/>
      <w:sz w:val="21"/>
    </w:rPr>
  </w:style>
  <w:style w:type="paragraph" w:customStyle="1" w:styleId="67">
    <w:name w:val="目录"/>
    <w:basedOn w:val="1"/>
    <w:next w:val="4"/>
    <w:qFormat/>
    <w:uiPriority w:val="0"/>
    <w:pPr>
      <w:spacing w:before="240" w:after="240" w:line="312" w:lineRule="auto"/>
      <w:jc w:val="center"/>
    </w:pPr>
    <w:rPr>
      <w:rFonts w:cs="宋体"/>
      <w:b/>
      <w:bCs/>
      <w:sz w:val="36"/>
      <w:szCs w:val="20"/>
    </w:rPr>
  </w:style>
  <w:style w:type="character" w:customStyle="1" w:styleId="68">
    <w:name w:val="题注 Char1"/>
    <w:qFormat/>
    <w:locked/>
    <w:uiPriority w:val="0"/>
    <w:rPr>
      <w:rFonts w:ascii="Arial" w:hAnsi="Arial" w:cs="Arial"/>
      <w:b/>
      <w:kern w:val="28"/>
      <w:sz w:val="24"/>
      <w:szCs w:val="32"/>
    </w:rPr>
  </w:style>
  <w:style w:type="paragraph" w:customStyle="1" w:styleId="69">
    <w:name w:val="封面工程项目名称"/>
    <w:basedOn w:val="1"/>
    <w:qFormat/>
    <w:uiPriority w:val="0"/>
    <w:pPr>
      <w:spacing w:line="360" w:lineRule="auto"/>
      <w:jc w:val="center"/>
    </w:pPr>
    <w:rPr>
      <w:rFonts w:eastAsia="华文新魏" w:cs="宋体"/>
      <w:b/>
      <w:bCs/>
      <w:spacing w:val="24"/>
      <w:sz w:val="48"/>
      <w:szCs w:val="20"/>
    </w:rPr>
  </w:style>
  <w:style w:type="character" w:customStyle="1" w:styleId="70">
    <w:name w:val="批注文字 Char1"/>
    <w:link w:val="17"/>
    <w:semiHidden/>
    <w:qFormat/>
    <w:uiPriority w:val="0"/>
    <w:rPr>
      <w:kern w:val="2"/>
      <w:sz w:val="21"/>
      <w:szCs w:val="24"/>
    </w:rPr>
  </w:style>
  <w:style w:type="paragraph" w:customStyle="1" w:styleId="71">
    <w:name w:val="环境影响报告书"/>
    <w:basedOn w:val="1"/>
    <w:next w:val="1"/>
    <w:qFormat/>
    <w:uiPriority w:val="0"/>
    <w:pPr>
      <w:jc w:val="center"/>
    </w:pPr>
    <w:rPr>
      <w:rFonts w:eastAsia="黑体" w:cs="宋体"/>
      <w:b/>
      <w:bCs/>
      <w:spacing w:val="30"/>
      <w:sz w:val="52"/>
      <w:szCs w:val="20"/>
    </w:rPr>
  </w:style>
  <w:style w:type="paragraph" w:customStyle="1" w:styleId="72">
    <w:name w:val="环科院名称"/>
    <w:basedOn w:val="1"/>
    <w:qFormat/>
    <w:uiPriority w:val="0"/>
    <w:pPr>
      <w:ind w:left="-7" w:leftChars="-10" w:hanging="14" w:hangingChars="4"/>
      <w:jc w:val="center"/>
    </w:pPr>
    <w:rPr>
      <w:rFonts w:ascii="楷体_GB2312" w:hAnsi="华文楷体" w:eastAsia="楷体_GB2312" w:cs="宋体"/>
      <w:b/>
      <w:bCs/>
      <w:spacing w:val="20"/>
      <w:sz w:val="32"/>
      <w:szCs w:val="20"/>
    </w:rPr>
  </w:style>
  <w:style w:type="paragraph" w:customStyle="1" w:styleId="73">
    <w:name w:val="环科院英文名称"/>
    <w:basedOn w:val="1"/>
    <w:qFormat/>
    <w:uiPriority w:val="0"/>
    <w:pPr>
      <w:pBdr>
        <w:top w:val="single" w:color="auto" w:sz="4" w:space="1"/>
        <w:between w:val="single" w:color="auto" w:sz="4" w:space="1"/>
      </w:pBdr>
      <w:ind w:firstLine="21" w:firstLineChars="10"/>
      <w:jc w:val="center"/>
    </w:pPr>
    <w:rPr>
      <w:rFonts w:cs="宋体"/>
      <w:szCs w:val="20"/>
    </w:rPr>
  </w:style>
  <w:style w:type="paragraph" w:customStyle="1" w:styleId="74">
    <w:name w:val="送审/报批稿"/>
    <w:basedOn w:val="1"/>
    <w:next w:val="1"/>
    <w:qFormat/>
    <w:uiPriority w:val="0"/>
    <w:pPr>
      <w:jc w:val="center"/>
    </w:pPr>
    <w:rPr>
      <w:rFonts w:ascii="华文新魏" w:eastAsia="华文新魏" w:cs="宋体"/>
      <w:sz w:val="44"/>
      <w:szCs w:val="20"/>
    </w:rPr>
  </w:style>
  <w:style w:type="character" w:customStyle="1" w:styleId="75">
    <w:name w:val="批注框文本 Char"/>
    <w:link w:val="23"/>
    <w:semiHidden/>
    <w:qFormat/>
    <w:uiPriority w:val="0"/>
    <w:rPr>
      <w:kern w:val="2"/>
      <w:sz w:val="18"/>
      <w:szCs w:val="18"/>
    </w:rPr>
  </w:style>
  <w:style w:type="character" w:customStyle="1" w:styleId="76">
    <w:name w:val="文档结构图 Char"/>
    <w:link w:val="16"/>
    <w:qFormat/>
    <w:uiPriority w:val="0"/>
    <w:rPr>
      <w:kern w:val="2"/>
      <w:sz w:val="21"/>
      <w:szCs w:val="24"/>
      <w:shd w:val="clear" w:color="auto" w:fill="000080"/>
    </w:rPr>
  </w:style>
  <w:style w:type="character" w:customStyle="1" w:styleId="77">
    <w:name w:val="信息标题 Char"/>
    <w:link w:val="33"/>
    <w:qFormat/>
    <w:uiPriority w:val="0"/>
    <w:rPr>
      <w:rFonts w:ascii="Arial" w:hAnsi="Arial" w:cs="Arial"/>
      <w:kern w:val="2"/>
      <w:sz w:val="24"/>
      <w:szCs w:val="24"/>
      <w:shd w:val="pct20" w:color="auto" w:fill="auto"/>
    </w:rPr>
  </w:style>
  <w:style w:type="character" w:customStyle="1" w:styleId="78">
    <w:name w:val="批注主题 Char"/>
    <w:link w:val="35"/>
    <w:semiHidden/>
    <w:qFormat/>
    <w:uiPriority w:val="0"/>
    <w:rPr>
      <w:b/>
      <w:bCs/>
      <w:kern w:val="2"/>
      <w:sz w:val="21"/>
      <w:szCs w:val="24"/>
    </w:rPr>
  </w:style>
  <w:style w:type="paragraph" w:customStyle="1" w:styleId="79">
    <w:name w:val="报告表格文字"/>
    <w:basedOn w:val="1"/>
    <w:qFormat/>
    <w:uiPriority w:val="0"/>
    <w:pPr>
      <w:spacing w:before="100" w:beforeAutospacing="1" w:after="100" w:afterAutospacing="1"/>
      <w:jc w:val="center"/>
    </w:pPr>
  </w:style>
  <w:style w:type="table" w:customStyle="1" w:styleId="80">
    <w:name w:val="三线表1"/>
    <w:basedOn w:val="37"/>
    <w:qFormat/>
    <w:uiPriority w:val="0"/>
    <w:pPr>
      <w:jc w:val="center"/>
    </w:pPr>
    <w:rPr>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tblStylePr w:type="firstRow">
      <w:rPr>
        <w:rFonts w:eastAsia="宋体"/>
        <w:sz w:val="21"/>
      </w:rPr>
      <w:tcPr>
        <w:tcBorders>
          <w:bottom w:val="single" w:color="auto" w:sz="12" w:space="0"/>
        </w:tcBorders>
      </w:tcPr>
    </w:tblStylePr>
  </w:style>
  <w:style w:type="character" w:customStyle="1" w:styleId="81">
    <w:name w:val="表格文字 Char"/>
    <w:link w:val="82"/>
    <w:qFormat/>
    <w:uiPriority w:val="0"/>
    <w:rPr>
      <w:spacing w:val="5"/>
      <w:sz w:val="21"/>
      <w:szCs w:val="21"/>
      <w:lang w:val="zh-CN" w:eastAsia="zh-CN"/>
    </w:rPr>
  </w:style>
  <w:style w:type="paragraph" w:customStyle="1" w:styleId="82">
    <w:name w:val="表格文字"/>
    <w:basedOn w:val="1"/>
    <w:link w:val="81"/>
    <w:qFormat/>
    <w:uiPriority w:val="0"/>
    <w:pPr>
      <w:tabs>
        <w:tab w:val="left" w:pos="277"/>
        <w:tab w:val="left" w:pos="600"/>
        <w:tab w:val="left" w:pos="780"/>
        <w:tab w:val="left" w:pos="2517"/>
      </w:tabs>
      <w:jc w:val="center"/>
    </w:pPr>
    <w:rPr>
      <w:spacing w:val="5"/>
      <w:kern w:val="0"/>
      <w:szCs w:val="21"/>
      <w:lang w:val="zh-CN"/>
    </w:rPr>
  </w:style>
  <w:style w:type="paragraph" w:styleId="83">
    <w:name w:val="List Paragraph"/>
    <w:basedOn w:val="1"/>
    <w:qFormat/>
    <w:uiPriority w:val="0"/>
    <w:pPr>
      <w:ind w:firstLine="420" w:firstLineChars="200"/>
    </w:pPr>
    <w:rPr>
      <w:szCs w:val="20"/>
    </w:rPr>
  </w:style>
  <w:style w:type="paragraph" w:customStyle="1" w:styleId="84">
    <w:name w:val="TOC 标题1"/>
    <w:basedOn w:val="3"/>
    <w:next w:val="1"/>
    <w:unhideWhenUsed/>
    <w:qFormat/>
    <w:uiPriority w:val="39"/>
    <w:pPr>
      <w:widowControl/>
      <w:spacing w:before="480" w:beforeLines="0" w:line="276" w:lineRule="auto"/>
      <w:outlineLvl w:val="9"/>
    </w:pPr>
    <w:rPr>
      <w:rFonts w:ascii="Cambria" w:hAnsi="Cambria"/>
      <w:bCs/>
      <w:color w:val="365F91"/>
      <w:kern w:val="0"/>
      <w:sz w:val="28"/>
      <w:szCs w:val="28"/>
    </w:rPr>
  </w:style>
  <w:style w:type="paragraph" w:customStyle="1" w:styleId="85">
    <w:name w:val="报告文字"/>
    <w:basedOn w:val="1"/>
    <w:link w:val="86"/>
    <w:qFormat/>
    <w:uiPriority w:val="0"/>
    <w:pPr>
      <w:tabs>
        <w:tab w:val="left" w:pos="0"/>
        <w:tab w:val="left" w:pos="2955"/>
      </w:tabs>
      <w:autoSpaceDE w:val="0"/>
      <w:autoSpaceDN w:val="0"/>
      <w:spacing w:line="480" w:lineRule="exact"/>
      <w:ind w:firstLine="480"/>
      <w:jc w:val="left"/>
    </w:pPr>
    <w:rPr>
      <w:sz w:val="24"/>
      <w:lang w:val="zh-CN"/>
    </w:rPr>
  </w:style>
  <w:style w:type="character" w:customStyle="1" w:styleId="86">
    <w:name w:val="报告文字 Char"/>
    <w:link w:val="85"/>
    <w:qFormat/>
    <w:uiPriority w:val="0"/>
    <w:rPr>
      <w:kern w:val="2"/>
      <w:sz w:val="24"/>
      <w:szCs w:val="24"/>
      <w:lang w:val="zh-CN" w:eastAsia="zh-CN"/>
    </w:rPr>
  </w:style>
  <w:style w:type="paragraph" w:customStyle="1" w:styleId="87">
    <w:name w:val="标题2、3级"/>
    <w:basedOn w:val="1"/>
    <w:next w:val="1"/>
    <w:qFormat/>
    <w:uiPriority w:val="5"/>
    <w:pPr>
      <w:tabs>
        <w:tab w:val="left" w:pos="2595"/>
      </w:tabs>
      <w:spacing w:line="480" w:lineRule="exact"/>
    </w:pPr>
    <w:rPr>
      <w:b/>
      <w:bCs/>
      <w:sz w:val="24"/>
    </w:rPr>
  </w:style>
  <w:style w:type="character" w:customStyle="1" w:styleId="88">
    <w:name w:val="正文首行缩进 2 Char"/>
    <w:basedOn w:val="64"/>
    <w:link w:val="36"/>
    <w:qFormat/>
    <w:uiPriority w:val="0"/>
    <w:rPr>
      <w:rFonts w:ascii="宋体" w:hAnsi="宋体"/>
      <w:kern w:val="2"/>
      <w:sz w:val="21"/>
      <w:szCs w:val="24"/>
    </w:rPr>
  </w:style>
  <w:style w:type="character" w:customStyle="1" w:styleId="89">
    <w:name w:val="副标题 Char"/>
    <w:basedOn w:val="42"/>
    <w:link w:val="28"/>
    <w:qFormat/>
    <w:uiPriority w:val="99"/>
    <w:rPr>
      <w:rFonts w:asciiTheme="majorHAnsi" w:hAnsiTheme="majorHAnsi" w:cstheme="majorBidi"/>
      <w:b/>
      <w:bCs/>
      <w:kern w:val="28"/>
      <w:sz w:val="32"/>
      <w:szCs w:val="32"/>
    </w:rPr>
  </w:style>
  <w:style w:type="character" w:customStyle="1" w:styleId="90">
    <w:name w:val="表格文字2 Char Char"/>
    <w:qFormat/>
    <w:uiPriority w:val="0"/>
    <w:rPr>
      <w:rFonts w:eastAsia="宋体" w:cs="宋体"/>
      <w:spacing w:val="5"/>
      <w:sz w:val="21"/>
      <w:szCs w:val="21"/>
      <w:lang w:val="en-US" w:eastAsia="zh-CN" w:bidi="ar-SA"/>
    </w:rPr>
  </w:style>
  <w:style w:type="character" w:customStyle="1" w:styleId="91">
    <w:name w:val="表格 Char"/>
    <w:link w:val="65"/>
    <w:qFormat/>
    <w:uiPriority w:val="0"/>
    <w:rPr>
      <w:rFonts w:ascii="Calibri" w:hAnsi="Calibri"/>
      <w:kern w:val="2"/>
      <w:sz w:val="21"/>
      <w:szCs w:val="21"/>
    </w:rPr>
  </w:style>
  <w:style w:type="paragraph" w:customStyle="1" w:styleId="92">
    <w:name w:val="正文C1"/>
    <w:basedOn w:val="36"/>
    <w:qFormat/>
    <w:uiPriority w:val="99"/>
    <w:pPr>
      <w:tabs>
        <w:tab w:val="left" w:pos="420"/>
        <w:tab w:val="left" w:pos="870"/>
        <w:tab w:val="left" w:pos="3150"/>
      </w:tabs>
      <w:autoSpaceDE w:val="0"/>
      <w:autoSpaceDN w:val="0"/>
      <w:adjustRightInd w:val="0"/>
      <w:snapToGrid w:val="0"/>
      <w:spacing w:after="0" w:line="336" w:lineRule="auto"/>
      <w:ind w:left="0" w:leftChars="0" w:firstLine="397" w:firstLineChars="0"/>
      <w:textAlignment w:val="baseline"/>
    </w:pPr>
    <w:rPr>
      <w:rFonts w:ascii="宋体"/>
      <w:sz w:val="24"/>
      <w:szCs w:val="28"/>
    </w:rPr>
  </w:style>
  <w:style w:type="character" w:customStyle="1" w:styleId="93">
    <w:name w:val="正文缩进 Char1"/>
    <w:link w:val="14"/>
    <w:qFormat/>
    <w:uiPriority w:val="0"/>
    <w:rPr>
      <w:kern w:val="2"/>
      <w:sz w:val="21"/>
    </w:rPr>
  </w:style>
  <w:style w:type="character" w:styleId="94">
    <w:name w:val="Placeholder Text"/>
    <w:basedOn w:val="42"/>
    <w:semiHidden/>
    <w:qFormat/>
    <w:uiPriority w:val="99"/>
    <w:rPr>
      <w:color w:val="808080"/>
    </w:rPr>
  </w:style>
  <w:style w:type="paragraph" w:customStyle="1" w:styleId="95">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21"/>
    </w:rPr>
  </w:style>
  <w:style w:type="character" w:customStyle="1" w:styleId="96">
    <w:name w:val="正文首行缩进 2 + Times New Roman Char Char"/>
    <w:qFormat/>
    <w:uiPriority w:val="0"/>
    <w:rPr>
      <w:kern w:val="2"/>
      <w:sz w:val="24"/>
      <w:szCs w:val="24"/>
    </w:rPr>
  </w:style>
  <w:style w:type="character" w:customStyle="1" w:styleId="97">
    <w:name w:val="纯文本 Char3"/>
    <w:basedOn w:val="42"/>
    <w:qFormat/>
    <w:uiPriority w:val="0"/>
    <w:rPr>
      <w:rFonts w:ascii="宋体" w:hAnsi="Courier New" w:eastAsia="宋体"/>
      <w:kern w:val="2"/>
      <w:lang w:val="en-US" w:eastAsia="zh-CN" w:bidi="ar-SA"/>
    </w:rPr>
  </w:style>
  <w:style w:type="character" w:customStyle="1" w:styleId="98">
    <w:name w:val="正文文本缩进 2 Char"/>
    <w:basedOn w:val="42"/>
    <w:link w:val="22"/>
    <w:qFormat/>
    <w:uiPriority w:val="0"/>
    <w:rPr>
      <w:kern w:val="2"/>
      <w:sz w:val="21"/>
      <w:szCs w:val="24"/>
    </w:rPr>
  </w:style>
  <w:style w:type="character" w:customStyle="1" w:styleId="99">
    <w:name w:val="标题 3 Char1"/>
    <w:basedOn w:val="42"/>
    <w:qFormat/>
    <w:uiPriority w:val="0"/>
    <w:rPr>
      <w:rFonts w:ascii="黑体" w:hAnsi="宋体" w:eastAsia="黑体"/>
      <w:b/>
      <w:kern w:val="2"/>
      <w:sz w:val="24"/>
      <w:szCs w:val="24"/>
      <w:lang w:val="en-US" w:eastAsia="zh-CN" w:bidi="ar-SA"/>
    </w:rPr>
  </w:style>
  <w:style w:type="character" w:customStyle="1" w:styleId="100">
    <w:name w:val="批注文字 Char"/>
    <w:qFormat/>
    <w:uiPriority w:val="0"/>
    <w:rPr>
      <w:kern w:val="2"/>
      <w:sz w:val="21"/>
      <w:szCs w:val="24"/>
    </w:rPr>
  </w:style>
  <w:style w:type="character" w:customStyle="1" w:styleId="101">
    <w:name w:val="正文缩进 Char"/>
    <w:qFormat/>
    <w:uiPriority w:val="0"/>
    <w:rPr>
      <w:kern w:val="2"/>
      <w:sz w:val="28"/>
      <w:szCs w:val="28"/>
    </w:rPr>
  </w:style>
  <w:style w:type="paragraph" w:customStyle="1" w:styleId="102">
    <w:name w:val="正文2"/>
    <w:basedOn w:val="1"/>
    <w:qFormat/>
    <w:uiPriority w:val="0"/>
    <w:pPr>
      <w:snapToGrid w:val="0"/>
      <w:spacing w:line="500" w:lineRule="atLeast"/>
      <w:ind w:firstLine="567"/>
    </w:pPr>
    <w:rPr>
      <w:sz w:val="24"/>
      <w:szCs w:val="20"/>
    </w:rPr>
  </w:style>
  <w:style w:type="paragraph" w:styleId="103">
    <w:name w:val="No Spacing"/>
    <w:qFormat/>
    <w:uiPriority w:val="1"/>
    <w:pPr>
      <w:adjustRightInd w:val="0"/>
      <w:snapToGrid w:val="0"/>
    </w:pPr>
    <w:rPr>
      <w:rFonts w:ascii="Tahoma" w:hAnsi="Tahoma" w:eastAsia="宋体" w:cs="Times New Roman"/>
      <w:sz w:val="22"/>
      <w:szCs w:val="22"/>
      <w:lang w:val="en-US" w:eastAsia="zh-CN" w:bidi="ar-SA"/>
    </w:rPr>
  </w:style>
  <w:style w:type="paragraph" w:customStyle="1" w:styleId="104">
    <w:name w:val="表格字体"/>
    <w:basedOn w:val="1"/>
    <w:next w:val="1"/>
    <w:qFormat/>
    <w:uiPriority w:val="0"/>
    <w:pPr>
      <w:spacing w:line="360" w:lineRule="exact"/>
    </w:pPr>
    <w:rPr>
      <w:rFonts w:ascii="宋体" w:hAnsi="宋体" w:cs="宋体"/>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emf"/><Relationship Id="rId17" Type="http://schemas.openxmlformats.org/officeDocument/2006/relationships/oleObject" Target="embeddings/oleObject3.bin"/><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74482F-FCC3-4E5F-B9E8-A743CF4B3490}">
  <ds:schemaRefs/>
</ds:datastoreItem>
</file>

<file path=docProps/app.xml><?xml version="1.0" encoding="utf-8"?>
<Properties xmlns="http://schemas.openxmlformats.org/officeDocument/2006/extended-properties" xmlns:vt="http://schemas.openxmlformats.org/officeDocument/2006/docPropsVTypes">
  <Template>Normal.dotm</Template>
  <Company>nbhky</Company>
  <Pages>36</Pages>
  <Words>2266</Words>
  <Characters>12917</Characters>
  <Lines>107</Lines>
  <Paragraphs>30</Paragraphs>
  <TotalTime>7</TotalTime>
  <ScaleCrop>false</ScaleCrop>
  <LinksUpToDate>false</LinksUpToDate>
  <CharactersWithSpaces>15153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2019-01-16T03:13:00Z</dcterms:created>
  <dc:creator>wang</dc:creator>
  <cp:lastModifiedBy>光</cp:lastModifiedBy>
  <cp:lastPrinted>2021-01-22T06:21:00Z</cp:lastPrinted>
  <dcterms:modified xsi:type="dcterms:W3CDTF">2022-03-09T10:06:21Z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0F9FCF200EC442BFBB5FD722E74F4F3F</vt:lpwstr>
  </property>
</Properties>
</file>