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b/>
          <w:sz w:val="28"/>
          <w:lang w:eastAsia="zh-CN"/>
        </w:rPr>
      </w:pPr>
      <w:r>
        <w:rPr>
          <w:rFonts w:hint="eastAsia"/>
          <w:b/>
          <w:sz w:val="28"/>
          <w:lang w:eastAsia="zh-CN"/>
        </w:rPr>
        <w:t>宁波皓鑫机械制造有限公司年产1000万套汽车配件生产线建设项目</w:t>
      </w:r>
    </w:p>
    <w:p>
      <w:pPr>
        <w:snapToGrid w:val="0"/>
        <w:spacing w:line="360" w:lineRule="auto"/>
        <w:jc w:val="center"/>
        <w:rPr>
          <w:b/>
          <w:sz w:val="28"/>
        </w:rPr>
      </w:pPr>
      <w:r>
        <w:rPr>
          <w:b/>
          <w:sz w:val="28"/>
        </w:rPr>
        <w:t>竣工环境保护验收意见</w:t>
      </w:r>
    </w:p>
    <w:p>
      <w:pPr>
        <w:spacing w:line="360" w:lineRule="auto"/>
        <w:ind w:firstLine="480" w:firstLineChars="200"/>
        <w:rPr>
          <w:sz w:val="24"/>
        </w:rPr>
      </w:pPr>
      <w:r>
        <w:rPr>
          <w:sz w:val="24"/>
        </w:rPr>
        <w:t>202</w:t>
      </w:r>
      <w:r>
        <w:rPr>
          <w:rFonts w:hint="eastAsia"/>
          <w:sz w:val="24"/>
          <w:highlight w:val="none"/>
          <w:lang w:val="en-US" w:eastAsia="zh-CN"/>
        </w:rPr>
        <w:t>2</w:t>
      </w:r>
      <w:r>
        <w:rPr>
          <w:sz w:val="24"/>
          <w:highlight w:val="none"/>
        </w:rPr>
        <w:t>年</w:t>
      </w:r>
      <w:r>
        <w:rPr>
          <w:rFonts w:hint="eastAsia"/>
          <w:sz w:val="24"/>
          <w:highlight w:val="none"/>
          <w:lang w:val="en-US" w:eastAsia="zh-CN"/>
        </w:rPr>
        <w:t>5</w:t>
      </w:r>
      <w:r>
        <w:rPr>
          <w:sz w:val="24"/>
          <w:highlight w:val="none"/>
        </w:rPr>
        <w:t>月</w:t>
      </w:r>
      <w:r>
        <w:rPr>
          <w:rFonts w:hint="eastAsia"/>
          <w:sz w:val="24"/>
          <w:highlight w:val="none"/>
          <w:lang w:val="en-US" w:eastAsia="zh-CN"/>
        </w:rPr>
        <w:t>26</w:t>
      </w:r>
      <w:r>
        <w:rPr>
          <w:rFonts w:hint="eastAsia"/>
          <w:sz w:val="24"/>
          <w:highlight w:val="none"/>
        </w:rPr>
        <w:t>日</w:t>
      </w:r>
      <w:r>
        <w:rPr>
          <w:sz w:val="24"/>
          <w:highlight w:val="none"/>
        </w:rPr>
        <w:t>，</w:t>
      </w:r>
      <w:r>
        <w:rPr>
          <w:rFonts w:hint="eastAsia"/>
          <w:sz w:val="24"/>
          <w:highlight w:val="none"/>
          <w:lang w:eastAsia="zh-CN"/>
        </w:rPr>
        <w:t>宁波皓鑫机械制造有限公司</w:t>
      </w:r>
      <w:r>
        <w:rPr>
          <w:sz w:val="24"/>
          <w:highlight w:val="none"/>
        </w:rPr>
        <w:t>根据《</w:t>
      </w:r>
      <w:r>
        <w:rPr>
          <w:rFonts w:hint="eastAsia"/>
          <w:sz w:val="24"/>
          <w:highlight w:val="none"/>
          <w:lang w:eastAsia="zh-CN"/>
        </w:rPr>
        <w:t>宁波皓鑫机械制造有限公司</w:t>
      </w:r>
      <w:r>
        <w:rPr>
          <w:sz w:val="24"/>
          <w:highlight w:val="none"/>
        </w:rPr>
        <w:t>验收监测报告》并对照《建设项目竣</w:t>
      </w:r>
      <w:r>
        <w:rPr>
          <w:sz w:val="24"/>
        </w:rPr>
        <w:t>工环境保护验收暂行办法》、《建设项目竣工环境保护验收技术指南污染影响类》，严格依照国家有关法律法规、本项目环境影响评价报告表和审批部门审批决定等要求对本项目进行验收，提出意见如下：</w:t>
      </w:r>
    </w:p>
    <w:p>
      <w:pPr>
        <w:spacing w:line="360" w:lineRule="auto"/>
        <w:ind w:firstLine="482" w:firstLineChars="200"/>
        <w:rPr>
          <w:b/>
          <w:sz w:val="24"/>
        </w:rPr>
      </w:pPr>
      <w:r>
        <w:rPr>
          <w:rFonts w:hint="eastAsia"/>
          <w:b/>
          <w:sz w:val="24"/>
          <w:lang w:eastAsia="zh-CN"/>
        </w:rPr>
        <w:t>一</w:t>
      </w:r>
      <w:r>
        <w:rPr>
          <w:rFonts w:hint="eastAsia"/>
          <w:b/>
          <w:sz w:val="24"/>
        </w:rPr>
        <w:t>、工程建设基本情况</w:t>
      </w:r>
    </w:p>
    <w:p>
      <w:pPr>
        <w:spacing w:line="360" w:lineRule="auto"/>
        <w:ind w:firstLine="482" w:firstLineChars="200"/>
        <w:rPr>
          <w:b/>
          <w:sz w:val="24"/>
        </w:rPr>
      </w:pPr>
      <w:r>
        <w:rPr>
          <w:b/>
          <w:sz w:val="24"/>
        </w:rPr>
        <w:t>1、建设地点、规模、主要建设内容</w:t>
      </w:r>
    </w:p>
    <w:p>
      <w:pPr>
        <w:pStyle w:val="4"/>
        <w:ind w:left="0" w:leftChars="0"/>
        <w:rPr>
          <w:rFonts w:hint="eastAsia" w:ascii="Times New Roman" w:hAnsi="Times New Roman" w:eastAsia="宋体" w:cs="Times New Roman"/>
          <w:kern w:val="2"/>
          <w:sz w:val="24"/>
          <w:szCs w:val="24"/>
          <w:highlight w:val="none"/>
          <w:lang w:val="en-US" w:eastAsia="zh-CN" w:bidi="ar-SA"/>
        </w:rPr>
      </w:pPr>
      <w:r>
        <w:rPr>
          <w:rFonts w:hint="eastAsia"/>
          <w:lang w:eastAsia="zh-CN"/>
        </w:rPr>
        <w:t>宁波皓鑫机械制造有限公司成立于2017年8月，位于宁波市大榭开发区兴港</w:t>
      </w:r>
      <w:r>
        <w:rPr>
          <w:rFonts w:hint="eastAsia" w:ascii="Times New Roman" w:hAnsi="Times New Roman" w:eastAsia="宋体" w:cs="Times New Roman"/>
          <w:kern w:val="2"/>
          <w:sz w:val="24"/>
          <w:szCs w:val="24"/>
          <w:highlight w:val="none"/>
          <w:lang w:val="en-US" w:eastAsia="zh-CN" w:bidi="ar-SA"/>
        </w:rPr>
        <w:t>路48号-004幢，经营范围包括普通机械设备及配件、五金制品的制造、加工；金属喷塑，金属表面处理。（依法须经批准的项目，经相关部门批准后方可开展经营活动）。</w:t>
      </w:r>
    </w:p>
    <w:p>
      <w:pPr>
        <w:spacing w:line="360" w:lineRule="auto"/>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随着企业不断发展，现需全厂搬迁。2017年8月企业拟投资500万元，租用宁波大榭开发区金巢科技发展有限公司位于宁大榭开发区兴港路48号-004幢的已建厂房（租用建筑面积1000m2），实施“年产1000万套汽车配件生产线建设项目”，项目建成后预计年产汽车配件1000万套。本项目于2017年12月取得宁波大榭开发区环境保护局的批复（榭环表2017008号）。</w:t>
      </w:r>
    </w:p>
    <w:p>
      <w:pPr>
        <w:spacing w:line="360" w:lineRule="auto"/>
        <w:ind w:firstLine="482" w:firstLineChars="200"/>
        <w:rPr>
          <w:rFonts w:hint="eastAsia"/>
          <w:sz w:val="24"/>
        </w:rPr>
      </w:pPr>
      <w:r>
        <w:rPr>
          <w:b/>
          <w:sz w:val="24"/>
        </w:rPr>
        <w:t>2、建设过程及环保审批情况</w:t>
      </w:r>
    </w:p>
    <w:p>
      <w:pPr>
        <w:spacing w:line="360" w:lineRule="auto"/>
        <w:ind w:firstLine="480" w:firstLineChars="200"/>
        <w:rPr>
          <w:sz w:val="24"/>
        </w:rPr>
      </w:pPr>
      <w:r>
        <w:rPr>
          <w:rFonts w:hint="eastAsia"/>
          <w:sz w:val="24"/>
        </w:rPr>
        <w:t>企业于201</w:t>
      </w:r>
      <w:r>
        <w:rPr>
          <w:rFonts w:hint="eastAsia"/>
          <w:sz w:val="24"/>
          <w:lang w:val="en-US" w:eastAsia="zh-CN"/>
        </w:rPr>
        <w:t>7</w:t>
      </w:r>
      <w:r>
        <w:rPr>
          <w:rFonts w:hint="eastAsia"/>
          <w:sz w:val="24"/>
        </w:rPr>
        <w:t>年</w:t>
      </w:r>
      <w:r>
        <w:rPr>
          <w:rFonts w:hint="eastAsia"/>
          <w:sz w:val="24"/>
          <w:lang w:val="en-US" w:eastAsia="zh-CN"/>
        </w:rPr>
        <w:t>10</w:t>
      </w:r>
      <w:r>
        <w:rPr>
          <w:rFonts w:hint="eastAsia"/>
          <w:sz w:val="24"/>
        </w:rPr>
        <w:t>月</w:t>
      </w:r>
      <w:r>
        <w:rPr>
          <w:rFonts w:hint="eastAsia"/>
          <w:sz w:val="24"/>
          <w:lang w:val="en-US" w:eastAsia="zh-CN"/>
        </w:rPr>
        <w:t>向</w:t>
      </w:r>
      <w:r>
        <w:rPr>
          <w:rFonts w:hint="eastAsia"/>
          <w:sz w:val="24"/>
          <w:highlight w:val="none"/>
          <w:lang w:eastAsia="zh-CN"/>
        </w:rPr>
        <w:t>宁波大榭开发区环境保护局</w:t>
      </w:r>
      <w:r>
        <w:rPr>
          <w:rFonts w:hint="eastAsia"/>
          <w:sz w:val="24"/>
          <w:highlight w:val="none"/>
          <w:lang w:val="en-US" w:eastAsia="zh-CN"/>
        </w:rPr>
        <w:t>递交</w:t>
      </w:r>
      <w:r>
        <w:rPr>
          <w:rFonts w:hint="eastAsia"/>
          <w:sz w:val="24"/>
        </w:rPr>
        <w:t>《</w:t>
      </w:r>
      <w:r>
        <w:rPr>
          <w:rFonts w:hint="eastAsia"/>
          <w:sz w:val="24"/>
          <w:lang w:eastAsia="zh-CN"/>
        </w:rPr>
        <w:t>宁波皓鑫机械制造有限公司年产1000万套汽车配件生产线建设项目</w:t>
      </w:r>
      <w:r>
        <w:rPr>
          <w:sz w:val="24"/>
        </w:rPr>
        <w:t>环境影响报告表》</w:t>
      </w:r>
      <w:r>
        <w:rPr>
          <w:rFonts w:hint="eastAsia"/>
          <w:sz w:val="24"/>
          <w:highlight w:val="none"/>
        </w:rPr>
        <w:t>，</w:t>
      </w:r>
      <w:r>
        <w:rPr>
          <w:rFonts w:hint="eastAsia"/>
          <w:sz w:val="24"/>
          <w:highlight w:val="none"/>
          <w:lang w:val="en-US" w:eastAsia="zh-CN"/>
        </w:rPr>
        <w:t>并于</w:t>
      </w:r>
      <w:r>
        <w:rPr>
          <w:rFonts w:hint="eastAsia"/>
          <w:sz w:val="24"/>
          <w:highlight w:val="none"/>
        </w:rPr>
        <w:t>于20</w:t>
      </w:r>
      <w:r>
        <w:rPr>
          <w:rFonts w:hint="eastAsia"/>
          <w:sz w:val="24"/>
          <w:highlight w:val="none"/>
          <w:lang w:val="en-US" w:eastAsia="zh-CN"/>
        </w:rPr>
        <w:t>17</w:t>
      </w:r>
      <w:r>
        <w:rPr>
          <w:rFonts w:hint="eastAsia"/>
          <w:sz w:val="24"/>
          <w:highlight w:val="none"/>
        </w:rPr>
        <w:t>年1</w:t>
      </w:r>
      <w:r>
        <w:rPr>
          <w:rFonts w:hint="eastAsia"/>
          <w:sz w:val="24"/>
          <w:highlight w:val="none"/>
          <w:lang w:val="en-US" w:eastAsia="zh-CN"/>
        </w:rPr>
        <w:t>2</w:t>
      </w:r>
      <w:r>
        <w:rPr>
          <w:rFonts w:hint="eastAsia"/>
          <w:sz w:val="24"/>
          <w:highlight w:val="none"/>
        </w:rPr>
        <w:t>月取得</w:t>
      </w:r>
      <w:r>
        <w:rPr>
          <w:rFonts w:hint="eastAsia"/>
          <w:sz w:val="24"/>
          <w:highlight w:val="none"/>
          <w:lang w:eastAsia="zh-CN"/>
        </w:rPr>
        <w:t>宁波大榭开发区环境保护局</w:t>
      </w:r>
      <w:r>
        <w:rPr>
          <w:rFonts w:hint="eastAsia"/>
          <w:sz w:val="24"/>
          <w:highlight w:val="none"/>
        </w:rPr>
        <w:t>的批复（</w:t>
      </w:r>
      <w:r>
        <w:rPr>
          <w:rFonts w:hint="eastAsia"/>
          <w:sz w:val="24"/>
          <w:highlight w:val="none"/>
          <w:lang w:eastAsia="zh-CN"/>
        </w:rPr>
        <w:t>榭环表2017008号</w:t>
      </w:r>
      <w:r>
        <w:rPr>
          <w:rFonts w:hint="eastAsia"/>
          <w:sz w:val="24"/>
          <w:highlight w:val="none"/>
        </w:rPr>
        <w:t>）</w:t>
      </w:r>
      <w:r>
        <w:rPr>
          <w:rFonts w:hint="eastAsia"/>
          <w:sz w:val="24"/>
          <w:highlight w:val="none"/>
          <w:lang w:eastAsia="zh-CN"/>
        </w:rPr>
        <w:t>。</w:t>
      </w:r>
      <w:r>
        <w:rPr>
          <w:rFonts w:hint="eastAsia"/>
          <w:sz w:val="24"/>
          <w:highlight w:val="none"/>
        </w:rPr>
        <w:t>20</w:t>
      </w:r>
      <w:r>
        <w:rPr>
          <w:rFonts w:hint="eastAsia"/>
          <w:sz w:val="24"/>
          <w:highlight w:val="none"/>
          <w:lang w:val="en-US" w:eastAsia="zh-CN"/>
        </w:rPr>
        <w:t>21</w:t>
      </w:r>
      <w:r>
        <w:rPr>
          <w:rFonts w:hint="eastAsia"/>
          <w:sz w:val="24"/>
          <w:highlight w:val="none"/>
        </w:rPr>
        <w:t>年</w:t>
      </w:r>
      <w:r>
        <w:rPr>
          <w:rFonts w:hint="eastAsia"/>
          <w:sz w:val="24"/>
          <w:lang w:val="en-US" w:eastAsia="zh-CN"/>
        </w:rPr>
        <w:t>11</w:t>
      </w:r>
      <w:r>
        <w:rPr>
          <w:rFonts w:hint="eastAsia"/>
          <w:sz w:val="24"/>
        </w:rPr>
        <w:t>月</w:t>
      </w:r>
      <w:r>
        <w:rPr>
          <w:sz w:val="24"/>
        </w:rPr>
        <w:t>开工建设，</w:t>
      </w:r>
      <w:r>
        <w:rPr>
          <w:rFonts w:hint="eastAsia"/>
          <w:sz w:val="24"/>
        </w:rPr>
        <w:t>于202</w:t>
      </w:r>
      <w:r>
        <w:rPr>
          <w:rFonts w:hint="eastAsia"/>
          <w:sz w:val="24"/>
          <w:lang w:val="en-US" w:eastAsia="zh-CN"/>
        </w:rPr>
        <w:t>2</w:t>
      </w:r>
      <w:r>
        <w:rPr>
          <w:rFonts w:hint="eastAsia"/>
          <w:sz w:val="24"/>
        </w:rPr>
        <w:t>年</w:t>
      </w:r>
      <w:r>
        <w:rPr>
          <w:rFonts w:hint="eastAsia"/>
          <w:sz w:val="24"/>
          <w:lang w:val="en-US" w:eastAsia="zh-CN"/>
        </w:rPr>
        <w:t>1</w:t>
      </w:r>
      <w:r>
        <w:rPr>
          <w:rFonts w:hint="eastAsia"/>
          <w:sz w:val="24"/>
        </w:rPr>
        <w:t>月建设完成、开始调试</w:t>
      </w:r>
      <w:r>
        <w:rPr>
          <w:sz w:val="24"/>
        </w:rPr>
        <w:t>，</w:t>
      </w:r>
      <w:r>
        <w:rPr>
          <w:rFonts w:hint="eastAsia"/>
          <w:sz w:val="24"/>
        </w:rPr>
        <w:t>至202</w:t>
      </w:r>
      <w:r>
        <w:rPr>
          <w:rFonts w:hint="eastAsia"/>
          <w:sz w:val="24"/>
          <w:lang w:val="en-US" w:eastAsia="zh-CN"/>
        </w:rPr>
        <w:t>2</w:t>
      </w:r>
      <w:r>
        <w:rPr>
          <w:rFonts w:hint="eastAsia"/>
          <w:sz w:val="24"/>
        </w:rPr>
        <w:t>年</w:t>
      </w:r>
      <w:r>
        <w:rPr>
          <w:rFonts w:hint="eastAsia"/>
          <w:sz w:val="24"/>
          <w:lang w:val="en-US" w:eastAsia="zh-CN"/>
        </w:rPr>
        <w:t>4</w:t>
      </w:r>
      <w:r>
        <w:rPr>
          <w:rFonts w:hint="eastAsia"/>
          <w:sz w:val="24"/>
        </w:rPr>
        <w:t>月项目生产情况基本稳定</w:t>
      </w:r>
      <w:r>
        <w:rPr>
          <w:rFonts w:hint="eastAsia"/>
          <w:sz w:val="24"/>
          <w:lang w:eastAsia="zh-CN"/>
        </w:rPr>
        <w:t>。</w:t>
      </w:r>
      <w:r>
        <w:rPr>
          <w:rFonts w:hint="eastAsia"/>
          <w:sz w:val="24"/>
        </w:rPr>
        <w:t>目前该项目主要生产设施和环保设施运行正常，具备了</w:t>
      </w:r>
      <w:r>
        <w:rPr>
          <w:sz w:val="24"/>
        </w:rPr>
        <w:t>竣工环境保护验收</w:t>
      </w:r>
      <w:r>
        <w:rPr>
          <w:rFonts w:hint="eastAsia"/>
          <w:sz w:val="24"/>
        </w:rPr>
        <w:t>条件。</w:t>
      </w:r>
    </w:p>
    <w:p>
      <w:pPr>
        <w:spacing w:line="360" w:lineRule="auto"/>
        <w:ind w:firstLine="480" w:firstLineChars="200"/>
        <w:rPr>
          <w:sz w:val="24"/>
        </w:rPr>
      </w:pPr>
      <w:r>
        <w:rPr>
          <w:rFonts w:hint="eastAsia"/>
          <w:sz w:val="24"/>
        </w:rPr>
        <w:t>项目从立项至调试过程中无环境投诉、违法或处罚记录等。</w:t>
      </w:r>
    </w:p>
    <w:p>
      <w:pPr>
        <w:spacing w:line="360" w:lineRule="auto"/>
        <w:ind w:firstLine="482" w:firstLineChars="200"/>
        <w:rPr>
          <w:b/>
          <w:sz w:val="24"/>
        </w:rPr>
      </w:pPr>
      <w:r>
        <w:rPr>
          <w:b/>
          <w:sz w:val="24"/>
        </w:rPr>
        <w:t>3、投资情况</w:t>
      </w:r>
    </w:p>
    <w:p>
      <w:pPr>
        <w:spacing w:line="360" w:lineRule="auto"/>
        <w:ind w:firstLine="480" w:firstLineChars="200"/>
        <w:rPr>
          <w:sz w:val="24"/>
        </w:rPr>
      </w:pPr>
      <w:r>
        <w:rPr>
          <w:rFonts w:hint="eastAsia"/>
          <w:sz w:val="24"/>
        </w:rPr>
        <w:t>本次验收的为“</w:t>
      </w:r>
      <w:r>
        <w:rPr>
          <w:rFonts w:hint="eastAsia"/>
          <w:sz w:val="24"/>
          <w:lang w:eastAsia="zh-CN"/>
        </w:rPr>
        <w:t>宁波皓鑫机械制造有限公司年产1000万套汽车配件生产线建设项目</w:t>
      </w:r>
      <w:r>
        <w:rPr>
          <w:rFonts w:hint="eastAsia"/>
          <w:sz w:val="24"/>
        </w:rPr>
        <w:t>”</w:t>
      </w:r>
      <w:r>
        <w:rPr>
          <w:rFonts w:hint="eastAsia"/>
          <w:sz w:val="24"/>
          <w:lang w:eastAsia="zh-CN"/>
        </w:rPr>
        <w:t>，</w:t>
      </w:r>
      <w:r>
        <w:rPr>
          <w:rFonts w:hint="eastAsia"/>
          <w:sz w:val="24"/>
          <w:highlight w:val="none"/>
        </w:rPr>
        <w:t>实际总投资约为</w:t>
      </w:r>
      <w:r>
        <w:rPr>
          <w:rFonts w:hint="eastAsia"/>
          <w:sz w:val="24"/>
          <w:highlight w:val="none"/>
          <w:lang w:val="en-US" w:eastAsia="zh-CN"/>
        </w:rPr>
        <w:t>500</w:t>
      </w:r>
      <w:r>
        <w:rPr>
          <w:rFonts w:hint="eastAsia"/>
          <w:sz w:val="24"/>
          <w:highlight w:val="none"/>
        </w:rPr>
        <w:t>万元，环保实际投资约为</w:t>
      </w:r>
      <w:r>
        <w:rPr>
          <w:rFonts w:hint="eastAsia"/>
          <w:sz w:val="24"/>
          <w:highlight w:val="none"/>
          <w:lang w:val="en-US" w:eastAsia="zh-CN"/>
        </w:rPr>
        <w:t>45</w:t>
      </w:r>
      <w:r>
        <w:rPr>
          <w:rFonts w:hint="eastAsia"/>
          <w:sz w:val="24"/>
          <w:highlight w:val="none"/>
        </w:rPr>
        <w:t>万元，占实际总投资的</w:t>
      </w:r>
      <w:r>
        <w:rPr>
          <w:rFonts w:hint="eastAsia"/>
          <w:sz w:val="24"/>
          <w:highlight w:val="none"/>
          <w:lang w:val="en-US" w:eastAsia="zh-CN"/>
        </w:rPr>
        <w:t>9</w:t>
      </w:r>
      <w:r>
        <w:rPr>
          <w:rFonts w:hint="eastAsia"/>
          <w:sz w:val="24"/>
          <w:highlight w:val="none"/>
        </w:rPr>
        <w:t>%。</w:t>
      </w:r>
    </w:p>
    <w:p>
      <w:pPr>
        <w:spacing w:line="360" w:lineRule="auto"/>
        <w:ind w:firstLine="482" w:firstLineChars="200"/>
        <w:rPr>
          <w:b/>
          <w:sz w:val="24"/>
        </w:rPr>
      </w:pPr>
      <w:r>
        <w:rPr>
          <w:b/>
          <w:sz w:val="24"/>
        </w:rPr>
        <w:t>4、验收范围</w:t>
      </w:r>
    </w:p>
    <w:p>
      <w:pPr>
        <w:spacing w:line="360" w:lineRule="auto"/>
        <w:ind w:firstLine="480" w:firstLineChars="200"/>
        <w:rPr>
          <w:sz w:val="24"/>
        </w:rPr>
      </w:pPr>
      <w:r>
        <w:rPr>
          <w:rFonts w:hint="eastAsia"/>
          <w:sz w:val="24"/>
        </w:rPr>
        <w:t>本次验收范围为</w:t>
      </w:r>
      <w:r>
        <w:rPr>
          <w:rFonts w:hint="eastAsia"/>
          <w:sz w:val="24"/>
          <w:lang w:eastAsia="zh-CN"/>
        </w:rPr>
        <w:t>宁波皓鑫机械制造有限公司年产1000万套汽车配件生产线建设项目</w:t>
      </w:r>
      <w:r>
        <w:rPr>
          <w:rFonts w:hint="eastAsia"/>
          <w:sz w:val="24"/>
          <w:lang w:val="en-US" w:eastAsia="zh-CN"/>
        </w:rPr>
        <w:t>整体工程</w:t>
      </w:r>
      <w:r>
        <w:rPr>
          <w:rFonts w:hint="eastAsia"/>
          <w:sz w:val="24"/>
        </w:rPr>
        <w:t>。</w:t>
      </w:r>
    </w:p>
    <w:p>
      <w:pPr>
        <w:spacing w:line="360" w:lineRule="auto"/>
        <w:ind w:firstLine="482" w:firstLineChars="200"/>
        <w:rPr>
          <w:b/>
          <w:sz w:val="24"/>
        </w:rPr>
      </w:pPr>
      <w:r>
        <w:rPr>
          <w:rFonts w:hint="eastAsia"/>
          <w:b/>
          <w:sz w:val="24"/>
        </w:rPr>
        <w:t>二、工程变动情况</w:t>
      </w:r>
    </w:p>
    <w:p>
      <w:pPr>
        <w:pStyle w:val="16"/>
        <w:spacing w:line="360" w:lineRule="auto"/>
        <w:ind w:firstLine="424" w:firstLineChars="177"/>
        <w:rPr>
          <w:rFonts w:ascii="Times New Roman" w:hAnsi="Times New Roman"/>
          <w:sz w:val="24"/>
        </w:rPr>
      </w:pPr>
      <w:r>
        <w:rPr>
          <w:rFonts w:hint="eastAsia"/>
          <w:sz w:val="24"/>
        </w:rPr>
        <w:t>经现场核查，本项目</w:t>
      </w:r>
      <w:r>
        <w:rPr>
          <w:rFonts w:hint="eastAsia"/>
          <w:sz w:val="24"/>
          <w:lang w:val="en-US" w:eastAsia="zh-CN"/>
        </w:rPr>
        <w:t>未实施建设喷塑线和机加工，仅新增一条全自动发黑线，其相关的</w:t>
      </w:r>
      <w:r>
        <w:rPr>
          <w:rFonts w:hint="eastAsia"/>
          <w:sz w:val="24"/>
        </w:rPr>
        <w:t>主体工程、环保措施、生产工艺、原辅材料与《</w:t>
      </w:r>
      <w:r>
        <w:rPr>
          <w:rFonts w:hint="eastAsia"/>
          <w:sz w:val="24"/>
          <w:lang w:eastAsia="zh-CN"/>
        </w:rPr>
        <w:t>宁波皓鑫机械制造有限公司年产1000万套汽车配件生产线建设项目</w:t>
      </w:r>
      <w:r>
        <w:rPr>
          <w:sz w:val="24"/>
        </w:rPr>
        <w:t>环境影响报告表》环评批复内容基本</w:t>
      </w:r>
      <w:r>
        <w:rPr>
          <w:rFonts w:hint="eastAsia"/>
          <w:sz w:val="24"/>
          <w:lang w:eastAsia="zh-CN"/>
        </w:rPr>
        <w:t>一</w:t>
      </w:r>
      <w:r>
        <w:rPr>
          <w:sz w:val="24"/>
        </w:rPr>
        <w:t>致</w:t>
      </w:r>
      <w:r>
        <w:rPr>
          <w:rFonts w:hint="eastAsia"/>
          <w:sz w:val="24"/>
        </w:rPr>
        <w:t>，</w:t>
      </w:r>
      <w:r>
        <w:rPr>
          <w:rFonts w:hint="eastAsia"/>
          <w:sz w:val="24"/>
          <w:lang w:val="en-US" w:eastAsia="zh-CN"/>
        </w:rPr>
        <w:t>设施和设备均依照原环评和批复处理。</w:t>
      </w:r>
    </w:p>
    <w:p>
      <w:pPr>
        <w:spacing w:line="360" w:lineRule="auto"/>
        <w:ind w:firstLine="482" w:firstLineChars="200"/>
        <w:rPr>
          <w:b/>
          <w:sz w:val="24"/>
        </w:rPr>
      </w:pPr>
      <w:r>
        <w:rPr>
          <w:rFonts w:hint="eastAsia"/>
          <w:b/>
          <w:sz w:val="24"/>
        </w:rPr>
        <w:t>三、环境保护措施落实情况</w:t>
      </w:r>
    </w:p>
    <w:p>
      <w:pPr>
        <w:spacing w:line="360" w:lineRule="auto"/>
        <w:ind w:firstLine="482" w:firstLineChars="200"/>
        <w:rPr>
          <w:b/>
          <w:sz w:val="24"/>
        </w:rPr>
      </w:pPr>
      <w:r>
        <w:rPr>
          <w:b/>
          <w:sz w:val="24"/>
        </w:rPr>
        <w:t>1、废气</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本项目酸洗废气和发黑废气集气罩收集后经过先碱后酸二级喷淋处理，油雾挥发废气经集气罩收集后油烟净化器处理，废气治理后汇入同一根15m高的排气筒排放。</w:t>
      </w:r>
    </w:p>
    <w:p>
      <w:pPr>
        <w:spacing w:line="360" w:lineRule="auto"/>
        <w:ind w:firstLine="482" w:firstLineChars="200"/>
        <w:rPr>
          <w:b/>
          <w:sz w:val="24"/>
        </w:rPr>
      </w:pPr>
      <w:r>
        <w:rPr>
          <w:b/>
          <w:sz w:val="24"/>
        </w:rPr>
        <w:t>2、废水</w:t>
      </w:r>
    </w:p>
    <w:p>
      <w:pPr>
        <w:pStyle w:val="31"/>
        <w:keepNext w:val="0"/>
        <w:keepLines w:val="0"/>
        <w:pageBreakBefore w:val="0"/>
        <w:widowControl w:val="0"/>
        <w:kinsoku/>
        <w:wordWrap/>
        <w:overflowPunct/>
        <w:topLinePunct w:val="0"/>
        <w:autoSpaceDE w:val="0"/>
        <w:autoSpaceDN w:val="0"/>
        <w:bidi w:val="0"/>
        <w:adjustRightInd/>
        <w:snapToGrid/>
        <w:ind w:firstLine="482"/>
        <w:textAlignment w:val="auto"/>
        <w:rPr>
          <w:sz w:val="24"/>
        </w:rPr>
      </w:pPr>
      <w:r>
        <w:rPr>
          <w:rFonts w:hint="eastAsia"/>
          <w:sz w:val="24"/>
        </w:rPr>
        <w:t>本项目发黑线废水和水喷淋塔更换废水经厂区污水处理站处理达标后排入市政污水管道；生活污水经化粪池预处理达到《污水综合排放标准》（GB8978-1996）中三级标准（氨氮、总磷执行浙江省地方标准《工业企业废水氮、磷污染物间接排放限值》（DB33/887-2013）后排入市政污水管道。</w:t>
      </w:r>
    </w:p>
    <w:p>
      <w:pPr>
        <w:spacing w:line="360" w:lineRule="auto"/>
        <w:ind w:firstLine="482" w:firstLineChars="200"/>
        <w:rPr>
          <w:b/>
          <w:sz w:val="24"/>
        </w:rPr>
      </w:pPr>
      <w:r>
        <w:rPr>
          <w:b/>
          <w:sz w:val="24"/>
        </w:rPr>
        <w:t>3、噪声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本项目主要噪声源为机械设备运行及加工过程产生的噪声，以及风机等辅助设备噪声，源强在</w:t>
      </w:r>
      <w:r>
        <w:rPr>
          <w:rFonts w:hint="eastAsia"/>
          <w:sz w:val="24"/>
          <w:lang w:eastAsia="zh-CN"/>
        </w:rPr>
        <w:t>65~75</w:t>
      </w:r>
      <w:r>
        <w:rPr>
          <w:rFonts w:hint="eastAsia"/>
          <w:sz w:val="24"/>
        </w:rPr>
        <w:t>dB（A）。厂界噪声经采取措施后能达到《工业企业厂界环境噪声排放标准》（GB12348-2008）3类标准要求，项目噪声排放对周边环境及环境敏感点影响较小。</w:t>
      </w:r>
    </w:p>
    <w:p>
      <w:pPr>
        <w:spacing w:line="360" w:lineRule="auto"/>
        <w:ind w:firstLine="482" w:firstLineChars="200"/>
        <w:rPr>
          <w:b/>
          <w:sz w:val="24"/>
        </w:rPr>
      </w:pPr>
      <w:r>
        <w:rPr>
          <w:b/>
          <w:sz w:val="24"/>
        </w:rPr>
        <w:t>4、</w:t>
      </w:r>
      <w:r>
        <w:rPr>
          <w:rFonts w:hint="eastAsia"/>
          <w:b/>
          <w:sz w:val="24"/>
        </w:rPr>
        <w:t>固</w:t>
      </w:r>
      <w:r>
        <w:rPr>
          <w:b/>
          <w:sz w:val="24"/>
        </w:rPr>
        <w:t>废</w:t>
      </w:r>
    </w:p>
    <w:p>
      <w:pPr>
        <w:pStyle w:val="31"/>
      </w:pPr>
      <w:r>
        <w:rPr>
          <w:rFonts w:hint="eastAsia"/>
        </w:rPr>
        <w:t>本项目废原料桶、槽渣、废油和废水处理站污泥委托宁波北仑沃隆环境科技有限公司安全处置；生活垃圾和含油废布分类收集暂存后，委托环卫部门及时清运、处置，则本项目产生的固体废物均可以得到妥善处理，对周边环境影响较小。</w:t>
      </w:r>
    </w:p>
    <w:p>
      <w:pPr>
        <w:spacing w:line="360" w:lineRule="auto"/>
        <w:ind w:firstLine="482" w:firstLineChars="200"/>
        <w:rPr>
          <w:b/>
          <w:sz w:val="24"/>
        </w:rPr>
      </w:pPr>
      <w:r>
        <w:rPr>
          <w:rFonts w:hint="eastAsia"/>
          <w:b/>
          <w:sz w:val="24"/>
        </w:rPr>
        <w:t>5、其他</w:t>
      </w:r>
    </w:p>
    <w:p>
      <w:pPr>
        <w:pStyle w:val="31"/>
      </w:pPr>
      <w:r>
        <w:rPr>
          <w:rFonts w:hint="eastAsia"/>
        </w:rPr>
        <w:t>企业已取得排污许可证，许可证编号：</w:t>
      </w:r>
      <w:r>
        <w:rPr>
          <w:rFonts w:hint="eastAsia"/>
          <w:lang w:eastAsia="zh-CN"/>
        </w:rPr>
        <w:t>91330201MA2932CFXN001X</w:t>
      </w:r>
      <w:r>
        <w:rPr>
          <w:rFonts w:hint="eastAsia"/>
        </w:rPr>
        <w:t>。</w:t>
      </w:r>
    </w:p>
    <w:p>
      <w:pPr>
        <w:spacing w:line="360" w:lineRule="auto"/>
        <w:ind w:firstLine="482" w:firstLineChars="200"/>
        <w:rPr>
          <w:b/>
          <w:sz w:val="24"/>
        </w:rPr>
      </w:pPr>
      <w:r>
        <w:rPr>
          <w:rFonts w:hint="eastAsia"/>
          <w:b/>
          <w:sz w:val="24"/>
        </w:rPr>
        <w:t>四、环境保护设施运行效果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根据</w:t>
      </w:r>
      <w:r>
        <w:rPr>
          <w:rFonts w:hint="eastAsia"/>
          <w:sz w:val="24"/>
          <w:lang w:eastAsia="zh-CN"/>
        </w:rPr>
        <w:t>浙江中一检测研究院股份有限公司</w:t>
      </w:r>
      <w:r>
        <w:rPr>
          <w:rFonts w:hint="eastAsia"/>
          <w:sz w:val="24"/>
        </w:rPr>
        <w:t>出具的验收检测报告（报告编号：</w:t>
      </w:r>
      <w:r>
        <w:rPr>
          <w:rFonts w:hint="default"/>
          <w:sz w:val="24"/>
        </w:rPr>
        <w:t>HJ221231</w:t>
      </w:r>
      <w:r>
        <w:rPr>
          <w:rFonts w:hint="eastAsia"/>
          <w:sz w:val="24"/>
        </w:rPr>
        <w:t>）：</w:t>
      </w:r>
    </w:p>
    <w:p>
      <w:pPr>
        <w:spacing w:line="360" w:lineRule="auto"/>
        <w:ind w:firstLine="482" w:firstLineChars="200"/>
        <w:rPr>
          <w:b/>
          <w:sz w:val="24"/>
        </w:rPr>
      </w:pPr>
      <w:r>
        <w:rPr>
          <w:b/>
          <w:sz w:val="24"/>
        </w:rPr>
        <w:t>1、废气</w:t>
      </w:r>
    </w:p>
    <w:p>
      <w:pPr>
        <w:pStyle w:val="4"/>
        <w:ind w:left="0" w:leftChars="0"/>
        <w:rPr>
          <w:rFonts w:hint="eastAsia"/>
          <w:sz w:val="24"/>
          <w:lang w:eastAsia="zh-CN"/>
        </w:rPr>
      </w:pPr>
      <w:bookmarkStart w:id="0" w:name="_Hlk532929343"/>
      <w:r>
        <w:rPr>
          <w:rFonts w:hint="eastAsia"/>
          <w:sz w:val="24"/>
          <w:lang w:val="en-US" w:eastAsia="zh-CN"/>
        </w:rPr>
        <w:t>在验收监测期间（2022年4月28日~4月29日）该项目厂区有组织废气中的本项目氯化氢、非甲烷总烃的排放浓度符合《大气污染物综合排放标准》（GB16297-1996）表2新污染源大气污染物排放限值中的二级标准，NH3和臭气浓度排放符合《恶臭污染物排放标准》（GB14554-93）表2恶臭污染物排放标准值。厂区内无组织废气非甲烷总烃的浓度符合《挥发性有机物无组织排放控制标准》 DB 37822-2019 附录A表A.1厂区内VOCs无组织排放限值。</w:t>
      </w:r>
      <w:r>
        <w:rPr>
          <w:rFonts w:hint="eastAsia"/>
        </w:rPr>
        <w:t>厂界四周无组织废气中的氯化氢、非甲烷总烃的排放浓度符合《大气污染物综合排放标准》（GB16297-1996）中表2新污染源大气污染物排放限值中的无组织排放监控浓度限值</w:t>
      </w:r>
      <w:r>
        <w:rPr>
          <w:rFonts w:hint="eastAsia"/>
          <w:lang w:eastAsia="zh-CN"/>
        </w:rPr>
        <w:t>，</w:t>
      </w:r>
      <w:r>
        <w:rPr>
          <w:rFonts w:hint="eastAsia"/>
        </w:rPr>
        <w:t>NH</w:t>
      </w:r>
      <w:r>
        <w:rPr>
          <w:rFonts w:hint="eastAsia"/>
          <w:vertAlign w:val="subscript"/>
        </w:rPr>
        <w:t>3</w:t>
      </w:r>
      <w:r>
        <w:rPr>
          <w:rFonts w:hint="eastAsia"/>
          <w:vertAlign w:val="baseline"/>
          <w:lang w:val="en-US" w:eastAsia="zh-CN"/>
        </w:rPr>
        <w:t>和臭气浓度</w:t>
      </w:r>
      <w:r>
        <w:rPr>
          <w:rFonts w:hint="eastAsia"/>
        </w:rPr>
        <w:t>排放</w:t>
      </w:r>
      <w:r>
        <w:rPr>
          <w:rFonts w:hint="eastAsia"/>
          <w:lang w:val="en-US" w:eastAsia="zh-CN"/>
        </w:rPr>
        <w:t>符合《恶臭污染物排放标准》</w:t>
      </w:r>
      <w:r>
        <w:rPr>
          <w:rFonts w:hint="eastAsia"/>
        </w:rPr>
        <w:t>（GB14554-93）表1恶臭污染物厂界标准值二级新扩改建标准</w:t>
      </w:r>
      <w:r>
        <w:rPr>
          <w:rFonts w:hint="eastAsia"/>
          <w:lang w:eastAsia="zh-CN"/>
        </w:rPr>
        <w:t>。</w:t>
      </w:r>
    </w:p>
    <w:bookmarkEnd w:id="0"/>
    <w:p>
      <w:pPr>
        <w:spacing w:line="360" w:lineRule="auto"/>
        <w:ind w:firstLine="482" w:firstLineChars="200"/>
        <w:rPr>
          <w:b/>
          <w:sz w:val="24"/>
        </w:rPr>
      </w:pPr>
      <w:r>
        <w:rPr>
          <w:b/>
          <w:sz w:val="24"/>
        </w:rPr>
        <w:t>2、</w:t>
      </w:r>
      <w:r>
        <w:rPr>
          <w:rFonts w:hint="eastAsia"/>
          <w:b/>
          <w:sz w:val="24"/>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bookmarkStart w:id="1" w:name="_Hlk532929398"/>
      <w:bookmarkStart w:id="2" w:name="_Hlk42783658"/>
      <w:r>
        <w:rPr>
          <w:rFonts w:hint="eastAsia"/>
          <w:sz w:val="24"/>
          <w:lang w:val="en-US" w:eastAsia="zh-CN"/>
        </w:rPr>
        <w:t>在验收监测期间（2022年4月28日~4月29日），该项目生活污水和生产废水排放口废水中pH值、悬浮物、化学需氧量、五日生化需氧量、石油类排放均符合《污水综合排放标准》（GB8978-1996）中的三级标准（其中氨氮和总磷达到浙江省地方标准《工业企业废水氮、磷污染物间接排放限值》（DB33/887-2013）间接排放浓度限值）。</w:t>
      </w:r>
    </w:p>
    <w:bookmarkEnd w:id="1"/>
    <w:bookmarkEnd w:id="2"/>
    <w:p>
      <w:pPr>
        <w:spacing w:line="360" w:lineRule="auto"/>
        <w:ind w:firstLine="482" w:firstLineChars="200"/>
        <w:rPr>
          <w:b/>
          <w:sz w:val="24"/>
        </w:rPr>
      </w:pPr>
      <w:r>
        <w:rPr>
          <w:b/>
          <w:sz w:val="24"/>
        </w:rPr>
        <w:t>3、噪声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bookmarkStart w:id="3" w:name="_Hlk42783681"/>
      <w:r>
        <w:rPr>
          <w:rFonts w:hint="eastAsia"/>
          <w:sz w:val="24"/>
          <w:lang w:val="en-US" w:eastAsia="zh-CN"/>
        </w:rPr>
        <w:t>在验收监测期间（2022年4月28日~4月29日），四周厂界昼夜噪声均满足《工业企业厂界环境噪声排放标准》（GB12348-2008）3类标准。</w:t>
      </w:r>
    </w:p>
    <w:p>
      <w:pPr>
        <w:pStyle w:val="62"/>
        <w:numPr>
          <w:ilvl w:val="0"/>
          <w:numId w:val="2"/>
        </w:numPr>
        <w:ind w:firstLine="482"/>
        <w:rPr>
          <w:rFonts w:ascii="Times New Roman" w:hAnsi="Times New Roman"/>
          <w:b/>
          <w:bCs/>
        </w:rPr>
      </w:pPr>
      <w:r>
        <w:rPr>
          <w:rFonts w:hint="eastAsia" w:ascii="Times New Roman" w:hAnsi="Times New Roman"/>
          <w:b/>
          <w:bCs/>
        </w:rPr>
        <w:t>固废</w:t>
      </w:r>
    </w:p>
    <w:bookmarkEnd w:id="3"/>
    <w:p>
      <w:pPr>
        <w:pStyle w:val="31"/>
        <w:rPr>
          <w:kern w:val="0"/>
          <w:sz w:val="24"/>
        </w:rPr>
      </w:pPr>
      <w:r>
        <w:rPr>
          <w:rFonts w:hint="eastAsia"/>
        </w:rPr>
        <w:t>本项目废原料桶、槽渣、废油和废水处理站污泥委托宁波北仑沃隆环境科技有限公司安全处置；生活垃圾和含油废布分类收集暂存后，委托环卫部门及时清运、处置，则本项目产生的固体废物均可以得到妥善处理，对周边环境影响较小</w:t>
      </w:r>
      <w:r>
        <w:rPr>
          <w:rFonts w:hint="eastAsia"/>
          <w:kern w:val="0"/>
          <w:sz w:val="24"/>
        </w:rPr>
        <w:t>。</w:t>
      </w:r>
    </w:p>
    <w:p>
      <w:pPr>
        <w:spacing w:line="360" w:lineRule="auto"/>
        <w:ind w:firstLine="482" w:firstLineChars="200"/>
        <w:rPr>
          <w:b/>
          <w:sz w:val="24"/>
        </w:rPr>
      </w:pPr>
      <w:r>
        <w:rPr>
          <w:rFonts w:hint="eastAsia"/>
          <w:b/>
          <w:sz w:val="24"/>
        </w:rPr>
        <w:t>5、总量控制</w:t>
      </w:r>
    </w:p>
    <w:p>
      <w:pPr>
        <w:spacing w:line="360" w:lineRule="auto"/>
        <w:ind w:firstLine="420" w:firstLineChars="200"/>
        <w:rPr>
          <w:rFonts w:hint="eastAsia"/>
          <w:kern w:val="0"/>
          <w:sz w:val="24"/>
          <w:lang w:val="en-US" w:eastAsia="zh-CN"/>
        </w:rPr>
      </w:pPr>
      <w:bookmarkStart w:id="5" w:name="_GoBack"/>
      <w:bookmarkStart w:id="4" w:name="_Hlk43318054"/>
      <w:r>
        <w:drawing>
          <wp:anchor distT="0" distB="0" distL="114300" distR="114300" simplePos="0" relativeHeight="251659264" behindDoc="0" locked="0" layoutInCell="1" allowOverlap="1">
            <wp:simplePos x="0" y="0"/>
            <wp:positionH relativeFrom="column">
              <wp:posOffset>-405765</wp:posOffset>
            </wp:positionH>
            <wp:positionV relativeFrom="paragraph">
              <wp:posOffset>46990</wp:posOffset>
            </wp:positionV>
            <wp:extent cx="5969635" cy="8599170"/>
            <wp:effectExtent l="0" t="0" r="12065"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969635" cy="8599170"/>
                    </a:xfrm>
                    <a:prstGeom prst="rect">
                      <a:avLst/>
                    </a:prstGeom>
                    <a:noFill/>
                    <a:ln>
                      <a:noFill/>
                    </a:ln>
                  </pic:spPr>
                </pic:pic>
              </a:graphicData>
            </a:graphic>
          </wp:anchor>
        </w:drawing>
      </w:r>
      <w:bookmarkEnd w:id="5"/>
      <w:r>
        <w:rPr>
          <w:rFonts w:hint="eastAsia"/>
          <w:kern w:val="0"/>
          <w:sz w:val="24"/>
          <w:lang w:val="en-US" w:eastAsia="zh-CN"/>
        </w:rPr>
        <w:t>根据监测结果和实际生产工况核算，本项目总量指标未超过原环评文件中的核算总量，符合环评总量控制要求。</w:t>
      </w:r>
    </w:p>
    <w:bookmarkEnd w:id="4"/>
    <w:p>
      <w:pPr>
        <w:spacing w:line="360" w:lineRule="auto"/>
        <w:ind w:firstLine="482" w:firstLineChars="200"/>
        <w:rPr>
          <w:b/>
          <w:sz w:val="24"/>
        </w:rPr>
      </w:pPr>
      <w:r>
        <w:rPr>
          <w:rFonts w:hint="eastAsia"/>
          <w:b/>
          <w:sz w:val="24"/>
        </w:rPr>
        <w:t>五、验收结论</w:t>
      </w:r>
    </w:p>
    <w:p>
      <w:pPr>
        <w:spacing w:line="360" w:lineRule="auto"/>
        <w:ind w:firstLine="480" w:firstLineChars="200"/>
        <w:rPr>
          <w:sz w:val="24"/>
        </w:rPr>
      </w:pPr>
      <w:r>
        <w:rPr>
          <w:rFonts w:hint="eastAsia"/>
          <w:sz w:val="24"/>
        </w:rPr>
        <w:t>经现场查验，《</w:t>
      </w:r>
      <w:r>
        <w:rPr>
          <w:rFonts w:hint="eastAsia"/>
          <w:sz w:val="24"/>
          <w:lang w:eastAsia="zh-CN"/>
        </w:rPr>
        <w:t>宁波皓鑫机械制造有限公司年产1000万套汽车配件生产线建设项目</w:t>
      </w:r>
      <w:r>
        <w:rPr>
          <w:sz w:val="24"/>
        </w:rPr>
        <w:t>》环评手续齐备，主体工程和配套环保工程建设基本完备，项目建设内容与环境影响报告表内容</w:t>
      </w:r>
      <w:r>
        <w:rPr>
          <w:rFonts w:hint="eastAsia"/>
          <w:sz w:val="24"/>
        </w:rPr>
        <w:t>基本</w:t>
      </w:r>
      <w:r>
        <w:rPr>
          <w:rFonts w:hint="eastAsia"/>
          <w:sz w:val="24"/>
          <w:lang w:eastAsia="zh-CN"/>
        </w:rPr>
        <w:t>一</w:t>
      </w:r>
      <w:r>
        <w:rPr>
          <w:sz w:val="24"/>
        </w:rPr>
        <w:t>致，已基本落实了环保“三同时”和环评报告</w:t>
      </w:r>
      <w:r>
        <w:rPr>
          <w:rFonts w:hint="eastAsia"/>
          <w:sz w:val="24"/>
        </w:rPr>
        <w:t>、</w:t>
      </w:r>
      <w:r>
        <w:rPr>
          <w:sz w:val="24"/>
        </w:rPr>
        <w:t>环评批复中各项环保要求，根据竣工验收监测报告，项目废气</w:t>
      </w:r>
      <w:r>
        <w:rPr>
          <w:rFonts w:hint="eastAsia"/>
          <w:sz w:val="24"/>
        </w:rPr>
        <w:t>、</w:t>
      </w:r>
      <w:r>
        <w:rPr>
          <w:sz w:val="24"/>
        </w:rPr>
        <w:t>废水等主要污染物均能达到排放标准。项目具备了竣工环保验收条件，同意通过该项目竣工环境保护验收。</w:t>
      </w:r>
    </w:p>
    <w:p>
      <w:pPr>
        <w:spacing w:line="360" w:lineRule="auto"/>
        <w:ind w:firstLine="482" w:firstLineChars="200"/>
        <w:rPr>
          <w:b/>
          <w:sz w:val="24"/>
        </w:rPr>
      </w:pPr>
      <w:r>
        <w:rPr>
          <w:rFonts w:hint="eastAsia"/>
          <w:b/>
          <w:sz w:val="24"/>
        </w:rPr>
        <w:t>六</w:t>
      </w:r>
      <w:r>
        <w:rPr>
          <w:b/>
          <w:sz w:val="24"/>
        </w:rPr>
        <w:t>、</w:t>
      </w:r>
      <w:r>
        <w:rPr>
          <w:rFonts w:hint="eastAsia"/>
          <w:b/>
          <w:sz w:val="24"/>
        </w:rPr>
        <w:t>后续要求</w:t>
      </w:r>
    </w:p>
    <w:p>
      <w:pPr>
        <w:spacing w:line="360" w:lineRule="auto"/>
        <w:ind w:firstLine="480" w:firstLineChars="200"/>
        <w:rPr>
          <w:sz w:val="24"/>
        </w:rPr>
      </w:pPr>
      <w:r>
        <w:rPr>
          <w:sz w:val="24"/>
        </w:rPr>
        <w:t>1、严格遵守环保法律法规，完善各项环境保护管理和监测制度，强化从事环保工作人员业务培训，重点加强对</w:t>
      </w:r>
      <w:r>
        <w:rPr>
          <w:rFonts w:hint="eastAsia"/>
          <w:sz w:val="24"/>
        </w:rPr>
        <w:t>废气</w:t>
      </w:r>
      <w:r>
        <w:rPr>
          <w:sz w:val="24"/>
        </w:rPr>
        <w:t>处理设施的维护、管理及正常运行，定期更新活性炭</w:t>
      </w:r>
      <w:r>
        <w:rPr>
          <w:rFonts w:hint="eastAsia"/>
          <w:sz w:val="24"/>
        </w:rPr>
        <w:t>，</w:t>
      </w:r>
      <w:r>
        <w:rPr>
          <w:sz w:val="24"/>
        </w:rPr>
        <w:t>并做好台账记录</w:t>
      </w:r>
      <w:r>
        <w:rPr>
          <w:rFonts w:hint="eastAsia"/>
          <w:sz w:val="24"/>
        </w:rPr>
        <w:t>，做好环境风险应急和管控，</w:t>
      </w:r>
      <w:r>
        <w:rPr>
          <w:sz w:val="24"/>
        </w:rPr>
        <w:t>确保各项污染物长期稳定达标排放。</w:t>
      </w:r>
    </w:p>
    <w:p>
      <w:pPr>
        <w:spacing w:line="360" w:lineRule="auto"/>
        <w:ind w:firstLine="480" w:firstLineChars="200"/>
        <w:rPr>
          <w:sz w:val="24"/>
        </w:rPr>
      </w:pPr>
      <w:r>
        <w:rPr>
          <w:rFonts w:hint="eastAsia"/>
          <w:sz w:val="24"/>
        </w:rPr>
        <w:t>2、按《建设项目竣工环境保护验收技术指南</w:t>
      </w:r>
      <w:r>
        <w:rPr>
          <w:sz w:val="24"/>
        </w:rPr>
        <w:t>污染影响类》相关要求完善验收报告，完善竣工环保验收的相关手续，按规范将竣工验收的相关内容和结论进行公示、公开。</w:t>
      </w:r>
    </w:p>
    <w:p>
      <w:pPr>
        <w:spacing w:line="360" w:lineRule="auto"/>
        <w:ind w:firstLine="482" w:firstLineChars="200"/>
        <w:rPr>
          <w:b/>
          <w:sz w:val="24"/>
        </w:rPr>
      </w:pPr>
      <w:r>
        <w:rPr>
          <w:rFonts w:hint="eastAsia"/>
          <w:b/>
          <w:sz w:val="24"/>
        </w:rPr>
        <w:t>七、验收人员信息</w:t>
      </w:r>
    </w:p>
    <w:p>
      <w:pPr>
        <w:spacing w:line="360" w:lineRule="auto"/>
        <w:ind w:firstLine="480" w:firstLineChars="200"/>
        <w:rPr>
          <w:rFonts w:hint="eastAsia"/>
          <w:sz w:val="24"/>
        </w:rPr>
      </w:pPr>
      <w:r>
        <w:rPr>
          <w:rFonts w:hint="eastAsia"/>
          <w:sz w:val="24"/>
        </w:rPr>
        <w:t>参加验收的单位及人员名单、验收负责人（建设单位）具体信息见会议签到表。</w:t>
      </w:r>
    </w:p>
    <w:p>
      <w:pPr>
        <w:pStyle w:val="16"/>
        <w:rPr>
          <w:rFonts w:hint="eastAsia"/>
          <w:sz w:val="24"/>
        </w:rPr>
      </w:pPr>
    </w:p>
    <w:p>
      <w:pPr>
        <w:pStyle w:val="16"/>
        <w:rPr>
          <w:rFonts w:hint="eastAsia"/>
          <w:sz w:val="24"/>
        </w:rPr>
      </w:pPr>
    </w:p>
    <w:p>
      <w:pPr>
        <w:pStyle w:val="16"/>
        <w:rPr>
          <w:rFonts w:hint="eastAsia"/>
          <w:sz w:val="24"/>
        </w:rPr>
      </w:pPr>
    </w:p>
    <w:p>
      <w:pPr>
        <w:pStyle w:val="16"/>
        <w:rPr>
          <w:rFonts w:hint="eastAsia"/>
          <w:sz w:val="24"/>
        </w:rPr>
      </w:pPr>
    </w:p>
    <w:p>
      <w:pPr>
        <w:pStyle w:val="16"/>
        <w:rPr>
          <w:rFonts w:hint="eastAsia"/>
          <w:sz w:val="24"/>
        </w:rPr>
      </w:pPr>
    </w:p>
    <w:p>
      <w:pPr>
        <w:pStyle w:val="16"/>
        <w:rPr>
          <w:rFonts w:hint="eastAsia"/>
          <w:sz w:val="24"/>
        </w:rPr>
      </w:pPr>
    </w:p>
    <w:p>
      <w:pPr>
        <w:pStyle w:val="16"/>
        <w:rPr>
          <w:rFonts w:hint="eastAsia"/>
          <w:sz w:val="24"/>
        </w:rPr>
      </w:pPr>
    </w:p>
    <w:p>
      <w:pPr>
        <w:spacing w:line="360" w:lineRule="auto"/>
        <w:ind w:firstLine="480" w:firstLineChars="200"/>
        <w:jc w:val="right"/>
        <w:rPr>
          <w:sz w:val="24"/>
        </w:rPr>
      </w:pPr>
      <w:r>
        <w:rPr>
          <w:rFonts w:hint="eastAsia"/>
          <w:sz w:val="24"/>
          <w:lang w:eastAsia="zh-CN"/>
        </w:rPr>
        <w:t>宁波皓鑫机械制造有限公司</w:t>
      </w:r>
      <w:r>
        <w:rPr>
          <w:sz w:val="24"/>
        </w:rPr>
        <w:t xml:space="preserve">   </w:t>
      </w:r>
    </w:p>
    <w:p>
      <w:pPr>
        <w:pStyle w:val="16"/>
        <w:jc w:val="right"/>
        <w:rPr>
          <w:rFonts w:hint="eastAsia"/>
          <w:sz w:val="24"/>
          <w:lang w:val="en-US" w:eastAsia="zh-CN"/>
        </w:rPr>
      </w:pPr>
      <w:r>
        <w:rPr>
          <w:sz w:val="24"/>
        </w:rPr>
        <w:t xml:space="preserve">   2</w:t>
      </w:r>
      <w:r>
        <w:rPr>
          <w:rFonts w:hint="eastAsia"/>
          <w:sz w:val="24"/>
          <w:lang w:val="en-US" w:eastAsia="zh-CN"/>
        </w:rPr>
        <w:t>022</w:t>
      </w:r>
      <w:r>
        <w:rPr>
          <w:sz w:val="24"/>
        </w:rPr>
        <w:t>年</w:t>
      </w:r>
      <w:r>
        <w:rPr>
          <w:rFonts w:hint="eastAsia"/>
          <w:sz w:val="24"/>
        </w:rPr>
        <w:t>0</w:t>
      </w:r>
      <w:r>
        <w:rPr>
          <w:rFonts w:hint="eastAsia"/>
          <w:sz w:val="24"/>
          <w:lang w:val="en-US" w:eastAsia="zh-CN"/>
        </w:rPr>
        <w:t>5月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334076"/>
    </w:sdtPr>
    <w:sdtEndPr>
      <w:rPr>
        <w:sz w:val="21"/>
      </w:rPr>
    </w:sdtEndPr>
    <w:sdtContent>
      <w:p>
        <w:pPr>
          <w:pStyle w:val="18"/>
          <w:jc w:val="center"/>
          <w:rPr>
            <w:sz w:val="21"/>
          </w:rPr>
        </w:pPr>
        <w:r>
          <w:rPr>
            <w:sz w:val="21"/>
          </w:rPr>
          <w:fldChar w:fldCharType="begin"/>
        </w:r>
        <w:r>
          <w:rPr>
            <w:sz w:val="21"/>
          </w:rPr>
          <w:instrText xml:space="preserve">PAGE   \* MERGEFORMAT</w:instrText>
        </w:r>
        <w:r>
          <w:rPr>
            <w:sz w:val="21"/>
          </w:rPr>
          <w:fldChar w:fldCharType="separate"/>
        </w:r>
        <w:r>
          <w:rPr>
            <w:sz w:val="21"/>
            <w:lang w:val="zh-CN"/>
          </w:rPr>
          <w:t>4</w:t>
        </w:r>
        <w:r>
          <w:rPr>
            <w:sz w:val="21"/>
          </w:rP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16291"/>
    <w:multiLevelType w:val="singleLevel"/>
    <w:tmpl w:val="C4E16291"/>
    <w:lvl w:ilvl="0" w:tentative="0">
      <w:start w:val="4"/>
      <w:numFmt w:val="decimal"/>
      <w:suff w:val="nothing"/>
      <w:lvlText w:val="%1、"/>
      <w:lvlJc w:val="left"/>
    </w:lvl>
  </w:abstractNum>
  <w:abstractNum w:abstractNumId="1">
    <w:nsid w:val="4CEC45CD"/>
    <w:multiLevelType w:val="multilevel"/>
    <w:tmpl w:val="4CEC45CD"/>
    <w:lvl w:ilvl="0" w:tentative="0">
      <w:start w:val="1"/>
      <w:numFmt w:val="decimal"/>
      <w:lvlText w:val="%1"/>
      <w:lvlJc w:val="left"/>
      <w:pPr>
        <w:tabs>
          <w:tab w:val="left" w:pos="0"/>
        </w:tabs>
        <w:ind w:left="0" w:firstLine="0"/>
      </w:pPr>
      <w:rPr>
        <w:rFonts w:hint="eastAsia"/>
      </w:rPr>
    </w:lvl>
    <w:lvl w:ilvl="1" w:tentative="0">
      <w:start w:val="1"/>
      <w:numFmt w:val="decimal"/>
      <w:pStyle w:val="3"/>
      <w:lvlText w:val="%1.%2"/>
      <w:lvlJc w:val="left"/>
      <w:pPr>
        <w:tabs>
          <w:tab w:val="left" w:pos="0"/>
        </w:tabs>
        <w:ind w:left="0" w:firstLine="0"/>
      </w:pPr>
      <w:rPr>
        <w:rFonts w:hint="default" w:ascii="Times New Roman" w:hAnsi="Times New Roman" w:cs="Times New Roman"/>
      </w:rPr>
    </w:lvl>
    <w:lvl w:ilvl="2" w:tentative="0">
      <w:start w:val="1"/>
      <w:numFmt w:val="decimal"/>
      <w:pStyle w:val="7"/>
      <w:lvlText w:val="%1.%2.%3"/>
      <w:lvlJc w:val="left"/>
      <w:pPr>
        <w:tabs>
          <w:tab w:val="left" w:pos="2127"/>
        </w:tabs>
        <w:ind w:left="1560" w:firstLine="0"/>
      </w:pPr>
      <w:rPr>
        <w:rFonts w:hint="default" w:ascii="Times New Roman" w:hAnsi="Times New Roman" w:cs="Times New Roman"/>
        <w:sz w:val="28"/>
        <w:szCs w:val="28"/>
      </w:rPr>
    </w:lvl>
    <w:lvl w:ilvl="3" w:tentative="0">
      <w:start w:val="1"/>
      <w:numFmt w:val="decimal"/>
      <w:pStyle w:val="8"/>
      <w:lvlText w:val="%1.%2.%3.%4"/>
      <w:lvlJc w:val="left"/>
      <w:pPr>
        <w:tabs>
          <w:tab w:val="left" w:pos="1006"/>
        </w:tabs>
        <w:ind w:left="1006"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WYzNjBjZDIwOGU2MjQyMmRkNDk2MzIwZjMwMDkifQ=="/>
  </w:docVars>
  <w:rsids>
    <w:rsidRoot w:val="0006785C"/>
    <w:rsid w:val="00023158"/>
    <w:rsid w:val="0006785C"/>
    <w:rsid w:val="000877F7"/>
    <w:rsid w:val="00094986"/>
    <w:rsid w:val="000C09A9"/>
    <w:rsid w:val="000C46E5"/>
    <w:rsid w:val="000F4121"/>
    <w:rsid w:val="00137AF7"/>
    <w:rsid w:val="0017262F"/>
    <w:rsid w:val="00175725"/>
    <w:rsid w:val="0017759B"/>
    <w:rsid w:val="0018562D"/>
    <w:rsid w:val="001E4885"/>
    <w:rsid w:val="0020742D"/>
    <w:rsid w:val="002534C5"/>
    <w:rsid w:val="0026763C"/>
    <w:rsid w:val="002C24A0"/>
    <w:rsid w:val="002C72B1"/>
    <w:rsid w:val="002E304B"/>
    <w:rsid w:val="00326085"/>
    <w:rsid w:val="003472A3"/>
    <w:rsid w:val="003636AD"/>
    <w:rsid w:val="00382D99"/>
    <w:rsid w:val="00391424"/>
    <w:rsid w:val="003B215F"/>
    <w:rsid w:val="003C7D59"/>
    <w:rsid w:val="00422AA6"/>
    <w:rsid w:val="00444BA4"/>
    <w:rsid w:val="004A0F96"/>
    <w:rsid w:val="004E381E"/>
    <w:rsid w:val="005B44B2"/>
    <w:rsid w:val="005C7C71"/>
    <w:rsid w:val="005D1ECB"/>
    <w:rsid w:val="005E0045"/>
    <w:rsid w:val="0061579C"/>
    <w:rsid w:val="00646072"/>
    <w:rsid w:val="00653FA6"/>
    <w:rsid w:val="00674D32"/>
    <w:rsid w:val="006E23EF"/>
    <w:rsid w:val="0073372D"/>
    <w:rsid w:val="007541C9"/>
    <w:rsid w:val="00792331"/>
    <w:rsid w:val="007B1996"/>
    <w:rsid w:val="007C4130"/>
    <w:rsid w:val="007C44E8"/>
    <w:rsid w:val="007F0FAA"/>
    <w:rsid w:val="00843E52"/>
    <w:rsid w:val="00851A02"/>
    <w:rsid w:val="008773C5"/>
    <w:rsid w:val="00881599"/>
    <w:rsid w:val="00884A0E"/>
    <w:rsid w:val="00897718"/>
    <w:rsid w:val="008F7402"/>
    <w:rsid w:val="00931B91"/>
    <w:rsid w:val="00935FB1"/>
    <w:rsid w:val="00937126"/>
    <w:rsid w:val="00996C17"/>
    <w:rsid w:val="009A46CD"/>
    <w:rsid w:val="009A6207"/>
    <w:rsid w:val="009C11A3"/>
    <w:rsid w:val="00A14C3C"/>
    <w:rsid w:val="00A54DE6"/>
    <w:rsid w:val="00A7355C"/>
    <w:rsid w:val="00A814B3"/>
    <w:rsid w:val="00AA3398"/>
    <w:rsid w:val="00AA4650"/>
    <w:rsid w:val="00B25E93"/>
    <w:rsid w:val="00B41F2E"/>
    <w:rsid w:val="00B453F9"/>
    <w:rsid w:val="00BB7B15"/>
    <w:rsid w:val="00BC714F"/>
    <w:rsid w:val="00BD0968"/>
    <w:rsid w:val="00BD3227"/>
    <w:rsid w:val="00C13773"/>
    <w:rsid w:val="00C22AD3"/>
    <w:rsid w:val="00C66A0A"/>
    <w:rsid w:val="00C70F03"/>
    <w:rsid w:val="00C80482"/>
    <w:rsid w:val="00CA286C"/>
    <w:rsid w:val="00D17D24"/>
    <w:rsid w:val="00D81CE6"/>
    <w:rsid w:val="00D91D7C"/>
    <w:rsid w:val="00DA5450"/>
    <w:rsid w:val="00DB2B8E"/>
    <w:rsid w:val="00E34DC6"/>
    <w:rsid w:val="00E57C68"/>
    <w:rsid w:val="00EB1B65"/>
    <w:rsid w:val="00EB5213"/>
    <w:rsid w:val="00ED5E2B"/>
    <w:rsid w:val="00EF5F6C"/>
    <w:rsid w:val="00F4223E"/>
    <w:rsid w:val="00F60199"/>
    <w:rsid w:val="014852B3"/>
    <w:rsid w:val="11DC1A5E"/>
    <w:rsid w:val="130940DF"/>
    <w:rsid w:val="183669FF"/>
    <w:rsid w:val="1DDB218E"/>
    <w:rsid w:val="26214B83"/>
    <w:rsid w:val="30CC3EB8"/>
    <w:rsid w:val="373D650E"/>
    <w:rsid w:val="39FF0918"/>
    <w:rsid w:val="3FF82FEA"/>
    <w:rsid w:val="477B3B49"/>
    <w:rsid w:val="491F4C96"/>
    <w:rsid w:val="5D597F9A"/>
    <w:rsid w:val="62FF57D3"/>
    <w:rsid w:val="655F412C"/>
    <w:rsid w:val="6AF5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tabs>
        <w:tab w:val="left" w:pos="0"/>
      </w:tabs>
      <w:spacing w:line="360" w:lineRule="auto"/>
      <w:outlineLvl w:val="0"/>
    </w:pPr>
    <w:rPr>
      <w:rFonts w:ascii="黑体"/>
      <w:b/>
      <w:kern w:val="44"/>
      <w:sz w:val="32"/>
      <w:szCs w:val="21"/>
    </w:rPr>
  </w:style>
  <w:style w:type="paragraph" w:styleId="3">
    <w:name w:val="heading 2"/>
    <w:basedOn w:val="1"/>
    <w:next w:val="4"/>
    <w:link w:val="44"/>
    <w:qFormat/>
    <w:uiPriority w:val="0"/>
    <w:pPr>
      <w:keepNext/>
      <w:keepLines/>
      <w:numPr>
        <w:ilvl w:val="1"/>
        <w:numId w:val="1"/>
      </w:numPr>
      <w:spacing w:line="360" w:lineRule="auto"/>
      <w:jc w:val="left"/>
      <w:outlineLvl w:val="1"/>
    </w:pPr>
    <w:rPr>
      <w:b/>
      <w:bCs/>
      <w:smallCaps/>
      <w:sz w:val="30"/>
      <w:szCs w:val="28"/>
      <w:lang w:val="zh-CN" w:eastAsia="zh-CN"/>
    </w:rPr>
  </w:style>
  <w:style w:type="paragraph" w:styleId="7">
    <w:name w:val="heading 3"/>
    <w:basedOn w:val="1"/>
    <w:next w:val="4"/>
    <w:link w:val="45"/>
    <w:qFormat/>
    <w:uiPriority w:val="0"/>
    <w:pPr>
      <w:keepNext/>
      <w:keepLines/>
      <w:numPr>
        <w:ilvl w:val="2"/>
        <w:numId w:val="1"/>
      </w:numPr>
      <w:tabs>
        <w:tab w:val="left" w:pos="900"/>
      </w:tabs>
      <w:spacing w:line="360" w:lineRule="auto"/>
      <w:outlineLvl w:val="2"/>
    </w:pPr>
    <w:rPr>
      <w:b/>
      <w:bCs/>
      <w:sz w:val="28"/>
      <w:szCs w:val="21"/>
    </w:rPr>
  </w:style>
  <w:style w:type="paragraph" w:styleId="8">
    <w:name w:val="heading 4"/>
    <w:basedOn w:val="1"/>
    <w:next w:val="4"/>
    <w:link w:val="46"/>
    <w:qFormat/>
    <w:uiPriority w:val="0"/>
    <w:pPr>
      <w:numPr>
        <w:ilvl w:val="3"/>
        <w:numId w:val="1"/>
      </w:numPr>
      <w:tabs>
        <w:tab w:val="left" w:pos="864"/>
      </w:tabs>
      <w:adjustRightInd w:val="0"/>
      <w:spacing w:line="360" w:lineRule="auto"/>
      <w:jc w:val="left"/>
      <w:textAlignment w:val="baseline"/>
      <w:outlineLvl w:val="3"/>
    </w:pPr>
    <w:rPr>
      <w:b/>
      <w:bCs/>
      <w:smallCaps/>
      <w:sz w:val="24"/>
      <w:lang w:val="zh-CN" w:eastAsia="zh-CN"/>
    </w:rPr>
  </w:style>
  <w:style w:type="paragraph" w:styleId="9">
    <w:name w:val="heading 5"/>
    <w:basedOn w:val="1"/>
    <w:next w:val="1"/>
    <w:link w:val="47"/>
    <w:qFormat/>
    <w:uiPriority w:val="99"/>
    <w:pPr>
      <w:keepNext/>
      <w:keepLines/>
      <w:tabs>
        <w:tab w:val="left" w:pos="1008"/>
      </w:tabs>
      <w:spacing w:line="312" w:lineRule="auto"/>
      <w:ind w:left="1008" w:hanging="1008"/>
      <w:outlineLvl w:val="4"/>
    </w:pPr>
    <w:rPr>
      <w:b/>
      <w:bCs/>
      <w:sz w:val="24"/>
      <w:szCs w:val="28"/>
    </w:rPr>
  </w:style>
  <w:style w:type="paragraph" w:styleId="10">
    <w:name w:val="heading 6"/>
    <w:basedOn w:val="1"/>
    <w:next w:val="1"/>
    <w:link w:val="48"/>
    <w:qFormat/>
    <w:uiPriority w:val="99"/>
    <w:pPr>
      <w:keepNext/>
      <w:keepLines/>
      <w:widowControl/>
      <w:tabs>
        <w:tab w:val="left" w:pos="1152"/>
      </w:tabs>
      <w:spacing w:before="240" w:after="64" w:line="320" w:lineRule="auto"/>
      <w:ind w:left="1152" w:hanging="1152"/>
      <w:jc w:val="left"/>
      <w:outlineLvl w:val="5"/>
    </w:pPr>
    <w:rPr>
      <w:rFonts w:ascii="Arial" w:hAnsi="Arial" w:eastAsia="黑体"/>
      <w:b/>
      <w:bCs/>
      <w:kern w:val="0"/>
      <w:sz w:val="24"/>
    </w:rPr>
  </w:style>
  <w:style w:type="paragraph" w:styleId="11">
    <w:name w:val="heading 7"/>
    <w:basedOn w:val="1"/>
    <w:next w:val="1"/>
    <w:link w:val="49"/>
    <w:qFormat/>
    <w:uiPriority w:val="0"/>
    <w:pPr>
      <w:keepNext/>
      <w:keepLines/>
      <w:widowControl/>
      <w:spacing w:before="240" w:after="64" w:line="320" w:lineRule="auto"/>
      <w:jc w:val="left"/>
      <w:outlineLvl w:val="6"/>
    </w:pPr>
    <w:rPr>
      <w:b/>
      <w:bCs/>
      <w:kern w:val="0"/>
      <w:sz w:val="24"/>
    </w:rPr>
  </w:style>
  <w:style w:type="paragraph" w:styleId="12">
    <w:name w:val="heading 8"/>
    <w:basedOn w:val="1"/>
    <w:next w:val="1"/>
    <w:link w:val="50"/>
    <w:qFormat/>
    <w:uiPriority w:val="0"/>
    <w:pPr>
      <w:keepNext/>
      <w:keepLines/>
      <w:widowControl/>
      <w:spacing w:before="240" w:after="64" w:line="320" w:lineRule="auto"/>
      <w:jc w:val="left"/>
      <w:outlineLvl w:val="7"/>
    </w:pPr>
    <w:rPr>
      <w:rFonts w:ascii="Arial" w:hAnsi="Arial" w:eastAsia="黑体"/>
      <w:kern w:val="0"/>
      <w:sz w:val="24"/>
    </w:rPr>
  </w:style>
  <w:style w:type="paragraph" w:styleId="13">
    <w:name w:val="heading 9"/>
    <w:basedOn w:val="1"/>
    <w:next w:val="1"/>
    <w:link w:val="5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4">
    <w:name w:val="正文首行缩进 2 + Times New Roman"/>
    <w:basedOn w:val="5"/>
    <w:link w:val="28"/>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styleId="5">
    <w:name w:val="Body Text First Indent 2"/>
    <w:basedOn w:val="6"/>
    <w:semiHidden/>
    <w:unhideWhenUsed/>
    <w:qFormat/>
    <w:uiPriority w:val="99"/>
    <w:pPr>
      <w:ind w:firstLine="420" w:firstLineChars="200"/>
    </w:pPr>
  </w:style>
  <w:style w:type="paragraph" w:styleId="6">
    <w:name w:val="Body Text Indent"/>
    <w:basedOn w:val="1"/>
    <w:semiHidden/>
    <w:unhideWhenUsed/>
    <w:qFormat/>
    <w:uiPriority w:val="99"/>
    <w:pPr>
      <w:spacing w:after="120"/>
      <w:ind w:left="420" w:leftChars="200"/>
    </w:pPr>
  </w:style>
  <w:style w:type="paragraph" w:styleId="14">
    <w:name w:val="caption"/>
    <w:basedOn w:val="1"/>
    <w:next w:val="4"/>
    <w:link w:val="53"/>
    <w:qFormat/>
    <w:uiPriority w:val="0"/>
    <w:pPr>
      <w:tabs>
        <w:tab w:val="center" w:pos="10467"/>
        <w:tab w:val="left" w:pos="13095"/>
      </w:tabs>
      <w:jc w:val="center"/>
    </w:pPr>
    <w:rPr>
      <w:rFonts w:ascii="Arial" w:hAnsi="Arial" w:cs="Arial"/>
      <w:b/>
      <w:sz w:val="24"/>
    </w:rPr>
  </w:style>
  <w:style w:type="paragraph" w:styleId="15">
    <w:name w:val="annotation text"/>
    <w:basedOn w:val="1"/>
    <w:link w:val="55"/>
    <w:semiHidden/>
    <w:unhideWhenUsed/>
    <w:qFormat/>
    <w:uiPriority w:val="99"/>
    <w:pPr>
      <w:jc w:val="left"/>
    </w:pPr>
  </w:style>
  <w:style w:type="paragraph" w:styleId="16">
    <w:name w:val="Plain Text"/>
    <w:basedOn w:val="1"/>
    <w:link w:val="60"/>
    <w:qFormat/>
    <w:uiPriority w:val="0"/>
    <w:pPr>
      <w:adjustRightInd w:val="0"/>
      <w:textAlignment w:val="baseline"/>
    </w:pPr>
    <w:rPr>
      <w:rFonts w:ascii="宋体" w:hAnsi="Courier New"/>
    </w:rPr>
  </w:style>
  <w:style w:type="paragraph" w:styleId="17">
    <w:name w:val="Balloon Text"/>
    <w:basedOn w:val="1"/>
    <w:link w:val="63"/>
    <w:semiHidden/>
    <w:unhideWhenUsed/>
    <w:qFormat/>
    <w:uiPriority w:val="99"/>
    <w:rPr>
      <w:sz w:val="18"/>
      <w:szCs w:val="18"/>
    </w:rPr>
  </w:style>
  <w:style w:type="paragraph" w:styleId="18">
    <w:name w:val="footer"/>
    <w:basedOn w:val="1"/>
    <w:link w:val="59"/>
    <w:unhideWhenUsed/>
    <w:qFormat/>
    <w:uiPriority w:val="99"/>
    <w:pPr>
      <w:tabs>
        <w:tab w:val="center" w:pos="4153"/>
        <w:tab w:val="right" w:pos="8306"/>
      </w:tabs>
      <w:snapToGrid w:val="0"/>
      <w:jc w:val="left"/>
    </w:pPr>
    <w:rPr>
      <w:sz w:val="18"/>
      <w:szCs w:val="18"/>
    </w:rPr>
  </w:style>
  <w:style w:type="paragraph" w:styleId="19">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4"/>
    <w:qFormat/>
    <w:uiPriority w:val="0"/>
    <w:pPr>
      <w:spacing w:before="240" w:after="60"/>
      <w:jc w:val="center"/>
      <w:outlineLvl w:val="0"/>
    </w:pPr>
    <w:rPr>
      <w:rFonts w:ascii="Calibri Light" w:hAnsi="Calibri Light"/>
      <w:b/>
      <w:bCs/>
      <w:sz w:val="32"/>
      <w:szCs w:val="32"/>
    </w:rPr>
  </w:style>
  <w:style w:type="paragraph" w:styleId="22">
    <w:name w:val="annotation subject"/>
    <w:basedOn w:val="15"/>
    <w:next w:val="15"/>
    <w:link w:val="56"/>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customStyle="1" w:styleId="27">
    <w:name w:val="题注 Char1"/>
    <w:qFormat/>
    <w:uiPriority w:val="0"/>
    <w:rPr>
      <w:rFonts w:cs="Arial"/>
      <w:b/>
      <w:kern w:val="28"/>
      <w:sz w:val="21"/>
      <w:szCs w:val="32"/>
    </w:rPr>
  </w:style>
  <w:style w:type="character" w:customStyle="1" w:styleId="28">
    <w:name w:val="正文首行缩进 2 + Times New Roman Char"/>
    <w:link w:val="4"/>
    <w:qFormat/>
    <w:uiPriority w:val="0"/>
    <w:rPr>
      <w:sz w:val="24"/>
      <w:szCs w:val="24"/>
    </w:rPr>
  </w:style>
  <w:style w:type="paragraph" w:customStyle="1" w:styleId="29">
    <w:name w:val="表格文字2"/>
    <w:basedOn w:val="1"/>
    <w:link w:val="30"/>
    <w:qFormat/>
    <w:uiPriority w:val="0"/>
    <w:pPr>
      <w:tabs>
        <w:tab w:val="left" w:pos="277"/>
        <w:tab w:val="left" w:pos="600"/>
        <w:tab w:val="left" w:pos="780"/>
        <w:tab w:val="left" w:pos="2517"/>
      </w:tabs>
      <w:adjustRightInd w:val="0"/>
      <w:jc w:val="center"/>
      <w:textAlignment w:val="baseline"/>
    </w:pPr>
    <w:rPr>
      <w:rFonts w:cs="宋体"/>
      <w:kern w:val="0"/>
      <w:szCs w:val="21"/>
    </w:rPr>
  </w:style>
  <w:style w:type="character" w:customStyle="1" w:styleId="30">
    <w:name w:val="表格文字2 Char"/>
    <w:link w:val="29"/>
    <w:qFormat/>
    <w:uiPriority w:val="0"/>
    <w:rPr>
      <w:rFonts w:cs="宋体"/>
      <w:sz w:val="21"/>
      <w:szCs w:val="21"/>
    </w:rPr>
  </w:style>
  <w:style w:type="paragraph" w:customStyle="1" w:styleId="31">
    <w:name w:val="报告文字"/>
    <w:basedOn w:val="1"/>
    <w:link w:val="32"/>
    <w:qFormat/>
    <w:uiPriority w:val="0"/>
    <w:pPr>
      <w:tabs>
        <w:tab w:val="left" w:pos="0"/>
        <w:tab w:val="left" w:pos="2955"/>
      </w:tabs>
      <w:autoSpaceDE w:val="0"/>
      <w:autoSpaceDN w:val="0"/>
      <w:spacing w:line="480" w:lineRule="exact"/>
      <w:ind w:firstLine="480"/>
      <w:jc w:val="left"/>
    </w:pPr>
    <w:rPr>
      <w:sz w:val="24"/>
    </w:rPr>
  </w:style>
  <w:style w:type="character" w:customStyle="1" w:styleId="32">
    <w:name w:val="报告文字 Char"/>
    <w:link w:val="31"/>
    <w:qFormat/>
    <w:uiPriority w:val="0"/>
    <w:rPr>
      <w:kern w:val="2"/>
      <w:sz w:val="24"/>
      <w:szCs w:val="24"/>
    </w:rPr>
  </w:style>
  <w:style w:type="paragraph" w:customStyle="1" w:styleId="33">
    <w:name w:val="备注"/>
    <w:basedOn w:val="1"/>
    <w:next w:val="1"/>
    <w:qFormat/>
    <w:uiPriority w:val="99"/>
    <w:pPr>
      <w:ind w:firstLine="200"/>
    </w:pPr>
    <w:rPr>
      <w:rFonts w:eastAsia="楷体"/>
    </w:rPr>
  </w:style>
  <w:style w:type="paragraph" w:customStyle="1" w:styleId="34">
    <w:name w:val="浙江瀚邦、证书编号及编制日期"/>
    <w:basedOn w:val="1"/>
    <w:next w:val="1"/>
    <w:qFormat/>
    <w:uiPriority w:val="2"/>
    <w:pPr>
      <w:spacing w:line="360" w:lineRule="auto"/>
      <w:jc w:val="center"/>
    </w:pPr>
    <w:rPr>
      <w:b/>
      <w:sz w:val="32"/>
    </w:rPr>
  </w:style>
  <w:style w:type="paragraph" w:customStyle="1" w:styleId="35">
    <w:name w:val="表格文字"/>
    <w:basedOn w:val="1"/>
    <w:link w:val="36"/>
    <w:qFormat/>
    <w:uiPriority w:val="0"/>
    <w:pPr>
      <w:tabs>
        <w:tab w:val="left" w:pos="277"/>
        <w:tab w:val="left" w:pos="600"/>
        <w:tab w:val="left" w:pos="780"/>
        <w:tab w:val="left" w:pos="2517"/>
      </w:tabs>
      <w:adjustRightInd w:val="0"/>
      <w:snapToGrid w:val="0"/>
      <w:jc w:val="center"/>
      <w:textAlignment w:val="baseline"/>
    </w:pPr>
    <w:rPr>
      <w:rFonts w:cs="宋体"/>
      <w:spacing w:val="5"/>
      <w:kern w:val="0"/>
      <w:szCs w:val="21"/>
    </w:rPr>
  </w:style>
  <w:style w:type="character" w:customStyle="1" w:styleId="36">
    <w:name w:val="表格文字 Char"/>
    <w:link w:val="35"/>
    <w:qFormat/>
    <w:uiPriority w:val="0"/>
    <w:rPr>
      <w:rFonts w:cs="宋体"/>
      <w:spacing w:val="5"/>
      <w:sz w:val="21"/>
      <w:szCs w:val="21"/>
    </w:rPr>
  </w:style>
  <w:style w:type="paragraph" w:customStyle="1" w:styleId="37">
    <w:name w:val="红色修改"/>
    <w:basedOn w:val="4"/>
    <w:qFormat/>
    <w:uiPriority w:val="0"/>
    <w:rPr>
      <w:color w:val="FF0000"/>
      <w:lang w:val="zh-CN" w:eastAsia="zh-CN"/>
    </w:rPr>
  </w:style>
  <w:style w:type="paragraph" w:customStyle="1" w:styleId="38">
    <w:name w:val="题注1"/>
    <w:basedOn w:val="1"/>
    <w:link w:val="39"/>
    <w:qFormat/>
    <w:uiPriority w:val="0"/>
    <w:pPr>
      <w:jc w:val="center"/>
    </w:pPr>
    <w:rPr>
      <w:b/>
      <w:kern w:val="0"/>
      <w:sz w:val="24"/>
    </w:rPr>
  </w:style>
  <w:style w:type="character" w:customStyle="1" w:styleId="39">
    <w:name w:val="题注1 Char"/>
    <w:link w:val="38"/>
    <w:qFormat/>
    <w:uiPriority w:val="0"/>
    <w:rPr>
      <w:b/>
      <w:sz w:val="24"/>
      <w:szCs w:val="24"/>
    </w:rPr>
  </w:style>
  <w:style w:type="paragraph" w:customStyle="1" w:styleId="40">
    <w:name w:val="无间隔1"/>
    <w:link w:val="41"/>
    <w:qFormat/>
    <w:uiPriority w:val="1"/>
    <w:pPr>
      <w:adjustRightInd w:val="0"/>
      <w:snapToGrid w:val="0"/>
    </w:pPr>
    <w:rPr>
      <w:rFonts w:ascii="Tahoma" w:hAnsi="Tahoma" w:eastAsia="微软雅黑" w:cs="Times New Roman"/>
      <w:sz w:val="22"/>
      <w:szCs w:val="22"/>
      <w:lang w:val="en-US" w:eastAsia="zh-CN" w:bidi="ar-SA"/>
    </w:rPr>
  </w:style>
  <w:style w:type="character" w:customStyle="1" w:styleId="41">
    <w:name w:val="无间隔 Char"/>
    <w:link w:val="40"/>
    <w:qFormat/>
    <w:uiPriority w:val="1"/>
    <w:rPr>
      <w:rFonts w:ascii="Tahoma" w:hAnsi="Tahoma" w:eastAsia="微软雅黑"/>
      <w:sz w:val="22"/>
      <w:szCs w:val="22"/>
    </w:rPr>
  </w:style>
  <w:style w:type="paragraph" w:customStyle="1" w:styleId="42">
    <w:name w:val="报告表文字1"/>
    <w:basedOn w:val="1"/>
    <w:qFormat/>
    <w:uiPriority w:val="0"/>
    <w:pPr>
      <w:jc w:val="center"/>
    </w:pPr>
    <w:rPr>
      <w:rFonts w:ascii="宋体" w:hAnsi="宋体"/>
      <w:sz w:val="24"/>
    </w:rPr>
  </w:style>
  <w:style w:type="character" w:customStyle="1" w:styleId="43">
    <w:name w:val="标题 1 Char"/>
    <w:link w:val="2"/>
    <w:qFormat/>
    <w:uiPriority w:val="0"/>
    <w:rPr>
      <w:rFonts w:ascii="黑体"/>
      <w:b/>
      <w:kern w:val="44"/>
      <w:sz w:val="32"/>
      <w:szCs w:val="21"/>
    </w:rPr>
  </w:style>
  <w:style w:type="character" w:customStyle="1" w:styleId="44">
    <w:name w:val="标题 2 Char"/>
    <w:link w:val="3"/>
    <w:qFormat/>
    <w:uiPriority w:val="0"/>
    <w:rPr>
      <w:b/>
      <w:bCs/>
      <w:smallCaps/>
      <w:kern w:val="2"/>
      <w:sz w:val="30"/>
      <w:szCs w:val="28"/>
      <w:lang w:val="zh-CN" w:eastAsia="zh-CN"/>
    </w:rPr>
  </w:style>
  <w:style w:type="character" w:customStyle="1" w:styleId="45">
    <w:name w:val="标题 3 Char"/>
    <w:link w:val="7"/>
    <w:qFormat/>
    <w:uiPriority w:val="0"/>
    <w:rPr>
      <w:b/>
      <w:bCs/>
      <w:kern w:val="2"/>
      <w:sz w:val="28"/>
      <w:szCs w:val="21"/>
    </w:rPr>
  </w:style>
  <w:style w:type="character" w:customStyle="1" w:styleId="46">
    <w:name w:val="标题 4 Char"/>
    <w:link w:val="8"/>
    <w:qFormat/>
    <w:uiPriority w:val="0"/>
    <w:rPr>
      <w:b/>
      <w:bCs/>
      <w:smallCaps/>
      <w:kern w:val="2"/>
      <w:sz w:val="24"/>
      <w:szCs w:val="24"/>
      <w:lang w:val="zh-CN" w:eastAsia="zh-CN"/>
    </w:rPr>
  </w:style>
  <w:style w:type="character" w:customStyle="1" w:styleId="47">
    <w:name w:val="标题 5 Char"/>
    <w:link w:val="9"/>
    <w:qFormat/>
    <w:uiPriority w:val="0"/>
    <w:rPr>
      <w:b/>
      <w:bCs/>
      <w:kern w:val="2"/>
      <w:sz w:val="24"/>
      <w:szCs w:val="28"/>
    </w:rPr>
  </w:style>
  <w:style w:type="character" w:customStyle="1" w:styleId="48">
    <w:name w:val="标题 6 Char"/>
    <w:link w:val="10"/>
    <w:qFormat/>
    <w:uiPriority w:val="0"/>
    <w:rPr>
      <w:rFonts w:ascii="Arial" w:hAnsi="Arial" w:eastAsia="黑体"/>
      <w:b/>
      <w:bCs/>
      <w:sz w:val="24"/>
      <w:szCs w:val="24"/>
    </w:rPr>
  </w:style>
  <w:style w:type="character" w:customStyle="1" w:styleId="49">
    <w:name w:val="标题 7 Char"/>
    <w:link w:val="11"/>
    <w:qFormat/>
    <w:uiPriority w:val="0"/>
    <w:rPr>
      <w:b/>
      <w:bCs/>
      <w:sz w:val="24"/>
      <w:szCs w:val="24"/>
    </w:rPr>
  </w:style>
  <w:style w:type="character" w:customStyle="1" w:styleId="50">
    <w:name w:val="标题 8 Char"/>
    <w:link w:val="12"/>
    <w:qFormat/>
    <w:uiPriority w:val="0"/>
    <w:rPr>
      <w:rFonts w:ascii="Arial" w:hAnsi="Arial" w:eastAsia="黑体"/>
      <w:sz w:val="24"/>
      <w:szCs w:val="24"/>
    </w:rPr>
  </w:style>
  <w:style w:type="character" w:customStyle="1" w:styleId="51">
    <w:name w:val="标题 9 Char"/>
    <w:link w:val="13"/>
    <w:qFormat/>
    <w:uiPriority w:val="0"/>
    <w:rPr>
      <w:rFonts w:ascii="Arial" w:hAnsi="Arial" w:eastAsia="黑体"/>
      <w:sz w:val="21"/>
      <w:szCs w:val="21"/>
    </w:rPr>
  </w:style>
  <w:style w:type="character" w:customStyle="1" w:styleId="52">
    <w:name w:val="页眉 Char"/>
    <w:link w:val="19"/>
    <w:qFormat/>
    <w:uiPriority w:val="99"/>
    <w:rPr>
      <w:kern w:val="2"/>
      <w:sz w:val="18"/>
      <w:szCs w:val="18"/>
    </w:rPr>
  </w:style>
  <w:style w:type="character" w:customStyle="1" w:styleId="53">
    <w:name w:val="题注 Char"/>
    <w:link w:val="14"/>
    <w:qFormat/>
    <w:uiPriority w:val="0"/>
    <w:rPr>
      <w:rFonts w:ascii="Arial" w:hAnsi="Arial" w:cs="Arial"/>
      <w:b/>
      <w:kern w:val="2"/>
      <w:sz w:val="24"/>
      <w:szCs w:val="24"/>
    </w:rPr>
  </w:style>
  <w:style w:type="character" w:customStyle="1" w:styleId="54">
    <w:name w:val="标题 Char"/>
    <w:link w:val="21"/>
    <w:qFormat/>
    <w:uiPriority w:val="0"/>
    <w:rPr>
      <w:rFonts w:ascii="Calibri Light" w:hAnsi="Calibri Light"/>
      <w:b/>
      <w:bCs/>
      <w:kern w:val="2"/>
      <w:sz w:val="32"/>
      <w:szCs w:val="32"/>
    </w:rPr>
  </w:style>
  <w:style w:type="character" w:customStyle="1" w:styleId="55">
    <w:name w:val="批注文字 Char"/>
    <w:basedOn w:val="25"/>
    <w:link w:val="15"/>
    <w:semiHidden/>
    <w:qFormat/>
    <w:uiPriority w:val="99"/>
    <w:rPr>
      <w:kern w:val="2"/>
      <w:sz w:val="21"/>
      <w:szCs w:val="24"/>
    </w:rPr>
  </w:style>
  <w:style w:type="character" w:customStyle="1" w:styleId="56">
    <w:name w:val="批注主题 Char"/>
    <w:link w:val="22"/>
    <w:qFormat/>
    <w:uiPriority w:val="0"/>
    <w:rPr>
      <w:b/>
      <w:bCs/>
      <w:kern w:val="2"/>
      <w:sz w:val="21"/>
      <w:szCs w:val="24"/>
    </w:rPr>
  </w:style>
  <w:style w:type="paragraph" w:styleId="57">
    <w:name w:val="No Spacing"/>
    <w:qFormat/>
    <w:uiPriority w:val="99"/>
    <w:pPr>
      <w:widowControl w:val="0"/>
      <w:jc w:val="both"/>
    </w:pPr>
    <w:rPr>
      <w:rFonts w:ascii="Times New Roman" w:hAnsi="Times New Roman" w:eastAsia="宋体" w:cs="Times New Roman"/>
      <w:kern w:val="2"/>
      <w:sz w:val="21"/>
      <w:lang w:val="en-US" w:eastAsia="zh-CN" w:bidi="ar-SA"/>
    </w:rPr>
  </w:style>
  <w:style w:type="paragraph" w:styleId="58">
    <w:name w:val="List Paragraph"/>
    <w:basedOn w:val="1"/>
    <w:qFormat/>
    <w:uiPriority w:val="99"/>
    <w:pPr>
      <w:ind w:firstLine="420" w:firstLineChars="200"/>
    </w:pPr>
  </w:style>
  <w:style w:type="character" w:customStyle="1" w:styleId="59">
    <w:name w:val="页脚 Char"/>
    <w:basedOn w:val="25"/>
    <w:link w:val="18"/>
    <w:qFormat/>
    <w:uiPriority w:val="99"/>
    <w:rPr>
      <w:kern w:val="2"/>
      <w:sz w:val="18"/>
      <w:szCs w:val="18"/>
    </w:rPr>
  </w:style>
  <w:style w:type="character" w:customStyle="1" w:styleId="60">
    <w:name w:val="纯文本 Char"/>
    <w:basedOn w:val="25"/>
    <w:link w:val="16"/>
    <w:qFormat/>
    <w:uiPriority w:val="0"/>
    <w:rPr>
      <w:rFonts w:ascii="宋体" w:hAnsi="Courier New"/>
      <w:kern w:val="2"/>
      <w:sz w:val="21"/>
      <w:szCs w:val="24"/>
    </w:rPr>
  </w:style>
  <w:style w:type="paragraph" w:customStyle="1" w:styleId="61">
    <w:name w:val="列出段落1"/>
    <w:basedOn w:val="1"/>
    <w:qFormat/>
    <w:uiPriority w:val="0"/>
    <w:pPr>
      <w:ind w:firstLine="420" w:firstLineChars="200"/>
    </w:pPr>
    <w:rPr>
      <w:szCs w:val="20"/>
    </w:rPr>
  </w:style>
  <w:style w:type="paragraph" w:customStyle="1" w:styleId="62">
    <w:name w:val="正"/>
    <w:basedOn w:val="1"/>
    <w:qFormat/>
    <w:uiPriority w:val="0"/>
    <w:pPr>
      <w:tabs>
        <w:tab w:val="left" w:pos="2595"/>
      </w:tabs>
      <w:spacing w:line="360" w:lineRule="auto"/>
      <w:ind w:firstLine="480" w:firstLineChars="200"/>
    </w:pPr>
    <w:rPr>
      <w:rFonts w:ascii="TimesNewRomanPSMT" w:hAnsi="TimesNewRomanPSMT"/>
      <w:kern w:val="0"/>
      <w:sz w:val="24"/>
    </w:rPr>
  </w:style>
  <w:style w:type="character" w:customStyle="1" w:styleId="63">
    <w:name w:val="批注框文本 Char"/>
    <w:basedOn w:val="25"/>
    <w:link w:val="1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2509</Words>
  <Characters>2780</Characters>
  <Lines>24</Lines>
  <Paragraphs>6</Paragraphs>
  <TotalTime>1</TotalTime>
  <ScaleCrop>false</ScaleCrop>
  <LinksUpToDate>false</LinksUpToDate>
  <CharactersWithSpaces>2789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2021-05-19T05:44:00Z</dcterms:created>
  <dc:creator>admin</dc:creator>
  <cp:lastModifiedBy>你 你 你</cp:lastModifiedBy>
  <cp:lastPrinted>2022-04-29T07:41:00Z</cp:lastPrinted>
  <dcterms:modified xsi:type="dcterms:W3CDTF">2022-05-30T02:49:28Z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4B94B9D8D0DB47CE90FC322B65027BE8</vt:lpwstr>
  </property>
</Properties>
</file>